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C17D8C">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C17D8C">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C17D8C">
      <w:pPr>
        <w:widowControl/>
        <w:tabs>
          <w:tab w:val="center" w:pos="4680"/>
        </w:tabs>
        <w:suppressAutoHyphens/>
        <w:jc w:val="center"/>
        <w:rPr>
          <w:sz w:val="26"/>
          <w:szCs w:val="26"/>
        </w:rPr>
      </w:pPr>
      <w:r w:rsidRPr="00D57E8E">
        <w:rPr>
          <w:b/>
          <w:sz w:val="26"/>
          <w:szCs w:val="26"/>
        </w:rPr>
        <w:t>Harrisburg, PA 17105-3265</w:t>
      </w:r>
    </w:p>
    <w:p w:rsidR="00F514FB" w:rsidRPr="00D57E8E" w:rsidRDefault="00F514FB" w:rsidP="00C17D8C">
      <w:pPr>
        <w:widowControl/>
        <w:tabs>
          <w:tab w:val="left" w:pos="-720"/>
        </w:tabs>
        <w:suppressAutoHyphens/>
        <w:rPr>
          <w:sz w:val="26"/>
          <w:szCs w:val="26"/>
        </w:rPr>
      </w:pPr>
    </w:p>
    <w:p w:rsidR="00F514FB" w:rsidRPr="00D57E8E" w:rsidRDefault="00F514FB" w:rsidP="00C17D8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DE25AC">
        <w:tc>
          <w:tcPr>
            <w:tcW w:w="5058" w:type="dxa"/>
          </w:tcPr>
          <w:p w:rsidR="00F514FB" w:rsidRPr="00D57E8E" w:rsidRDefault="00F514FB" w:rsidP="00C17D8C">
            <w:pPr>
              <w:widowControl/>
              <w:rPr>
                <w:sz w:val="26"/>
                <w:szCs w:val="26"/>
              </w:rPr>
            </w:pPr>
          </w:p>
        </w:tc>
        <w:tc>
          <w:tcPr>
            <w:tcW w:w="4428" w:type="dxa"/>
          </w:tcPr>
          <w:p w:rsidR="00F514FB" w:rsidRPr="00D57E8E" w:rsidRDefault="00F514FB" w:rsidP="00C17D8C">
            <w:pPr>
              <w:widowControl/>
              <w:ind w:left="-108"/>
              <w:jc w:val="right"/>
              <w:rPr>
                <w:sz w:val="26"/>
                <w:szCs w:val="26"/>
              </w:rPr>
            </w:pPr>
            <w:r w:rsidRPr="00D57E8E">
              <w:rPr>
                <w:sz w:val="26"/>
                <w:szCs w:val="26"/>
              </w:rPr>
              <w:t xml:space="preserve">Public Meeting held </w:t>
            </w:r>
            <w:r w:rsidR="000215F2">
              <w:rPr>
                <w:sz w:val="26"/>
                <w:szCs w:val="26"/>
              </w:rPr>
              <w:t>March</w:t>
            </w:r>
            <w:r w:rsidR="00AB3C49">
              <w:rPr>
                <w:sz w:val="26"/>
                <w:szCs w:val="26"/>
              </w:rPr>
              <w:t xml:space="preserve"> 6</w:t>
            </w:r>
            <w:r w:rsidR="00CB02B9">
              <w:rPr>
                <w:sz w:val="26"/>
                <w:szCs w:val="26"/>
              </w:rPr>
              <w:t>, 201</w:t>
            </w:r>
            <w:r w:rsidR="00AB3C49">
              <w:rPr>
                <w:sz w:val="26"/>
                <w:szCs w:val="26"/>
              </w:rPr>
              <w:t>4</w:t>
            </w:r>
          </w:p>
          <w:p w:rsidR="00F514FB" w:rsidRPr="00D57E8E" w:rsidRDefault="00F514FB" w:rsidP="00C17D8C">
            <w:pPr>
              <w:widowControl/>
              <w:jc w:val="right"/>
              <w:rPr>
                <w:sz w:val="26"/>
                <w:szCs w:val="26"/>
              </w:rPr>
            </w:pPr>
          </w:p>
          <w:p w:rsidR="00F514FB" w:rsidRPr="00D57E8E" w:rsidRDefault="00F514FB" w:rsidP="00C17D8C">
            <w:pPr>
              <w:widowControl/>
              <w:jc w:val="right"/>
              <w:rPr>
                <w:sz w:val="26"/>
                <w:szCs w:val="26"/>
              </w:rPr>
            </w:pPr>
          </w:p>
        </w:tc>
      </w:tr>
      <w:tr w:rsidR="00291600" w:rsidRPr="00D57E8E" w:rsidTr="00EF3DF6">
        <w:tc>
          <w:tcPr>
            <w:tcW w:w="9486" w:type="dxa"/>
            <w:gridSpan w:val="2"/>
          </w:tcPr>
          <w:p w:rsidR="00291600" w:rsidRPr="00D57E8E" w:rsidRDefault="00291600" w:rsidP="00C17D8C">
            <w:pPr>
              <w:widowControl/>
              <w:rPr>
                <w:sz w:val="26"/>
                <w:szCs w:val="26"/>
              </w:rPr>
            </w:pPr>
            <w:r w:rsidRPr="00D57E8E">
              <w:rPr>
                <w:sz w:val="26"/>
                <w:szCs w:val="26"/>
              </w:rPr>
              <w:t>Commissioners Present:</w:t>
            </w:r>
          </w:p>
          <w:p w:rsidR="00291600" w:rsidRPr="00D57E8E" w:rsidRDefault="00291600" w:rsidP="00C17D8C">
            <w:pPr>
              <w:widowControl/>
              <w:rPr>
                <w:sz w:val="26"/>
                <w:szCs w:val="26"/>
              </w:rPr>
            </w:pPr>
          </w:p>
          <w:p w:rsidR="00291600" w:rsidRPr="00D57E8E" w:rsidRDefault="00291600" w:rsidP="00C17D8C">
            <w:pPr>
              <w:widowControl/>
              <w:tabs>
                <w:tab w:val="left" w:pos="705"/>
              </w:tabs>
              <w:ind w:firstLine="720"/>
              <w:rPr>
                <w:sz w:val="26"/>
                <w:szCs w:val="26"/>
              </w:rPr>
            </w:pPr>
            <w:r w:rsidRPr="00D57E8E">
              <w:rPr>
                <w:sz w:val="26"/>
                <w:szCs w:val="26"/>
              </w:rPr>
              <w:t>Robert F. Powelson, Chairman</w:t>
            </w:r>
          </w:p>
          <w:p w:rsidR="00291600" w:rsidRPr="00D57E8E" w:rsidRDefault="00291600" w:rsidP="00C17D8C">
            <w:pPr>
              <w:widowControl/>
              <w:tabs>
                <w:tab w:val="left" w:pos="705"/>
              </w:tabs>
              <w:ind w:firstLine="720"/>
              <w:rPr>
                <w:sz w:val="26"/>
                <w:szCs w:val="26"/>
              </w:rPr>
            </w:pPr>
            <w:r w:rsidRPr="00D57E8E">
              <w:rPr>
                <w:sz w:val="26"/>
                <w:szCs w:val="26"/>
              </w:rPr>
              <w:t>Joh</w:t>
            </w:r>
            <w:r w:rsidR="00CF17D6">
              <w:rPr>
                <w:sz w:val="26"/>
                <w:szCs w:val="26"/>
              </w:rPr>
              <w:t>n F. Coleman, Jr., Vice Chairman</w:t>
            </w:r>
          </w:p>
          <w:p w:rsidR="00291600" w:rsidRPr="00D57E8E" w:rsidRDefault="00291600" w:rsidP="00C17D8C">
            <w:pPr>
              <w:widowControl/>
              <w:tabs>
                <w:tab w:val="left" w:pos="705"/>
              </w:tabs>
              <w:ind w:firstLine="720"/>
              <w:rPr>
                <w:sz w:val="26"/>
                <w:szCs w:val="26"/>
              </w:rPr>
            </w:pPr>
            <w:r w:rsidRPr="00D57E8E">
              <w:rPr>
                <w:sz w:val="26"/>
                <w:szCs w:val="26"/>
              </w:rPr>
              <w:t>James H. Cawley</w:t>
            </w:r>
          </w:p>
          <w:p w:rsidR="00291600" w:rsidRPr="00D57E8E" w:rsidRDefault="00291600" w:rsidP="00C17D8C">
            <w:pPr>
              <w:widowControl/>
              <w:tabs>
                <w:tab w:val="left" w:pos="705"/>
              </w:tabs>
              <w:ind w:firstLine="720"/>
              <w:rPr>
                <w:sz w:val="26"/>
                <w:szCs w:val="26"/>
              </w:rPr>
            </w:pPr>
            <w:r w:rsidRPr="00D57E8E">
              <w:rPr>
                <w:sz w:val="26"/>
                <w:szCs w:val="26"/>
              </w:rPr>
              <w:t>Pamela A. Witmer</w:t>
            </w:r>
          </w:p>
          <w:p w:rsidR="00291600" w:rsidRDefault="00EC60D6" w:rsidP="00C17D8C">
            <w:pPr>
              <w:widowControl/>
              <w:rPr>
                <w:sz w:val="26"/>
                <w:szCs w:val="26"/>
              </w:rPr>
            </w:pPr>
            <w:r>
              <w:rPr>
                <w:sz w:val="26"/>
                <w:szCs w:val="26"/>
              </w:rPr>
              <w:tab/>
            </w:r>
            <w:r w:rsidR="00041864">
              <w:rPr>
                <w:sz w:val="26"/>
                <w:szCs w:val="26"/>
              </w:rPr>
              <w:t>Gladys M. Brown</w:t>
            </w:r>
          </w:p>
          <w:p w:rsidR="00041864" w:rsidRPr="00D57E8E" w:rsidRDefault="00041864" w:rsidP="00C17D8C">
            <w:pPr>
              <w:widowControl/>
              <w:rPr>
                <w:sz w:val="26"/>
                <w:szCs w:val="26"/>
              </w:rPr>
            </w:pPr>
          </w:p>
          <w:p w:rsidR="00291600" w:rsidRPr="00D57E8E" w:rsidRDefault="00291600" w:rsidP="00C17D8C">
            <w:pPr>
              <w:widowControl/>
              <w:jc w:val="right"/>
              <w:rPr>
                <w:sz w:val="26"/>
                <w:szCs w:val="26"/>
              </w:rPr>
            </w:pPr>
          </w:p>
        </w:tc>
      </w:tr>
      <w:tr w:rsidR="00F514FB" w:rsidRPr="00D57E8E" w:rsidTr="00DE25AC">
        <w:tc>
          <w:tcPr>
            <w:tcW w:w="5058" w:type="dxa"/>
          </w:tcPr>
          <w:p w:rsidR="00F514FB" w:rsidRPr="00D57E8E" w:rsidRDefault="000215F2" w:rsidP="00C17D8C">
            <w:pPr>
              <w:widowControl/>
              <w:rPr>
                <w:sz w:val="26"/>
                <w:szCs w:val="26"/>
              </w:rPr>
            </w:pPr>
            <w:r>
              <w:rPr>
                <w:sz w:val="26"/>
                <w:szCs w:val="26"/>
              </w:rPr>
              <w:t>Betty Ricks</w:t>
            </w:r>
          </w:p>
          <w:p w:rsidR="00F514FB" w:rsidRPr="00D57E8E" w:rsidRDefault="00F514FB" w:rsidP="00C17D8C">
            <w:pPr>
              <w:widowControl/>
              <w:rPr>
                <w:sz w:val="26"/>
                <w:szCs w:val="26"/>
              </w:rPr>
            </w:pPr>
          </w:p>
        </w:tc>
        <w:tc>
          <w:tcPr>
            <w:tcW w:w="4428" w:type="dxa"/>
          </w:tcPr>
          <w:p w:rsidR="00F514FB" w:rsidRPr="00D57E8E" w:rsidRDefault="007F47A9" w:rsidP="007F47A9">
            <w:pPr>
              <w:widowControl/>
              <w:jc w:val="right"/>
              <w:rPr>
                <w:sz w:val="26"/>
                <w:szCs w:val="26"/>
              </w:rPr>
            </w:pPr>
            <w:r>
              <w:rPr>
                <w:sz w:val="26"/>
                <w:szCs w:val="26"/>
              </w:rPr>
              <w:t>C</w:t>
            </w:r>
            <w:r w:rsidR="00890765">
              <w:rPr>
                <w:sz w:val="26"/>
                <w:szCs w:val="26"/>
              </w:rPr>
              <w:t>-201</w:t>
            </w:r>
            <w:r w:rsidR="000215F2">
              <w:rPr>
                <w:sz w:val="26"/>
                <w:szCs w:val="26"/>
              </w:rPr>
              <w:t>2-2321440</w:t>
            </w: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 xml:space="preserve">          </w:t>
            </w:r>
            <w:r w:rsidR="00F514FB" w:rsidRPr="00D57E8E">
              <w:rPr>
                <w:sz w:val="26"/>
                <w:szCs w:val="26"/>
              </w:rPr>
              <w:t>v.</w:t>
            </w:r>
          </w:p>
          <w:p w:rsidR="00F514FB" w:rsidRPr="00D57E8E" w:rsidRDefault="00F514FB" w:rsidP="00C17D8C">
            <w:pPr>
              <w:widowControl/>
              <w:ind w:firstLine="1440"/>
              <w:rPr>
                <w:sz w:val="26"/>
                <w:szCs w:val="26"/>
              </w:rPr>
            </w:pPr>
          </w:p>
        </w:tc>
        <w:tc>
          <w:tcPr>
            <w:tcW w:w="4428" w:type="dxa"/>
          </w:tcPr>
          <w:p w:rsidR="00F514FB" w:rsidRPr="00D57E8E" w:rsidRDefault="00F514FB" w:rsidP="00C17D8C">
            <w:pPr>
              <w:widowControl/>
              <w:rPr>
                <w:sz w:val="26"/>
                <w:szCs w:val="26"/>
              </w:rPr>
            </w:pPr>
          </w:p>
        </w:tc>
      </w:tr>
      <w:tr w:rsidR="00F514FB" w:rsidRPr="00D57E8E" w:rsidTr="00340217">
        <w:tc>
          <w:tcPr>
            <w:tcW w:w="5058" w:type="dxa"/>
          </w:tcPr>
          <w:p w:rsidR="00F514FB" w:rsidRPr="00D57E8E" w:rsidRDefault="00041864" w:rsidP="00C17D8C">
            <w:pPr>
              <w:widowControl/>
              <w:rPr>
                <w:sz w:val="26"/>
                <w:szCs w:val="26"/>
              </w:rPr>
            </w:pPr>
            <w:r>
              <w:rPr>
                <w:sz w:val="26"/>
                <w:szCs w:val="26"/>
              </w:rPr>
              <w:t>PECO Energy Company</w:t>
            </w:r>
          </w:p>
        </w:tc>
        <w:tc>
          <w:tcPr>
            <w:tcW w:w="4428" w:type="dxa"/>
          </w:tcPr>
          <w:p w:rsidR="00F514FB" w:rsidRPr="00D57E8E" w:rsidRDefault="00F514FB" w:rsidP="00C17D8C">
            <w:pPr>
              <w:widowControl/>
              <w:rPr>
                <w:sz w:val="26"/>
                <w:szCs w:val="26"/>
              </w:rPr>
            </w:pPr>
          </w:p>
        </w:tc>
      </w:tr>
    </w:tbl>
    <w:p w:rsidR="00F514FB" w:rsidRPr="00D57E8E" w:rsidRDefault="00F514FB" w:rsidP="00C17D8C">
      <w:pPr>
        <w:widowControl/>
        <w:rPr>
          <w:sz w:val="26"/>
          <w:szCs w:val="26"/>
        </w:rPr>
      </w:pPr>
    </w:p>
    <w:p w:rsidR="00F514FB" w:rsidRPr="00D57E8E" w:rsidRDefault="00F514FB" w:rsidP="00C17D8C">
      <w:pPr>
        <w:widowControl/>
        <w:rPr>
          <w:sz w:val="26"/>
          <w:szCs w:val="26"/>
        </w:rPr>
      </w:pPr>
    </w:p>
    <w:p w:rsidR="00F514FB" w:rsidRPr="00D57E8E" w:rsidRDefault="00F514FB" w:rsidP="00C17D8C">
      <w:pPr>
        <w:widowControl/>
        <w:jc w:val="center"/>
        <w:rPr>
          <w:b/>
          <w:sz w:val="26"/>
          <w:szCs w:val="26"/>
        </w:rPr>
      </w:pPr>
      <w:r w:rsidRPr="00D57E8E">
        <w:rPr>
          <w:b/>
          <w:sz w:val="26"/>
          <w:szCs w:val="26"/>
        </w:rPr>
        <w:t xml:space="preserve">OPINION </w:t>
      </w:r>
      <w:smartTag w:uri="urn:schemas-microsoft-com:office:smarttags" w:element="stockticker">
        <w:r w:rsidRPr="00D57E8E">
          <w:rPr>
            <w:b/>
            <w:sz w:val="26"/>
            <w:szCs w:val="26"/>
          </w:rPr>
          <w:t>AND</w:t>
        </w:r>
      </w:smartTag>
      <w:r w:rsidRPr="00D57E8E">
        <w:rPr>
          <w:b/>
          <w:sz w:val="26"/>
          <w:szCs w:val="26"/>
        </w:rPr>
        <w:t xml:space="preserve"> ORDER</w:t>
      </w:r>
    </w:p>
    <w:p w:rsidR="00F514FB" w:rsidRPr="00D57E8E" w:rsidRDefault="00F514FB" w:rsidP="00C17D8C">
      <w:pPr>
        <w:widowControl/>
        <w:jc w:val="center"/>
        <w:rPr>
          <w:b/>
          <w:sz w:val="26"/>
          <w:szCs w:val="26"/>
        </w:rPr>
      </w:pPr>
    </w:p>
    <w:p w:rsidR="00F514FB" w:rsidRPr="00D57E8E" w:rsidRDefault="00F514FB" w:rsidP="00C17D8C">
      <w:pPr>
        <w:widowControl/>
        <w:jc w:val="center"/>
        <w:rPr>
          <w:b/>
          <w:sz w:val="26"/>
          <w:szCs w:val="26"/>
        </w:rPr>
      </w:pPr>
    </w:p>
    <w:p w:rsidR="00F514FB" w:rsidRPr="00D57E8E" w:rsidRDefault="00F514FB" w:rsidP="00C17D8C">
      <w:pPr>
        <w:widowControl/>
        <w:rPr>
          <w:b/>
          <w:sz w:val="26"/>
          <w:szCs w:val="26"/>
        </w:rPr>
      </w:pPr>
      <w:r w:rsidRPr="00D57E8E">
        <w:rPr>
          <w:b/>
          <w:sz w:val="26"/>
          <w:szCs w:val="26"/>
        </w:rPr>
        <w:t>BY THE COMMISSION:</w:t>
      </w:r>
    </w:p>
    <w:p w:rsidR="00F514FB" w:rsidRPr="00D57E8E" w:rsidRDefault="00F514FB" w:rsidP="00C17D8C">
      <w:pPr>
        <w:widowControl/>
        <w:rPr>
          <w:sz w:val="26"/>
          <w:szCs w:val="26"/>
        </w:rPr>
      </w:pPr>
    </w:p>
    <w:p w:rsidR="00D221AE" w:rsidRDefault="00D221AE" w:rsidP="00D221AE">
      <w:pPr>
        <w:tabs>
          <w:tab w:val="left" w:pos="-720"/>
        </w:tabs>
        <w:suppressAutoHyphens/>
        <w:spacing w:line="360" w:lineRule="auto"/>
        <w:rPr>
          <w:sz w:val="26"/>
        </w:rPr>
      </w:pPr>
      <w:r>
        <w:rPr>
          <w:sz w:val="26"/>
        </w:rPr>
        <w:tab/>
      </w:r>
      <w:r>
        <w:rPr>
          <w:sz w:val="26"/>
        </w:rPr>
        <w:tab/>
        <w:t xml:space="preserve">Before the Pennsylvania Public Utility Commission (Commission) for consideration and disposition are the Exceptions filed by </w:t>
      </w:r>
      <w:r w:rsidR="001E2DE7">
        <w:rPr>
          <w:sz w:val="26"/>
        </w:rPr>
        <w:t>Sporty Smith, on behalf of Betty Ricks</w:t>
      </w:r>
      <w:r w:rsidR="00F54C95">
        <w:rPr>
          <w:sz w:val="26"/>
        </w:rPr>
        <w:t xml:space="preserve"> (Complainant)</w:t>
      </w:r>
      <w:r w:rsidR="006F2471">
        <w:rPr>
          <w:rStyle w:val="FootnoteReference"/>
          <w:sz w:val="26"/>
        </w:rPr>
        <w:footnoteReference w:id="1"/>
      </w:r>
      <w:r w:rsidR="0021654E">
        <w:rPr>
          <w:sz w:val="26"/>
        </w:rPr>
        <w:t xml:space="preserve"> on December 9, 2013</w:t>
      </w:r>
      <w:r w:rsidR="008467A8">
        <w:rPr>
          <w:sz w:val="26"/>
        </w:rPr>
        <w:t>,</w:t>
      </w:r>
      <w:r>
        <w:rPr>
          <w:sz w:val="26"/>
        </w:rPr>
        <w:t xml:space="preserve"> in response to the Initial Decision (I.D.) of Administrative Law Judge (ALJ) </w:t>
      </w:r>
      <w:r w:rsidR="0021654E">
        <w:rPr>
          <w:sz w:val="26"/>
        </w:rPr>
        <w:t>Eranda Vero</w:t>
      </w:r>
      <w:r>
        <w:rPr>
          <w:sz w:val="26"/>
        </w:rPr>
        <w:t xml:space="preserve"> issued herein on </w:t>
      </w:r>
      <w:r w:rsidR="0021654E">
        <w:rPr>
          <w:sz w:val="26"/>
        </w:rPr>
        <w:t>November 18</w:t>
      </w:r>
      <w:r w:rsidR="00F54C95">
        <w:rPr>
          <w:sz w:val="26"/>
        </w:rPr>
        <w:t>, 2013</w:t>
      </w:r>
      <w:r w:rsidR="00F61EA8">
        <w:rPr>
          <w:sz w:val="26"/>
        </w:rPr>
        <w:t xml:space="preserve">.  </w:t>
      </w:r>
      <w:r w:rsidR="007916F5">
        <w:rPr>
          <w:sz w:val="26"/>
        </w:rPr>
        <w:t xml:space="preserve">PECO Energy Company (PECO or Company) filed </w:t>
      </w:r>
      <w:r>
        <w:rPr>
          <w:sz w:val="26"/>
        </w:rPr>
        <w:t>Reply Excepti</w:t>
      </w:r>
      <w:r w:rsidR="00F6418B">
        <w:rPr>
          <w:sz w:val="26"/>
        </w:rPr>
        <w:t>ons</w:t>
      </w:r>
      <w:r w:rsidR="00117FF3">
        <w:rPr>
          <w:sz w:val="26"/>
        </w:rPr>
        <w:t xml:space="preserve"> on January </w:t>
      </w:r>
      <w:r w:rsidR="00112BD5">
        <w:rPr>
          <w:sz w:val="26"/>
        </w:rPr>
        <w:t>29</w:t>
      </w:r>
      <w:r w:rsidR="00117FF3">
        <w:rPr>
          <w:sz w:val="26"/>
        </w:rPr>
        <w:t xml:space="preserve">, </w:t>
      </w:r>
      <w:r w:rsidR="00117FF3">
        <w:rPr>
          <w:sz w:val="26"/>
        </w:rPr>
        <w:lastRenderedPageBreak/>
        <w:t>201</w:t>
      </w:r>
      <w:r w:rsidR="009B3A69">
        <w:rPr>
          <w:sz w:val="26"/>
        </w:rPr>
        <w:t>4</w:t>
      </w:r>
      <w:r w:rsidR="00E61921">
        <w:rPr>
          <w:sz w:val="26"/>
        </w:rPr>
        <w:t>.</w:t>
      </w:r>
      <w:r w:rsidR="00E61921">
        <w:rPr>
          <w:rStyle w:val="FootnoteReference"/>
          <w:sz w:val="26"/>
        </w:rPr>
        <w:footnoteReference w:id="2"/>
      </w:r>
      <w:r w:rsidR="00117FF3">
        <w:rPr>
          <w:sz w:val="26"/>
        </w:rPr>
        <w:t xml:space="preserve">  </w:t>
      </w:r>
      <w:r>
        <w:rPr>
          <w:sz w:val="26"/>
        </w:rPr>
        <w:t>For the fo</w:t>
      </w:r>
      <w:r w:rsidR="00F6418B">
        <w:rPr>
          <w:sz w:val="26"/>
        </w:rPr>
        <w:t>llowing reasons, we will deny</w:t>
      </w:r>
      <w:r>
        <w:rPr>
          <w:sz w:val="26"/>
        </w:rPr>
        <w:t xml:space="preserve"> the Complainant’s Exceptions, adopt the AL</w:t>
      </w:r>
      <w:r w:rsidR="00F6418B">
        <w:rPr>
          <w:sz w:val="26"/>
        </w:rPr>
        <w:t>J’s Initial Decision and dismiss</w:t>
      </w:r>
      <w:r>
        <w:rPr>
          <w:sz w:val="26"/>
        </w:rPr>
        <w:t xml:space="preserve"> the Complaint.</w:t>
      </w:r>
    </w:p>
    <w:p w:rsidR="00D221AE" w:rsidRDefault="00D221AE" w:rsidP="00C17D8C">
      <w:pPr>
        <w:widowControl/>
        <w:spacing w:line="360" w:lineRule="auto"/>
        <w:rPr>
          <w:sz w:val="26"/>
          <w:szCs w:val="26"/>
        </w:rPr>
      </w:pPr>
    </w:p>
    <w:p w:rsidR="00CA43A5" w:rsidRDefault="00CA43A5" w:rsidP="00C17D8C">
      <w:pPr>
        <w:keepNext/>
        <w:widowControl/>
        <w:spacing w:line="360" w:lineRule="auto"/>
        <w:jc w:val="center"/>
        <w:rPr>
          <w:b/>
          <w:sz w:val="26"/>
          <w:szCs w:val="26"/>
        </w:rPr>
      </w:pPr>
      <w:bookmarkStart w:id="0" w:name="OLE_LINK1"/>
      <w:bookmarkStart w:id="1" w:name="OLE_LINK2"/>
      <w:r w:rsidRPr="00D57E8E">
        <w:rPr>
          <w:b/>
          <w:sz w:val="26"/>
          <w:szCs w:val="26"/>
        </w:rPr>
        <w:t>History of the Proceeding</w:t>
      </w:r>
    </w:p>
    <w:p w:rsidR="00C17D8C" w:rsidRDefault="00C17D8C" w:rsidP="00D221AE">
      <w:pPr>
        <w:keepNext/>
        <w:widowControl/>
        <w:spacing w:line="360" w:lineRule="auto"/>
        <w:rPr>
          <w:b/>
          <w:sz w:val="26"/>
          <w:szCs w:val="26"/>
        </w:rPr>
      </w:pPr>
    </w:p>
    <w:p w:rsidR="00A72EAF" w:rsidRPr="00A72EAF" w:rsidRDefault="00A72EAF" w:rsidP="00A72EAF">
      <w:pPr>
        <w:spacing w:line="360" w:lineRule="auto"/>
        <w:ind w:firstLine="1440"/>
        <w:rPr>
          <w:sz w:val="26"/>
          <w:szCs w:val="26"/>
        </w:rPr>
      </w:pPr>
      <w:r w:rsidRPr="00A72EAF">
        <w:rPr>
          <w:sz w:val="26"/>
          <w:szCs w:val="26"/>
        </w:rPr>
        <w:t xml:space="preserve">On August 15, 2012, </w:t>
      </w:r>
      <w:r w:rsidR="00DC52B1">
        <w:rPr>
          <w:sz w:val="26"/>
          <w:szCs w:val="26"/>
        </w:rPr>
        <w:t xml:space="preserve">the Complainant and </w:t>
      </w:r>
      <w:r w:rsidR="00124ED7">
        <w:rPr>
          <w:sz w:val="26"/>
          <w:szCs w:val="26"/>
        </w:rPr>
        <w:t xml:space="preserve">her son, </w:t>
      </w:r>
      <w:r w:rsidRPr="00A72EAF">
        <w:rPr>
          <w:sz w:val="26"/>
          <w:szCs w:val="26"/>
        </w:rPr>
        <w:t>Sporty Smith</w:t>
      </w:r>
      <w:r w:rsidR="00124ED7">
        <w:rPr>
          <w:sz w:val="26"/>
          <w:szCs w:val="26"/>
        </w:rPr>
        <w:t>,</w:t>
      </w:r>
      <w:r w:rsidRPr="00A72EAF">
        <w:rPr>
          <w:sz w:val="26"/>
          <w:szCs w:val="26"/>
        </w:rPr>
        <w:t xml:space="preserve"> fi</w:t>
      </w:r>
      <w:r w:rsidR="00D650DC">
        <w:rPr>
          <w:sz w:val="26"/>
          <w:szCs w:val="26"/>
        </w:rPr>
        <w:t>led a F</w:t>
      </w:r>
      <w:r w:rsidRPr="00A72EAF">
        <w:rPr>
          <w:sz w:val="26"/>
          <w:szCs w:val="26"/>
        </w:rPr>
        <w:t>ormal Compl</w:t>
      </w:r>
      <w:r w:rsidR="00DC52B1">
        <w:rPr>
          <w:sz w:val="26"/>
          <w:szCs w:val="26"/>
        </w:rPr>
        <w:t>aint against PECO</w:t>
      </w:r>
      <w:r w:rsidRPr="00A72EAF">
        <w:rPr>
          <w:sz w:val="26"/>
          <w:szCs w:val="26"/>
        </w:rPr>
        <w:t xml:space="preserve"> alleging that </w:t>
      </w:r>
      <w:r w:rsidR="00D650DC">
        <w:rPr>
          <w:sz w:val="26"/>
          <w:szCs w:val="26"/>
        </w:rPr>
        <w:t>they have</w:t>
      </w:r>
      <w:r w:rsidR="00DC52B1">
        <w:rPr>
          <w:sz w:val="26"/>
          <w:szCs w:val="26"/>
        </w:rPr>
        <w:t xml:space="preserve"> repeatedly complained that PECO’s</w:t>
      </w:r>
      <w:r w:rsidRPr="00A72EAF">
        <w:rPr>
          <w:sz w:val="26"/>
          <w:szCs w:val="26"/>
        </w:rPr>
        <w:t xml:space="preserve"> billing is incorrect, that they have asked </w:t>
      </w:r>
      <w:r w:rsidR="00DC52B1">
        <w:rPr>
          <w:sz w:val="26"/>
          <w:szCs w:val="26"/>
        </w:rPr>
        <w:t xml:space="preserve">it </w:t>
      </w:r>
      <w:r w:rsidRPr="00A72EAF">
        <w:rPr>
          <w:sz w:val="26"/>
          <w:szCs w:val="26"/>
        </w:rPr>
        <w:t>to check the met</w:t>
      </w:r>
      <w:r w:rsidR="00DC52B1">
        <w:rPr>
          <w:sz w:val="26"/>
          <w:szCs w:val="26"/>
        </w:rPr>
        <w:t>er and the system, and that it</w:t>
      </w:r>
      <w:r w:rsidRPr="00A72EAF">
        <w:rPr>
          <w:sz w:val="26"/>
          <w:szCs w:val="26"/>
        </w:rPr>
        <w:t xml:space="preserve"> has refused to address these issues.  They </w:t>
      </w:r>
      <w:r w:rsidR="00D650DC">
        <w:rPr>
          <w:sz w:val="26"/>
          <w:szCs w:val="26"/>
        </w:rPr>
        <w:t xml:space="preserve">also </w:t>
      </w:r>
      <w:r w:rsidRPr="00A72EAF">
        <w:rPr>
          <w:sz w:val="26"/>
          <w:szCs w:val="26"/>
        </w:rPr>
        <w:t xml:space="preserve">alleged that there was an issue with master metering.  As relief, </w:t>
      </w:r>
      <w:r w:rsidR="00E50BBE">
        <w:rPr>
          <w:sz w:val="26"/>
          <w:szCs w:val="26"/>
        </w:rPr>
        <w:t xml:space="preserve">Ms. Ricks and Mr. Smith </w:t>
      </w:r>
      <w:r w:rsidRPr="00A72EAF">
        <w:rPr>
          <w:sz w:val="26"/>
          <w:szCs w:val="26"/>
        </w:rPr>
        <w:t>requested t</w:t>
      </w:r>
      <w:r w:rsidR="00E50BBE">
        <w:rPr>
          <w:sz w:val="26"/>
          <w:szCs w:val="26"/>
        </w:rPr>
        <w:t xml:space="preserve">hat they </w:t>
      </w:r>
      <w:r w:rsidRPr="00A72EAF">
        <w:rPr>
          <w:sz w:val="26"/>
          <w:szCs w:val="26"/>
        </w:rPr>
        <w:t>be enrolled in PECO’s customer assistance program (CAP), t</w:t>
      </w:r>
      <w:r w:rsidR="00E50BBE">
        <w:rPr>
          <w:sz w:val="26"/>
          <w:szCs w:val="26"/>
        </w:rPr>
        <w:t>hat they</w:t>
      </w:r>
      <w:r w:rsidRPr="00A72EAF">
        <w:rPr>
          <w:sz w:val="26"/>
          <w:szCs w:val="26"/>
        </w:rPr>
        <w:t xml:space="preserve"> receive a reasonable payment arrangement and that PECO correct their bills. </w:t>
      </w:r>
    </w:p>
    <w:p w:rsidR="00A72EAF" w:rsidRPr="00A72EAF" w:rsidRDefault="00A72EAF" w:rsidP="00A72EAF">
      <w:pPr>
        <w:spacing w:line="360" w:lineRule="auto"/>
        <w:ind w:right="720"/>
        <w:rPr>
          <w:sz w:val="26"/>
          <w:szCs w:val="26"/>
        </w:rPr>
      </w:pPr>
    </w:p>
    <w:p w:rsidR="00A72EAF" w:rsidRPr="00A72EAF" w:rsidRDefault="00A72EAF" w:rsidP="001E2AE3">
      <w:pPr>
        <w:widowControl/>
        <w:spacing w:line="360" w:lineRule="auto"/>
        <w:ind w:firstLine="1440"/>
        <w:rPr>
          <w:sz w:val="26"/>
          <w:szCs w:val="26"/>
        </w:rPr>
      </w:pPr>
      <w:r w:rsidRPr="00A72EAF">
        <w:rPr>
          <w:sz w:val="26"/>
          <w:szCs w:val="26"/>
        </w:rPr>
        <w:t>On August 31, 2012, PE</w:t>
      </w:r>
      <w:r w:rsidR="00E931AE">
        <w:rPr>
          <w:sz w:val="26"/>
          <w:szCs w:val="26"/>
        </w:rPr>
        <w:t>CO filed an</w:t>
      </w:r>
      <w:r w:rsidRPr="00A72EAF">
        <w:rPr>
          <w:sz w:val="26"/>
          <w:szCs w:val="26"/>
        </w:rPr>
        <w:t xml:space="preserve"> Answer</w:t>
      </w:r>
      <w:r w:rsidR="00E931AE">
        <w:rPr>
          <w:sz w:val="26"/>
          <w:szCs w:val="26"/>
        </w:rPr>
        <w:t xml:space="preserve"> </w:t>
      </w:r>
      <w:r w:rsidR="00D90DF3">
        <w:rPr>
          <w:sz w:val="26"/>
          <w:szCs w:val="26"/>
        </w:rPr>
        <w:t xml:space="preserve">and New Matter, </w:t>
      </w:r>
      <w:r w:rsidR="00E931AE">
        <w:rPr>
          <w:sz w:val="26"/>
          <w:szCs w:val="26"/>
        </w:rPr>
        <w:t xml:space="preserve">denying the allegations.  On the same date, </w:t>
      </w:r>
      <w:r w:rsidR="00290701">
        <w:rPr>
          <w:sz w:val="26"/>
          <w:szCs w:val="26"/>
        </w:rPr>
        <w:t xml:space="preserve">PECO also filed </w:t>
      </w:r>
      <w:r w:rsidR="00E931AE">
        <w:rPr>
          <w:sz w:val="26"/>
          <w:szCs w:val="26"/>
        </w:rPr>
        <w:t>Preliminary Objection</w:t>
      </w:r>
      <w:r w:rsidR="00290701">
        <w:rPr>
          <w:sz w:val="26"/>
          <w:szCs w:val="26"/>
        </w:rPr>
        <w:t>s</w:t>
      </w:r>
      <w:r w:rsidR="00E931AE">
        <w:rPr>
          <w:sz w:val="26"/>
          <w:szCs w:val="26"/>
        </w:rPr>
        <w:t xml:space="preserve"> to the Complaint, arguing that</w:t>
      </w:r>
      <w:r w:rsidR="00D90DF3">
        <w:rPr>
          <w:sz w:val="26"/>
          <w:szCs w:val="26"/>
        </w:rPr>
        <w:t>,</w:t>
      </w:r>
      <w:r w:rsidR="00E931AE">
        <w:rPr>
          <w:sz w:val="26"/>
          <w:szCs w:val="26"/>
        </w:rPr>
        <w:t xml:space="preserve"> with the exception of the issue of whether the Complainants should be enrolled in CAP, the remaining issues raised in the Complaint were</w:t>
      </w:r>
      <w:r w:rsidR="00D90DF3">
        <w:rPr>
          <w:sz w:val="26"/>
          <w:szCs w:val="26"/>
        </w:rPr>
        <w:t xml:space="preserve"> barred by </w:t>
      </w:r>
      <w:r w:rsidR="0022745E">
        <w:rPr>
          <w:sz w:val="26"/>
          <w:szCs w:val="26"/>
        </w:rPr>
        <w:t>the doctri</w:t>
      </w:r>
      <w:r w:rsidR="00D90DF3">
        <w:rPr>
          <w:sz w:val="26"/>
          <w:szCs w:val="26"/>
        </w:rPr>
        <w:t>ne of</w:t>
      </w:r>
      <w:r w:rsidR="00E931AE">
        <w:rPr>
          <w:sz w:val="26"/>
          <w:szCs w:val="26"/>
        </w:rPr>
        <w:t xml:space="preserve"> </w:t>
      </w:r>
      <w:r w:rsidR="00E931AE" w:rsidRPr="00E931AE">
        <w:rPr>
          <w:i/>
          <w:sz w:val="26"/>
          <w:szCs w:val="26"/>
        </w:rPr>
        <w:t>res judicata</w:t>
      </w:r>
      <w:r w:rsidR="00E931AE">
        <w:rPr>
          <w:sz w:val="26"/>
          <w:szCs w:val="26"/>
        </w:rPr>
        <w:t>,</w:t>
      </w:r>
      <w:r w:rsidRPr="00A72EAF">
        <w:rPr>
          <w:sz w:val="26"/>
          <w:szCs w:val="26"/>
        </w:rPr>
        <w:t xml:space="preserve"> </w:t>
      </w:r>
      <w:r w:rsidR="00E931AE">
        <w:rPr>
          <w:sz w:val="26"/>
          <w:szCs w:val="26"/>
        </w:rPr>
        <w:t xml:space="preserve">having already been litigated in two previously filed </w:t>
      </w:r>
      <w:r w:rsidR="004D3CDC">
        <w:rPr>
          <w:sz w:val="26"/>
          <w:szCs w:val="26"/>
        </w:rPr>
        <w:t>formal c</w:t>
      </w:r>
      <w:r w:rsidRPr="00A72EAF">
        <w:rPr>
          <w:sz w:val="26"/>
          <w:szCs w:val="26"/>
        </w:rPr>
        <w:t>omplaints at Docket</w:t>
      </w:r>
      <w:r w:rsidR="00497579">
        <w:rPr>
          <w:sz w:val="26"/>
          <w:szCs w:val="26"/>
        </w:rPr>
        <w:t xml:space="preserve"> Nos. F-2008-2059928 and F</w:t>
      </w:r>
      <w:r w:rsidR="00497579">
        <w:rPr>
          <w:sz w:val="26"/>
          <w:szCs w:val="26"/>
        </w:rPr>
        <w:noBreakHyphen/>
      </w:r>
      <w:r w:rsidR="00E931AE">
        <w:rPr>
          <w:sz w:val="26"/>
          <w:szCs w:val="26"/>
        </w:rPr>
        <w:t>2008-2060646.  Those two dockets</w:t>
      </w:r>
      <w:r w:rsidRPr="00A72EAF">
        <w:rPr>
          <w:sz w:val="26"/>
          <w:szCs w:val="26"/>
        </w:rPr>
        <w:t xml:space="preserve"> were consolidated, and an Initial</w:t>
      </w:r>
      <w:r w:rsidR="00E03B06">
        <w:rPr>
          <w:sz w:val="26"/>
          <w:szCs w:val="26"/>
        </w:rPr>
        <w:t xml:space="preserve"> Decision was issued </w:t>
      </w:r>
      <w:r w:rsidR="009437F6">
        <w:rPr>
          <w:sz w:val="26"/>
          <w:szCs w:val="26"/>
        </w:rPr>
        <w:t xml:space="preserve">by ALJ Darlene D. Heep </w:t>
      </w:r>
      <w:r w:rsidR="00E03B06">
        <w:rPr>
          <w:sz w:val="26"/>
          <w:szCs w:val="26"/>
        </w:rPr>
        <w:t xml:space="preserve">on </w:t>
      </w:r>
      <w:r w:rsidR="00E03B06">
        <w:rPr>
          <w:sz w:val="26"/>
          <w:szCs w:val="26"/>
        </w:rPr>
        <w:lastRenderedPageBreak/>
        <w:t>April</w:t>
      </w:r>
      <w:r w:rsidR="00EC60D6">
        <w:rPr>
          <w:sz w:val="26"/>
          <w:szCs w:val="26"/>
        </w:rPr>
        <w:t> </w:t>
      </w:r>
      <w:r w:rsidR="00E03B06">
        <w:rPr>
          <w:sz w:val="26"/>
          <w:szCs w:val="26"/>
        </w:rPr>
        <w:t>20</w:t>
      </w:r>
      <w:r w:rsidR="00E931AE">
        <w:rPr>
          <w:sz w:val="26"/>
          <w:szCs w:val="26"/>
        </w:rPr>
        <w:t>, 2012.  T</w:t>
      </w:r>
      <w:r w:rsidRPr="00A72EAF">
        <w:rPr>
          <w:sz w:val="26"/>
          <w:szCs w:val="26"/>
        </w:rPr>
        <w:t xml:space="preserve">he Commission </w:t>
      </w:r>
      <w:r w:rsidR="00E931AE">
        <w:rPr>
          <w:sz w:val="26"/>
          <w:szCs w:val="26"/>
        </w:rPr>
        <w:t>adopted the ALJ’s Initial Decision in a Final Order</w:t>
      </w:r>
      <w:r w:rsidRPr="00A72EAF">
        <w:rPr>
          <w:sz w:val="26"/>
          <w:szCs w:val="26"/>
        </w:rPr>
        <w:t xml:space="preserve"> dated June 1, 2012.</w:t>
      </w:r>
      <w:r w:rsidR="00E03B06">
        <w:rPr>
          <w:rStyle w:val="FootnoteReference"/>
          <w:sz w:val="26"/>
          <w:szCs w:val="26"/>
        </w:rPr>
        <w:footnoteReference w:id="3"/>
      </w:r>
      <w:r w:rsidRPr="00A72EAF">
        <w:rPr>
          <w:sz w:val="26"/>
          <w:szCs w:val="26"/>
        </w:rPr>
        <w:t xml:space="preserve">  </w:t>
      </w:r>
    </w:p>
    <w:p w:rsidR="00A72EAF" w:rsidRPr="00A72EAF" w:rsidRDefault="00A72EAF" w:rsidP="00A72EAF">
      <w:pPr>
        <w:spacing w:line="360" w:lineRule="auto"/>
        <w:rPr>
          <w:sz w:val="26"/>
          <w:szCs w:val="26"/>
        </w:rPr>
      </w:pPr>
    </w:p>
    <w:p w:rsidR="00A72EAF" w:rsidRDefault="00A72EAF" w:rsidP="00290701">
      <w:pPr>
        <w:spacing w:line="360" w:lineRule="auto"/>
        <w:rPr>
          <w:sz w:val="26"/>
          <w:szCs w:val="26"/>
        </w:rPr>
      </w:pPr>
      <w:r w:rsidRPr="00A72EAF">
        <w:rPr>
          <w:sz w:val="26"/>
          <w:szCs w:val="26"/>
        </w:rPr>
        <w:tab/>
      </w:r>
      <w:r w:rsidRPr="00A72EAF">
        <w:rPr>
          <w:sz w:val="26"/>
          <w:szCs w:val="26"/>
        </w:rPr>
        <w:tab/>
        <w:t xml:space="preserve">On October 15, 2012, ALJ </w:t>
      </w:r>
      <w:r w:rsidR="00290701">
        <w:rPr>
          <w:sz w:val="26"/>
          <w:szCs w:val="26"/>
        </w:rPr>
        <w:t xml:space="preserve">Susan D. </w:t>
      </w:r>
      <w:r w:rsidRPr="00A72EAF">
        <w:rPr>
          <w:sz w:val="26"/>
          <w:szCs w:val="26"/>
        </w:rPr>
        <w:t xml:space="preserve">Colwell issued an Order </w:t>
      </w:r>
      <w:r w:rsidR="00290701">
        <w:rPr>
          <w:sz w:val="26"/>
          <w:szCs w:val="26"/>
        </w:rPr>
        <w:t>which granted PECO</w:t>
      </w:r>
      <w:r w:rsidR="00586E7E">
        <w:rPr>
          <w:sz w:val="26"/>
          <w:szCs w:val="26"/>
        </w:rPr>
        <w:t>’s Preliminary Objections</w:t>
      </w:r>
      <w:r w:rsidR="00290701">
        <w:rPr>
          <w:sz w:val="26"/>
          <w:szCs w:val="26"/>
        </w:rPr>
        <w:t xml:space="preserve"> and dismissed all the claims </w:t>
      </w:r>
      <w:r w:rsidR="0022745E">
        <w:rPr>
          <w:sz w:val="26"/>
          <w:szCs w:val="26"/>
        </w:rPr>
        <w:t xml:space="preserve">of Ms. Ricks and Mr. Smith </w:t>
      </w:r>
      <w:r w:rsidR="00290701">
        <w:rPr>
          <w:sz w:val="26"/>
          <w:szCs w:val="26"/>
        </w:rPr>
        <w:t>as</w:t>
      </w:r>
      <w:r w:rsidR="008E2F41">
        <w:rPr>
          <w:sz w:val="26"/>
          <w:szCs w:val="26"/>
        </w:rPr>
        <w:t xml:space="preserve"> barred by</w:t>
      </w:r>
      <w:r w:rsidR="00290701">
        <w:rPr>
          <w:sz w:val="26"/>
          <w:szCs w:val="26"/>
        </w:rPr>
        <w:t xml:space="preserve"> </w:t>
      </w:r>
      <w:r w:rsidR="00290701" w:rsidRPr="00290701">
        <w:rPr>
          <w:i/>
          <w:sz w:val="26"/>
          <w:szCs w:val="26"/>
        </w:rPr>
        <w:t>res judicata</w:t>
      </w:r>
      <w:r w:rsidR="008E2F41">
        <w:rPr>
          <w:i/>
          <w:sz w:val="26"/>
          <w:szCs w:val="26"/>
        </w:rPr>
        <w:t>,</w:t>
      </w:r>
      <w:r w:rsidR="00290701">
        <w:rPr>
          <w:sz w:val="26"/>
          <w:szCs w:val="26"/>
        </w:rPr>
        <w:t xml:space="preserve"> with the exception of one issue, namely, whether </w:t>
      </w:r>
      <w:r w:rsidR="0022745E">
        <w:rPr>
          <w:sz w:val="26"/>
          <w:szCs w:val="26"/>
        </w:rPr>
        <w:t xml:space="preserve">Ms. Ricks and Mr. Smith </w:t>
      </w:r>
      <w:r w:rsidR="00290701">
        <w:rPr>
          <w:sz w:val="26"/>
          <w:szCs w:val="26"/>
        </w:rPr>
        <w:t>should be enrolled in CAP</w:t>
      </w:r>
      <w:r w:rsidR="00586E7E">
        <w:rPr>
          <w:sz w:val="26"/>
          <w:szCs w:val="26"/>
        </w:rPr>
        <w:t>.</w:t>
      </w:r>
      <w:r w:rsidR="00290701">
        <w:rPr>
          <w:sz w:val="26"/>
          <w:szCs w:val="26"/>
        </w:rPr>
        <w:t xml:space="preserve">  This sole issue was remanded for the Parties to set a resolution conference by Order dated October 22, 2012.  The Parties were unable to set a resolution conference.  Thereupon, PECO requested that the matter be scheduled for hearing and the case was assigned to ALJ Vero.</w:t>
      </w:r>
      <w:r w:rsidR="00EC60D6">
        <w:rPr>
          <w:sz w:val="26"/>
          <w:szCs w:val="26"/>
        </w:rPr>
        <w:t xml:space="preserve"> </w:t>
      </w:r>
    </w:p>
    <w:p w:rsidR="00290701" w:rsidRDefault="00290701" w:rsidP="00290701">
      <w:pPr>
        <w:spacing w:line="360" w:lineRule="auto"/>
        <w:rPr>
          <w:sz w:val="26"/>
          <w:szCs w:val="26"/>
        </w:rPr>
      </w:pPr>
    </w:p>
    <w:p w:rsidR="00290701" w:rsidRPr="00A72EAF" w:rsidRDefault="00100DC2" w:rsidP="00290701">
      <w:pPr>
        <w:spacing w:line="360" w:lineRule="auto"/>
        <w:rPr>
          <w:sz w:val="26"/>
          <w:szCs w:val="26"/>
        </w:rPr>
      </w:pPr>
      <w:r>
        <w:rPr>
          <w:sz w:val="26"/>
          <w:szCs w:val="26"/>
        </w:rPr>
        <w:tab/>
      </w:r>
      <w:r>
        <w:rPr>
          <w:sz w:val="26"/>
          <w:szCs w:val="26"/>
        </w:rPr>
        <w:tab/>
        <w:t>On February 23, 2013, ALJ Vero issued an Order overturning ALJ Colwell’s Order of October 15, 2012.  ALJ Vero’s Order also reinstated the claims of faulty meter and incorrect billing.</w:t>
      </w:r>
    </w:p>
    <w:p w:rsidR="00A72EAF" w:rsidRDefault="00A72EAF" w:rsidP="00A72EAF">
      <w:pPr>
        <w:spacing w:line="360" w:lineRule="auto"/>
        <w:ind w:firstLine="1440"/>
        <w:jc w:val="both"/>
        <w:rPr>
          <w:sz w:val="26"/>
          <w:szCs w:val="26"/>
        </w:rPr>
      </w:pPr>
    </w:p>
    <w:p w:rsidR="008126D5" w:rsidRDefault="00E474F3" w:rsidP="00E474F3">
      <w:pPr>
        <w:spacing w:line="360" w:lineRule="auto"/>
        <w:ind w:firstLine="1440"/>
        <w:rPr>
          <w:sz w:val="26"/>
          <w:szCs w:val="26"/>
        </w:rPr>
      </w:pPr>
      <w:r>
        <w:rPr>
          <w:sz w:val="26"/>
          <w:szCs w:val="26"/>
        </w:rPr>
        <w:t>After the C</w:t>
      </w:r>
      <w:r w:rsidR="00F77F01">
        <w:rPr>
          <w:sz w:val="26"/>
          <w:szCs w:val="26"/>
        </w:rPr>
        <w:t xml:space="preserve">omplainants </w:t>
      </w:r>
      <w:r w:rsidR="003B4EBC">
        <w:rPr>
          <w:sz w:val="26"/>
          <w:szCs w:val="26"/>
        </w:rPr>
        <w:t xml:space="preserve">attended </w:t>
      </w:r>
      <w:r w:rsidR="00F77F01">
        <w:rPr>
          <w:sz w:val="26"/>
          <w:szCs w:val="26"/>
        </w:rPr>
        <w:t xml:space="preserve">several </w:t>
      </w:r>
      <w:r w:rsidR="003B4EBC">
        <w:rPr>
          <w:sz w:val="26"/>
          <w:szCs w:val="26"/>
        </w:rPr>
        <w:t xml:space="preserve">initial </w:t>
      </w:r>
      <w:r>
        <w:rPr>
          <w:sz w:val="26"/>
          <w:szCs w:val="26"/>
        </w:rPr>
        <w:t xml:space="preserve">hearings, a </w:t>
      </w:r>
      <w:r w:rsidR="003B4EBC">
        <w:rPr>
          <w:sz w:val="26"/>
          <w:szCs w:val="26"/>
        </w:rPr>
        <w:t xml:space="preserve">further </w:t>
      </w:r>
      <w:r>
        <w:rPr>
          <w:sz w:val="26"/>
          <w:szCs w:val="26"/>
        </w:rPr>
        <w:t xml:space="preserve">hearing was held before ALJ Vero on July 29, 2013.  </w:t>
      </w:r>
      <w:r w:rsidR="00FE42FD">
        <w:rPr>
          <w:sz w:val="26"/>
          <w:szCs w:val="26"/>
        </w:rPr>
        <w:t>The Complainants appeared</w:t>
      </w:r>
      <w:r w:rsidR="00FE42FD" w:rsidRPr="00A72EAF">
        <w:rPr>
          <w:sz w:val="26"/>
          <w:szCs w:val="26"/>
        </w:rPr>
        <w:t xml:space="preserve"> </w:t>
      </w:r>
      <w:r w:rsidR="00FE42FD" w:rsidRPr="00A72EAF">
        <w:rPr>
          <w:i/>
          <w:sz w:val="26"/>
          <w:szCs w:val="26"/>
        </w:rPr>
        <w:t>pro se</w:t>
      </w:r>
      <w:r w:rsidR="00FE42FD" w:rsidRPr="009036CA">
        <w:rPr>
          <w:sz w:val="26"/>
          <w:szCs w:val="26"/>
        </w:rPr>
        <w:t xml:space="preserve"> and PECO was represented by counsel</w:t>
      </w:r>
      <w:r w:rsidR="00FE42FD">
        <w:rPr>
          <w:sz w:val="26"/>
          <w:szCs w:val="26"/>
        </w:rPr>
        <w:t xml:space="preserve">.  </w:t>
      </w:r>
      <w:r w:rsidR="008126D5">
        <w:rPr>
          <w:sz w:val="26"/>
          <w:szCs w:val="26"/>
        </w:rPr>
        <w:t>Prior to that date, on July 5, 2013, the ALJ had received</w:t>
      </w:r>
      <w:r w:rsidR="00C91DE5">
        <w:rPr>
          <w:sz w:val="26"/>
          <w:szCs w:val="26"/>
        </w:rPr>
        <w:t xml:space="preserve">, </w:t>
      </w:r>
      <w:r w:rsidR="00C91DE5" w:rsidRPr="00C91DE5">
        <w:rPr>
          <w:i/>
          <w:sz w:val="26"/>
          <w:szCs w:val="26"/>
        </w:rPr>
        <w:t>inter alia</w:t>
      </w:r>
      <w:r w:rsidR="00C91DE5">
        <w:rPr>
          <w:sz w:val="26"/>
          <w:szCs w:val="26"/>
        </w:rPr>
        <w:t>,</w:t>
      </w:r>
      <w:r w:rsidR="008126D5">
        <w:rPr>
          <w:sz w:val="26"/>
          <w:szCs w:val="26"/>
        </w:rPr>
        <w:t xml:space="preserve"> a </w:t>
      </w:r>
      <w:r w:rsidR="008126D5" w:rsidRPr="00A72EAF">
        <w:rPr>
          <w:sz w:val="26"/>
          <w:szCs w:val="26"/>
        </w:rPr>
        <w:t>valid and proper</w:t>
      </w:r>
      <w:r w:rsidR="008126D5">
        <w:rPr>
          <w:sz w:val="26"/>
          <w:szCs w:val="26"/>
        </w:rPr>
        <w:t>ly executed power of attorney</w:t>
      </w:r>
      <w:r w:rsidR="00C91DE5">
        <w:rPr>
          <w:sz w:val="26"/>
          <w:szCs w:val="26"/>
        </w:rPr>
        <w:t xml:space="preserve"> from Mr. Smith</w:t>
      </w:r>
      <w:r w:rsidR="008126D5">
        <w:rPr>
          <w:sz w:val="26"/>
          <w:szCs w:val="26"/>
        </w:rPr>
        <w:t xml:space="preserve">. </w:t>
      </w:r>
    </w:p>
    <w:p w:rsidR="008126D5" w:rsidRDefault="008126D5" w:rsidP="00E474F3">
      <w:pPr>
        <w:spacing w:line="360" w:lineRule="auto"/>
        <w:ind w:firstLine="1440"/>
        <w:rPr>
          <w:sz w:val="26"/>
          <w:szCs w:val="26"/>
        </w:rPr>
      </w:pPr>
    </w:p>
    <w:p w:rsidR="007D3DEB" w:rsidRDefault="008126D5" w:rsidP="00E474F3">
      <w:pPr>
        <w:spacing w:line="360" w:lineRule="auto"/>
        <w:ind w:firstLine="1440"/>
        <w:rPr>
          <w:sz w:val="26"/>
          <w:szCs w:val="26"/>
        </w:rPr>
      </w:pPr>
      <w:r>
        <w:rPr>
          <w:sz w:val="26"/>
          <w:szCs w:val="26"/>
        </w:rPr>
        <w:t xml:space="preserve">At the </w:t>
      </w:r>
      <w:r w:rsidR="00634E65">
        <w:rPr>
          <w:sz w:val="26"/>
          <w:szCs w:val="26"/>
        </w:rPr>
        <w:t xml:space="preserve">July 29, 2013 </w:t>
      </w:r>
      <w:r>
        <w:rPr>
          <w:sz w:val="26"/>
          <w:szCs w:val="26"/>
        </w:rPr>
        <w:t xml:space="preserve">hearing, </w:t>
      </w:r>
      <w:r w:rsidR="00634E65">
        <w:rPr>
          <w:sz w:val="26"/>
          <w:szCs w:val="26"/>
        </w:rPr>
        <w:t xml:space="preserve">as she had at prior hearings, </w:t>
      </w:r>
      <w:r>
        <w:rPr>
          <w:sz w:val="26"/>
          <w:szCs w:val="26"/>
        </w:rPr>
        <w:t>t</w:t>
      </w:r>
      <w:r w:rsidR="00A72EAF" w:rsidRPr="00A72EAF">
        <w:rPr>
          <w:sz w:val="26"/>
          <w:szCs w:val="26"/>
        </w:rPr>
        <w:t>he customer of record, Ms. Ricks, refused</w:t>
      </w:r>
      <w:r>
        <w:rPr>
          <w:sz w:val="26"/>
          <w:szCs w:val="26"/>
        </w:rPr>
        <w:t xml:space="preserve"> to testify or answer any questions</w:t>
      </w:r>
      <w:r w:rsidR="00A72EAF" w:rsidRPr="00A72EAF">
        <w:rPr>
          <w:sz w:val="26"/>
          <w:szCs w:val="26"/>
        </w:rPr>
        <w:t xml:space="preserve">, and even expressed a desire to withdraw from the Complaint.  </w:t>
      </w:r>
      <w:r w:rsidR="00E474F3">
        <w:rPr>
          <w:sz w:val="26"/>
          <w:szCs w:val="26"/>
        </w:rPr>
        <w:t xml:space="preserve">Mr. Smith purported </w:t>
      </w:r>
      <w:r w:rsidR="00FE42FD">
        <w:rPr>
          <w:sz w:val="26"/>
          <w:szCs w:val="26"/>
        </w:rPr>
        <w:t>to act as his mother’s attorney</w:t>
      </w:r>
      <w:r w:rsidR="00E474F3">
        <w:rPr>
          <w:sz w:val="26"/>
          <w:szCs w:val="26"/>
        </w:rPr>
        <w:t xml:space="preserve"> and attempted to cr</w:t>
      </w:r>
      <w:r w:rsidR="007D3DEB">
        <w:rPr>
          <w:sz w:val="26"/>
          <w:szCs w:val="26"/>
        </w:rPr>
        <w:t xml:space="preserve">oss-examine PECO’s witnesses.  </w:t>
      </w:r>
      <w:r w:rsidR="00A72EAF" w:rsidRPr="00A72EAF">
        <w:rPr>
          <w:sz w:val="26"/>
          <w:szCs w:val="26"/>
        </w:rPr>
        <w:t>PECO</w:t>
      </w:r>
      <w:r w:rsidR="007D3DEB">
        <w:rPr>
          <w:sz w:val="26"/>
          <w:szCs w:val="26"/>
        </w:rPr>
        <w:t xml:space="preserve"> objected to Mr. Smith acting as a</w:t>
      </w:r>
      <w:r>
        <w:rPr>
          <w:sz w:val="26"/>
          <w:szCs w:val="26"/>
        </w:rPr>
        <w:t>n</w:t>
      </w:r>
      <w:r w:rsidR="007D3DEB">
        <w:rPr>
          <w:sz w:val="26"/>
          <w:szCs w:val="26"/>
        </w:rPr>
        <w:t xml:space="preserve"> </w:t>
      </w:r>
      <w:r w:rsidR="007D3DEB">
        <w:rPr>
          <w:sz w:val="26"/>
          <w:szCs w:val="26"/>
        </w:rPr>
        <w:lastRenderedPageBreak/>
        <w:t>attorney as he is not a licensed attorney admitted to practice law in any state.  Additionally, PECO argued that Mr. Smith had no standing to participate as a Complainant because he did not live at the service address at issue.</w:t>
      </w:r>
    </w:p>
    <w:p w:rsidR="007D3DEB" w:rsidRDefault="007D3DEB" w:rsidP="00E474F3">
      <w:pPr>
        <w:spacing w:line="360" w:lineRule="auto"/>
        <w:ind w:firstLine="1440"/>
        <w:rPr>
          <w:sz w:val="26"/>
          <w:szCs w:val="26"/>
        </w:rPr>
      </w:pPr>
    </w:p>
    <w:p w:rsidR="00A72EAF" w:rsidRPr="00A72EAF" w:rsidRDefault="00C91DE5" w:rsidP="003E4DAA">
      <w:pPr>
        <w:spacing w:line="360" w:lineRule="auto"/>
        <w:ind w:firstLine="1440"/>
        <w:rPr>
          <w:sz w:val="26"/>
          <w:szCs w:val="26"/>
        </w:rPr>
      </w:pPr>
      <w:r>
        <w:rPr>
          <w:sz w:val="26"/>
          <w:szCs w:val="26"/>
        </w:rPr>
        <w:t xml:space="preserve">Upon review of the record and the documents received from Mr. Smith, </w:t>
      </w:r>
      <w:r w:rsidR="003B4EBC">
        <w:rPr>
          <w:sz w:val="26"/>
          <w:szCs w:val="26"/>
        </w:rPr>
        <w:t xml:space="preserve">the ALJ </w:t>
      </w:r>
      <w:r w:rsidR="00A72EAF" w:rsidRPr="00A72EAF">
        <w:rPr>
          <w:sz w:val="26"/>
          <w:szCs w:val="26"/>
        </w:rPr>
        <w:t>found that Mr. Smith lacked standing to bri</w:t>
      </w:r>
      <w:r w:rsidR="005028E6">
        <w:rPr>
          <w:sz w:val="26"/>
          <w:szCs w:val="26"/>
        </w:rPr>
        <w:t xml:space="preserve">ng the Complaint against PECO.  </w:t>
      </w:r>
      <w:r>
        <w:rPr>
          <w:sz w:val="26"/>
          <w:szCs w:val="26"/>
        </w:rPr>
        <w:t xml:space="preserve">The ALJ thereupon </w:t>
      </w:r>
      <w:r w:rsidR="005028E6">
        <w:rPr>
          <w:sz w:val="26"/>
          <w:szCs w:val="26"/>
        </w:rPr>
        <w:t>asked</w:t>
      </w:r>
      <w:r w:rsidR="00A72EAF" w:rsidRPr="00A72EAF">
        <w:rPr>
          <w:sz w:val="26"/>
          <w:szCs w:val="26"/>
        </w:rPr>
        <w:t xml:space="preserve"> Ms. Ricks </w:t>
      </w:r>
      <w:r w:rsidR="005028E6">
        <w:rPr>
          <w:sz w:val="26"/>
          <w:szCs w:val="26"/>
        </w:rPr>
        <w:t xml:space="preserve">whether she preferred to </w:t>
      </w:r>
      <w:r w:rsidR="00A72EAF" w:rsidRPr="00A72EAF">
        <w:rPr>
          <w:sz w:val="26"/>
          <w:szCs w:val="26"/>
        </w:rPr>
        <w:t>proceed with the case as the sole Complainant and</w:t>
      </w:r>
      <w:r w:rsidR="005028E6">
        <w:rPr>
          <w:sz w:val="26"/>
          <w:szCs w:val="26"/>
        </w:rPr>
        <w:t xml:space="preserve"> present Mr. Smith as a witness</w:t>
      </w:r>
      <w:r w:rsidR="00A72EAF" w:rsidRPr="00A72EAF">
        <w:rPr>
          <w:sz w:val="26"/>
          <w:szCs w:val="26"/>
        </w:rPr>
        <w:t xml:space="preserve"> or</w:t>
      </w:r>
      <w:r w:rsidR="00777052">
        <w:rPr>
          <w:sz w:val="26"/>
          <w:szCs w:val="26"/>
        </w:rPr>
        <w:t>, as an alternative,</w:t>
      </w:r>
      <w:r w:rsidR="00A72EAF" w:rsidRPr="00A72EAF">
        <w:rPr>
          <w:sz w:val="26"/>
          <w:szCs w:val="26"/>
        </w:rPr>
        <w:t xml:space="preserve"> to have Mr. Smith proceed with the case thro</w:t>
      </w:r>
      <w:r>
        <w:rPr>
          <w:sz w:val="26"/>
          <w:szCs w:val="26"/>
        </w:rPr>
        <w:t>ugh h</w:t>
      </w:r>
      <w:r w:rsidR="003E4DAA">
        <w:rPr>
          <w:sz w:val="26"/>
          <w:szCs w:val="26"/>
        </w:rPr>
        <w:t xml:space="preserve">er power of attorney.  </w:t>
      </w:r>
      <w:r w:rsidR="004F028C">
        <w:rPr>
          <w:sz w:val="26"/>
          <w:szCs w:val="26"/>
        </w:rPr>
        <w:t>When Ms</w:t>
      </w:r>
      <w:r>
        <w:rPr>
          <w:sz w:val="26"/>
          <w:szCs w:val="26"/>
        </w:rPr>
        <w:t>. Ricks refused to answer the ALJ’s question, t</w:t>
      </w:r>
      <w:r w:rsidR="00B86D13">
        <w:rPr>
          <w:sz w:val="26"/>
          <w:szCs w:val="26"/>
        </w:rPr>
        <w:t>he ALJ concluded that</w:t>
      </w:r>
      <w:r>
        <w:rPr>
          <w:sz w:val="26"/>
          <w:szCs w:val="26"/>
        </w:rPr>
        <w:t xml:space="preserve"> the </w:t>
      </w:r>
      <w:r w:rsidR="00B86D13">
        <w:rPr>
          <w:sz w:val="26"/>
          <w:szCs w:val="26"/>
        </w:rPr>
        <w:t>refusal constituted a</w:t>
      </w:r>
      <w:r w:rsidR="00A72EAF" w:rsidRPr="00A72EAF">
        <w:rPr>
          <w:sz w:val="26"/>
          <w:szCs w:val="26"/>
        </w:rPr>
        <w:t xml:space="preserve"> willful failure to prosecute the Com</w:t>
      </w:r>
      <w:r>
        <w:rPr>
          <w:sz w:val="26"/>
          <w:szCs w:val="26"/>
        </w:rPr>
        <w:t xml:space="preserve">plaint and dismissed the case. </w:t>
      </w:r>
    </w:p>
    <w:p w:rsidR="00A72EAF" w:rsidRPr="00A72EAF" w:rsidRDefault="00A72EAF" w:rsidP="00A72EAF">
      <w:pPr>
        <w:tabs>
          <w:tab w:val="left" w:pos="-1440"/>
          <w:tab w:val="left" w:pos="-720"/>
        </w:tabs>
        <w:suppressAutoHyphens/>
        <w:spacing w:line="360" w:lineRule="auto"/>
        <w:ind w:firstLine="1440"/>
        <w:rPr>
          <w:sz w:val="26"/>
          <w:szCs w:val="26"/>
        </w:rPr>
      </w:pPr>
    </w:p>
    <w:p w:rsidR="003133D0" w:rsidRDefault="00A72EAF" w:rsidP="00B86D13">
      <w:pPr>
        <w:tabs>
          <w:tab w:val="left" w:pos="-1440"/>
          <w:tab w:val="left" w:pos="-720"/>
        </w:tabs>
        <w:suppressAutoHyphens/>
        <w:spacing w:line="360" w:lineRule="auto"/>
        <w:ind w:firstLine="1440"/>
        <w:rPr>
          <w:sz w:val="26"/>
          <w:szCs w:val="26"/>
        </w:rPr>
      </w:pPr>
      <w:r w:rsidRPr="00A72EAF">
        <w:rPr>
          <w:sz w:val="26"/>
          <w:szCs w:val="26"/>
        </w:rPr>
        <w:t>The record in this matter closed on August 9, 20</w:t>
      </w:r>
      <w:r w:rsidR="00B86D13">
        <w:rPr>
          <w:sz w:val="26"/>
          <w:szCs w:val="26"/>
        </w:rPr>
        <w:t>13</w:t>
      </w:r>
      <w:r w:rsidRPr="00A72EAF">
        <w:rPr>
          <w:sz w:val="26"/>
          <w:szCs w:val="26"/>
        </w:rPr>
        <w:t>.</w:t>
      </w:r>
      <w:bookmarkEnd w:id="0"/>
      <w:bookmarkEnd w:id="1"/>
      <w:r w:rsidR="00B86D13">
        <w:rPr>
          <w:sz w:val="26"/>
          <w:szCs w:val="26"/>
        </w:rPr>
        <w:t xml:space="preserve">  </w:t>
      </w:r>
      <w:r w:rsidR="00774EEF">
        <w:rPr>
          <w:sz w:val="26"/>
          <w:szCs w:val="26"/>
        </w:rPr>
        <w:t>In her</w:t>
      </w:r>
      <w:r w:rsidR="0052586A">
        <w:rPr>
          <w:sz w:val="26"/>
          <w:szCs w:val="26"/>
        </w:rPr>
        <w:t xml:space="preserve"> Initial Decision, issued on </w:t>
      </w:r>
      <w:r w:rsidR="00FB52BD">
        <w:rPr>
          <w:sz w:val="26"/>
          <w:szCs w:val="26"/>
        </w:rPr>
        <w:t>November 18</w:t>
      </w:r>
      <w:r w:rsidR="006375FE">
        <w:rPr>
          <w:sz w:val="26"/>
          <w:szCs w:val="26"/>
        </w:rPr>
        <w:t>, 2013</w:t>
      </w:r>
      <w:r w:rsidR="0052586A">
        <w:rPr>
          <w:sz w:val="26"/>
          <w:szCs w:val="26"/>
        </w:rPr>
        <w:t xml:space="preserve">, ALJ </w:t>
      </w:r>
      <w:r w:rsidR="00B86D13">
        <w:rPr>
          <w:sz w:val="26"/>
          <w:szCs w:val="26"/>
        </w:rPr>
        <w:t>Vero</w:t>
      </w:r>
      <w:r w:rsidR="006E4A88">
        <w:rPr>
          <w:sz w:val="26"/>
          <w:szCs w:val="26"/>
        </w:rPr>
        <w:t xml:space="preserve"> concluded that the Com</w:t>
      </w:r>
      <w:r w:rsidR="006D63B1">
        <w:rPr>
          <w:sz w:val="26"/>
          <w:szCs w:val="26"/>
        </w:rPr>
        <w:t>plainant had f</w:t>
      </w:r>
      <w:r w:rsidR="00FB52BD">
        <w:rPr>
          <w:sz w:val="26"/>
          <w:szCs w:val="26"/>
        </w:rPr>
        <w:t>ailed to carry her</w:t>
      </w:r>
      <w:r w:rsidR="006E4A88">
        <w:rPr>
          <w:sz w:val="26"/>
          <w:szCs w:val="26"/>
        </w:rPr>
        <w:t xml:space="preserve"> burden of proof </w:t>
      </w:r>
      <w:r w:rsidR="00FB52BD">
        <w:rPr>
          <w:sz w:val="26"/>
          <w:szCs w:val="26"/>
        </w:rPr>
        <w:t>that she is entitled to the relief she was seeking from the Commission.  Conclusion of Law No. 13</w:t>
      </w:r>
      <w:r w:rsidR="00505C29">
        <w:rPr>
          <w:sz w:val="26"/>
          <w:szCs w:val="26"/>
        </w:rPr>
        <w:t xml:space="preserve">; I.D. at 23.  As recounted </w:t>
      </w:r>
      <w:r w:rsidR="00505C29" w:rsidRPr="00505C29">
        <w:rPr>
          <w:i/>
          <w:sz w:val="26"/>
          <w:szCs w:val="26"/>
        </w:rPr>
        <w:t>supra</w:t>
      </w:r>
      <w:r w:rsidR="00505C29">
        <w:rPr>
          <w:sz w:val="26"/>
          <w:szCs w:val="26"/>
        </w:rPr>
        <w:t xml:space="preserve">, </w:t>
      </w:r>
      <w:r w:rsidR="00124ED7">
        <w:rPr>
          <w:sz w:val="26"/>
          <w:szCs w:val="26"/>
        </w:rPr>
        <w:t>t</w:t>
      </w:r>
      <w:r w:rsidR="00DB7D00">
        <w:rPr>
          <w:sz w:val="26"/>
          <w:szCs w:val="26"/>
        </w:rPr>
        <w:t xml:space="preserve">he ALJ construed Ms. Ricks’ actions as a willful refusal to proceed with the hearing and a failure to prosecute the Complaint.  </w:t>
      </w:r>
      <w:r w:rsidR="003133D0">
        <w:rPr>
          <w:sz w:val="26"/>
          <w:szCs w:val="26"/>
        </w:rPr>
        <w:t xml:space="preserve">Consequently, </w:t>
      </w:r>
      <w:r w:rsidR="007A56B6">
        <w:rPr>
          <w:sz w:val="26"/>
          <w:szCs w:val="26"/>
        </w:rPr>
        <w:t xml:space="preserve">the ALJ </w:t>
      </w:r>
      <w:r w:rsidR="006E4A88">
        <w:rPr>
          <w:sz w:val="26"/>
          <w:szCs w:val="26"/>
        </w:rPr>
        <w:t>recommended that the Complaint be dismissed</w:t>
      </w:r>
      <w:r w:rsidR="00DB7D00">
        <w:rPr>
          <w:sz w:val="26"/>
          <w:szCs w:val="26"/>
        </w:rPr>
        <w:t xml:space="preserve"> with prejudice</w:t>
      </w:r>
      <w:r w:rsidR="006E4A88">
        <w:rPr>
          <w:sz w:val="26"/>
          <w:szCs w:val="26"/>
        </w:rPr>
        <w:t>.</w:t>
      </w:r>
      <w:r w:rsidR="00505C29">
        <w:rPr>
          <w:sz w:val="26"/>
          <w:szCs w:val="26"/>
        </w:rPr>
        <w:t xml:space="preserve">  Ordering Paragraph No. 3; I.D. at 24.</w:t>
      </w:r>
    </w:p>
    <w:p w:rsidR="003133D0" w:rsidRDefault="003133D0" w:rsidP="008E1FC0">
      <w:pPr>
        <w:spacing w:line="360" w:lineRule="auto"/>
        <w:ind w:firstLine="1440"/>
        <w:rPr>
          <w:sz w:val="26"/>
          <w:szCs w:val="26"/>
        </w:rPr>
      </w:pPr>
    </w:p>
    <w:p w:rsidR="0052586A" w:rsidRDefault="0052586A" w:rsidP="008E1FC0">
      <w:pPr>
        <w:spacing w:line="360" w:lineRule="auto"/>
        <w:ind w:firstLine="1440"/>
        <w:rPr>
          <w:sz w:val="26"/>
          <w:szCs w:val="26"/>
        </w:rPr>
      </w:pPr>
      <w:r>
        <w:rPr>
          <w:sz w:val="26"/>
          <w:szCs w:val="26"/>
        </w:rPr>
        <w:t xml:space="preserve">Exceptions </w:t>
      </w:r>
      <w:r w:rsidR="00117FF3">
        <w:rPr>
          <w:sz w:val="26"/>
          <w:szCs w:val="26"/>
        </w:rPr>
        <w:t>and Reply Exceptions</w:t>
      </w:r>
      <w:r w:rsidR="007916F5">
        <w:rPr>
          <w:sz w:val="26"/>
          <w:szCs w:val="26"/>
        </w:rPr>
        <w:t xml:space="preserve"> </w:t>
      </w:r>
      <w:r>
        <w:rPr>
          <w:sz w:val="26"/>
          <w:szCs w:val="26"/>
        </w:rPr>
        <w:t>were filed as above noted.</w:t>
      </w:r>
    </w:p>
    <w:p w:rsidR="003552F8" w:rsidRDefault="003552F8" w:rsidP="003552F8">
      <w:pPr>
        <w:widowControl/>
        <w:tabs>
          <w:tab w:val="left" w:pos="2160"/>
        </w:tabs>
        <w:spacing w:line="360" w:lineRule="auto"/>
        <w:rPr>
          <w:sz w:val="26"/>
          <w:szCs w:val="26"/>
        </w:rPr>
      </w:pPr>
    </w:p>
    <w:p w:rsidR="00E152E4" w:rsidRPr="0034252B" w:rsidRDefault="00E152E4" w:rsidP="00516933">
      <w:pPr>
        <w:keepNext/>
        <w:widowControl/>
        <w:tabs>
          <w:tab w:val="left" w:pos="900"/>
        </w:tabs>
        <w:spacing w:line="360" w:lineRule="auto"/>
        <w:jc w:val="center"/>
        <w:rPr>
          <w:sz w:val="26"/>
        </w:rPr>
      </w:pPr>
      <w:r w:rsidRPr="0034252B">
        <w:rPr>
          <w:b/>
          <w:sz w:val="26"/>
        </w:rPr>
        <w:t>Discussion</w:t>
      </w:r>
    </w:p>
    <w:p w:rsidR="00E152E4" w:rsidRDefault="00E152E4" w:rsidP="00516933">
      <w:pPr>
        <w:keepNext/>
        <w:widowControl/>
        <w:tabs>
          <w:tab w:val="left" w:pos="-720"/>
        </w:tabs>
        <w:suppressAutoHyphens/>
        <w:spacing w:line="360" w:lineRule="auto"/>
        <w:rPr>
          <w:sz w:val="26"/>
        </w:rPr>
      </w:pPr>
    </w:p>
    <w:p w:rsidR="00E152E4" w:rsidRDefault="00E152E4" w:rsidP="00516933">
      <w:pPr>
        <w:keepNext/>
        <w:widowControl/>
        <w:tabs>
          <w:tab w:val="left" w:pos="-720"/>
        </w:tabs>
        <w:suppressAutoHyphens/>
        <w:spacing w:line="360" w:lineRule="auto"/>
        <w:ind w:firstLine="1440"/>
        <w:rPr>
          <w:sz w:val="26"/>
        </w:rPr>
      </w:pPr>
      <w:r>
        <w:rPr>
          <w:sz w:val="26"/>
        </w:rPr>
        <w:t xml:space="preserve">Initially, we are reminded that we are not required to consider expressly or at great length each and every contention raised by a party to our proceedings.  </w:t>
      </w:r>
    </w:p>
    <w:p w:rsidR="00E152E4" w:rsidRPr="00AF3DBA" w:rsidRDefault="00E152E4" w:rsidP="00E152E4">
      <w:pPr>
        <w:tabs>
          <w:tab w:val="left" w:pos="-720"/>
        </w:tabs>
        <w:suppressAutoHyphens/>
        <w:spacing w:line="360" w:lineRule="auto"/>
        <w:rPr>
          <w:b/>
          <w:sz w:val="26"/>
        </w:rPr>
      </w:pPr>
      <w:r>
        <w:rPr>
          <w:i/>
          <w:sz w:val="26"/>
        </w:rPr>
        <w:t>University of Pennsylvania v. Pa. PUC</w:t>
      </w:r>
      <w:r>
        <w:rPr>
          <w:sz w:val="26"/>
        </w:rPr>
        <w:t xml:space="preserve">, 485 A.2d 1217 (Pa. Cmwlth. 1984).  Any exception or argument that is not specifically addressed herein shall be deemed to have been duly considered and denied without further discussion.  </w:t>
      </w:r>
    </w:p>
    <w:p w:rsidR="00E152E4" w:rsidRDefault="00E152E4" w:rsidP="00E152E4">
      <w:pPr>
        <w:spacing w:line="360" w:lineRule="auto"/>
        <w:ind w:firstLine="1440"/>
        <w:rPr>
          <w:sz w:val="26"/>
        </w:rPr>
      </w:pPr>
      <w:r>
        <w:rPr>
          <w:sz w:val="26"/>
        </w:rPr>
        <w:lastRenderedPageBreak/>
        <w:t>In h</w:t>
      </w:r>
      <w:r w:rsidR="006D63B1">
        <w:rPr>
          <w:sz w:val="26"/>
        </w:rPr>
        <w:t xml:space="preserve">er Initial Decision, ALJ </w:t>
      </w:r>
      <w:r w:rsidR="00321A17">
        <w:rPr>
          <w:sz w:val="26"/>
        </w:rPr>
        <w:t>Vero</w:t>
      </w:r>
      <w:r w:rsidR="005C1658">
        <w:rPr>
          <w:sz w:val="26"/>
        </w:rPr>
        <w:t xml:space="preserve"> reached</w:t>
      </w:r>
      <w:r w:rsidR="00321A17">
        <w:rPr>
          <w:sz w:val="26"/>
        </w:rPr>
        <w:t xml:space="preserve"> eighteen </w:t>
      </w:r>
      <w:r w:rsidR="00211F4C">
        <w:rPr>
          <w:sz w:val="26"/>
        </w:rPr>
        <w:t>Findings of Fact, I.D. at </w:t>
      </w:r>
      <w:r w:rsidR="00321A17">
        <w:rPr>
          <w:sz w:val="26"/>
        </w:rPr>
        <w:t>10-11</w:t>
      </w:r>
      <w:r w:rsidR="00CE2541">
        <w:rPr>
          <w:sz w:val="26"/>
        </w:rPr>
        <w:t>, and</w:t>
      </w:r>
      <w:r w:rsidR="00321A17">
        <w:rPr>
          <w:sz w:val="26"/>
        </w:rPr>
        <w:t xml:space="preserve"> thirteen </w:t>
      </w:r>
      <w:r>
        <w:rPr>
          <w:sz w:val="26"/>
        </w:rPr>
        <w:t xml:space="preserve">Conclusions of Law, </w:t>
      </w:r>
      <w:r w:rsidR="00287484">
        <w:rPr>
          <w:i/>
          <w:sz w:val="26"/>
        </w:rPr>
        <w:t>i</w:t>
      </w:r>
      <w:r w:rsidRPr="00A10FC6">
        <w:rPr>
          <w:i/>
          <w:sz w:val="26"/>
        </w:rPr>
        <w:t>d.</w:t>
      </w:r>
      <w:r w:rsidR="00211F4C">
        <w:rPr>
          <w:sz w:val="26"/>
        </w:rPr>
        <w:t xml:space="preserve"> at </w:t>
      </w:r>
      <w:r w:rsidR="00321A17">
        <w:rPr>
          <w:sz w:val="26"/>
        </w:rPr>
        <w:t>2</w:t>
      </w:r>
      <w:r w:rsidR="00CE2541">
        <w:rPr>
          <w:sz w:val="26"/>
        </w:rPr>
        <w:t>1-</w:t>
      </w:r>
      <w:r w:rsidR="00211F4C">
        <w:rPr>
          <w:sz w:val="26"/>
        </w:rPr>
        <w:t>2</w:t>
      </w:r>
      <w:r w:rsidR="00321A17">
        <w:rPr>
          <w:sz w:val="26"/>
        </w:rPr>
        <w:t>3</w:t>
      </w:r>
      <w:r>
        <w:rPr>
          <w:sz w:val="26"/>
        </w:rPr>
        <w:t>.  We shall adopt and incorporate herein by reference the ALJ’s Findings of Fact and Conclusions of Law unless they are either expressly or by necessary implication overruled or modified by this Opinion and Order.</w:t>
      </w:r>
    </w:p>
    <w:p w:rsidR="00E152E4" w:rsidRDefault="00E152E4" w:rsidP="00E152E4">
      <w:pPr>
        <w:tabs>
          <w:tab w:val="left" w:pos="-720"/>
        </w:tabs>
        <w:suppressAutoHyphens/>
        <w:spacing w:line="360" w:lineRule="auto"/>
        <w:rPr>
          <w:b/>
          <w:sz w:val="26"/>
        </w:rPr>
      </w:pPr>
    </w:p>
    <w:p w:rsidR="00E152E4" w:rsidRDefault="00E152E4" w:rsidP="002162F3">
      <w:pPr>
        <w:tabs>
          <w:tab w:val="left" w:pos="-720"/>
        </w:tabs>
        <w:suppressAutoHyphens/>
        <w:spacing w:line="360" w:lineRule="auto"/>
        <w:rPr>
          <w:b/>
          <w:sz w:val="26"/>
        </w:rPr>
      </w:pPr>
      <w:r>
        <w:rPr>
          <w:b/>
          <w:sz w:val="26"/>
        </w:rPr>
        <w:t>Legal Standards</w:t>
      </w:r>
    </w:p>
    <w:p w:rsidR="00E152E4" w:rsidRDefault="00E152E4" w:rsidP="003552F8">
      <w:pPr>
        <w:widowControl/>
        <w:tabs>
          <w:tab w:val="left" w:pos="2160"/>
        </w:tabs>
        <w:spacing w:line="360" w:lineRule="auto"/>
        <w:rPr>
          <w:sz w:val="26"/>
          <w:szCs w:val="26"/>
        </w:rPr>
      </w:pPr>
    </w:p>
    <w:p w:rsidR="0043592C" w:rsidRPr="00D57E8E" w:rsidRDefault="0043592C" w:rsidP="00C17D8C">
      <w:pPr>
        <w:widowControl/>
        <w:spacing w:line="360" w:lineRule="auto"/>
        <w:ind w:firstLine="1440"/>
        <w:rPr>
          <w:sz w:val="26"/>
          <w:szCs w:val="26"/>
        </w:rPr>
      </w:pPr>
      <w:r w:rsidRPr="00D57E8E">
        <w:rPr>
          <w:sz w:val="26"/>
          <w:szCs w:val="26"/>
        </w:rPr>
        <w:t xml:space="preserve">As the proponent of a rule or order, the Complainant in this proceeding bears the burden of proof pursuant to Section 332(a) of the </w:t>
      </w:r>
      <w:r w:rsidR="00421CDB">
        <w:rPr>
          <w:sz w:val="26"/>
          <w:szCs w:val="26"/>
        </w:rPr>
        <w:t>Code</w:t>
      </w:r>
      <w:r w:rsidRPr="00D57E8E">
        <w:rPr>
          <w:sz w:val="26"/>
          <w:szCs w:val="26"/>
        </w:rPr>
        <w:t xml:space="preserve">.  66 Pa. C.S. § 332(a).  To establish a sufficient case and satisfy the burden of proof, the Complainant must show that the </w:t>
      </w:r>
      <w:r w:rsidR="00427D23">
        <w:rPr>
          <w:sz w:val="26"/>
          <w:szCs w:val="26"/>
        </w:rPr>
        <w:t>Company</w:t>
      </w:r>
      <w:r w:rsidRPr="00D57E8E">
        <w:rPr>
          <w:sz w:val="26"/>
          <w:szCs w:val="26"/>
        </w:rPr>
        <w:t xml:space="preserve"> is responsible or accountable for the problem described in the Complaint.  </w:t>
      </w:r>
      <w:r w:rsidRPr="00D57E8E">
        <w:rPr>
          <w:i/>
          <w:sz w:val="26"/>
          <w:szCs w:val="26"/>
        </w:rPr>
        <w:t xml:space="preserve">Patterson v. </w:t>
      </w:r>
      <w:r w:rsidR="00D55191" w:rsidRPr="00D57E8E">
        <w:rPr>
          <w:i/>
          <w:sz w:val="26"/>
          <w:szCs w:val="26"/>
        </w:rPr>
        <w:t xml:space="preserve">The </w:t>
      </w:r>
      <w:r w:rsidRPr="00D57E8E">
        <w:rPr>
          <w:i/>
          <w:sz w:val="26"/>
          <w:szCs w:val="26"/>
        </w:rPr>
        <w:t>Bell Telephone Company of Pennsylvania</w:t>
      </w:r>
      <w:r w:rsidRPr="00D57E8E">
        <w:rPr>
          <w:sz w:val="26"/>
          <w:szCs w:val="26"/>
        </w:rPr>
        <w:t xml:space="preserve">, 72 Pa. P.U.C. 196 (1990).  Such a showing must be by a preponderance of the evidence.  </w:t>
      </w:r>
      <w:r w:rsidRPr="00D57E8E">
        <w:rPr>
          <w:i/>
          <w:iCs/>
          <w:sz w:val="26"/>
          <w:szCs w:val="26"/>
        </w:rPr>
        <w:t>Samuel J. Lansberry, Inc. v. Pa. PUC</w:t>
      </w:r>
      <w:r w:rsidRPr="00D57E8E">
        <w:rPr>
          <w:sz w:val="26"/>
          <w:szCs w:val="26"/>
        </w:rPr>
        <w:t xml:space="preserve">, 578 A.2d 600 (Pa. Cmwlth. 1990), </w:t>
      </w:r>
      <w:r w:rsidRPr="00D57E8E">
        <w:rPr>
          <w:i/>
          <w:sz w:val="26"/>
          <w:szCs w:val="26"/>
        </w:rPr>
        <w:t>alloc. denied,</w:t>
      </w:r>
      <w:r w:rsidRPr="00D57E8E">
        <w:rPr>
          <w:sz w:val="26"/>
          <w:szCs w:val="26"/>
        </w:rPr>
        <w:t xml:space="preserve"> 529 Pa. 654, 602 A.2d 863 (1992).  That is, the Complainant’s evidence must be more convincing, by even the smallest amount, th</w:t>
      </w:r>
      <w:r w:rsidR="00D55191" w:rsidRPr="00D57E8E">
        <w:rPr>
          <w:sz w:val="26"/>
          <w:szCs w:val="26"/>
        </w:rPr>
        <w:t xml:space="preserve">an that presented by the </w:t>
      </w:r>
      <w:r w:rsidR="00427D23">
        <w:rPr>
          <w:sz w:val="26"/>
          <w:szCs w:val="26"/>
        </w:rPr>
        <w:t>Company</w:t>
      </w:r>
      <w:r w:rsidRPr="00D57E8E">
        <w:rPr>
          <w:sz w:val="26"/>
          <w:szCs w:val="26"/>
        </w:rPr>
        <w:t>.</w:t>
      </w:r>
      <w:r w:rsidR="00427D23">
        <w:rPr>
          <w:sz w:val="26"/>
          <w:szCs w:val="26"/>
        </w:rPr>
        <w:t xml:space="preserve">  </w:t>
      </w:r>
      <w:r w:rsidRPr="00D57E8E">
        <w:rPr>
          <w:i/>
          <w:sz w:val="26"/>
          <w:szCs w:val="26"/>
        </w:rPr>
        <w:t>Se-Ling Hosiery</w:t>
      </w:r>
      <w:r w:rsidR="00D55191" w:rsidRPr="00D57E8E">
        <w:rPr>
          <w:i/>
          <w:sz w:val="26"/>
          <w:szCs w:val="26"/>
        </w:rPr>
        <w:t>, Inc.</w:t>
      </w:r>
      <w:r w:rsidRPr="00D57E8E">
        <w:rPr>
          <w:i/>
          <w:sz w:val="26"/>
          <w:szCs w:val="26"/>
        </w:rPr>
        <w:t xml:space="preserve"> v. Margulies</w:t>
      </w:r>
      <w:r w:rsidRPr="00D57E8E">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57E8E">
        <w:rPr>
          <w:i/>
          <w:sz w:val="26"/>
          <w:szCs w:val="26"/>
        </w:rPr>
        <w:t xml:space="preserve">Norfolk &amp; Western Ry. Co. v. Pa. PUC, </w:t>
      </w:r>
      <w:r w:rsidRPr="00D57E8E">
        <w:rPr>
          <w:sz w:val="26"/>
          <w:szCs w:val="26"/>
        </w:rPr>
        <w:t>489 Pa. 109, 413 A.2d 1037 (1980).</w:t>
      </w:r>
    </w:p>
    <w:p w:rsidR="00CA43A5" w:rsidRPr="00D57E8E" w:rsidRDefault="00CA43A5" w:rsidP="00C17D8C">
      <w:pPr>
        <w:widowControl/>
        <w:spacing w:line="360" w:lineRule="auto"/>
        <w:rPr>
          <w:sz w:val="26"/>
          <w:szCs w:val="26"/>
        </w:rPr>
      </w:pPr>
    </w:p>
    <w:p w:rsidR="00195F2E" w:rsidRPr="00D57E8E" w:rsidRDefault="00670BFD" w:rsidP="00C17D8C">
      <w:pPr>
        <w:widowControl/>
        <w:spacing w:line="360" w:lineRule="auto"/>
        <w:ind w:firstLine="1440"/>
        <w:rPr>
          <w:i/>
          <w:sz w:val="26"/>
          <w:szCs w:val="26"/>
        </w:rPr>
      </w:pPr>
      <w:r w:rsidRPr="00D57E8E">
        <w:rPr>
          <w:sz w:val="26"/>
          <w:szCs w:val="26"/>
        </w:rPr>
        <w:t>Upon the presentation by a complainant of evidence sufficient to initially satisfy the burden of proof, the burden of going forward with the evidence, to rebut the evidence of the c</w:t>
      </w:r>
      <w:r w:rsidR="00427D23">
        <w:rPr>
          <w:sz w:val="26"/>
          <w:szCs w:val="26"/>
        </w:rPr>
        <w:t>ustomer shifts to the company</w:t>
      </w:r>
      <w:r w:rsidRPr="00D57E8E">
        <w:rPr>
          <w:sz w:val="26"/>
          <w:szCs w:val="26"/>
        </w:rPr>
        <w:t xml:space="preserve">. </w:t>
      </w:r>
      <w:r w:rsidR="006036E2">
        <w:rPr>
          <w:sz w:val="26"/>
          <w:szCs w:val="26"/>
        </w:rPr>
        <w:t xml:space="preserve"> </w:t>
      </w:r>
      <w:r w:rsidRPr="00D57E8E">
        <w:rPr>
          <w:sz w:val="26"/>
          <w:szCs w:val="26"/>
        </w:rPr>
        <w:t>If the evid</w:t>
      </w:r>
      <w:r w:rsidR="00427D23">
        <w:rPr>
          <w:sz w:val="26"/>
          <w:szCs w:val="26"/>
        </w:rPr>
        <w:t>ence presented by the company</w:t>
      </w:r>
      <w:r w:rsidRPr="00D57E8E">
        <w:rPr>
          <w:sz w:val="26"/>
          <w:szCs w:val="26"/>
        </w:rPr>
        <w:t xml:space="preserve"> is of co-equal value or “weight,” the burden o</w:t>
      </w:r>
      <w:r w:rsidR="00427D23">
        <w:rPr>
          <w:sz w:val="26"/>
          <w:szCs w:val="26"/>
        </w:rPr>
        <w:t xml:space="preserve">f proof has not been satisfied.  </w:t>
      </w:r>
      <w:r w:rsidRPr="00D57E8E">
        <w:rPr>
          <w:sz w:val="26"/>
          <w:szCs w:val="26"/>
        </w:rPr>
        <w:t>The complainant now has to provide some additional evidence to rebut that of</w:t>
      </w:r>
      <w:r w:rsidR="00427D23">
        <w:rPr>
          <w:sz w:val="26"/>
          <w:szCs w:val="26"/>
        </w:rPr>
        <w:t xml:space="preserve"> the </w:t>
      </w:r>
      <w:r w:rsidR="00427D23">
        <w:rPr>
          <w:sz w:val="26"/>
          <w:szCs w:val="26"/>
        </w:rPr>
        <w:lastRenderedPageBreak/>
        <w:t>company</w:t>
      </w:r>
      <w:r w:rsidRPr="00D57E8E">
        <w:rPr>
          <w:sz w:val="26"/>
          <w:szCs w:val="26"/>
        </w:rPr>
        <w:t xml:space="preserve">. </w:t>
      </w:r>
      <w:r w:rsidRPr="00D57E8E">
        <w:rPr>
          <w:iCs/>
          <w:sz w:val="26"/>
          <w:szCs w:val="26"/>
        </w:rPr>
        <w:t xml:space="preserve"> </w:t>
      </w:r>
      <w:hyperlink r:id="rId9" w:history="1">
        <w:r w:rsidR="00195F2E" w:rsidRPr="00D57E8E">
          <w:rPr>
            <w:rStyle w:val="Hyperlink"/>
            <w:i/>
            <w:iCs/>
            <w:color w:val="auto"/>
            <w:sz w:val="26"/>
            <w:szCs w:val="26"/>
            <w:u w:val="none"/>
          </w:rPr>
          <w:t>Burleson v. Pa. PUC,</w:t>
        </w:r>
        <w:r w:rsidR="00195F2E" w:rsidRPr="00D57E8E">
          <w:rPr>
            <w:rStyle w:val="Hyperlink"/>
            <w:iCs/>
            <w:color w:val="auto"/>
            <w:sz w:val="26"/>
            <w:szCs w:val="26"/>
            <w:u w:val="none"/>
          </w:rPr>
          <w:t xml:space="preserve"> 443 A.2d 1373 (Pa. Cmwlth. 1982), </w:t>
        </w:r>
        <w:r w:rsidR="00195F2E" w:rsidRPr="00D57E8E">
          <w:rPr>
            <w:rStyle w:val="Hyperlink"/>
            <w:i/>
            <w:iCs/>
            <w:color w:val="auto"/>
            <w:sz w:val="26"/>
            <w:szCs w:val="26"/>
            <w:u w:val="none"/>
          </w:rPr>
          <w:t>aff’d,</w:t>
        </w:r>
        <w:r w:rsidR="00195F2E" w:rsidRPr="00D57E8E">
          <w:rPr>
            <w:rStyle w:val="Hyperlink"/>
            <w:iCs/>
            <w:color w:val="auto"/>
            <w:sz w:val="26"/>
            <w:szCs w:val="26"/>
            <w:u w:val="none"/>
          </w:rPr>
          <w:t xml:space="preserve"> 501 Pa. 433, 461 A.2d 1234 (1983).</w:t>
        </w:r>
      </w:hyperlink>
    </w:p>
    <w:p w:rsidR="00670BFD" w:rsidRPr="00D57E8E" w:rsidRDefault="00670BFD" w:rsidP="00C17D8C">
      <w:pPr>
        <w:widowControl/>
        <w:spacing w:line="360" w:lineRule="auto"/>
        <w:ind w:firstLine="1440"/>
        <w:rPr>
          <w:sz w:val="26"/>
          <w:szCs w:val="26"/>
        </w:rPr>
      </w:pPr>
    </w:p>
    <w:p w:rsidR="00006F35" w:rsidRDefault="00670BFD" w:rsidP="005E3F0B">
      <w:pPr>
        <w:widowControl/>
        <w:spacing w:line="360" w:lineRule="auto"/>
        <w:ind w:firstLine="1440"/>
        <w:rPr>
          <w:sz w:val="26"/>
          <w:szCs w:val="26"/>
        </w:rPr>
      </w:pPr>
      <w:r w:rsidRPr="00D57E8E">
        <w:rPr>
          <w:sz w:val="26"/>
          <w:szCs w:val="26"/>
        </w:rPr>
        <w:t xml:space="preserve">While the burden of </w:t>
      </w:r>
      <w:r w:rsidR="00421CDB">
        <w:rPr>
          <w:sz w:val="26"/>
          <w:szCs w:val="26"/>
        </w:rPr>
        <w:t>going forward with the evidence</w:t>
      </w:r>
      <w:r w:rsidRPr="00D57E8E">
        <w:rPr>
          <w:sz w:val="26"/>
          <w:szCs w:val="26"/>
        </w:rPr>
        <w:t xml:space="preserve"> may </w:t>
      </w:r>
      <w:r w:rsidRPr="00D57E8E">
        <w:rPr>
          <w:rStyle w:val="term1"/>
          <w:b w:val="0"/>
          <w:bCs w:val="0"/>
          <w:sz w:val="26"/>
          <w:szCs w:val="26"/>
        </w:rPr>
        <w:t>shift</w:t>
      </w:r>
      <w:r w:rsidRPr="00D57E8E">
        <w:rPr>
          <w:sz w:val="26"/>
          <w:szCs w:val="26"/>
        </w:rPr>
        <w:t xml:space="preserve"> back and forth during a proceeding, the </w:t>
      </w:r>
      <w:r w:rsidRPr="00D57E8E">
        <w:rPr>
          <w:rStyle w:val="term1"/>
          <w:b w:val="0"/>
          <w:bCs w:val="0"/>
          <w:sz w:val="26"/>
          <w:szCs w:val="26"/>
        </w:rPr>
        <w:t>burden of proof</w:t>
      </w:r>
      <w:r w:rsidRPr="00D57E8E">
        <w:rPr>
          <w:sz w:val="26"/>
          <w:szCs w:val="26"/>
        </w:rPr>
        <w:t xml:space="preserve"> never </w:t>
      </w:r>
      <w:r w:rsidRPr="00D57E8E">
        <w:rPr>
          <w:rStyle w:val="term1"/>
          <w:b w:val="0"/>
          <w:bCs w:val="0"/>
          <w:sz w:val="26"/>
          <w:szCs w:val="26"/>
        </w:rPr>
        <w:t>shifts. The burden of proof</w:t>
      </w:r>
      <w:r w:rsidRPr="00D57E8E">
        <w:rPr>
          <w:sz w:val="26"/>
          <w:szCs w:val="26"/>
        </w:rPr>
        <w:t xml:space="preserve"> always remains on the party seeking affirmative relief from the Commission.</w:t>
      </w:r>
      <w:r w:rsidR="00885263" w:rsidRPr="00D57E8E">
        <w:rPr>
          <w:sz w:val="26"/>
          <w:szCs w:val="26"/>
        </w:rPr>
        <w:t xml:space="preserve"> </w:t>
      </w:r>
      <w:r w:rsidRPr="00D57E8E">
        <w:rPr>
          <w:sz w:val="26"/>
          <w:szCs w:val="26"/>
        </w:rPr>
        <w:t xml:space="preserve"> </w:t>
      </w:r>
      <w:r w:rsidR="00154CB6" w:rsidRPr="00D57E8E">
        <w:rPr>
          <w:i/>
          <w:sz w:val="26"/>
          <w:szCs w:val="26"/>
        </w:rPr>
        <w:t xml:space="preserve">Milkie v. Pa. PUC, </w:t>
      </w:r>
      <w:r w:rsidR="00154CB6" w:rsidRPr="00D57E8E">
        <w:rPr>
          <w:sz w:val="26"/>
          <w:szCs w:val="26"/>
        </w:rPr>
        <w:t>768 A.2d 1217 (Pa. Cmwlth. 2001).</w:t>
      </w:r>
    </w:p>
    <w:p w:rsidR="003C112D" w:rsidRDefault="003C112D" w:rsidP="00524819">
      <w:pPr>
        <w:widowControl/>
        <w:spacing w:line="360" w:lineRule="auto"/>
        <w:rPr>
          <w:sz w:val="26"/>
          <w:szCs w:val="26"/>
        </w:rPr>
      </w:pPr>
    </w:p>
    <w:p w:rsidR="005C593B" w:rsidRPr="005C593B" w:rsidRDefault="00276BDD" w:rsidP="005C593B">
      <w:pPr>
        <w:widowControl/>
        <w:spacing w:line="360" w:lineRule="auto"/>
        <w:rPr>
          <w:sz w:val="26"/>
          <w:szCs w:val="26"/>
        </w:rPr>
      </w:pPr>
      <w:r>
        <w:rPr>
          <w:sz w:val="26"/>
          <w:szCs w:val="26"/>
        </w:rPr>
        <w:tab/>
      </w:r>
      <w:r>
        <w:rPr>
          <w:sz w:val="26"/>
          <w:szCs w:val="26"/>
        </w:rPr>
        <w:tab/>
      </w:r>
      <w:r w:rsidR="00536C2A">
        <w:rPr>
          <w:sz w:val="26"/>
          <w:szCs w:val="26"/>
        </w:rPr>
        <w:t>A</w:t>
      </w:r>
      <w:r w:rsidR="005C593B" w:rsidRPr="005C593B">
        <w:rPr>
          <w:sz w:val="26"/>
          <w:szCs w:val="26"/>
        </w:rPr>
        <w:t xml:space="preserve">dministrative agencies, like the Commission, are required to provide due process to the parties appearing before them.  This requirement is satisfied when the parties are afforded notice and the opportunity to appear and be heard.  </w:t>
      </w:r>
      <w:r w:rsidR="005C593B" w:rsidRPr="005C593B">
        <w:rPr>
          <w:i/>
          <w:sz w:val="26"/>
          <w:szCs w:val="26"/>
        </w:rPr>
        <w:t>Schneider v. Pa. P</w:t>
      </w:r>
      <w:r w:rsidR="00C52C73">
        <w:rPr>
          <w:i/>
          <w:sz w:val="26"/>
          <w:szCs w:val="26"/>
        </w:rPr>
        <w:t>UC</w:t>
      </w:r>
      <w:r w:rsidR="005C593B" w:rsidRPr="005C593B">
        <w:rPr>
          <w:sz w:val="26"/>
          <w:szCs w:val="26"/>
        </w:rPr>
        <w:t xml:space="preserve">, 479 A.2d 10 (Pa. Cmwlth. 1984).  Once notice of a hearing and the opportunity to be heard has been provided, it is the responsibility of the parties to appear and participate in the hearing.  </w:t>
      </w:r>
      <w:r w:rsidR="005C593B" w:rsidRPr="005C593B">
        <w:rPr>
          <w:i/>
          <w:sz w:val="26"/>
          <w:szCs w:val="26"/>
        </w:rPr>
        <w:t>Craig Sentner v. Bell Telephone Co. of Pennsylvania</w:t>
      </w:r>
      <w:r w:rsidR="00DC4036">
        <w:rPr>
          <w:sz w:val="26"/>
          <w:szCs w:val="26"/>
        </w:rPr>
        <w:t>, Docket No. F</w:t>
      </w:r>
      <w:r w:rsidR="00DC4036">
        <w:rPr>
          <w:sz w:val="26"/>
          <w:szCs w:val="26"/>
        </w:rPr>
        <w:noBreakHyphen/>
      </w:r>
      <w:r w:rsidR="00C52C73">
        <w:rPr>
          <w:sz w:val="26"/>
          <w:szCs w:val="26"/>
        </w:rPr>
        <w:t>00161106 (</w:t>
      </w:r>
      <w:r w:rsidR="005C593B" w:rsidRPr="005C593B">
        <w:rPr>
          <w:sz w:val="26"/>
          <w:szCs w:val="26"/>
        </w:rPr>
        <w:t>Order entered October 25, 1993</w:t>
      </w:r>
      <w:r w:rsidR="00C52C73">
        <w:rPr>
          <w:sz w:val="26"/>
          <w:szCs w:val="26"/>
        </w:rPr>
        <w:t>)</w:t>
      </w:r>
      <w:r w:rsidR="005C593B" w:rsidRPr="005C593B">
        <w:rPr>
          <w:sz w:val="26"/>
          <w:szCs w:val="26"/>
        </w:rPr>
        <w:t xml:space="preserve">. </w:t>
      </w:r>
    </w:p>
    <w:p w:rsidR="00276BDD" w:rsidRDefault="00276BDD" w:rsidP="00524819">
      <w:pPr>
        <w:widowControl/>
        <w:spacing w:line="360" w:lineRule="auto"/>
        <w:rPr>
          <w:sz w:val="26"/>
          <w:szCs w:val="26"/>
        </w:rPr>
      </w:pPr>
    </w:p>
    <w:p w:rsidR="00634E65" w:rsidRPr="00634E65" w:rsidRDefault="00634E65" w:rsidP="00634E65">
      <w:pPr>
        <w:pStyle w:val="Heading4"/>
        <w:spacing w:before="0" w:line="360" w:lineRule="auto"/>
        <w:ind w:firstLine="1440"/>
        <w:rPr>
          <w:rFonts w:eastAsia="Calibri"/>
          <w:b w:val="0"/>
          <w:sz w:val="26"/>
          <w:szCs w:val="26"/>
        </w:rPr>
      </w:pPr>
      <w:r>
        <w:rPr>
          <w:rFonts w:eastAsia="Calibri"/>
          <w:b w:val="0"/>
          <w:sz w:val="26"/>
          <w:szCs w:val="26"/>
        </w:rPr>
        <w:t xml:space="preserve">Finally, Section 5.245(a) and (c) of our Regulations, </w:t>
      </w:r>
      <w:r w:rsidRPr="00634E65">
        <w:rPr>
          <w:rFonts w:eastAsia="Calibri"/>
          <w:b w:val="0"/>
          <w:sz w:val="26"/>
          <w:szCs w:val="26"/>
        </w:rPr>
        <w:t>52 Pa.</w:t>
      </w:r>
      <w:r>
        <w:rPr>
          <w:rFonts w:eastAsia="Calibri"/>
          <w:b w:val="0"/>
          <w:sz w:val="26"/>
          <w:szCs w:val="26"/>
        </w:rPr>
        <w:t xml:space="preserve"> </w:t>
      </w:r>
      <w:r w:rsidRPr="00634E65">
        <w:rPr>
          <w:rFonts w:eastAsia="Calibri"/>
          <w:b w:val="0"/>
          <w:sz w:val="26"/>
          <w:szCs w:val="26"/>
        </w:rPr>
        <w:t>Code §</w:t>
      </w:r>
      <w:bookmarkStart w:id="2" w:name="5.245."/>
      <w:r w:rsidRPr="00634E65">
        <w:rPr>
          <w:rFonts w:eastAsia="Calibri"/>
          <w:b w:val="0"/>
          <w:sz w:val="26"/>
          <w:szCs w:val="26"/>
        </w:rPr>
        <w:t xml:space="preserve"> 5.245 (a) and (c)</w:t>
      </w:r>
      <w:r>
        <w:rPr>
          <w:rFonts w:eastAsia="Calibri"/>
          <w:b w:val="0"/>
          <w:sz w:val="26"/>
          <w:szCs w:val="26"/>
        </w:rPr>
        <w:t>,</w:t>
      </w:r>
      <w:r w:rsidRPr="00634E65">
        <w:rPr>
          <w:rFonts w:eastAsia="Calibri"/>
          <w:b w:val="0"/>
          <w:sz w:val="26"/>
          <w:szCs w:val="26"/>
        </w:rPr>
        <w:t xml:space="preserve"> provide as follows:</w:t>
      </w:r>
    </w:p>
    <w:p w:rsidR="00634E65" w:rsidRPr="00634E65" w:rsidRDefault="00634E65" w:rsidP="00634E65">
      <w:pPr>
        <w:rPr>
          <w:sz w:val="26"/>
          <w:szCs w:val="26"/>
        </w:rPr>
      </w:pPr>
    </w:p>
    <w:p w:rsidR="00634E65" w:rsidRPr="00634E65" w:rsidRDefault="00634E65" w:rsidP="00634E65">
      <w:pPr>
        <w:pStyle w:val="Heading4"/>
        <w:spacing w:before="0"/>
        <w:ind w:left="1354" w:right="1440"/>
        <w:rPr>
          <w:b w:val="0"/>
          <w:iCs/>
          <w:sz w:val="26"/>
          <w:szCs w:val="26"/>
        </w:rPr>
      </w:pPr>
      <w:r w:rsidRPr="00634E65">
        <w:rPr>
          <w:b w:val="0"/>
          <w:iCs/>
          <w:sz w:val="26"/>
          <w:szCs w:val="26"/>
        </w:rPr>
        <w:t>§ 5.245. Failure to appear, proceed or maintain order in proceedings.</w:t>
      </w:r>
    </w:p>
    <w:p w:rsidR="00634E65" w:rsidRPr="00634E65" w:rsidRDefault="00634E65" w:rsidP="00634E65">
      <w:pPr>
        <w:rPr>
          <w:sz w:val="26"/>
          <w:szCs w:val="26"/>
        </w:rPr>
      </w:pPr>
    </w:p>
    <w:p w:rsidR="00634E65" w:rsidRPr="00634E65" w:rsidRDefault="00634E65" w:rsidP="00634E65">
      <w:pPr>
        <w:pStyle w:val="ListParagraph"/>
        <w:numPr>
          <w:ilvl w:val="0"/>
          <w:numId w:val="5"/>
        </w:numPr>
        <w:ind w:right="1440"/>
        <w:rPr>
          <w:sz w:val="26"/>
          <w:szCs w:val="26"/>
        </w:rPr>
      </w:pPr>
      <w:r w:rsidRPr="00634E65">
        <w:rPr>
          <w:sz w:val="26"/>
          <w:szCs w:val="26"/>
        </w:rPr>
        <w:t>After being notified, a party who fails to be represented at a scheduled conference or hearing in a proceeding will:</w:t>
      </w:r>
    </w:p>
    <w:p w:rsidR="00634E65" w:rsidRPr="00634E65" w:rsidRDefault="00634E65" w:rsidP="00634E65">
      <w:pPr>
        <w:pStyle w:val="ListParagraph"/>
        <w:ind w:left="1834" w:right="1440"/>
        <w:rPr>
          <w:sz w:val="26"/>
          <w:szCs w:val="26"/>
        </w:rPr>
      </w:pPr>
      <w:r w:rsidRPr="00634E65">
        <w:rPr>
          <w:sz w:val="26"/>
          <w:szCs w:val="26"/>
        </w:rPr>
        <w:t xml:space="preserve"> </w:t>
      </w:r>
    </w:p>
    <w:p w:rsidR="00634E65" w:rsidRPr="00634E65" w:rsidRDefault="00634E65" w:rsidP="00634E65">
      <w:pPr>
        <w:pStyle w:val="ListParagraph"/>
        <w:numPr>
          <w:ilvl w:val="0"/>
          <w:numId w:val="6"/>
        </w:numPr>
        <w:ind w:right="1440"/>
        <w:rPr>
          <w:sz w:val="26"/>
          <w:szCs w:val="26"/>
        </w:rPr>
      </w:pPr>
      <w:r w:rsidRPr="00634E65">
        <w:rPr>
          <w:sz w:val="26"/>
          <w:szCs w:val="26"/>
        </w:rPr>
        <w:t>Be deemed to have waived the opportunity to participate in the conference or hearing.</w:t>
      </w:r>
    </w:p>
    <w:p w:rsidR="00634E65" w:rsidRPr="00634E65" w:rsidRDefault="00634E65" w:rsidP="00634E65">
      <w:pPr>
        <w:pStyle w:val="ListParagraph"/>
        <w:ind w:left="1984" w:right="1440"/>
        <w:rPr>
          <w:sz w:val="26"/>
          <w:szCs w:val="26"/>
        </w:rPr>
      </w:pPr>
      <w:r w:rsidRPr="00634E65">
        <w:rPr>
          <w:sz w:val="26"/>
          <w:szCs w:val="26"/>
        </w:rPr>
        <w:t xml:space="preserve"> </w:t>
      </w:r>
    </w:p>
    <w:p w:rsidR="00634E65" w:rsidRPr="00634E65" w:rsidRDefault="00634E65" w:rsidP="00634E65">
      <w:pPr>
        <w:pStyle w:val="ListParagraph"/>
        <w:numPr>
          <w:ilvl w:val="0"/>
          <w:numId w:val="6"/>
        </w:numPr>
        <w:ind w:right="1440"/>
        <w:rPr>
          <w:sz w:val="26"/>
          <w:szCs w:val="26"/>
        </w:rPr>
      </w:pPr>
      <w:r w:rsidRPr="00634E65">
        <w:rPr>
          <w:sz w:val="26"/>
          <w:szCs w:val="26"/>
        </w:rPr>
        <w:t>Not be permitted thereafter to reopen the disposition of a matter accomplished at the conference or hearing.</w:t>
      </w:r>
    </w:p>
    <w:p w:rsidR="00634E65" w:rsidRPr="00634E65" w:rsidRDefault="00634E65" w:rsidP="00634E65">
      <w:pPr>
        <w:pStyle w:val="ListParagraph"/>
        <w:rPr>
          <w:sz w:val="26"/>
          <w:szCs w:val="26"/>
        </w:rPr>
      </w:pPr>
    </w:p>
    <w:p w:rsidR="00634E65" w:rsidRPr="00634E65" w:rsidRDefault="00634E65" w:rsidP="00634E65">
      <w:pPr>
        <w:pStyle w:val="ListParagraph"/>
        <w:numPr>
          <w:ilvl w:val="0"/>
          <w:numId w:val="6"/>
        </w:numPr>
        <w:ind w:right="1440"/>
        <w:rPr>
          <w:sz w:val="26"/>
          <w:szCs w:val="26"/>
        </w:rPr>
      </w:pPr>
      <w:r w:rsidRPr="00634E65">
        <w:rPr>
          <w:sz w:val="26"/>
          <w:szCs w:val="26"/>
        </w:rPr>
        <w:t>Not be permitted to recall wi</w:t>
      </w:r>
      <w:r w:rsidR="00EC60D6">
        <w:rPr>
          <w:sz w:val="26"/>
          <w:szCs w:val="26"/>
        </w:rPr>
        <w:t xml:space="preserve">tnesses who were excused </w:t>
      </w:r>
      <w:r w:rsidRPr="00634E65">
        <w:rPr>
          <w:sz w:val="26"/>
          <w:szCs w:val="26"/>
        </w:rPr>
        <w:t xml:space="preserve">for further examination. </w:t>
      </w:r>
    </w:p>
    <w:p w:rsidR="00634E65" w:rsidRDefault="00634E65" w:rsidP="00634E65">
      <w:pPr>
        <w:pStyle w:val="ListParagraph"/>
        <w:ind w:left="3510" w:right="1440" w:firstLine="90"/>
        <w:rPr>
          <w:sz w:val="26"/>
          <w:szCs w:val="26"/>
        </w:rPr>
      </w:pPr>
      <w:r w:rsidRPr="00634E65">
        <w:rPr>
          <w:sz w:val="26"/>
          <w:szCs w:val="26"/>
        </w:rPr>
        <w:lastRenderedPageBreak/>
        <w:t>*</w:t>
      </w:r>
      <w:r w:rsidRPr="00634E65">
        <w:rPr>
          <w:sz w:val="26"/>
          <w:szCs w:val="26"/>
        </w:rPr>
        <w:tab/>
        <w:t>*</w:t>
      </w:r>
      <w:r w:rsidRPr="00634E65">
        <w:rPr>
          <w:sz w:val="26"/>
          <w:szCs w:val="26"/>
        </w:rPr>
        <w:tab/>
        <w:t xml:space="preserve">* </w:t>
      </w:r>
    </w:p>
    <w:p w:rsidR="00634E65" w:rsidRPr="00634E65" w:rsidRDefault="00634E65" w:rsidP="00634E65">
      <w:pPr>
        <w:pStyle w:val="ListParagraph"/>
        <w:ind w:left="3510" w:right="1440" w:firstLine="90"/>
        <w:rPr>
          <w:sz w:val="26"/>
          <w:szCs w:val="26"/>
        </w:rPr>
      </w:pPr>
    </w:p>
    <w:p w:rsidR="00634E65" w:rsidRPr="00634E65" w:rsidRDefault="00634E65" w:rsidP="00634E65">
      <w:pPr>
        <w:ind w:left="1350" w:right="1440"/>
        <w:rPr>
          <w:sz w:val="26"/>
          <w:szCs w:val="26"/>
        </w:rPr>
      </w:pPr>
      <w:r w:rsidRPr="00634E65">
        <w:rPr>
          <w:sz w:val="26"/>
          <w:szCs w:val="26"/>
        </w:rPr>
        <w:t> (c)  If the Commission or the presiding officer finds, after notice and opportunity for hearing, that the actions of a party, including an intervenor, in a proceeding obstruct the orderly conduct of the proceeding and are inimical to the public interest, the Commission or the presiding officer may take appropriate action, including dismissal of the complaint, application, or petition, if the action is that of complainant, applicant, or petitioner.</w:t>
      </w:r>
    </w:p>
    <w:p w:rsidR="00634E65" w:rsidRPr="00634E65" w:rsidRDefault="00634E65" w:rsidP="00634E65">
      <w:pPr>
        <w:ind w:left="1350" w:right="1440"/>
        <w:rPr>
          <w:sz w:val="26"/>
          <w:szCs w:val="26"/>
        </w:rPr>
      </w:pPr>
    </w:p>
    <w:bookmarkEnd w:id="2"/>
    <w:p w:rsidR="00DC4036" w:rsidRDefault="00DC4036" w:rsidP="00524819">
      <w:pPr>
        <w:widowControl/>
        <w:spacing w:line="360" w:lineRule="auto"/>
        <w:rPr>
          <w:sz w:val="26"/>
          <w:szCs w:val="26"/>
        </w:rPr>
      </w:pPr>
    </w:p>
    <w:p w:rsidR="002637CD" w:rsidRPr="008E1FC0" w:rsidRDefault="002637CD" w:rsidP="008E1FC0">
      <w:pPr>
        <w:spacing w:line="360" w:lineRule="auto"/>
        <w:rPr>
          <w:b/>
          <w:sz w:val="26"/>
          <w:szCs w:val="26"/>
        </w:rPr>
      </w:pPr>
      <w:r w:rsidRPr="008E1FC0">
        <w:rPr>
          <w:b/>
          <w:sz w:val="26"/>
          <w:szCs w:val="26"/>
        </w:rPr>
        <w:t>Administrative Law Judge’s Initial Decision</w:t>
      </w:r>
    </w:p>
    <w:p w:rsidR="002637CD" w:rsidRPr="00EC60D6" w:rsidRDefault="002637CD" w:rsidP="00F836C4">
      <w:pPr>
        <w:spacing w:line="360" w:lineRule="auto"/>
        <w:ind w:firstLine="1440"/>
        <w:rPr>
          <w:sz w:val="26"/>
          <w:szCs w:val="26"/>
        </w:rPr>
      </w:pPr>
    </w:p>
    <w:p w:rsidR="006821AC" w:rsidRPr="00EC60D6" w:rsidRDefault="00FD4054" w:rsidP="008E1FC0">
      <w:pPr>
        <w:pStyle w:val="BodyText"/>
        <w:tabs>
          <w:tab w:val="clear" w:pos="1980"/>
          <w:tab w:val="left" w:pos="0"/>
        </w:tabs>
        <w:spacing w:line="360" w:lineRule="auto"/>
        <w:ind w:firstLine="1440"/>
        <w:jc w:val="left"/>
        <w:rPr>
          <w:rFonts w:ascii="Times New Roman" w:hAnsi="Times New Roman"/>
          <w:sz w:val="26"/>
          <w:szCs w:val="26"/>
        </w:rPr>
      </w:pPr>
      <w:r w:rsidRPr="00EC60D6">
        <w:rPr>
          <w:rFonts w:ascii="Times New Roman" w:hAnsi="Times New Roman"/>
          <w:sz w:val="26"/>
          <w:szCs w:val="26"/>
        </w:rPr>
        <w:t xml:space="preserve">The instant Complaint was filed jointly by Sporty Smith and Betty Ricks.  Ms. Ricks is the ratepayer of record with PECO for electric service at the pertinent service address.  I.D. </w:t>
      </w:r>
      <w:r w:rsidR="006C503D" w:rsidRPr="00EC60D6">
        <w:rPr>
          <w:rFonts w:ascii="Times New Roman" w:hAnsi="Times New Roman"/>
          <w:sz w:val="26"/>
          <w:szCs w:val="26"/>
        </w:rPr>
        <w:t>at 12.  However, at the hearing</w:t>
      </w:r>
      <w:r w:rsidR="00B32040" w:rsidRPr="00EC60D6">
        <w:rPr>
          <w:rFonts w:ascii="Times New Roman" w:hAnsi="Times New Roman"/>
          <w:sz w:val="26"/>
          <w:szCs w:val="26"/>
        </w:rPr>
        <w:t>s held herein</w:t>
      </w:r>
      <w:r w:rsidRPr="00EC60D6">
        <w:rPr>
          <w:rFonts w:ascii="Times New Roman" w:hAnsi="Times New Roman"/>
          <w:sz w:val="26"/>
          <w:szCs w:val="26"/>
        </w:rPr>
        <w:t xml:space="preserve">, </w:t>
      </w:r>
      <w:r w:rsidR="006821AC" w:rsidRPr="00EC60D6">
        <w:rPr>
          <w:rFonts w:ascii="Times New Roman" w:hAnsi="Times New Roman"/>
          <w:sz w:val="26"/>
          <w:szCs w:val="26"/>
        </w:rPr>
        <w:t>Ms. Ricks refused to testify or to be cross-examined, and even expressed a desire t</w:t>
      </w:r>
      <w:r w:rsidR="006C503D" w:rsidRPr="00EC60D6">
        <w:rPr>
          <w:rFonts w:ascii="Times New Roman" w:hAnsi="Times New Roman"/>
          <w:sz w:val="26"/>
          <w:szCs w:val="26"/>
        </w:rPr>
        <w:t xml:space="preserve">o withdraw from the Complaint.  </w:t>
      </w:r>
      <w:r w:rsidR="00634E65" w:rsidRPr="00EC60D6">
        <w:rPr>
          <w:rFonts w:ascii="Times New Roman" w:hAnsi="Times New Roman"/>
          <w:sz w:val="26"/>
          <w:szCs w:val="26"/>
        </w:rPr>
        <w:t xml:space="preserve">Tr. at 71, 129, 130.  </w:t>
      </w:r>
      <w:r w:rsidR="006821AC" w:rsidRPr="00EC60D6">
        <w:rPr>
          <w:rFonts w:ascii="Times New Roman" w:hAnsi="Times New Roman"/>
          <w:sz w:val="26"/>
          <w:szCs w:val="26"/>
        </w:rPr>
        <w:t>Mr. Smith testified at the initial hearing, but he refused to divulge the address wh</w:t>
      </w:r>
      <w:r w:rsidR="006C503D" w:rsidRPr="00EC60D6">
        <w:rPr>
          <w:rFonts w:ascii="Times New Roman" w:hAnsi="Times New Roman"/>
          <w:sz w:val="26"/>
          <w:szCs w:val="26"/>
        </w:rPr>
        <w:t>ere he resided.</w:t>
      </w:r>
      <w:r w:rsidR="00634E65" w:rsidRPr="00EC60D6">
        <w:rPr>
          <w:rFonts w:ascii="Times New Roman" w:hAnsi="Times New Roman"/>
          <w:sz w:val="26"/>
          <w:szCs w:val="26"/>
        </w:rPr>
        <w:t xml:space="preserve">  Tr. at 72, 138.</w:t>
      </w:r>
    </w:p>
    <w:p w:rsidR="006821AC" w:rsidRPr="00EC60D6" w:rsidRDefault="006821AC" w:rsidP="008E1FC0">
      <w:pPr>
        <w:pStyle w:val="BodyText"/>
        <w:tabs>
          <w:tab w:val="clear" w:pos="1980"/>
          <w:tab w:val="left" w:pos="0"/>
        </w:tabs>
        <w:spacing w:line="360" w:lineRule="auto"/>
        <w:ind w:firstLine="1440"/>
        <w:jc w:val="left"/>
        <w:rPr>
          <w:rFonts w:ascii="Times New Roman" w:hAnsi="Times New Roman"/>
          <w:sz w:val="26"/>
          <w:szCs w:val="26"/>
        </w:rPr>
      </w:pPr>
    </w:p>
    <w:p w:rsidR="00C52C73" w:rsidRPr="00EC60D6" w:rsidRDefault="00FD4054" w:rsidP="008E1FC0">
      <w:pPr>
        <w:pStyle w:val="BodyText"/>
        <w:tabs>
          <w:tab w:val="clear" w:pos="1980"/>
          <w:tab w:val="left" w:pos="0"/>
        </w:tabs>
        <w:spacing w:line="360" w:lineRule="auto"/>
        <w:ind w:firstLine="1440"/>
        <w:jc w:val="left"/>
        <w:rPr>
          <w:rFonts w:ascii="Times New Roman" w:hAnsi="Times New Roman"/>
          <w:sz w:val="26"/>
          <w:szCs w:val="26"/>
        </w:rPr>
      </w:pPr>
      <w:r w:rsidRPr="00EC60D6">
        <w:rPr>
          <w:rFonts w:ascii="Times New Roman" w:hAnsi="Times New Roman"/>
          <w:sz w:val="26"/>
          <w:szCs w:val="26"/>
        </w:rPr>
        <w:t>Based on her review of the evidence, the ALJ concluded that Mr. Smith failed to prove that he currently resides, or has resided</w:t>
      </w:r>
      <w:r w:rsidR="00DC4036" w:rsidRPr="00EC60D6">
        <w:rPr>
          <w:rFonts w:ascii="Times New Roman" w:hAnsi="Times New Roman"/>
          <w:sz w:val="26"/>
          <w:szCs w:val="26"/>
        </w:rPr>
        <w:t>,</w:t>
      </w:r>
      <w:r w:rsidRPr="00EC60D6">
        <w:rPr>
          <w:rFonts w:ascii="Times New Roman" w:hAnsi="Times New Roman"/>
          <w:sz w:val="26"/>
          <w:szCs w:val="26"/>
        </w:rPr>
        <w:t xml:space="preserve"> at the pertinent service address during the period January 2011 to the present.  I.D. at</w:t>
      </w:r>
      <w:r w:rsidR="006821AC" w:rsidRPr="00EC60D6">
        <w:rPr>
          <w:rFonts w:ascii="Times New Roman" w:hAnsi="Times New Roman"/>
          <w:sz w:val="26"/>
          <w:szCs w:val="26"/>
        </w:rPr>
        <w:t xml:space="preserve"> 16.  </w:t>
      </w:r>
      <w:r w:rsidR="00793125" w:rsidRPr="00EC60D6">
        <w:rPr>
          <w:rFonts w:ascii="Times New Roman" w:hAnsi="Times New Roman"/>
          <w:sz w:val="26"/>
          <w:szCs w:val="26"/>
        </w:rPr>
        <w:t xml:space="preserve">The ALJ continued that, </w:t>
      </w:r>
      <w:r w:rsidR="006821AC" w:rsidRPr="00EC60D6">
        <w:rPr>
          <w:rFonts w:ascii="Times New Roman" w:hAnsi="Times New Roman"/>
          <w:sz w:val="26"/>
          <w:szCs w:val="26"/>
        </w:rPr>
        <w:t xml:space="preserve">since Mr. Smith is not the ratepayer of record for </w:t>
      </w:r>
      <w:r w:rsidR="00793125" w:rsidRPr="00EC60D6">
        <w:rPr>
          <w:rFonts w:ascii="Times New Roman" w:hAnsi="Times New Roman"/>
          <w:sz w:val="26"/>
          <w:szCs w:val="26"/>
        </w:rPr>
        <w:t xml:space="preserve">the pertinent service address, he lacks standing to bring the instant Complaint against PECO.  </w:t>
      </w:r>
      <w:r w:rsidR="00793125" w:rsidRPr="00EC60D6">
        <w:rPr>
          <w:rFonts w:ascii="Times New Roman" w:hAnsi="Times New Roman"/>
          <w:i/>
          <w:sz w:val="26"/>
          <w:szCs w:val="26"/>
        </w:rPr>
        <w:t>Id.</w:t>
      </w:r>
      <w:r w:rsidR="00793125" w:rsidRPr="00EC60D6">
        <w:rPr>
          <w:rFonts w:ascii="Times New Roman" w:hAnsi="Times New Roman"/>
          <w:sz w:val="26"/>
          <w:szCs w:val="26"/>
        </w:rPr>
        <w:t xml:space="preserve">  The ALJ therefore directed that the caption of the case be amended to reflect Betty Ricks as the sole Complainant in the matter.  The ALJ communicated her ruling on Mr. Smith’s lack of standing to qualify as a complainant in this matter at the hearing held on July 29, 20</w:t>
      </w:r>
      <w:r w:rsidR="006C503D" w:rsidRPr="00EC60D6">
        <w:rPr>
          <w:rFonts w:ascii="Times New Roman" w:hAnsi="Times New Roman"/>
          <w:sz w:val="26"/>
          <w:szCs w:val="26"/>
        </w:rPr>
        <w:t xml:space="preserve">13. </w:t>
      </w:r>
    </w:p>
    <w:p w:rsidR="00793125" w:rsidRPr="00EC60D6" w:rsidRDefault="00793125" w:rsidP="008E1FC0">
      <w:pPr>
        <w:pStyle w:val="BodyText"/>
        <w:tabs>
          <w:tab w:val="clear" w:pos="1980"/>
          <w:tab w:val="left" w:pos="0"/>
        </w:tabs>
        <w:spacing w:line="360" w:lineRule="auto"/>
        <w:ind w:firstLine="1440"/>
        <w:jc w:val="left"/>
        <w:rPr>
          <w:rFonts w:ascii="Times New Roman" w:hAnsi="Times New Roman"/>
          <w:sz w:val="26"/>
          <w:szCs w:val="26"/>
        </w:rPr>
      </w:pPr>
    </w:p>
    <w:p w:rsidR="00B73D44" w:rsidRPr="00EC60D6" w:rsidRDefault="003F3283" w:rsidP="008E1FC0">
      <w:pPr>
        <w:pStyle w:val="BodyText"/>
        <w:tabs>
          <w:tab w:val="clear" w:pos="1980"/>
          <w:tab w:val="left" w:pos="0"/>
        </w:tabs>
        <w:spacing w:line="360" w:lineRule="auto"/>
        <w:ind w:firstLine="1440"/>
        <w:jc w:val="left"/>
        <w:rPr>
          <w:rFonts w:ascii="Times New Roman" w:hAnsi="Times New Roman"/>
          <w:sz w:val="26"/>
          <w:szCs w:val="26"/>
        </w:rPr>
      </w:pPr>
      <w:r w:rsidRPr="00EC60D6">
        <w:rPr>
          <w:rFonts w:ascii="Times New Roman" w:hAnsi="Times New Roman"/>
          <w:sz w:val="26"/>
          <w:szCs w:val="26"/>
        </w:rPr>
        <w:t>Mr. Smith, pursuant to the ALJ’s</w:t>
      </w:r>
      <w:r w:rsidR="00793125" w:rsidRPr="00EC60D6">
        <w:rPr>
          <w:rFonts w:ascii="Times New Roman" w:hAnsi="Times New Roman"/>
          <w:sz w:val="26"/>
          <w:szCs w:val="26"/>
        </w:rPr>
        <w:t xml:space="preserve"> ruling dated June 10, 2013, </w:t>
      </w:r>
      <w:r w:rsidRPr="00EC60D6">
        <w:rPr>
          <w:rFonts w:ascii="Times New Roman" w:hAnsi="Times New Roman"/>
          <w:sz w:val="26"/>
          <w:szCs w:val="26"/>
        </w:rPr>
        <w:t xml:space="preserve">was permitted to submit an executed power of attorney.  </w:t>
      </w:r>
      <w:r w:rsidR="00BC0611" w:rsidRPr="00EC60D6">
        <w:rPr>
          <w:rFonts w:ascii="Times New Roman" w:hAnsi="Times New Roman"/>
          <w:sz w:val="26"/>
          <w:szCs w:val="26"/>
        </w:rPr>
        <w:t xml:space="preserve">The ALJ ruled that Mr. Smith’s power of </w:t>
      </w:r>
      <w:r w:rsidR="00BC0611" w:rsidRPr="00EC60D6">
        <w:rPr>
          <w:rFonts w:ascii="Times New Roman" w:hAnsi="Times New Roman"/>
          <w:sz w:val="26"/>
          <w:szCs w:val="26"/>
        </w:rPr>
        <w:lastRenderedPageBreak/>
        <w:t>attorney</w:t>
      </w:r>
      <w:r w:rsidRPr="00EC60D6">
        <w:rPr>
          <w:rFonts w:ascii="Times New Roman" w:hAnsi="Times New Roman"/>
          <w:sz w:val="26"/>
          <w:szCs w:val="26"/>
        </w:rPr>
        <w:t xml:space="preserve"> was valid and properly ex</w:t>
      </w:r>
      <w:r w:rsidR="006C503D" w:rsidRPr="00EC60D6">
        <w:rPr>
          <w:rFonts w:ascii="Times New Roman" w:hAnsi="Times New Roman"/>
          <w:sz w:val="26"/>
          <w:szCs w:val="26"/>
        </w:rPr>
        <w:t xml:space="preserve">ecuted.  </w:t>
      </w:r>
      <w:r w:rsidR="00B32040" w:rsidRPr="00EC60D6">
        <w:rPr>
          <w:rFonts w:ascii="Times New Roman" w:hAnsi="Times New Roman"/>
          <w:sz w:val="26"/>
          <w:szCs w:val="26"/>
        </w:rPr>
        <w:t xml:space="preserve">Tr. at 332; I.D. at 17.  </w:t>
      </w:r>
      <w:r w:rsidR="006C503D" w:rsidRPr="00EC60D6">
        <w:rPr>
          <w:rFonts w:ascii="Times New Roman" w:hAnsi="Times New Roman"/>
          <w:sz w:val="26"/>
          <w:szCs w:val="26"/>
        </w:rPr>
        <w:t>However, s</w:t>
      </w:r>
      <w:r w:rsidR="00BC0611" w:rsidRPr="00EC60D6">
        <w:rPr>
          <w:rFonts w:ascii="Times New Roman" w:hAnsi="Times New Roman"/>
          <w:sz w:val="26"/>
          <w:szCs w:val="26"/>
        </w:rPr>
        <w:t>ince the ALJ had ruled that Mr.</w:t>
      </w:r>
      <w:r w:rsidR="00A9174E" w:rsidRPr="00EC60D6">
        <w:rPr>
          <w:rFonts w:ascii="Times New Roman" w:hAnsi="Times New Roman"/>
          <w:sz w:val="26"/>
          <w:szCs w:val="26"/>
        </w:rPr>
        <w:t xml:space="preserve"> Smith did not qualify to be a C</w:t>
      </w:r>
      <w:r w:rsidR="00BC0611" w:rsidRPr="00EC60D6">
        <w:rPr>
          <w:rFonts w:ascii="Times New Roman" w:hAnsi="Times New Roman"/>
          <w:sz w:val="26"/>
          <w:szCs w:val="26"/>
        </w:rPr>
        <w:t xml:space="preserve">omplainant in this proceeding, she presented Ms. Ricks with </w:t>
      </w:r>
      <w:r w:rsidR="0028655B" w:rsidRPr="00EC60D6">
        <w:rPr>
          <w:rFonts w:ascii="Times New Roman" w:hAnsi="Times New Roman"/>
          <w:sz w:val="26"/>
          <w:szCs w:val="26"/>
        </w:rPr>
        <w:t xml:space="preserve">two options, as follows: </w:t>
      </w:r>
      <w:r w:rsidR="00EC60D6">
        <w:rPr>
          <w:rFonts w:ascii="Times New Roman" w:hAnsi="Times New Roman"/>
          <w:sz w:val="26"/>
          <w:szCs w:val="26"/>
        </w:rPr>
        <w:t xml:space="preserve"> </w:t>
      </w:r>
      <w:r w:rsidR="0028655B" w:rsidRPr="00EC60D6">
        <w:rPr>
          <w:rFonts w:ascii="Times New Roman" w:hAnsi="Times New Roman"/>
          <w:sz w:val="26"/>
          <w:szCs w:val="26"/>
        </w:rPr>
        <w:t>(1) to proceed with the case as sole Complainant and present Mr. Smith as a witness; or (2) to have Mr. Smith proceed with the case through her power of atto</w:t>
      </w:r>
      <w:r w:rsidR="006C503D" w:rsidRPr="00EC60D6">
        <w:rPr>
          <w:rFonts w:ascii="Times New Roman" w:hAnsi="Times New Roman"/>
          <w:sz w:val="26"/>
          <w:szCs w:val="26"/>
        </w:rPr>
        <w:t xml:space="preserve">rney. </w:t>
      </w:r>
    </w:p>
    <w:p w:rsidR="00B73D44" w:rsidRPr="00EC60D6" w:rsidRDefault="00B73D44" w:rsidP="008E1FC0">
      <w:pPr>
        <w:pStyle w:val="BodyText"/>
        <w:tabs>
          <w:tab w:val="clear" w:pos="1980"/>
          <w:tab w:val="left" w:pos="0"/>
        </w:tabs>
        <w:spacing w:line="360" w:lineRule="auto"/>
        <w:ind w:firstLine="1440"/>
        <w:jc w:val="left"/>
        <w:rPr>
          <w:rFonts w:ascii="Times New Roman" w:hAnsi="Times New Roman"/>
          <w:sz w:val="26"/>
          <w:szCs w:val="26"/>
        </w:rPr>
      </w:pPr>
    </w:p>
    <w:p w:rsidR="00C52C73" w:rsidRPr="00EC60D6" w:rsidRDefault="0028655B" w:rsidP="008E1FC0">
      <w:pPr>
        <w:pStyle w:val="BodyText"/>
        <w:tabs>
          <w:tab w:val="clear" w:pos="1980"/>
          <w:tab w:val="left" w:pos="0"/>
        </w:tabs>
        <w:spacing w:line="360" w:lineRule="auto"/>
        <w:ind w:firstLine="1440"/>
        <w:jc w:val="left"/>
        <w:rPr>
          <w:rFonts w:ascii="Times New Roman" w:hAnsi="Times New Roman"/>
          <w:sz w:val="26"/>
          <w:szCs w:val="26"/>
        </w:rPr>
      </w:pPr>
      <w:r w:rsidRPr="00EC60D6">
        <w:rPr>
          <w:rFonts w:ascii="Times New Roman" w:hAnsi="Times New Roman"/>
          <w:sz w:val="26"/>
          <w:szCs w:val="26"/>
        </w:rPr>
        <w:t>The ALJ instructed Ms. Ricks that if she were to choose the former option, she could represent herself and prosecute her Complaint.  I.D. at 17.  Ho</w:t>
      </w:r>
      <w:r w:rsidR="00B73D44" w:rsidRPr="00EC60D6">
        <w:rPr>
          <w:rFonts w:ascii="Times New Roman" w:hAnsi="Times New Roman"/>
          <w:sz w:val="26"/>
          <w:szCs w:val="26"/>
        </w:rPr>
        <w:t>wever, continued the ALJ, if Ms. Ricks</w:t>
      </w:r>
      <w:r w:rsidRPr="00EC60D6">
        <w:rPr>
          <w:rFonts w:ascii="Times New Roman" w:hAnsi="Times New Roman"/>
          <w:sz w:val="26"/>
          <w:szCs w:val="26"/>
        </w:rPr>
        <w:t xml:space="preserve"> were to choose the latter option, the ALJ would allow Mr. Smith to</w:t>
      </w:r>
      <w:r w:rsidR="00B73D44" w:rsidRPr="00EC60D6">
        <w:rPr>
          <w:rFonts w:ascii="Times New Roman" w:hAnsi="Times New Roman"/>
          <w:sz w:val="26"/>
          <w:szCs w:val="26"/>
        </w:rPr>
        <w:t xml:space="preserve"> testify in support of the Complaint on facts of which he had first-hand knowledge.  </w:t>
      </w:r>
      <w:r w:rsidR="00B73D44" w:rsidRPr="00EC60D6">
        <w:rPr>
          <w:rFonts w:ascii="Times New Roman" w:hAnsi="Times New Roman"/>
          <w:i/>
          <w:sz w:val="26"/>
          <w:szCs w:val="26"/>
        </w:rPr>
        <w:t xml:space="preserve">Id. </w:t>
      </w:r>
      <w:r w:rsidR="00B73D44" w:rsidRPr="00EC60D6">
        <w:rPr>
          <w:rFonts w:ascii="Times New Roman" w:hAnsi="Times New Roman"/>
          <w:sz w:val="26"/>
          <w:szCs w:val="26"/>
        </w:rPr>
        <w:t xml:space="preserve"> The ALJ stated that Mr. Smith would not be allowed, however, to conduct cross-examination, make motions or objections, or engage in any other activity that would constitute the unlawful practice of law.  Mr. Smith objec</w:t>
      </w:r>
      <w:r w:rsidR="00EC60D6">
        <w:rPr>
          <w:rFonts w:ascii="Times New Roman" w:hAnsi="Times New Roman"/>
          <w:sz w:val="26"/>
          <w:szCs w:val="26"/>
        </w:rPr>
        <w:t>ted to the ALJ’s ruling and Ms. </w:t>
      </w:r>
      <w:r w:rsidR="00B73D44" w:rsidRPr="00EC60D6">
        <w:rPr>
          <w:rFonts w:ascii="Times New Roman" w:hAnsi="Times New Roman"/>
          <w:sz w:val="26"/>
          <w:szCs w:val="26"/>
        </w:rPr>
        <w:t>Ricks joined in his objections.</w:t>
      </w:r>
      <w:r w:rsidR="00EC60D6">
        <w:rPr>
          <w:rFonts w:ascii="Times New Roman" w:hAnsi="Times New Roman"/>
          <w:sz w:val="26"/>
          <w:szCs w:val="26"/>
        </w:rPr>
        <w:t xml:space="preserve">  Tr. at 336, 340; I.D. at 17. </w:t>
      </w:r>
      <w:r w:rsidR="003F3283" w:rsidRPr="00EC60D6">
        <w:rPr>
          <w:rFonts w:ascii="Times New Roman" w:hAnsi="Times New Roman"/>
          <w:sz w:val="26"/>
          <w:szCs w:val="26"/>
        </w:rPr>
        <w:t xml:space="preserve"> </w:t>
      </w:r>
    </w:p>
    <w:p w:rsidR="003F3283" w:rsidRPr="00EC60D6" w:rsidRDefault="003F3283" w:rsidP="008E1FC0">
      <w:pPr>
        <w:pStyle w:val="BodyText"/>
        <w:tabs>
          <w:tab w:val="clear" w:pos="1980"/>
          <w:tab w:val="left" w:pos="0"/>
        </w:tabs>
        <w:spacing w:line="360" w:lineRule="auto"/>
        <w:ind w:firstLine="1440"/>
        <w:jc w:val="left"/>
        <w:rPr>
          <w:rFonts w:ascii="Times New Roman" w:hAnsi="Times New Roman"/>
          <w:sz w:val="26"/>
          <w:szCs w:val="26"/>
        </w:rPr>
      </w:pPr>
    </w:p>
    <w:p w:rsidR="00B32040" w:rsidRPr="00EC60D6" w:rsidRDefault="007F6712" w:rsidP="006018AE">
      <w:pPr>
        <w:pStyle w:val="BodyText"/>
        <w:tabs>
          <w:tab w:val="clear" w:pos="1980"/>
          <w:tab w:val="left" w:pos="0"/>
        </w:tabs>
        <w:spacing w:line="360" w:lineRule="auto"/>
        <w:ind w:firstLine="1440"/>
        <w:jc w:val="left"/>
        <w:rPr>
          <w:rFonts w:ascii="Times New Roman" w:hAnsi="Times New Roman"/>
          <w:sz w:val="26"/>
          <w:szCs w:val="26"/>
        </w:rPr>
      </w:pPr>
      <w:r w:rsidRPr="00EC60D6">
        <w:rPr>
          <w:rFonts w:ascii="Times New Roman" w:hAnsi="Times New Roman"/>
          <w:sz w:val="26"/>
          <w:szCs w:val="26"/>
        </w:rPr>
        <w:t>The</w:t>
      </w:r>
      <w:r w:rsidR="00A9174E" w:rsidRPr="00EC60D6">
        <w:rPr>
          <w:rFonts w:ascii="Times New Roman" w:hAnsi="Times New Roman"/>
          <w:sz w:val="26"/>
          <w:szCs w:val="26"/>
        </w:rPr>
        <w:t xml:space="preserve">reupon, the ALJ </w:t>
      </w:r>
      <w:r w:rsidRPr="00EC60D6">
        <w:rPr>
          <w:rFonts w:ascii="Times New Roman" w:hAnsi="Times New Roman"/>
          <w:sz w:val="26"/>
          <w:szCs w:val="26"/>
        </w:rPr>
        <w:t xml:space="preserve">asked Ms. Ricks, as the sole remaining Complainant in this matter to decide on one of the </w:t>
      </w:r>
      <w:r w:rsidR="00A9174E" w:rsidRPr="00EC60D6">
        <w:rPr>
          <w:rFonts w:ascii="Times New Roman" w:hAnsi="Times New Roman"/>
          <w:sz w:val="26"/>
          <w:szCs w:val="26"/>
        </w:rPr>
        <w:t xml:space="preserve">two </w:t>
      </w:r>
      <w:r w:rsidRPr="00EC60D6">
        <w:rPr>
          <w:rFonts w:ascii="Times New Roman" w:hAnsi="Times New Roman"/>
          <w:sz w:val="26"/>
          <w:szCs w:val="26"/>
        </w:rPr>
        <w:t>options.  Tr. at 333-334; I.D. at 20.  The ALJ stated that Ms. Ricks</w:t>
      </w:r>
      <w:r w:rsidR="00A9174E" w:rsidRPr="00EC60D6">
        <w:rPr>
          <w:rFonts w:ascii="Times New Roman" w:hAnsi="Times New Roman"/>
          <w:sz w:val="26"/>
          <w:szCs w:val="26"/>
        </w:rPr>
        <w:t>, however,</w:t>
      </w:r>
      <w:r w:rsidRPr="00EC60D6">
        <w:rPr>
          <w:rFonts w:ascii="Times New Roman" w:hAnsi="Times New Roman"/>
          <w:sz w:val="26"/>
          <w:szCs w:val="26"/>
        </w:rPr>
        <w:t xml:space="preserve"> persistently refused to</w:t>
      </w:r>
      <w:r w:rsidR="00796609" w:rsidRPr="00EC60D6">
        <w:rPr>
          <w:rFonts w:ascii="Times New Roman" w:hAnsi="Times New Roman"/>
          <w:sz w:val="26"/>
          <w:szCs w:val="26"/>
        </w:rPr>
        <w:t xml:space="preserve"> make a choice based on the options that had been presented to her.  I.D. at 20.  Accordingly, the proceedings came to a standstill, and the ALJ dismissed the Complaint with prejudice, based on M</w:t>
      </w:r>
      <w:r w:rsidR="00B32040" w:rsidRPr="00EC60D6">
        <w:rPr>
          <w:rFonts w:ascii="Times New Roman" w:hAnsi="Times New Roman"/>
          <w:sz w:val="26"/>
          <w:szCs w:val="26"/>
        </w:rPr>
        <w:t>s. Ricks</w:t>
      </w:r>
      <w:r w:rsidR="00D603F5" w:rsidRPr="00EC60D6">
        <w:rPr>
          <w:rFonts w:ascii="Times New Roman" w:hAnsi="Times New Roman"/>
          <w:sz w:val="26"/>
          <w:szCs w:val="26"/>
        </w:rPr>
        <w:t>’</w:t>
      </w:r>
      <w:r w:rsidR="00B32040" w:rsidRPr="00EC60D6">
        <w:rPr>
          <w:rFonts w:ascii="Times New Roman" w:hAnsi="Times New Roman"/>
          <w:sz w:val="26"/>
          <w:szCs w:val="26"/>
        </w:rPr>
        <w:t xml:space="preserve"> failure to prosecute.  </w:t>
      </w:r>
      <w:r w:rsidR="00B32040" w:rsidRPr="00EC60D6">
        <w:rPr>
          <w:rFonts w:ascii="Times New Roman" w:eastAsia="Calibri" w:hAnsi="Times New Roman"/>
          <w:sz w:val="26"/>
          <w:szCs w:val="26"/>
        </w:rPr>
        <w:t xml:space="preserve">52 Pa. Code § 5.245 (a) and (c), </w:t>
      </w:r>
      <w:r w:rsidR="00B32040" w:rsidRPr="00EC60D6">
        <w:rPr>
          <w:rFonts w:ascii="Times New Roman" w:eastAsia="Calibri" w:hAnsi="Times New Roman"/>
          <w:i/>
          <w:sz w:val="26"/>
          <w:szCs w:val="26"/>
        </w:rPr>
        <w:t>supra</w:t>
      </w:r>
      <w:r w:rsidR="00B32040" w:rsidRPr="00EC60D6">
        <w:rPr>
          <w:rFonts w:ascii="Times New Roman" w:eastAsia="Calibri" w:hAnsi="Times New Roman"/>
          <w:sz w:val="26"/>
          <w:szCs w:val="26"/>
        </w:rPr>
        <w:t xml:space="preserve">; </w:t>
      </w:r>
      <w:r w:rsidR="00796609" w:rsidRPr="00EC60D6">
        <w:rPr>
          <w:rFonts w:ascii="Times New Roman" w:hAnsi="Times New Roman"/>
          <w:sz w:val="26"/>
          <w:szCs w:val="26"/>
        </w:rPr>
        <w:t>I.D. at 21.</w:t>
      </w:r>
      <w:r w:rsidRPr="00EC60D6">
        <w:rPr>
          <w:rFonts w:ascii="Times New Roman" w:hAnsi="Times New Roman"/>
          <w:sz w:val="26"/>
          <w:szCs w:val="26"/>
        </w:rPr>
        <w:t xml:space="preserve"> </w:t>
      </w:r>
    </w:p>
    <w:p w:rsidR="00524819" w:rsidRDefault="005868E8" w:rsidP="000E6913">
      <w:pPr>
        <w:pStyle w:val="BodyText"/>
        <w:tabs>
          <w:tab w:val="clear" w:pos="1980"/>
          <w:tab w:val="left" w:pos="0"/>
        </w:tabs>
        <w:spacing w:line="360" w:lineRule="auto"/>
        <w:ind w:right="1440"/>
        <w:jc w:val="left"/>
        <w:rPr>
          <w:sz w:val="26"/>
          <w:szCs w:val="26"/>
        </w:rPr>
      </w:pPr>
      <w:r>
        <w:rPr>
          <w:rFonts w:ascii="Times New Roman" w:hAnsi="Times New Roman"/>
          <w:color w:val="333333"/>
          <w:sz w:val="26"/>
          <w:szCs w:val="26"/>
        </w:rPr>
        <w:tab/>
      </w:r>
    </w:p>
    <w:p w:rsidR="00421CDB" w:rsidRPr="0021600E" w:rsidRDefault="00421CDB" w:rsidP="0021600E">
      <w:pPr>
        <w:widowControl/>
        <w:spacing w:line="360" w:lineRule="auto"/>
        <w:rPr>
          <w:b/>
          <w:sz w:val="26"/>
          <w:szCs w:val="26"/>
        </w:rPr>
      </w:pPr>
      <w:r>
        <w:rPr>
          <w:b/>
          <w:sz w:val="26"/>
          <w:szCs w:val="26"/>
        </w:rPr>
        <w:t>Disposition</w:t>
      </w:r>
    </w:p>
    <w:p w:rsidR="00D603F5" w:rsidRDefault="00D603F5" w:rsidP="003A29DE">
      <w:pPr>
        <w:widowControl/>
        <w:spacing w:line="360" w:lineRule="auto"/>
        <w:rPr>
          <w:sz w:val="26"/>
          <w:szCs w:val="26"/>
        </w:rPr>
      </w:pPr>
    </w:p>
    <w:p w:rsidR="00066A00" w:rsidRDefault="00651773" w:rsidP="001E2AE3">
      <w:pPr>
        <w:widowControl/>
        <w:spacing w:line="360" w:lineRule="auto"/>
        <w:ind w:firstLine="1440"/>
        <w:rPr>
          <w:sz w:val="26"/>
          <w:szCs w:val="26"/>
        </w:rPr>
      </w:pPr>
      <w:r>
        <w:rPr>
          <w:sz w:val="26"/>
          <w:szCs w:val="26"/>
        </w:rPr>
        <w:t xml:space="preserve">In this case, Ms. Ricks and Mr. Smith apparently </w:t>
      </w:r>
      <w:r w:rsidR="00450227">
        <w:rPr>
          <w:sz w:val="26"/>
          <w:szCs w:val="26"/>
        </w:rPr>
        <w:t>a</w:t>
      </w:r>
      <w:r>
        <w:rPr>
          <w:sz w:val="26"/>
          <w:szCs w:val="26"/>
        </w:rPr>
        <w:t>re confused about the meaning of the valid “power of attorney” obtained by Mr. Smith t</w:t>
      </w:r>
      <w:r w:rsidR="00066A00">
        <w:rPr>
          <w:sz w:val="26"/>
          <w:szCs w:val="26"/>
        </w:rPr>
        <w:t>o</w:t>
      </w:r>
      <w:r>
        <w:rPr>
          <w:sz w:val="26"/>
          <w:szCs w:val="26"/>
        </w:rPr>
        <w:t xml:space="preserve"> act on Ms. Ricks’ behalf.  </w:t>
      </w:r>
      <w:r w:rsidR="00066A00">
        <w:rPr>
          <w:sz w:val="26"/>
          <w:szCs w:val="26"/>
        </w:rPr>
        <w:t>They apparently believe this document permits Mr. Smith to act as Ms. Ricks’ attorney.  This is not so.</w:t>
      </w:r>
    </w:p>
    <w:p w:rsidR="00066A00" w:rsidRDefault="00066A00" w:rsidP="001E2AE3">
      <w:pPr>
        <w:widowControl/>
        <w:spacing w:line="360" w:lineRule="auto"/>
        <w:ind w:firstLine="1440"/>
        <w:rPr>
          <w:sz w:val="26"/>
          <w:szCs w:val="26"/>
        </w:rPr>
      </w:pPr>
    </w:p>
    <w:p w:rsidR="006828E2" w:rsidRDefault="00651773" w:rsidP="001E2AE3">
      <w:pPr>
        <w:widowControl/>
        <w:spacing w:line="360" w:lineRule="auto"/>
        <w:ind w:firstLine="1440"/>
        <w:rPr>
          <w:sz w:val="26"/>
          <w:szCs w:val="26"/>
        </w:rPr>
      </w:pPr>
      <w:r>
        <w:rPr>
          <w:sz w:val="26"/>
          <w:szCs w:val="26"/>
        </w:rPr>
        <w:lastRenderedPageBreak/>
        <w:t>As noted by ALJ Vero, the constitution of the Commonwealth has exclusively granted the Supreme Court of Pennsylvania the power to regulate the practice of law before all the courts</w:t>
      </w:r>
      <w:r w:rsidR="00BD1565">
        <w:rPr>
          <w:sz w:val="26"/>
          <w:szCs w:val="26"/>
        </w:rPr>
        <w:t xml:space="preserve"> in Pennsylvania.  I.D. at 17.  The ALJ further observed that, while the rules and laws proscribing the unauthorized practice of law are clear, defining the abstract boundaries of the “practice of law” would be an elusive, complex task</w:t>
      </w:r>
      <w:r w:rsidR="00072291">
        <w:rPr>
          <w:sz w:val="26"/>
          <w:szCs w:val="26"/>
        </w:rPr>
        <w:t>, “more likely to invite criticism than to achieve clarity</w:t>
      </w:r>
      <w:r w:rsidR="00BD1565">
        <w:rPr>
          <w:sz w:val="26"/>
          <w:szCs w:val="26"/>
        </w:rPr>
        <w:t>.</w:t>
      </w:r>
      <w:r w:rsidR="00066A00">
        <w:rPr>
          <w:sz w:val="26"/>
          <w:szCs w:val="26"/>
        </w:rPr>
        <w:t>”</w:t>
      </w:r>
      <w:r w:rsidR="00BD1565">
        <w:rPr>
          <w:sz w:val="26"/>
          <w:szCs w:val="26"/>
        </w:rPr>
        <w:t xml:space="preserve">  </w:t>
      </w:r>
      <w:r w:rsidR="00072291" w:rsidRPr="00072291">
        <w:rPr>
          <w:i/>
          <w:sz w:val="26"/>
          <w:szCs w:val="26"/>
        </w:rPr>
        <w:t>Id.</w:t>
      </w:r>
      <w:r w:rsidR="00072291">
        <w:rPr>
          <w:sz w:val="26"/>
          <w:szCs w:val="26"/>
        </w:rPr>
        <w:t xml:space="preserve"> at 18</w:t>
      </w:r>
      <w:r w:rsidR="00C87C39">
        <w:rPr>
          <w:sz w:val="26"/>
          <w:szCs w:val="26"/>
        </w:rPr>
        <w:t xml:space="preserve"> (quoting </w:t>
      </w:r>
      <w:r w:rsidR="00BD1565" w:rsidRPr="00BD1565">
        <w:rPr>
          <w:i/>
          <w:sz w:val="26"/>
          <w:szCs w:val="26"/>
        </w:rPr>
        <w:t>Shortz v. Farrell</w:t>
      </w:r>
      <w:r w:rsidR="000F5345">
        <w:rPr>
          <w:i/>
          <w:sz w:val="26"/>
          <w:szCs w:val="26"/>
        </w:rPr>
        <w:t xml:space="preserve">, </w:t>
      </w:r>
      <w:r w:rsidR="000F5345" w:rsidRPr="000F5345">
        <w:rPr>
          <w:sz w:val="26"/>
          <w:szCs w:val="26"/>
        </w:rPr>
        <w:t>465 Pa. 104,</w:t>
      </w:r>
      <w:r w:rsidR="00072291">
        <w:rPr>
          <w:sz w:val="26"/>
          <w:szCs w:val="26"/>
        </w:rPr>
        <w:t xml:space="preserve"> 348 A.2d 376 (1975)</w:t>
      </w:r>
      <w:r w:rsidR="00C87C39">
        <w:rPr>
          <w:sz w:val="26"/>
          <w:szCs w:val="26"/>
        </w:rPr>
        <w:t>)</w:t>
      </w:r>
      <w:r w:rsidR="00072291">
        <w:rPr>
          <w:sz w:val="26"/>
          <w:szCs w:val="26"/>
        </w:rPr>
        <w:t>.</w:t>
      </w:r>
      <w:r w:rsidR="000F5345">
        <w:rPr>
          <w:i/>
          <w:sz w:val="26"/>
          <w:szCs w:val="26"/>
        </w:rPr>
        <w:t xml:space="preserve"> </w:t>
      </w:r>
      <w:r w:rsidR="00072291">
        <w:rPr>
          <w:i/>
          <w:sz w:val="26"/>
          <w:szCs w:val="26"/>
        </w:rPr>
        <w:t xml:space="preserve">  </w:t>
      </w:r>
      <w:r w:rsidR="00072291" w:rsidRPr="00072291">
        <w:rPr>
          <w:sz w:val="26"/>
          <w:szCs w:val="26"/>
        </w:rPr>
        <w:t>However, continued the ALJ, by whatever standard</w:t>
      </w:r>
      <w:r w:rsidR="00072291">
        <w:rPr>
          <w:sz w:val="26"/>
          <w:szCs w:val="26"/>
        </w:rPr>
        <w:t xml:space="preserve"> or definition, the in-court representation of another, a paradigmatic function of the attorney-at-law, amounts to the “practice of law” in the Commonwealth.  I.</w:t>
      </w:r>
      <w:r w:rsidR="001323F1">
        <w:rPr>
          <w:sz w:val="26"/>
          <w:szCs w:val="26"/>
        </w:rPr>
        <w:t>D. at 18</w:t>
      </w:r>
      <w:r w:rsidR="00C87C39">
        <w:rPr>
          <w:sz w:val="26"/>
          <w:szCs w:val="26"/>
        </w:rPr>
        <w:t>, citing</w:t>
      </w:r>
      <w:r w:rsidR="001323F1">
        <w:rPr>
          <w:sz w:val="26"/>
          <w:szCs w:val="26"/>
        </w:rPr>
        <w:t xml:space="preserve"> </w:t>
      </w:r>
      <w:r w:rsidR="001323F1" w:rsidRPr="001323F1">
        <w:rPr>
          <w:i/>
          <w:sz w:val="26"/>
          <w:szCs w:val="26"/>
        </w:rPr>
        <w:t>Kohlman v. Western Pennsylvania Hospital</w:t>
      </w:r>
      <w:r w:rsidR="001323F1">
        <w:rPr>
          <w:sz w:val="26"/>
          <w:szCs w:val="26"/>
        </w:rPr>
        <w:t xml:space="preserve">, 652 A.2d 849 (Pa. Super. 1994).  </w:t>
      </w:r>
    </w:p>
    <w:p w:rsidR="006828E2" w:rsidRDefault="006828E2" w:rsidP="001E2AE3">
      <w:pPr>
        <w:widowControl/>
        <w:spacing w:line="360" w:lineRule="auto"/>
        <w:ind w:firstLine="1440"/>
        <w:rPr>
          <w:sz w:val="26"/>
          <w:szCs w:val="26"/>
        </w:rPr>
      </w:pPr>
    </w:p>
    <w:p w:rsidR="006828E2" w:rsidRDefault="006119E0" w:rsidP="001E2AE3">
      <w:pPr>
        <w:widowControl/>
        <w:spacing w:line="360" w:lineRule="auto"/>
        <w:ind w:firstLine="1440"/>
        <w:rPr>
          <w:sz w:val="26"/>
          <w:szCs w:val="26"/>
        </w:rPr>
      </w:pPr>
      <w:r>
        <w:rPr>
          <w:sz w:val="26"/>
          <w:szCs w:val="26"/>
        </w:rPr>
        <w:t>ALJ Vero added:</w:t>
      </w:r>
    </w:p>
    <w:p w:rsidR="006119E0" w:rsidRDefault="006119E0" w:rsidP="001E2AE3">
      <w:pPr>
        <w:widowControl/>
        <w:spacing w:line="360" w:lineRule="auto"/>
        <w:ind w:firstLine="1440"/>
        <w:rPr>
          <w:sz w:val="26"/>
          <w:szCs w:val="26"/>
        </w:rPr>
      </w:pPr>
    </w:p>
    <w:p w:rsidR="006119E0" w:rsidRPr="001E2AE3" w:rsidRDefault="00183D69" w:rsidP="001E2AE3">
      <w:pPr>
        <w:widowControl/>
        <w:ind w:left="1440" w:right="1440" w:firstLine="720"/>
        <w:rPr>
          <w:sz w:val="26"/>
          <w:szCs w:val="26"/>
        </w:rPr>
      </w:pPr>
      <w:hyperlink r:id="rId10" w:history="1">
        <w:r w:rsidR="006119E0" w:rsidRPr="001E2AE3">
          <w:rPr>
            <w:sz w:val="26"/>
            <w:szCs w:val="26"/>
          </w:rPr>
          <w:t>20 Pa.C.S. §§ 5602</w:t>
        </w:r>
      </w:hyperlink>
      <w:r w:rsidR="006119E0" w:rsidRPr="001E2AE3">
        <w:rPr>
          <w:sz w:val="26"/>
          <w:szCs w:val="26"/>
        </w:rPr>
        <w:t xml:space="preserve"> and </w:t>
      </w:r>
      <w:hyperlink r:id="rId11" w:history="1">
        <w:r w:rsidR="006119E0" w:rsidRPr="001E2AE3">
          <w:rPr>
            <w:sz w:val="26"/>
            <w:szCs w:val="26"/>
          </w:rPr>
          <w:t>5603</w:t>
        </w:r>
      </w:hyperlink>
      <w:r w:rsidR="006119E0" w:rsidRPr="001E2AE3">
        <w:rPr>
          <w:sz w:val="26"/>
          <w:szCs w:val="26"/>
        </w:rPr>
        <w:t xml:space="preserve">, do not empower an individual who is not licensed as an attorney-at-law to practice law in Pennsylvania.  To construe the probate code so as to permit a non-attorney to appear and represent a principal in a court of record would be to permit the licensing and admission requirements to be circumvented.  In addition, such an interpretation would effectively abrogate the judicial code’s prohibition against the unlicensed practice of law.  </w:t>
      </w:r>
      <w:hyperlink r:id="rId12" w:history="1">
        <w:r w:rsidR="006119E0" w:rsidRPr="001E2AE3">
          <w:rPr>
            <w:sz w:val="26"/>
            <w:szCs w:val="26"/>
          </w:rPr>
          <w:t>42 Pa.C.S. § 2524</w:t>
        </w:r>
      </w:hyperlink>
      <w:r w:rsidR="006119E0" w:rsidRPr="001E2AE3">
        <w:rPr>
          <w:sz w:val="26"/>
          <w:szCs w:val="26"/>
        </w:rPr>
        <w:t xml:space="preserve"> (Supp. 1994).  The potential problems created by the use of the power of attorney as a means of encouraging the unauthorized practice of law are obvious.  Of course, if the principal wishes to proceed </w:t>
      </w:r>
      <w:r w:rsidR="006119E0" w:rsidRPr="001E2AE3">
        <w:rPr>
          <w:i/>
          <w:sz w:val="26"/>
          <w:szCs w:val="26"/>
        </w:rPr>
        <w:t>pro se</w:t>
      </w:r>
      <w:r w:rsidR="006119E0" w:rsidRPr="001E2AE3">
        <w:rPr>
          <w:sz w:val="26"/>
          <w:szCs w:val="26"/>
        </w:rPr>
        <w:t xml:space="preserve">, he or she may do so.  However, the power of attorney cannot be used as a device to license laypersons to act as an attorney-at-law.  See </w:t>
      </w:r>
      <w:r w:rsidR="006119E0" w:rsidRPr="001E2AE3">
        <w:rPr>
          <w:i/>
          <w:sz w:val="26"/>
          <w:szCs w:val="26"/>
        </w:rPr>
        <w:t>Kohlman v. Western Pennsylvania Hospital,</w:t>
      </w:r>
      <w:r w:rsidR="006119E0" w:rsidRPr="001E2AE3">
        <w:rPr>
          <w:sz w:val="26"/>
          <w:szCs w:val="26"/>
        </w:rPr>
        <w:t xml:space="preserve"> 652 A.2d 849 (Pa. Super. 1994).</w:t>
      </w:r>
    </w:p>
    <w:p w:rsidR="006119E0" w:rsidRPr="001E2AE3" w:rsidRDefault="006119E0" w:rsidP="001E2AE3">
      <w:pPr>
        <w:widowControl/>
        <w:ind w:left="1440" w:right="1440" w:firstLine="720"/>
        <w:rPr>
          <w:sz w:val="26"/>
          <w:szCs w:val="26"/>
        </w:rPr>
      </w:pPr>
    </w:p>
    <w:p w:rsidR="006119E0" w:rsidRPr="001E2AE3" w:rsidRDefault="006119E0" w:rsidP="001E2AE3">
      <w:pPr>
        <w:widowControl/>
        <w:ind w:left="1440" w:right="1440" w:firstLine="720"/>
        <w:rPr>
          <w:sz w:val="26"/>
          <w:szCs w:val="26"/>
        </w:rPr>
      </w:pPr>
      <w:r w:rsidRPr="001E2AE3">
        <w:rPr>
          <w:sz w:val="26"/>
          <w:szCs w:val="26"/>
        </w:rPr>
        <w:t xml:space="preserve">The powers listed in </w:t>
      </w:r>
      <w:hyperlink r:id="rId13" w:history="1">
        <w:r w:rsidRPr="001E2AE3">
          <w:rPr>
            <w:sz w:val="26"/>
            <w:szCs w:val="26"/>
          </w:rPr>
          <w:t>20 Pa.C.S. §§ 5602</w:t>
        </w:r>
      </w:hyperlink>
      <w:r w:rsidRPr="001E2AE3">
        <w:rPr>
          <w:sz w:val="26"/>
          <w:szCs w:val="26"/>
        </w:rPr>
        <w:t xml:space="preserve"> and </w:t>
      </w:r>
      <w:hyperlink r:id="rId14" w:history="1">
        <w:r w:rsidRPr="001E2AE3">
          <w:rPr>
            <w:sz w:val="26"/>
            <w:szCs w:val="26"/>
          </w:rPr>
          <w:t>5603</w:t>
        </w:r>
      </w:hyperlink>
      <w:r w:rsidRPr="001E2AE3">
        <w:rPr>
          <w:sz w:val="26"/>
          <w:szCs w:val="26"/>
        </w:rPr>
        <w:t xml:space="preserve"> are best characterized as authorizing the agent to act as the client in an attorney-client relationship, with respect to probate and administrative matters.  </w:t>
      </w:r>
      <w:hyperlink r:id="rId15" w:history="1">
        <w:r w:rsidRPr="001E2AE3">
          <w:rPr>
            <w:sz w:val="26"/>
            <w:szCs w:val="26"/>
          </w:rPr>
          <w:t>20 Pa.C.S. § 5603(s)(1)</w:t>
        </w:r>
      </w:hyperlink>
      <w:r w:rsidRPr="001E2AE3">
        <w:rPr>
          <w:sz w:val="26"/>
          <w:szCs w:val="26"/>
        </w:rPr>
        <w:t xml:space="preserve"> authorizes the agent/attorney-in-fact to make decisions and undertake actions that are within the traditional province of a client.  For </w:t>
      </w:r>
      <w:r w:rsidRPr="001E2AE3">
        <w:rPr>
          <w:sz w:val="26"/>
          <w:szCs w:val="26"/>
        </w:rPr>
        <w:lastRenderedPageBreak/>
        <w:t xml:space="preserve">example, the decisions whether to prosecute, defend, settle, or arbitrate a claim belong to the client, not to the attorney.  The agent, therefore, while lacking authority to litigate pro se in his or her principal’s stead, creates and controls the attorney-client relationship as fully as if he or she were the principal.  The attorney-in-fact may, of course, personally engage in all activities authorized under </w:t>
      </w:r>
      <w:hyperlink r:id="rId16" w:history="1">
        <w:r w:rsidRPr="001E2AE3">
          <w:rPr>
            <w:sz w:val="26"/>
            <w:szCs w:val="26"/>
          </w:rPr>
          <w:t>sections 5602</w:t>
        </w:r>
      </w:hyperlink>
      <w:r w:rsidRPr="001E2AE3">
        <w:rPr>
          <w:sz w:val="26"/>
          <w:szCs w:val="26"/>
        </w:rPr>
        <w:t xml:space="preserve"> and </w:t>
      </w:r>
      <w:hyperlink r:id="rId17" w:history="1">
        <w:r w:rsidRPr="001E2AE3">
          <w:rPr>
            <w:sz w:val="26"/>
            <w:szCs w:val="26"/>
          </w:rPr>
          <w:t>5603</w:t>
        </w:r>
      </w:hyperlink>
      <w:r w:rsidRPr="001E2AE3">
        <w:rPr>
          <w:sz w:val="26"/>
          <w:szCs w:val="26"/>
        </w:rPr>
        <w:t xml:space="preserve"> that do not constitute the unauthorized practice of law.  See </w:t>
      </w:r>
      <w:r w:rsidRPr="001E2AE3">
        <w:rPr>
          <w:i/>
          <w:sz w:val="26"/>
          <w:szCs w:val="26"/>
        </w:rPr>
        <w:t>Kohlman v. Western Pennsylvania Hospital,</w:t>
      </w:r>
      <w:r w:rsidRPr="001E2AE3">
        <w:rPr>
          <w:sz w:val="26"/>
          <w:szCs w:val="26"/>
        </w:rPr>
        <w:t xml:space="preserve"> 652 A.2d 849 (Pa. Super. 1994).</w:t>
      </w:r>
    </w:p>
    <w:p w:rsidR="006119E0" w:rsidRPr="006119E0" w:rsidRDefault="006119E0" w:rsidP="001E2AE3">
      <w:pPr>
        <w:widowControl/>
        <w:ind w:left="1440" w:right="1440" w:firstLine="720"/>
        <w:rPr>
          <w:sz w:val="26"/>
          <w:szCs w:val="26"/>
        </w:rPr>
      </w:pPr>
    </w:p>
    <w:p w:rsidR="006828E2" w:rsidRDefault="006119E0">
      <w:pPr>
        <w:widowControl/>
        <w:spacing w:line="360" w:lineRule="auto"/>
        <w:rPr>
          <w:sz w:val="26"/>
          <w:szCs w:val="26"/>
        </w:rPr>
      </w:pPr>
      <w:r>
        <w:rPr>
          <w:sz w:val="26"/>
          <w:szCs w:val="26"/>
        </w:rPr>
        <w:t xml:space="preserve">I.D. at 19.  </w:t>
      </w:r>
    </w:p>
    <w:p w:rsidR="006828E2" w:rsidRDefault="006828E2" w:rsidP="001E2AE3">
      <w:pPr>
        <w:widowControl/>
        <w:spacing w:line="360" w:lineRule="auto"/>
        <w:ind w:firstLine="1440"/>
        <w:rPr>
          <w:sz w:val="26"/>
          <w:szCs w:val="26"/>
        </w:rPr>
      </w:pPr>
    </w:p>
    <w:p w:rsidR="003A29DE" w:rsidRPr="00072291" w:rsidRDefault="006119E0" w:rsidP="001E2AE3">
      <w:pPr>
        <w:widowControl/>
        <w:spacing w:line="360" w:lineRule="auto"/>
        <w:ind w:firstLine="1440"/>
        <w:rPr>
          <w:sz w:val="26"/>
          <w:szCs w:val="26"/>
        </w:rPr>
      </w:pPr>
      <w:r>
        <w:rPr>
          <w:sz w:val="26"/>
          <w:szCs w:val="26"/>
        </w:rPr>
        <w:t xml:space="preserve">We concur.  </w:t>
      </w:r>
      <w:r w:rsidR="001323F1">
        <w:rPr>
          <w:sz w:val="26"/>
          <w:szCs w:val="26"/>
        </w:rPr>
        <w:t>Accordingly</w:t>
      </w:r>
      <w:r w:rsidR="00486F5B">
        <w:rPr>
          <w:sz w:val="26"/>
          <w:szCs w:val="26"/>
        </w:rPr>
        <w:t xml:space="preserve"> we conclude that the ALJ properly refused to allow Mr. Smith to represent Ms. Ricks in the pertinent hearing.</w:t>
      </w:r>
    </w:p>
    <w:p w:rsidR="003A29DE" w:rsidRDefault="003A29DE" w:rsidP="003A29DE">
      <w:pPr>
        <w:widowControl/>
        <w:spacing w:line="360" w:lineRule="auto"/>
        <w:rPr>
          <w:sz w:val="26"/>
          <w:szCs w:val="26"/>
        </w:rPr>
      </w:pPr>
    </w:p>
    <w:p w:rsidR="00A557B4" w:rsidRDefault="00072291" w:rsidP="003A29DE">
      <w:pPr>
        <w:widowControl/>
        <w:spacing w:line="360" w:lineRule="auto"/>
        <w:rPr>
          <w:sz w:val="26"/>
          <w:szCs w:val="26"/>
        </w:rPr>
      </w:pPr>
      <w:r>
        <w:rPr>
          <w:sz w:val="26"/>
          <w:szCs w:val="26"/>
        </w:rPr>
        <w:tab/>
      </w:r>
      <w:r>
        <w:rPr>
          <w:sz w:val="26"/>
          <w:szCs w:val="26"/>
        </w:rPr>
        <w:tab/>
      </w:r>
      <w:r w:rsidR="00C11DCD">
        <w:rPr>
          <w:sz w:val="26"/>
          <w:szCs w:val="26"/>
        </w:rPr>
        <w:t xml:space="preserve">As discussed above, </w:t>
      </w:r>
      <w:r>
        <w:rPr>
          <w:sz w:val="26"/>
          <w:szCs w:val="26"/>
        </w:rPr>
        <w:t xml:space="preserve">Mr. Smith filed Exceptions to the Initial Decision on behalf of Ms. Ricks in the form of a letter.  Mr. Smith is not authorized to file Exceptions on behalf of Ms. Ricks.  </w:t>
      </w:r>
      <w:r w:rsidR="00A557B4">
        <w:rPr>
          <w:sz w:val="26"/>
          <w:szCs w:val="26"/>
        </w:rPr>
        <w:t>Our Regulations permit individuals to represent themselves, but</w:t>
      </w:r>
      <w:r w:rsidR="00C11DCD">
        <w:rPr>
          <w:sz w:val="26"/>
          <w:szCs w:val="26"/>
        </w:rPr>
        <w:t>,</w:t>
      </w:r>
      <w:r w:rsidR="00A557B4">
        <w:rPr>
          <w:sz w:val="26"/>
          <w:szCs w:val="26"/>
        </w:rPr>
        <w:t xml:space="preserve"> if they choose to be represented by another in an adversarial proceeding</w:t>
      </w:r>
      <w:r w:rsidR="00C11DCD">
        <w:rPr>
          <w:sz w:val="26"/>
          <w:szCs w:val="26"/>
        </w:rPr>
        <w:t xml:space="preserve"> such as this</w:t>
      </w:r>
      <w:r w:rsidR="00A557B4">
        <w:rPr>
          <w:sz w:val="26"/>
          <w:szCs w:val="26"/>
        </w:rPr>
        <w:t>, th</w:t>
      </w:r>
      <w:r w:rsidR="00C11DCD">
        <w:rPr>
          <w:sz w:val="26"/>
          <w:szCs w:val="26"/>
        </w:rPr>
        <w:t>e</w:t>
      </w:r>
      <w:r w:rsidR="00A557B4">
        <w:rPr>
          <w:sz w:val="26"/>
          <w:szCs w:val="26"/>
        </w:rPr>
        <w:t xml:space="preserve"> representative must be an attorney or a certified legal intern.  52 Pa. Code §§ 1.21</w:t>
      </w:r>
      <w:r w:rsidR="00126A2E">
        <w:rPr>
          <w:sz w:val="26"/>
          <w:szCs w:val="26"/>
        </w:rPr>
        <w:t xml:space="preserve"> </w:t>
      </w:r>
      <w:r w:rsidR="00A557B4">
        <w:rPr>
          <w:sz w:val="26"/>
          <w:szCs w:val="26"/>
        </w:rPr>
        <w:t>and 1.22.</w:t>
      </w:r>
      <w:r w:rsidR="00C11DCD">
        <w:rPr>
          <w:sz w:val="26"/>
          <w:szCs w:val="26"/>
        </w:rPr>
        <w:t xml:space="preserve">  Mr. Smith is neither.</w:t>
      </w:r>
      <w:r w:rsidR="00A557B4">
        <w:rPr>
          <w:sz w:val="26"/>
          <w:szCs w:val="26"/>
        </w:rPr>
        <w:t xml:space="preserve">  </w:t>
      </w:r>
    </w:p>
    <w:p w:rsidR="00A557B4" w:rsidRDefault="00A557B4" w:rsidP="003A29DE">
      <w:pPr>
        <w:widowControl/>
        <w:spacing w:line="360" w:lineRule="auto"/>
        <w:rPr>
          <w:sz w:val="26"/>
          <w:szCs w:val="26"/>
        </w:rPr>
      </w:pPr>
    </w:p>
    <w:p w:rsidR="002928EB" w:rsidRPr="0021600E" w:rsidRDefault="00072291" w:rsidP="001E2AE3">
      <w:pPr>
        <w:widowControl/>
        <w:spacing w:line="360" w:lineRule="auto"/>
        <w:ind w:firstLine="1440"/>
        <w:rPr>
          <w:sz w:val="26"/>
          <w:szCs w:val="26"/>
        </w:rPr>
      </w:pPr>
      <w:r>
        <w:rPr>
          <w:sz w:val="26"/>
          <w:szCs w:val="26"/>
        </w:rPr>
        <w:t xml:space="preserve">In </w:t>
      </w:r>
      <w:r w:rsidRPr="001128B2">
        <w:rPr>
          <w:i/>
          <w:sz w:val="26"/>
          <w:szCs w:val="26"/>
        </w:rPr>
        <w:t>Cars R Us c/o Holman Copeland v. PGW</w:t>
      </w:r>
      <w:r>
        <w:rPr>
          <w:sz w:val="26"/>
          <w:szCs w:val="26"/>
        </w:rPr>
        <w:t>, Docket No. C</w:t>
      </w:r>
      <w:r>
        <w:rPr>
          <w:sz w:val="26"/>
          <w:szCs w:val="26"/>
        </w:rPr>
        <w:noBreakHyphen/>
        <w:t xml:space="preserve">2008-2033437 (Order entered February 4, 2010), the Commission held that </w:t>
      </w:r>
      <w:r w:rsidR="00C11DCD">
        <w:rPr>
          <w:sz w:val="26"/>
          <w:szCs w:val="26"/>
        </w:rPr>
        <w:t xml:space="preserve">a </w:t>
      </w:r>
      <w:r>
        <w:rPr>
          <w:sz w:val="26"/>
          <w:szCs w:val="26"/>
        </w:rPr>
        <w:t>corporate officer</w:t>
      </w:r>
      <w:r w:rsidR="00C11DCD">
        <w:rPr>
          <w:sz w:val="26"/>
          <w:szCs w:val="26"/>
        </w:rPr>
        <w:t xml:space="preserve"> could not file </w:t>
      </w:r>
      <w:r>
        <w:rPr>
          <w:sz w:val="26"/>
          <w:szCs w:val="26"/>
        </w:rPr>
        <w:t xml:space="preserve">Exceptions </w:t>
      </w:r>
      <w:r w:rsidR="00C11DCD">
        <w:rPr>
          <w:sz w:val="26"/>
          <w:szCs w:val="26"/>
        </w:rPr>
        <w:t xml:space="preserve">on behalf of the corporation, </w:t>
      </w:r>
      <w:r>
        <w:rPr>
          <w:sz w:val="26"/>
          <w:szCs w:val="26"/>
        </w:rPr>
        <w:t>on the grounds that the corporate officer was not an attorney.</w:t>
      </w:r>
      <w:r w:rsidR="00C11DCD">
        <w:rPr>
          <w:sz w:val="26"/>
          <w:szCs w:val="26"/>
        </w:rPr>
        <w:t xml:space="preserve">  Similarly here, </w:t>
      </w:r>
      <w:r w:rsidR="001323F1">
        <w:rPr>
          <w:sz w:val="26"/>
          <w:szCs w:val="26"/>
        </w:rPr>
        <w:t>Mr. Smith is not a licensed attorney and c</w:t>
      </w:r>
      <w:r w:rsidR="00C11DCD">
        <w:rPr>
          <w:sz w:val="26"/>
          <w:szCs w:val="26"/>
        </w:rPr>
        <w:t>an</w:t>
      </w:r>
      <w:r w:rsidR="001323F1">
        <w:rPr>
          <w:sz w:val="26"/>
          <w:szCs w:val="26"/>
        </w:rPr>
        <w:t>not properly act as his mother’s attorney</w:t>
      </w:r>
      <w:r w:rsidR="00C11DCD">
        <w:rPr>
          <w:sz w:val="26"/>
          <w:szCs w:val="26"/>
        </w:rPr>
        <w:t xml:space="preserve"> by filing Exceptions</w:t>
      </w:r>
      <w:r w:rsidR="006A6476">
        <w:rPr>
          <w:sz w:val="26"/>
          <w:szCs w:val="26"/>
        </w:rPr>
        <w:t xml:space="preserve"> in an adversarial proceeding</w:t>
      </w:r>
      <w:r w:rsidR="001323F1">
        <w:rPr>
          <w:sz w:val="26"/>
          <w:szCs w:val="26"/>
        </w:rPr>
        <w:t xml:space="preserve">.  </w:t>
      </w:r>
      <w:r w:rsidR="006A6476">
        <w:rPr>
          <w:sz w:val="26"/>
          <w:szCs w:val="26"/>
        </w:rPr>
        <w:t>We will therefore deny the Exceptions</w:t>
      </w:r>
      <w:r w:rsidR="00126A2E">
        <w:rPr>
          <w:sz w:val="26"/>
          <w:szCs w:val="26"/>
        </w:rPr>
        <w:t xml:space="preserve"> on the ground they were improperly filed</w:t>
      </w:r>
      <w:r w:rsidR="006A6476">
        <w:rPr>
          <w:sz w:val="26"/>
          <w:szCs w:val="26"/>
        </w:rPr>
        <w:t xml:space="preserve">.  </w:t>
      </w:r>
    </w:p>
    <w:p w:rsidR="00C779C2" w:rsidRDefault="00C779C2" w:rsidP="00C17D8C">
      <w:pPr>
        <w:widowControl/>
        <w:spacing w:line="360" w:lineRule="auto"/>
        <w:rPr>
          <w:b/>
          <w:sz w:val="26"/>
          <w:szCs w:val="26"/>
        </w:rPr>
      </w:pPr>
    </w:p>
    <w:p w:rsidR="00CA43A5" w:rsidRPr="00D57E8E" w:rsidRDefault="00CA43A5" w:rsidP="008D0834">
      <w:pPr>
        <w:keepNext/>
        <w:widowControl/>
        <w:spacing w:line="360" w:lineRule="auto"/>
        <w:jc w:val="center"/>
        <w:rPr>
          <w:b/>
          <w:sz w:val="26"/>
          <w:szCs w:val="26"/>
        </w:rPr>
      </w:pPr>
      <w:r w:rsidRPr="00D57E8E">
        <w:rPr>
          <w:b/>
          <w:sz w:val="26"/>
          <w:szCs w:val="26"/>
        </w:rPr>
        <w:lastRenderedPageBreak/>
        <w:t>Conclusion</w:t>
      </w:r>
    </w:p>
    <w:p w:rsidR="00CA43A5" w:rsidRPr="00D57E8E" w:rsidRDefault="00CA43A5" w:rsidP="008D0834">
      <w:pPr>
        <w:keepNext/>
        <w:widowControl/>
        <w:spacing w:line="360" w:lineRule="auto"/>
        <w:ind w:firstLine="1440"/>
        <w:rPr>
          <w:sz w:val="26"/>
          <w:szCs w:val="26"/>
        </w:rPr>
      </w:pPr>
    </w:p>
    <w:p w:rsidR="00CA43A5" w:rsidRDefault="00CA43A5" w:rsidP="00C17D8C">
      <w:pPr>
        <w:widowControl/>
        <w:spacing w:line="360" w:lineRule="auto"/>
        <w:ind w:firstLine="1440"/>
        <w:rPr>
          <w:sz w:val="26"/>
          <w:szCs w:val="26"/>
        </w:rPr>
      </w:pPr>
      <w:r w:rsidRPr="00D57E8E">
        <w:rPr>
          <w:sz w:val="26"/>
          <w:szCs w:val="26"/>
        </w:rPr>
        <w:t xml:space="preserve">Based upon the foregoing discussion, we shall </w:t>
      </w:r>
      <w:r w:rsidR="008A17C1">
        <w:rPr>
          <w:sz w:val="26"/>
          <w:szCs w:val="26"/>
        </w:rPr>
        <w:t>deny the Complainant’s Exceptions</w:t>
      </w:r>
      <w:r w:rsidR="00E243CC">
        <w:rPr>
          <w:sz w:val="26"/>
          <w:szCs w:val="26"/>
        </w:rPr>
        <w:t>,</w:t>
      </w:r>
      <w:r w:rsidR="008A17C1">
        <w:rPr>
          <w:sz w:val="26"/>
          <w:szCs w:val="26"/>
        </w:rPr>
        <w:t xml:space="preserve"> adopt the ALJ’s Initial Decision</w:t>
      </w:r>
      <w:r w:rsidR="00E243CC">
        <w:rPr>
          <w:sz w:val="26"/>
          <w:szCs w:val="26"/>
        </w:rPr>
        <w:t xml:space="preserve"> and dismiss the Complaint</w:t>
      </w:r>
      <w:r w:rsidR="008A17C1">
        <w:rPr>
          <w:sz w:val="26"/>
          <w:szCs w:val="26"/>
        </w:rPr>
        <w:t>, consistent with this Opinion and Order</w:t>
      </w:r>
      <w:r w:rsidRPr="00D57E8E">
        <w:rPr>
          <w:sz w:val="26"/>
          <w:szCs w:val="26"/>
        </w:rPr>
        <w:t xml:space="preserve">; </w:t>
      </w:r>
      <w:r w:rsidRPr="00D57E8E">
        <w:rPr>
          <w:b/>
          <w:sz w:val="26"/>
          <w:szCs w:val="26"/>
        </w:rPr>
        <w:t>THEREFORE,</w:t>
      </w:r>
      <w:r w:rsidRPr="00D57E8E">
        <w:rPr>
          <w:sz w:val="26"/>
          <w:szCs w:val="26"/>
        </w:rPr>
        <w:t xml:space="preserve"> </w:t>
      </w:r>
    </w:p>
    <w:p w:rsidR="006607B1" w:rsidRPr="00D57E8E" w:rsidRDefault="006607B1" w:rsidP="00C17D8C">
      <w:pPr>
        <w:widowControl/>
        <w:spacing w:line="360" w:lineRule="auto"/>
        <w:ind w:firstLine="1440"/>
        <w:rPr>
          <w:sz w:val="26"/>
          <w:szCs w:val="26"/>
        </w:rPr>
      </w:pPr>
    </w:p>
    <w:p w:rsidR="00CA43A5" w:rsidRPr="00D57E8E" w:rsidRDefault="00CA43A5" w:rsidP="004B66EA">
      <w:pPr>
        <w:widowControl/>
        <w:spacing w:line="360" w:lineRule="auto"/>
        <w:ind w:firstLine="1440"/>
        <w:rPr>
          <w:sz w:val="26"/>
          <w:szCs w:val="26"/>
        </w:rPr>
      </w:pPr>
      <w:r w:rsidRPr="00D57E8E">
        <w:rPr>
          <w:b/>
          <w:sz w:val="26"/>
          <w:szCs w:val="26"/>
        </w:rPr>
        <w:t>IT IS ORDERED:</w:t>
      </w:r>
    </w:p>
    <w:p w:rsidR="00A423DB" w:rsidRDefault="00A423DB" w:rsidP="00A423DB">
      <w:pPr>
        <w:widowControl/>
        <w:spacing w:line="360" w:lineRule="auto"/>
        <w:ind w:left="1440"/>
        <w:rPr>
          <w:sz w:val="26"/>
          <w:szCs w:val="26"/>
        </w:rPr>
      </w:pPr>
    </w:p>
    <w:p w:rsidR="009155F7" w:rsidRPr="00D57E8E" w:rsidRDefault="009155F7"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 xml:space="preserve">That the Exceptions </w:t>
      </w:r>
      <w:r w:rsidR="008430AA">
        <w:rPr>
          <w:sz w:val="26"/>
          <w:szCs w:val="26"/>
        </w:rPr>
        <w:t xml:space="preserve">filed on December 9, 2013, by Sporty Smith on behalf </w:t>
      </w:r>
      <w:r w:rsidRPr="00D57E8E">
        <w:rPr>
          <w:sz w:val="26"/>
          <w:szCs w:val="26"/>
        </w:rPr>
        <w:t>of</w:t>
      </w:r>
      <w:r w:rsidR="00666078">
        <w:rPr>
          <w:sz w:val="26"/>
          <w:szCs w:val="26"/>
        </w:rPr>
        <w:t xml:space="preserve"> </w:t>
      </w:r>
      <w:r w:rsidR="00996B59">
        <w:rPr>
          <w:sz w:val="26"/>
          <w:szCs w:val="26"/>
        </w:rPr>
        <w:t>Betty Ricks</w:t>
      </w:r>
      <w:r w:rsidR="008430AA">
        <w:rPr>
          <w:sz w:val="26"/>
          <w:szCs w:val="26"/>
        </w:rPr>
        <w:t xml:space="preserve">, </w:t>
      </w:r>
      <w:r w:rsidRPr="00D57E8E">
        <w:rPr>
          <w:sz w:val="26"/>
          <w:szCs w:val="26"/>
        </w:rPr>
        <w:t xml:space="preserve">are </w:t>
      </w:r>
      <w:r w:rsidR="002117D4">
        <w:rPr>
          <w:sz w:val="26"/>
          <w:szCs w:val="26"/>
        </w:rPr>
        <w:t>denied</w:t>
      </w:r>
      <w:r w:rsidR="003F51F4" w:rsidRPr="00D57E8E">
        <w:rPr>
          <w:sz w:val="26"/>
          <w:szCs w:val="26"/>
        </w:rPr>
        <w:t xml:space="preserve">, consistent with this Opinion </w:t>
      </w:r>
      <w:r w:rsidR="00B80C43" w:rsidRPr="00D57E8E">
        <w:rPr>
          <w:sz w:val="26"/>
          <w:szCs w:val="26"/>
        </w:rPr>
        <w:t>and Order</w:t>
      </w:r>
      <w:r w:rsidRPr="00D57E8E">
        <w:rPr>
          <w:sz w:val="26"/>
          <w:szCs w:val="26"/>
        </w:rPr>
        <w:t>.</w:t>
      </w:r>
    </w:p>
    <w:p w:rsidR="003F51F4" w:rsidRPr="00D57E8E" w:rsidRDefault="003F51F4" w:rsidP="00C17D8C">
      <w:pPr>
        <w:widowControl/>
        <w:spacing w:line="360" w:lineRule="auto"/>
        <w:ind w:left="1440"/>
        <w:rPr>
          <w:sz w:val="26"/>
          <w:szCs w:val="26"/>
        </w:rPr>
      </w:pPr>
    </w:p>
    <w:p w:rsidR="00CA43A5" w:rsidRDefault="00CA43A5"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Initial Decision of Administrative Law Judge</w:t>
      </w:r>
      <w:r w:rsidR="005F08B2">
        <w:rPr>
          <w:sz w:val="26"/>
          <w:szCs w:val="26"/>
        </w:rPr>
        <w:t xml:space="preserve"> </w:t>
      </w:r>
      <w:r w:rsidR="00996B59">
        <w:rPr>
          <w:sz w:val="26"/>
          <w:szCs w:val="26"/>
        </w:rPr>
        <w:t>Eranda Vero</w:t>
      </w:r>
      <w:r w:rsidR="008430AA">
        <w:rPr>
          <w:sz w:val="26"/>
          <w:szCs w:val="26"/>
        </w:rPr>
        <w:t>, issued on November 18, 2013,</w:t>
      </w:r>
      <w:r w:rsidR="00BF1841">
        <w:rPr>
          <w:sz w:val="26"/>
          <w:szCs w:val="26"/>
        </w:rPr>
        <w:t xml:space="preserve"> </w:t>
      </w:r>
      <w:r w:rsidRPr="00D57E8E">
        <w:rPr>
          <w:sz w:val="26"/>
          <w:szCs w:val="26"/>
        </w:rPr>
        <w:t xml:space="preserve">is </w:t>
      </w:r>
      <w:r w:rsidR="007319FE">
        <w:rPr>
          <w:sz w:val="26"/>
          <w:szCs w:val="26"/>
        </w:rPr>
        <w:t>adopted, c</w:t>
      </w:r>
      <w:r w:rsidRPr="00D57E8E">
        <w:rPr>
          <w:sz w:val="26"/>
          <w:szCs w:val="26"/>
        </w:rPr>
        <w:t>onsistent with this Opinion and Order.</w:t>
      </w:r>
    </w:p>
    <w:p w:rsidR="00CF4F36" w:rsidRDefault="00CF4F36" w:rsidP="00CF4F36">
      <w:pPr>
        <w:widowControl/>
        <w:spacing w:line="360" w:lineRule="auto"/>
        <w:ind w:left="1440"/>
        <w:rPr>
          <w:sz w:val="26"/>
          <w:szCs w:val="26"/>
        </w:rPr>
      </w:pPr>
    </w:p>
    <w:p w:rsidR="008A17C1" w:rsidRDefault="008A17C1" w:rsidP="00C17D8C">
      <w:pPr>
        <w:widowControl/>
        <w:numPr>
          <w:ilvl w:val="0"/>
          <w:numId w:val="1"/>
        </w:numPr>
        <w:tabs>
          <w:tab w:val="clear" w:pos="2160"/>
          <w:tab w:val="num" w:pos="0"/>
        </w:tabs>
        <w:spacing w:line="360" w:lineRule="auto"/>
        <w:ind w:left="0" w:firstLine="1440"/>
        <w:rPr>
          <w:sz w:val="26"/>
          <w:szCs w:val="26"/>
        </w:rPr>
      </w:pPr>
      <w:r>
        <w:rPr>
          <w:sz w:val="26"/>
          <w:szCs w:val="26"/>
        </w:rPr>
        <w:t xml:space="preserve">That the Formal Complaint filed by </w:t>
      </w:r>
      <w:r w:rsidR="00996B59">
        <w:rPr>
          <w:sz w:val="26"/>
          <w:szCs w:val="26"/>
        </w:rPr>
        <w:t>Betty Ricks</w:t>
      </w:r>
      <w:r w:rsidR="00F6418B">
        <w:rPr>
          <w:sz w:val="26"/>
          <w:szCs w:val="26"/>
        </w:rPr>
        <w:t>,</w:t>
      </w:r>
      <w:r>
        <w:rPr>
          <w:sz w:val="26"/>
          <w:szCs w:val="26"/>
        </w:rPr>
        <w:t xml:space="preserve"> at Docket N</w:t>
      </w:r>
      <w:r w:rsidR="00A8382A">
        <w:rPr>
          <w:sz w:val="26"/>
          <w:szCs w:val="26"/>
        </w:rPr>
        <w:t>o.</w:t>
      </w:r>
      <w:r w:rsidR="00F6418B">
        <w:rPr>
          <w:sz w:val="26"/>
          <w:szCs w:val="26"/>
        </w:rPr>
        <w:t> C</w:t>
      </w:r>
      <w:r w:rsidR="00996B59">
        <w:rPr>
          <w:sz w:val="26"/>
          <w:szCs w:val="26"/>
        </w:rPr>
        <w:noBreakHyphen/>
        <w:t>2012-2321440</w:t>
      </w:r>
      <w:r w:rsidR="000C3711">
        <w:rPr>
          <w:sz w:val="26"/>
          <w:szCs w:val="26"/>
        </w:rPr>
        <w:t>,</w:t>
      </w:r>
      <w:r w:rsidR="005F08B2">
        <w:rPr>
          <w:sz w:val="26"/>
          <w:szCs w:val="26"/>
        </w:rPr>
        <w:t xml:space="preserve"> agains</w:t>
      </w:r>
      <w:r w:rsidR="000D1B63">
        <w:rPr>
          <w:sz w:val="26"/>
          <w:szCs w:val="26"/>
        </w:rPr>
        <w:t>t PECO Energy Company</w:t>
      </w:r>
      <w:r w:rsidR="005F08B2">
        <w:rPr>
          <w:sz w:val="26"/>
          <w:szCs w:val="26"/>
        </w:rPr>
        <w:t xml:space="preserve"> is</w:t>
      </w:r>
      <w:r>
        <w:rPr>
          <w:sz w:val="26"/>
          <w:szCs w:val="26"/>
        </w:rPr>
        <w:t xml:space="preserve"> </w:t>
      </w:r>
      <w:r w:rsidR="005F08B2">
        <w:rPr>
          <w:sz w:val="26"/>
          <w:szCs w:val="26"/>
        </w:rPr>
        <w:t>d</w:t>
      </w:r>
      <w:r w:rsidR="00BE36C3">
        <w:rPr>
          <w:sz w:val="26"/>
          <w:szCs w:val="26"/>
        </w:rPr>
        <w:t>ismissed</w:t>
      </w:r>
      <w:r w:rsidR="0044452E">
        <w:rPr>
          <w:sz w:val="26"/>
          <w:szCs w:val="26"/>
        </w:rPr>
        <w:t xml:space="preserve"> with prejudice</w:t>
      </w:r>
      <w:r w:rsidR="00681093">
        <w:rPr>
          <w:sz w:val="26"/>
          <w:szCs w:val="26"/>
        </w:rPr>
        <w:t>.</w:t>
      </w:r>
    </w:p>
    <w:p w:rsidR="00681093" w:rsidRDefault="00681093" w:rsidP="00C17D8C">
      <w:pPr>
        <w:widowControl/>
        <w:spacing w:line="360" w:lineRule="auto"/>
        <w:ind w:left="1440"/>
        <w:rPr>
          <w:sz w:val="26"/>
          <w:szCs w:val="26"/>
        </w:rPr>
      </w:pPr>
    </w:p>
    <w:p w:rsidR="00681093" w:rsidRPr="00681093" w:rsidRDefault="00681093" w:rsidP="008E1FC0">
      <w:pPr>
        <w:pStyle w:val="ListParagraph"/>
        <w:widowControl/>
        <w:numPr>
          <w:ilvl w:val="0"/>
          <w:numId w:val="1"/>
        </w:numPr>
        <w:spacing w:line="360" w:lineRule="auto"/>
        <w:rPr>
          <w:sz w:val="26"/>
          <w:szCs w:val="26"/>
        </w:rPr>
      </w:pPr>
      <w:r w:rsidRPr="00681093">
        <w:rPr>
          <w:spacing w:val="-3"/>
          <w:sz w:val="26"/>
          <w:szCs w:val="26"/>
        </w:rPr>
        <w:t>That this proceeding be marked closed.</w:t>
      </w:r>
    </w:p>
    <w:p w:rsidR="00CA43A5" w:rsidRPr="00D57E8E" w:rsidRDefault="00CA43A5" w:rsidP="00C17D8C">
      <w:pPr>
        <w:widowControl/>
        <w:spacing w:line="360" w:lineRule="auto"/>
        <w:rPr>
          <w:sz w:val="26"/>
          <w:szCs w:val="26"/>
        </w:rPr>
      </w:pPr>
    </w:p>
    <w:p w:rsidR="00CA43A5" w:rsidRPr="00D57E8E" w:rsidRDefault="003673C5" w:rsidP="00C17D8C">
      <w:pPr>
        <w:widowControl/>
        <w:tabs>
          <w:tab w:val="left" w:pos="-720"/>
        </w:tabs>
        <w:ind w:firstLine="5040"/>
        <w:rPr>
          <w:sz w:val="26"/>
          <w:szCs w:val="26"/>
        </w:rPr>
      </w:pPr>
      <w:bookmarkStart w:id="3" w:name="_GoBack"/>
      <w:r>
        <w:rPr>
          <w:noProof/>
        </w:rPr>
        <w:drawing>
          <wp:anchor distT="0" distB="0" distL="114300" distR="114300" simplePos="0" relativeHeight="251659264" behindDoc="1" locked="0" layoutInCell="1" allowOverlap="1" wp14:anchorId="5F1ED1FF" wp14:editId="3C6B172D">
            <wp:simplePos x="0" y="0"/>
            <wp:positionH relativeFrom="column">
              <wp:posOffset>3012440</wp:posOffset>
            </wp:positionH>
            <wp:positionV relativeFrom="paragraph">
              <wp:posOffset>34290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CA43A5" w:rsidRPr="00D57E8E">
        <w:rPr>
          <w:b/>
          <w:sz w:val="26"/>
          <w:szCs w:val="26"/>
        </w:rPr>
        <w:t>BY THE COMMISSION,</w:t>
      </w: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564565" w:rsidP="00C17D8C">
      <w:pPr>
        <w:widowControl/>
        <w:tabs>
          <w:tab w:val="left" w:pos="-720"/>
        </w:tabs>
        <w:ind w:firstLine="5040"/>
        <w:rPr>
          <w:b/>
          <w:sz w:val="26"/>
          <w:szCs w:val="26"/>
        </w:rPr>
      </w:pPr>
      <w:r w:rsidRPr="00D57E8E">
        <w:rPr>
          <w:sz w:val="26"/>
          <w:szCs w:val="26"/>
        </w:rPr>
        <w:t>Rosemary Chiavetta</w:t>
      </w:r>
    </w:p>
    <w:p w:rsidR="00CA43A5" w:rsidRPr="00D57E8E" w:rsidRDefault="00CA43A5" w:rsidP="00C17D8C">
      <w:pPr>
        <w:widowControl/>
        <w:tabs>
          <w:tab w:val="left" w:pos="-720"/>
        </w:tabs>
        <w:ind w:firstLine="5040"/>
        <w:rPr>
          <w:sz w:val="26"/>
          <w:szCs w:val="26"/>
        </w:rPr>
      </w:pPr>
      <w:r w:rsidRPr="00D57E8E">
        <w:rPr>
          <w:sz w:val="26"/>
          <w:szCs w:val="26"/>
        </w:rPr>
        <w:t>Secretary</w:t>
      </w:r>
    </w:p>
    <w:p w:rsidR="00CA43A5" w:rsidRPr="00D57E8E" w:rsidRDefault="00CA43A5" w:rsidP="00C17D8C">
      <w:pPr>
        <w:widowControl/>
        <w:tabs>
          <w:tab w:val="left" w:pos="-720"/>
        </w:tabs>
        <w:spacing w:line="360" w:lineRule="auto"/>
        <w:rPr>
          <w:sz w:val="26"/>
          <w:szCs w:val="26"/>
        </w:rPr>
      </w:pPr>
    </w:p>
    <w:p w:rsidR="00CA43A5" w:rsidRPr="00D57E8E" w:rsidRDefault="00CA43A5" w:rsidP="00C17D8C">
      <w:pPr>
        <w:widowControl/>
        <w:tabs>
          <w:tab w:val="left" w:pos="-720"/>
        </w:tabs>
        <w:rPr>
          <w:sz w:val="26"/>
          <w:szCs w:val="26"/>
        </w:rPr>
      </w:pPr>
      <w:r w:rsidRPr="00D57E8E">
        <w:rPr>
          <w:sz w:val="26"/>
          <w:szCs w:val="26"/>
        </w:rPr>
        <w:t>(SEAL)</w:t>
      </w:r>
    </w:p>
    <w:p w:rsidR="00857172" w:rsidRDefault="004D2DE1" w:rsidP="00C17D8C">
      <w:pPr>
        <w:widowControl/>
        <w:tabs>
          <w:tab w:val="left" w:pos="-720"/>
        </w:tabs>
        <w:rPr>
          <w:sz w:val="26"/>
          <w:szCs w:val="26"/>
        </w:rPr>
      </w:pPr>
      <w:r>
        <w:rPr>
          <w:sz w:val="26"/>
          <w:szCs w:val="26"/>
        </w:rPr>
        <w:t xml:space="preserve">ORDER ADOPTED:  </w:t>
      </w:r>
      <w:r w:rsidR="000215F2">
        <w:rPr>
          <w:sz w:val="26"/>
          <w:szCs w:val="26"/>
        </w:rPr>
        <w:t>March</w:t>
      </w:r>
      <w:r w:rsidR="00AB3C49">
        <w:rPr>
          <w:sz w:val="26"/>
          <w:szCs w:val="26"/>
        </w:rPr>
        <w:t xml:space="preserve"> 6</w:t>
      </w:r>
      <w:r w:rsidR="00CC292F">
        <w:rPr>
          <w:sz w:val="26"/>
          <w:szCs w:val="26"/>
        </w:rPr>
        <w:t xml:space="preserve">, </w:t>
      </w:r>
      <w:r w:rsidR="00AB3C49">
        <w:rPr>
          <w:sz w:val="26"/>
          <w:szCs w:val="26"/>
        </w:rPr>
        <w:t>2014</w:t>
      </w:r>
    </w:p>
    <w:p w:rsidR="00EC60D6" w:rsidRDefault="00EC60D6" w:rsidP="0021600E">
      <w:pPr>
        <w:widowControl/>
        <w:tabs>
          <w:tab w:val="left" w:pos="-720"/>
        </w:tabs>
        <w:rPr>
          <w:sz w:val="26"/>
          <w:szCs w:val="26"/>
        </w:rPr>
      </w:pPr>
    </w:p>
    <w:p w:rsidR="00344804" w:rsidRPr="00CA43A5" w:rsidRDefault="00CA43A5" w:rsidP="0021600E">
      <w:pPr>
        <w:widowControl/>
        <w:tabs>
          <w:tab w:val="left" w:pos="-720"/>
        </w:tabs>
        <w:rPr>
          <w:sz w:val="26"/>
          <w:szCs w:val="26"/>
        </w:rPr>
      </w:pPr>
      <w:r w:rsidRPr="00D57E8E">
        <w:rPr>
          <w:sz w:val="26"/>
          <w:szCs w:val="26"/>
        </w:rPr>
        <w:t xml:space="preserve">ORDER ENTERED:  </w:t>
      </w:r>
      <w:r w:rsidR="003673C5">
        <w:rPr>
          <w:sz w:val="26"/>
          <w:szCs w:val="26"/>
        </w:rPr>
        <w:t>March 6, 2014</w:t>
      </w:r>
    </w:p>
    <w:sectPr w:rsidR="00344804" w:rsidRPr="00CA43A5" w:rsidSect="00F916E5">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D69" w:rsidRDefault="00183D69" w:rsidP="00251814">
      <w:r>
        <w:separator/>
      </w:r>
    </w:p>
  </w:endnote>
  <w:endnote w:type="continuationSeparator" w:id="0">
    <w:p w:rsidR="00183D69" w:rsidRDefault="00183D69"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EC60D6" w:rsidRDefault="001C6100" w:rsidP="00EC60D6">
        <w:pPr>
          <w:pStyle w:val="Footer"/>
          <w:jc w:val="center"/>
          <w:rPr>
            <w:sz w:val="26"/>
            <w:szCs w:val="26"/>
          </w:rPr>
        </w:pPr>
        <w:r w:rsidRPr="00F05EDE">
          <w:rPr>
            <w:sz w:val="26"/>
            <w:szCs w:val="26"/>
          </w:rPr>
          <w:fldChar w:fldCharType="begin"/>
        </w:r>
        <w:r w:rsidRPr="00F05EDE">
          <w:rPr>
            <w:sz w:val="26"/>
            <w:szCs w:val="26"/>
          </w:rPr>
          <w:instrText xml:space="preserve"> PAGE   \* MERGEFORMAT </w:instrText>
        </w:r>
        <w:r w:rsidRPr="00F05EDE">
          <w:rPr>
            <w:sz w:val="26"/>
            <w:szCs w:val="26"/>
          </w:rPr>
          <w:fldChar w:fldCharType="separate"/>
        </w:r>
        <w:r w:rsidR="003673C5">
          <w:rPr>
            <w:noProof/>
            <w:sz w:val="26"/>
            <w:szCs w:val="26"/>
          </w:rPr>
          <w:t>11</w:t>
        </w:r>
        <w:r w:rsidRPr="00F05EDE">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D69" w:rsidRDefault="00183D69" w:rsidP="00251814">
      <w:r>
        <w:separator/>
      </w:r>
    </w:p>
  </w:footnote>
  <w:footnote w:type="continuationSeparator" w:id="0">
    <w:p w:rsidR="00183D69" w:rsidRDefault="00183D69" w:rsidP="00251814">
      <w:r>
        <w:continuationSeparator/>
      </w:r>
    </w:p>
  </w:footnote>
  <w:footnote w:id="1">
    <w:p w:rsidR="006F2471" w:rsidRPr="006F2471" w:rsidRDefault="006F2471">
      <w:pPr>
        <w:pStyle w:val="FootnoteText"/>
        <w:rPr>
          <w:rFonts w:ascii="Times New Roman" w:hAnsi="Times New Roman"/>
          <w:sz w:val="26"/>
          <w:szCs w:val="26"/>
        </w:rPr>
      </w:pPr>
      <w:r>
        <w:tab/>
      </w:r>
      <w:r w:rsidRPr="006F2471">
        <w:rPr>
          <w:rStyle w:val="FootnoteReference"/>
          <w:rFonts w:ascii="Times New Roman" w:hAnsi="Times New Roman"/>
          <w:sz w:val="26"/>
          <w:szCs w:val="26"/>
        </w:rPr>
        <w:footnoteRef/>
      </w:r>
      <w:r>
        <w:tab/>
      </w:r>
      <w:r w:rsidRPr="006F2471">
        <w:rPr>
          <w:rFonts w:ascii="Times New Roman" w:hAnsi="Times New Roman"/>
          <w:sz w:val="26"/>
          <w:szCs w:val="26"/>
        </w:rPr>
        <w:t xml:space="preserve">The Complaint herein was originally filed by Betty Ricks and </w:t>
      </w:r>
      <w:r w:rsidR="0067107F">
        <w:rPr>
          <w:rFonts w:ascii="Times New Roman" w:hAnsi="Times New Roman"/>
          <w:sz w:val="26"/>
          <w:szCs w:val="26"/>
        </w:rPr>
        <w:t xml:space="preserve">her son, </w:t>
      </w:r>
      <w:r w:rsidRPr="006F2471">
        <w:rPr>
          <w:rFonts w:ascii="Times New Roman" w:hAnsi="Times New Roman"/>
          <w:sz w:val="26"/>
          <w:szCs w:val="26"/>
        </w:rPr>
        <w:t>Sporty Smith.</w:t>
      </w:r>
      <w:r w:rsidR="004C6F63">
        <w:rPr>
          <w:rFonts w:ascii="Times New Roman" w:hAnsi="Times New Roman"/>
          <w:sz w:val="26"/>
          <w:szCs w:val="26"/>
        </w:rPr>
        <w:t xml:space="preserve">  </w:t>
      </w:r>
      <w:r w:rsidR="00685954">
        <w:rPr>
          <w:rFonts w:ascii="Times New Roman" w:hAnsi="Times New Roman"/>
          <w:sz w:val="26"/>
          <w:szCs w:val="26"/>
        </w:rPr>
        <w:t>In the instant Ini</w:t>
      </w:r>
      <w:r w:rsidR="002E1562">
        <w:rPr>
          <w:rFonts w:ascii="Times New Roman" w:hAnsi="Times New Roman"/>
          <w:sz w:val="26"/>
          <w:szCs w:val="26"/>
        </w:rPr>
        <w:t>tial Decision, ALJ Vero ordered that Sporty Smith be removed as a complainant in this proceeding</w:t>
      </w:r>
      <w:r w:rsidR="004C6F63">
        <w:rPr>
          <w:rFonts w:ascii="Times New Roman" w:hAnsi="Times New Roman"/>
          <w:sz w:val="26"/>
          <w:szCs w:val="26"/>
        </w:rPr>
        <w:t>,</w:t>
      </w:r>
      <w:r w:rsidR="002E1562">
        <w:rPr>
          <w:rFonts w:ascii="Times New Roman" w:hAnsi="Times New Roman"/>
          <w:sz w:val="26"/>
          <w:szCs w:val="26"/>
        </w:rPr>
        <w:t xml:space="preserve"> due to his lack of standing to bring the Complaint.  I.D. at 23.  Additionally, the ALJ amended the caption from </w:t>
      </w:r>
      <w:r w:rsidR="002E1562" w:rsidRPr="002E1562">
        <w:rPr>
          <w:rFonts w:ascii="Times New Roman" w:hAnsi="Times New Roman"/>
          <w:i/>
          <w:sz w:val="26"/>
          <w:szCs w:val="26"/>
        </w:rPr>
        <w:t>Betty Ricks and Sporty Smith v. PECO Energy Company</w:t>
      </w:r>
      <w:r w:rsidR="002E1562">
        <w:rPr>
          <w:rFonts w:ascii="Times New Roman" w:hAnsi="Times New Roman"/>
          <w:sz w:val="26"/>
          <w:szCs w:val="26"/>
        </w:rPr>
        <w:t xml:space="preserve"> to </w:t>
      </w:r>
      <w:r w:rsidR="002E1562" w:rsidRPr="002E1562">
        <w:rPr>
          <w:rFonts w:ascii="Times New Roman" w:hAnsi="Times New Roman"/>
          <w:i/>
          <w:sz w:val="26"/>
          <w:szCs w:val="26"/>
        </w:rPr>
        <w:t>Betty Ricks v. PECO Energy Company</w:t>
      </w:r>
      <w:r w:rsidR="002E1562">
        <w:rPr>
          <w:rFonts w:ascii="Times New Roman" w:hAnsi="Times New Roman"/>
          <w:i/>
          <w:sz w:val="26"/>
          <w:szCs w:val="26"/>
        </w:rPr>
        <w:t>.  Id.</w:t>
      </w:r>
      <w:r w:rsidR="00EC60D6">
        <w:rPr>
          <w:rFonts w:ascii="Times New Roman" w:hAnsi="Times New Roman"/>
          <w:sz w:val="26"/>
          <w:szCs w:val="26"/>
        </w:rPr>
        <w:t xml:space="preserve"> at </w:t>
      </w:r>
      <w:r w:rsidR="002E1562" w:rsidRPr="002E1562">
        <w:rPr>
          <w:rFonts w:ascii="Times New Roman" w:hAnsi="Times New Roman"/>
          <w:sz w:val="26"/>
          <w:szCs w:val="26"/>
        </w:rPr>
        <w:t>24.</w:t>
      </w:r>
      <w:r w:rsidR="002E1562">
        <w:rPr>
          <w:rFonts w:ascii="Times New Roman" w:hAnsi="Times New Roman"/>
          <w:sz w:val="26"/>
          <w:szCs w:val="26"/>
        </w:rPr>
        <w:t xml:space="preserve"> </w:t>
      </w:r>
      <w:r w:rsidRPr="006F2471">
        <w:rPr>
          <w:rFonts w:ascii="Times New Roman" w:hAnsi="Times New Roman"/>
          <w:sz w:val="26"/>
          <w:szCs w:val="26"/>
        </w:rPr>
        <w:t xml:space="preserve"> </w:t>
      </w:r>
    </w:p>
  </w:footnote>
  <w:footnote w:id="2">
    <w:p w:rsidR="00E61921" w:rsidRPr="00F61EA8" w:rsidRDefault="00F61EA8">
      <w:pPr>
        <w:pStyle w:val="FootnoteText"/>
        <w:rPr>
          <w:rFonts w:ascii="Times New Roman" w:hAnsi="Times New Roman"/>
          <w:sz w:val="26"/>
          <w:szCs w:val="26"/>
        </w:rPr>
      </w:pPr>
      <w:r>
        <w:rPr>
          <w:rFonts w:ascii="Times New Roman" w:hAnsi="Times New Roman"/>
          <w:sz w:val="26"/>
          <w:szCs w:val="26"/>
        </w:rPr>
        <w:tab/>
      </w:r>
      <w:r w:rsidR="00E61921" w:rsidRPr="00F61EA8">
        <w:rPr>
          <w:rStyle w:val="FootnoteReference"/>
          <w:rFonts w:ascii="Times New Roman" w:hAnsi="Times New Roman"/>
          <w:sz w:val="26"/>
          <w:szCs w:val="26"/>
        </w:rPr>
        <w:footnoteRef/>
      </w:r>
      <w:r>
        <w:rPr>
          <w:rFonts w:ascii="Times New Roman" w:hAnsi="Times New Roman"/>
          <w:sz w:val="26"/>
          <w:szCs w:val="26"/>
        </w:rPr>
        <w:tab/>
      </w:r>
      <w:r w:rsidR="0062607F">
        <w:rPr>
          <w:rFonts w:ascii="Times New Roman" w:hAnsi="Times New Roman"/>
          <w:sz w:val="26"/>
          <w:szCs w:val="26"/>
        </w:rPr>
        <w:t>Exceptions were due on December 8, 2013</w:t>
      </w:r>
      <w:r w:rsidR="00A9241C">
        <w:rPr>
          <w:rFonts w:ascii="Times New Roman" w:hAnsi="Times New Roman"/>
          <w:sz w:val="26"/>
          <w:szCs w:val="26"/>
        </w:rPr>
        <w:t>, which fell on a Sunday.  Pursuant to Regulati</w:t>
      </w:r>
      <w:r w:rsidR="003B4EBC">
        <w:rPr>
          <w:rFonts w:ascii="Times New Roman" w:hAnsi="Times New Roman"/>
          <w:sz w:val="26"/>
          <w:szCs w:val="26"/>
        </w:rPr>
        <w:t>on 1.12(a), 52 Pa. Code § 1.12</w:t>
      </w:r>
      <w:r w:rsidR="00A9241C">
        <w:rPr>
          <w:rFonts w:ascii="Times New Roman" w:hAnsi="Times New Roman"/>
          <w:sz w:val="26"/>
          <w:szCs w:val="26"/>
        </w:rPr>
        <w:t>(a), the time period for filing the Exceptions was extended to the next day, which was December 9, 2013.</w:t>
      </w:r>
      <w:r w:rsidR="0062607F">
        <w:rPr>
          <w:rFonts w:ascii="Times New Roman" w:hAnsi="Times New Roman"/>
          <w:sz w:val="26"/>
          <w:szCs w:val="26"/>
        </w:rPr>
        <w:t xml:space="preserve">  Reply Exceptions were due ten days after the receipt date when </w:t>
      </w:r>
      <w:r w:rsidR="003B4EBC">
        <w:rPr>
          <w:rFonts w:ascii="Times New Roman" w:hAnsi="Times New Roman"/>
          <w:sz w:val="26"/>
          <w:szCs w:val="26"/>
        </w:rPr>
        <w:t xml:space="preserve">the </w:t>
      </w:r>
      <w:r w:rsidR="0062607F">
        <w:rPr>
          <w:rFonts w:ascii="Times New Roman" w:hAnsi="Times New Roman"/>
          <w:sz w:val="26"/>
          <w:szCs w:val="26"/>
        </w:rPr>
        <w:t>Exceptions were due, or by December 1</w:t>
      </w:r>
      <w:r w:rsidR="00A9241C">
        <w:rPr>
          <w:rFonts w:ascii="Times New Roman" w:hAnsi="Times New Roman"/>
          <w:sz w:val="26"/>
          <w:szCs w:val="26"/>
        </w:rPr>
        <w:t>9</w:t>
      </w:r>
      <w:r w:rsidR="0062607F">
        <w:rPr>
          <w:rFonts w:ascii="Times New Roman" w:hAnsi="Times New Roman"/>
          <w:sz w:val="26"/>
          <w:szCs w:val="26"/>
        </w:rPr>
        <w:t xml:space="preserve">, 2013.  The </w:t>
      </w:r>
      <w:r w:rsidR="00A9241C">
        <w:rPr>
          <w:rFonts w:ascii="Times New Roman" w:hAnsi="Times New Roman"/>
          <w:sz w:val="26"/>
          <w:szCs w:val="26"/>
        </w:rPr>
        <w:t xml:space="preserve">Commission received the </w:t>
      </w:r>
      <w:r w:rsidR="0062607F">
        <w:rPr>
          <w:rFonts w:ascii="Times New Roman" w:hAnsi="Times New Roman"/>
          <w:sz w:val="26"/>
          <w:szCs w:val="26"/>
        </w:rPr>
        <w:t>instant Reply E</w:t>
      </w:r>
      <w:r w:rsidR="00EC60D6">
        <w:rPr>
          <w:rFonts w:ascii="Times New Roman" w:hAnsi="Times New Roman"/>
          <w:sz w:val="26"/>
          <w:szCs w:val="26"/>
        </w:rPr>
        <w:t>xceptions on January </w:t>
      </w:r>
      <w:r w:rsidR="00112BD5">
        <w:rPr>
          <w:rFonts w:ascii="Times New Roman" w:hAnsi="Times New Roman"/>
          <w:sz w:val="26"/>
          <w:szCs w:val="26"/>
        </w:rPr>
        <w:t>29</w:t>
      </w:r>
      <w:r w:rsidR="001511CE">
        <w:rPr>
          <w:rFonts w:ascii="Times New Roman" w:hAnsi="Times New Roman"/>
          <w:sz w:val="26"/>
          <w:szCs w:val="26"/>
        </w:rPr>
        <w:t xml:space="preserve">, 2014.  </w:t>
      </w:r>
      <w:r>
        <w:rPr>
          <w:rFonts w:ascii="Times New Roman" w:hAnsi="Times New Roman"/>
          <w:sz w:val="26"/>
          <w:szCs w:val="26"/>
        </w:rPr>
        <w:t xml:space="preserve">PECO </w:t>
      </w:r>
      <w:r w:rsidR="001511CE">
        <w:rPr>
          <w:rFonts w:ascii="Times New Roman" w:hAnsi="Times New Roman"/>
          <w:sz w:val="26"/>
          <w:szCs w:val="26"/>
        </w:rPr>
        <w:t>stated</w:t>
      </w:r>
      <w:r>
        <w:rPr>
          <w:rFonts w:ascii="Times New Roman" w:hAnsi="Times New Roman"/>
          <w:sz w:val="26"/>
          <w:szCs w:val="26"/>
        </w:rPr>
        <w:t xml:space="preserve"> that</w:t>
      </w:r>
      <w:r w:rsidR="00C15436">
        <w:rPr>
          <w:rFonts w:ascii="Times New Roman" w:hAnsi="Times New Roman"/>
          <w:sz w:val="26"/>
          <w:szCs w:val="26"/>
        </w:rPr>
        <w:t>, as of the date it filed its Reply Exceptions,</w:t>
      </w:r>
      <w:r w:rsidR="00B11C18">
        <w:rPr>
          <w:rFonts w:ascii="Times New Roman" w:hAnsi="Times New Roman"/>
          <w:sz w:val="26"/>
          <w:szCs w:val="26"/>
        </w:rPr>
        <w:t xml:space="preserve"> no copy of the Complainant’s Exceptions had been served on it by either the Complainant or by </w:t>
      </w:r>
      <w:r w:rsidR="00112BD5">
        <w:rPr>
          <w:rFonts w:ascii="Times New Roman" w:hAnsi="Times New Roman"/>
          <w:sz w:val="26"/>
          <w:szCs w:val="26"/>
        </w:rPr>
        <w:t xml:space="preserve">the Commission.  R. Exc. at 1.  We note that the </w:t>
      </w:r>
      <w:r w:rsidR="004277F0">
        <w:rPr>
          <w:rFonts w:ascii="Times New Roman" w:hAnsi="Times New Roman"/>
          <w:sz w:val="26"/>
          <w:szCs w:val="26"/>
        </w:rPr>
        <w:t xml:space="preserve">Certificate of Service accompanying the Exceptions </w:t>
      </w:r>
      <w:r w:rsidR="00112BD5">
        <w:rPr>
          <w:rFonts w:ascii="Times New Roman" w:hAnsi="Times New Roman"/>
          <w:sz w:val="26"/>
          <w:szCs w:val="26"/>
        </w:rPr>
        <w:t xml:space="preserve">had the wrong address for PECO, specifically, the wrong zip code.  Accordingly, </w:t>
      </w:r>
      <w:r w:rsidR="00B76713">
        <w:rPr>
          <w:rFonts w:ascii="Times New Roman" w:hAnsi="Times New Roman"/>
          <w:sz w:val="26"/>
          <w:szCs w:val="26"/>
        </w:rPr>
        <w:t>to ensure the just, speedy and inexpensive d</w:t>
      </w:r>
      <w:r w:rsidR="00EC60D6">
        <w:rPr>
          <w:rFonts w:ascii="Times New Roman" w:hAnsi="Times New Roman"/>
          <w:sz w:val="26"/>
          <w:szCs w:val="26"/>
        </w:rPr>
        <w:t>etermination of this matter, 52 </w:t>
      </w:r>
      <w:r w:rsidR="00B76713">
        <w:rPr>
          <w:rFonts w:ascii="Times New Roman" w:hAnsi="Times New Roman"/>
          <w:sz w:val="26"/>
          <w:szCs w:val="26"/>
        </w:rPr>
        <w:t>Pa. Code § 1.2(a),</w:t>
      </w:r>
      <w:r w:rsidR="00112BD5">
        <w:rPr>
          <w:rFonts w:ascii="Times New Roman" w:hAnsi="Times New Roman"/>
          <w:sz w:val="26"/>
          <w:szCs w:val="26"/>
        </w:rPr>
        <w:t xml:space="preserve"> we will consider PECO’s Reply Exceptions.</w:t>
      </w:r>
    </w:p>
  </w:footnote>
  <w:footnote w:id="3">
    <w:p w:rsidR="00E03B06" w:rsidRPr="00A04A65" w:rsidRDefault="00A04A65">
      <w:pPr>
        <w:pStyle w:val="FootnoteText"/>
        <w:rPr>
          <w:rFonts w:ascii="Times New Roman" w:hAnsi="Times New Roman"/>
          <w:sz w:val="26"/>
          <w:szCs w:val="26"/>
        </w:rPr>
      </w:pPr>
      <w:r>
        <w:rPr>
          <w:rFonts w:ascii="Times New Roman" w:hAnsi="Times New Roman"/>
          <w:sz w:val="26"/>
          <w:szCs w:val="26"/>
        </w:rPr>
        <w:tab/>
      </w:r>
      <w:r w:rsidR="00E03B06" w:rsidRPr="00A04A65">
        <w:rPr>
          <w:rStyle w:val="FootnoteReference"/>
          <w:rFonts w:ascii="Times New Roman" w:hAnsi="Times New Roman"/>
          <w:sz w:val="26"/>
          <w:szCs w:val="26"/>
        </w:rPr>
        <w:footnoteRef/>
      </w:r>
      <w:r>
        <w:rPr>
          <w:rFonts w:ascii="Times New Roman" w:hAnsi="Times New Roman"/>
          <w:sz w:val="26"/>
          <w:szCs w:val="26"/>
        </w:rPr>
        <w:tab/>
      </w:r>
      <w:r w:rsidR="005B17B4">
        <w:rPr>
          <w:rFonts w:ascii="Times New Roman" w:hAnsi="Times New Roman"/>
          <w:sz w:val="26"/>
          <w:szCs w:val="26"/>
        </w:rPr>
        <w:t>The Initial Decision in the consolidated cas</w:t>
      </w:r>
      <w:r w:rsidR="009437F6">
        <w:rPr>
          <w:rFonts w:ascii="Times New Roman" w:hAnsi="Times New Roman"/>
          <w:sz w:val="26"/>
          <w:szCs w:val="26"/>
        </w:rPr>
        <w:t xml:space="preserve">es was issued by ALJ </w:t>
      </w:r>
      <w:r w:rsidR="005B17B4">
        <w:rPr>
          <w:rFonts w:ascii="Times New Roman" w:hAnsi="Times New Roman"/>
          <w:sz w:val="26"/>
          <w:szCs w:val="26"/>
        </w:rPr>
        <w:t xml:space="preserve">Heep under </w:t>
      </w:r>
      <w:r w:rsidR="00A67BBB">
        <w:rPr>
          <w:rFonts w:ascii="Times New Roman" w:hAnsi="Times New Roman"/>
          <w:sz w:val="26"/>
          <w:szCs w:val="26"/>
        </w:rPr>
        <w:t xml:space="preserve">the caption </w:t>
      </w:r>
      <w:r w:rsidR="00A67BBB" w:rsidRPr="00826EA1">
        <w:rPr>
          <w:rFonts w:ascii="Times New Roman" w:hAnsi="Times New Roman"/>
          <w:i/>
          <w:sz w:val="26"/>
          <w:szCs w:val="26"/>
        </w:rPr>
        <w:t>Sporty Smith v. PECO Energy Company</w:t>
      </w:r>
      <w:r w:rsidR="00A67BBB">
        <w:rPr>
          <w:rFonts w:ascii="Times New Roman" w:hAnsi="Times New Roman"/>
          <w:sz w:val="26"/>
          <w:szCs w:val="26"/>
        </w:rPr>
        <w:t xml:space="preserve">, at Docket No. </w:t>
      </w:r>
      <w:r w:rsidR="00D90DF3">
        <w:rPr>
          <w:rFonts w:ascii="Times New Roman" w:hAnsi="Times New Roman"/>
          <w:sz w:val="26"/>
          <w:szCs w:val="26"/>
        </w:rPr>
        <w:br/>
      </w:r>
      <w:r w:rsidR="00A67BBB">
        <w:rPr>
          <w:rFonts w:ascii="Times New Roman" w:hAnsi="Times New Roman"/>
          <w:sz w:val="26"/>
          <w:szCs w:val="26"/>
        </w:rPr>
        <w:t>F</w:t>
      </w:r>
      <w:r w:rsidR="00A67BBB">
        <w:rPr>
          <w:rFonts w:ascii="Times New Roman" w:hAnsi="Times New Roman"/>
          <w:sz w:val="26"/>
          <w:szCs w:val="26"/>
        </w:rPr>
        <w:noBreakHyphen/>
      </w:r>
      <w:r w:rsidR="005B17B4">
        <w:rPr>
          <w:rFonts w:ascii="Times New Roman" w:hAnsi="Times New Roman"/>
          <w:sz w:val="26"/>
          <w:szCs w:val="26"/>
        </w:rPr>
        <w:t>2008-</w:t>
      </w:r>
      <w:r w:rsidR="00A67BBB">
        <w:rPr>
          <w:rFonts w:ascii="Times New Roman" w:hAnsi="Times New Roman"/>
          <w:sz w:val="26"/>
          <w:szCs w:val="26"/>
        </w:rPr>
        <w:t>2059928</w:t>
      </w:r>
      <w:r w:rsidR="003B4EBC">
        <w:rPr>
          <w:rFonts w:ascii="Times New Roman" w:hAnsi="Times New Roman"/>
          <w:sz w:val="26"/>
          <w:szCs w:val="26"/>
        </w:rPr>
        <w:t xml:space="preserve"> (</w:t>
      </w:r>
      <w:r w:rsidR="003B4EBC">
        <w:rPr>
          <w:rFonts w:ascii="Times New Roman" w:hAnsi="Times New Roman"/>
          <w:i/>
          <w:sz w:val="26"/>
          <w:szCs w:val="26"/>
        </w:rPr>
        <w:t>Sporty Smith v. PECO</w:t>
      </w:r>
      <w:r w:rsidR="003B4EBC">
        <w:rPr>
          <w:rFonts w:ascii="Times New Roman" w:hAnsi="Times New Roman"/>
          <w:sz w:val="26"/>
          <w:szCs w:val="26"/>
        </w:rPr>
        <w:t>)</w:t>
      </w:r>
      <w:r w:rsidR="00A67BBB">
        <w:rPr>
          <w:rFonts w:ascii="Times New Roman" w:hAnsi="Times New Roman"/>
          <w:sz w:val="26"/>
          <w:szCs w:val="26"/>
        </w:rPr>
        <w:t xml:space="preserve">.  In her Initial Decision, ALJ Heep ordered as follows: </w:t>
      </w:r>
      <w:r w:rsidR="00EC60D6">
        <w:rPr>
          <w:rFonts w:ascii="Times New Roman" w:hAnsi="Times New Roman"/>
          <w:sz w:val="26"/>
          <w:szCs w:val="26"/>
        </w:rPr>
        <w:t xml:space="preserve"> </w:t>
      </w:r>
      <w:r w:rsidR="00A67BBB">
        <w:rPr>
          <w:rFonts w:ascii="Times New Roman" w:hAnsi="Times New Roman"/>
          <w:sz w:val="26"/>
          <w:szCs w:val="26"/>
        </w:rPr>
        <w:t>(1) that</w:t>
      </w:r>
      <w:r w:rsidR="00F451EA">
        <w:rPr>
          <w:rFonts w:ascii="Times New Roman" w:hAnsi="Times New Roman"/>
          <w:sz w:val="26"/>
          <w:szCs w:val="26"/>
        </w:rPr>
        <w:t xml:space="preserve"> the relief requested in the Complaint </w:t>
      </w:r>
      <w:r w:rsidR="00D90DF3">
        <w:rPr>
          <w:rFonts w:ascii="Times New Roman" w:hAnsi="Times New Roman"/>
          <w:sz w:val="26"/>
          <w:szCs w:val="26"/>
        </w:rPr>
        <w:t>be</w:t>
      </w:r>
      <w:r w:rsidR="00F451EA">
        <w:rPr>
          <w:rFonts w:ascii="Times New Roman" w:hAnsi="Times New Roman"/>
          <w:sz w:val="26"/>
          <w:szCs w:val="26"/>
        </w:rPr>
        <w:t xml:space="preserve"> granted, in part, and denied, in part; (2) that PECO credit Sporty Smith for late charges assessed for June and July 2007; (3) that the Complaint </w:t>
      </w:r>
      <w:r w:rsidR="00D90DF3">
        <w:rPr>
          <w:rFonts w:ascii="Times New Roman" w:hAnsi="Times New Roman"/>
          <w:sz w:val="26"/>
          <w:szCs w:val="26"/>
        </w:rPr>
        <w:t>be</w:t>
      </w:r>
      <w:r w:rsidR="00F451EA">
        <w:rPr>
          <w:rFonts w:ascii="Times New Roman" w:hAnsi="Times New Roman"/>
          <w:sz w:val="26"/>
          <w:szCs w:val="26"/>
        </w:rPr>
        <w:t xml:space="preserve"> denied in all other respects; and (4) that the case be marked</w:t>
      </w:r>
      <w:r w:rsidR="00826EA1">
        <w:rPr>
          <w:rFonts w:ascii="Times New Roman" w:hAnsi="Times New Roman"/>
          <w:sz w:val="26"/>
          <w:szCs w:val="26"/>
        </w:rPr>
        <w:t xml:space="preserve"> closed.  </w:t>
      </w:r>
      <w:r w:rsidR="00CB3947" w:rsidRPr="001E2AE3">
        <w:rPr>
          <w:rFonts w:ascii="Times New Roman" w:hAnsi="Times New Roman"/>
          <w:i/>
          <w:sz w:val="26"/>
          <w:szCs w:val="26"/>
        </w:rPr>
        <w:t>Id</w:t>
      </w:r>
      <w:r w:rsidR="00CB3947">
        <w:rPr>
          <w:rFonts w:ascii="Times New Roman" w:hAnsi="Times New Roman"/>
          <w:sz w:val="26"/>
          <w:szCs w:val="26"/>
        </w:rPr>
        <w:t>.</w:t>
      </w:r>
      <w:r w:rsidR="00826EA1">
        <w:rPr>
          <w:rFonts w:ascii="Times New Roman" w:hAnsi="Times New Roman"/>
          <w:sz w:val="26"/>
          <w:szCs w:val="26"/>
        </w:rPr>
        <w:t xml:space="preserve"> at 18.</w:t>
      </w:r>
      <w:r w:rsidR="00F451EA">
        <w:rPr>
          <w:rFonts w:ascii="Times New Roman" w:hAnsi="Times New Roman"/>
          <w:sz w:val="26"/>
          <w:szCs w:val="26"/>
        </w:rPr>
        <w:t xml:space="preserve"> </w:t>
      </w:r>
      <w:r>
        <w:rPr>
          <w:rFonts w:ascii="Times New Roman" w:hAnsi="Times New Roman"/>
          <w:sz w:val="26"/>
          <w:szCs w:val="26"/>
        </w:rPr>
        <w:tab/>
      </w:r>
      <w:r w:rsidR="00E03B06" w:rsidRPr="00A04A65">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218F"/>
    <w:multiLevelType w:val="hybridMultilevel"/>
    <w:tmpl w:val="960E0F0A"/>
    <w:lvl w:ilvl="0" w:tplc="B96019FE">
      <w:start w:val="1"/>
      <w:numFmt w:val="lowerLetter"/>
      <w:lvlText w:val="(%1)"/>
      <w:lvlJc w:val="left"/>
      <w:pPr>
        <w:ind w:left="1834" w:hanging="420"/>
      </w:pPr>
      <w:rPr>
        <w:rFonts w:hint="default"/>
      </w:r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1">
    <w:nsid w:val="15D12A9A"/>
    <w:multiLevelType w:val="hybridMultilevel"/>
    <w:tmpl w:val="020E2F40"/>
    <w:lvl w:ilvl="0" w:tplc="F91A098E">
      <w:start w:val="1"/>
      <w:numFmt w:val="decimal"/>
      <w:lvlText w:val="(%1)"/>
      <w:lvlJc w:val="left"/>
      <w:pPr>
        <w:ind w:left="1956" w:hanging="396"/>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BA87DF0"/>
    <w:multiLevelType w:val="hybridMultilevel"/>
    <w:tmpl w:val="2946D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24360"/>
    <w:multiLevelType w:val="hybridMultilevel"/>
    <w:tmpl w:val="AA04E2D2"/>
    <w:lvl w:ilvl="0" w:tplc="4C40B0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0E372F5"/>
    <w:multiLevelType w:val="hybridMultilevel"/>
    <w:tmpl w:val="0544610A"/>
    <w:lvl w:ilvl="0" w:tplc="C6CC202E">
      <w:start w:val="1"/>
      <w:numFmt w:val="decimal"/>
      <w:lvlText w:val="(%1)"/>
      <w:lvlJc w:val="left"/>
      <w:pPr>
        <w:ind w:left="1984" w:hanging="435"/>
      </w:pPr>
      <w:rPr>
        <w:rFonts w:hint="default"/>
      </w:r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51D6"/>
    <w:rsid w:val="00005D37"/>
    <w:rsid w:val="00005DDE"/>
    <w:rsid w:val="00006685"/>
    <w:rsid w:val="00006F35"/>
    <w:rsid w:val="0000716E"/>
    <w:rsid w:val="00014D0B"/>
    <w:rsid w:val="000156F8"/>
    <w:rsid w:val="00016D57"/>
    <w:rsid w:val="00017852"/>
    <w:rsid w:val="000215F2"/>
    <w:rsid w:val="00021E46"/>
    <w:rsid w:val="00022B74"/>
    <w:rsid w:val="0002524C"/>
    <w:rsid w:val="00025F3F"/>
    <w:rsid w:val="00026CD2"/>
    <w:rsid w:val="00031B2E"/>
    <w:rsid w:val="000321C5"/>
    <w:rsid w:val="00032DA6"/>
    <w:rsid w:val="000331D0"/>
    <w:rsid w:val="000337F5"/>
    <w:rsid w:val="00040A8E"/>
    <w:rsid w:val="00040AEA"/>
    <w:rsid w:val="00041754"/>
    <w:rsid w:val="00041864"/>
    <w:rsid w:val="00042A74"/>
    <w:rsid w:val="00044833"/>
    <w:rsid w:val="00046980"/>
    <w:rsid w:val="00047780"/>
    <w:rsid w:val="00047874"/>
    <w:rsid w:val="00047F4A"/>
    <w:rsid w:val="00051C8E"/>
    <w:rsid w:val="000523D1"/>
    <w:rsid w:val="00052B8F"/>
    <w:rsid w:val="00052BBB"/>
    <w:rsid w:val="00053536"/>
    <w:rsid w:val="00053FFA"/>
    <w:rsid w:val="00054612"/>
    <w:rsid w:val="0005572E"/>
    <w:rsid w:val="00056286"/>
    <w:rsid w:val="000612FD"/>
    <w:rsid w:val="000642AA"/>
    <w:rsid w:val="000649EC"/>
    <w:rsid w:val="00065BEF"/>
    <w:rsid w:val="00066A00"/>
    <w:rsid w:val="00066E08"/>
    <w:rsid w:val="00066EE5"/>
    <w:rsid w:val="00067260"/>
    <w:rsid w:val="0007132F"/>
    <w:rsid w:val="00072291"/>
    <w:rsid w:val="00072808"/>
    <w:rsid w:val="00073B25"/>
    <w:rsid w:val="00076F35"/>
    <w:rsid w:val="00084573"/>
    <w:rsid w:val="00084AF9"/>
    <w:rsid w:val="000918D4"/>
    <w:rsid w:val="00093164"/>
    <w:rsid w:val="0009612D"/>
    <w:rsid w:val="00097504"/>
    <w:rsid w:val="00097BC9"/>
    <w:rsid w:val="000A0020"/>
    <w:rsid w:val="000A04D0"/>
    <w:rsid w:val="000A230B"/>
    <w:rsid w:val="000A365D"/>
    <w:rsid w:val="000B216D"/>
    <w:rsid w:val="000B2755"/>
    <w:rsid w:val="000B4B44"/>
    <w:rsid w:val="000B4EAE"/>
    <w:rsid w:val="000B5238"/>
    <w:rsid w:val="000B607A"/>
    <w:rsid w:val="000B6B15"/>
    <w:rsid w:val="000B720A"/>
    <w:rsid w:val="000C2AE3"/>
    <w:rsid w:val="000C3711"/>
    <w:rsid w:val="000C3C0C"/>
    <w:rsid w:val="000C4201"/>
    <w:rsid w:val="000C4FEB"/>
    <w:rsid w:val="000C50BE"/>
    <w:rsid w:val="000C6480"/>
    <w:rsid w:val="000C709A"/>
    <w:rsid w:val="000C7962"/>
    <w:rsid w:val="000D1B63"/>
    <w:rsid w:val="000D2998"/>
    <w:rsid w:val="000D50D8"/>
    <w:rsid w:val="000E6913"/>
    <w:rsid w:val="000F179E"/>
    <w:rsid w:val="000F1B1B"/>
    <w:rsid w:val="000F1C6E"/>
    <w:rsid w:val="000F1F05"/>
    <w:rsid w:val="000F4307"/>
    <w:rsid w:val="000F5345"/>
    <w:rsid w:val="000F72F0"/>
    <w:rsid w:val="001009DE"/>
    <w:rsid w:val="00100DC2"/>
    <w:rsid w:val="0010158F"/>
    <w:rsid w:val="00101F51"/>
    <w:rsid w:val="001026CA"/>
    <w:rsid w:val="001029FA"/>
    <w:rsid w:val="00103182"/>
    <w:rsid w:val="0010385A"/>
    <w:rsid w:val="00104D9B"/>
    <w:rsid w:val="001064E0"/>
    <w:rsid w:val="0010722C"/>
    <w:rsid w:val="00107286"/>
    <w:rsid w:val="00111CDF"/>
    <w:rsid w:val="00112097"/>
    <w:rsid w:val="001128B2"/>
    <w:rsid w:val="00112BD5"/>
    <w:rsid w:val="00116066"/>
    <w:rsid w:val="00117059"/>
    <w:rsid w:val="00117CB2"/>
    <w:rsid w:val="00117FF3"/>
    <w:rsid w:val="001200BB"/>
    <w:rsid w:val="00120B39"/>
    <w:rsid w:val="001238E5"/>
    <w:rsid w:val="00123A2E"/>
    <w:rsid w:val="00124071"/>
    <w:rsid w:val="00124B3D"/>
    <w:rsid w:val="00124ED7"/>
    <w:rsid w:val="001252AA"/>
    <w:rsid w:val="001267D4"/>
    <w:rsid w:val="00126A2E"/>
    <w:rsid w:val="00131227"/>
    <w:rsid w:val="0013191B"/>
    <w:rsid w:val="001323F1"/>
    <w:rsid w:val="00132D59"/>
    <w:rsid w:val="00133F54"/>
    <w:rsid w:val="00135972"/>
    <w:rsid w:val="00136015"/>
    <w:rsid w:val="001360FC"/>
    <w:rsid w:val="001418DE"/>
    <w:rsid w:val="001435C6"/>
    <w:rsid w:val="001447A0"/>
    <w:rsid w:val="0014497F"/>
    <w:rsid w:val="00145772"/>
    <w:rsid w:val="00146DDD"/>
    <w:rsid w:val="00146E58"/>
    <w:rsid w:val="00147145"/>
    <w:rsid w:val="00150096"/>
    <w:rsid w:val="001508E4"/>
    <w:rsid w:val="001511CE"/>
    <w:rsid w:val="001514DA"/>
    <w:rsid w:val="0015380A"/>
    <w:rsid w:val="00154CB6"/>
    <w:rsid w:val="0016497F"/>
    <w:rsid w:val="00164DA4"/>
    <w:rsid w:val="00166298"/>
    <w:rsid w:val="001663C8"/>
    <w:rsid w:val="00173AAB"/>
    <w:rsid w:val="00174340"/>
    <w:rsid w:val="00174ACD"/>
    <w:rsid w:val="00174D3D"/>
    <w:rsid w:val="001755FE"/>
    <w:rsid w:val="00175D06"/>
    <w:rsid w:val="00177474"/>
    <w:rsid w:val="00177C86"/>
    <w:rsid w:val="00181C4F"/>
    <w:rsid w:val="00182478"/>
    <w:rsid w:val="00183D69"/>
    <w:rsid w:val="001843E8"/>
    <w:rsid w:val="001851D6"/>
    <w:rsid w:val="00186A97"/>
    <w:rsid w:val="0019530E"/>
    <w:rsid w:val="00195F2E"/>
    <w:rsid w:val="00196237"/>
    <w:rsid w:val="00196CE3"/>
    <w:rsid w:val="001A60BC"/>
    <w:rsid w:val="001A6A3C"/>
    <w:rsid w:val="001A7045"/>
    <w:rsid w:val="001B1DB4"/>
    <w:rsid w:val="001B2A0F"/>
    <w:rsid w:val="001C2425"/>
    <w:rsid w:val="001C2E74"/>
    <w:rsid w:val="001C4978"/>
    <w:rsid w:val="001C5A72"/>
    <w:rsid w:val="001C6100"/>
    <w:rsid w:val="001C78C5"/>
    <w:rsid w:val="001D0ED2"/>
    <w:rsid w:val="001D2D7D"/>
    <w:rsid w:val="001E0B61"/>
    <w:rsid w:val="001E1276"/>
    <w:rsid w:val="001E2AE3"/>
    <w:rsid w:val="001E2DE7"/>
    <w:rsid w:val="001F252F"/>
    <w:rsid w:val="001F285E"/>
    <w:rsid w:val="00202524"/>
    <w:rsid w:val="00206850"/>
    <w:rsid w:val="00210736"/>
    <w:rsid w:val="00210F81"/>
    <w:rsid w:val="00211622"/>
    <w:rsid w:val="002117D4"/>
    <w:rsid w:val="00211F4C"/>
    <w:rsid w:val="00212C0F"/>
    <w:rsid w:val="00214B3E"/>
    <w:rsid w:val="0021600E"/>
    <w:rsid w:val="002162F3"/>
    <w:rsid w:val="0021654E"/>
    <w:rsid w:val="00217196"/>
    <w:rsid w:val="0022099B"/>
    <w:rsid w:val="00222DA1"/>
    <w:rsid w:val="00223B38"/>
    <w:rsid w:val="00225EE2"/>
    <w:rsid w:val="0022698E"/>
    <w:rsid w:val="0022745E"/>
    <w:rsid w:val="00227912"/>
    <w:rsid w:val="002311EE"/>
    <w:rsid w:val="002359ED"/>
    <w:rsid w:val="002370F5"/>
    <w:rsid w:val="002376C9"/>
    <w:rsid w:val="00240ACA"/>
    <w:rsid w:val="00240D7B"/>
    <w:rsid w:val="00241299"/>
    <w:rsid w:val="0024284E"/>
    <w:rsid w:val="002449F2"/>
    <w:rsid w:val="00250E4A"/>
    <w:rsid w:val="00251606"/>
    <w:rsid w:val="00251814"/>
    <w:rsid w:val="00251B0C"/>
    <w:rsid w:val="00255462"/>
    <w:rsid w:val="002567A2"/>
    <w:rsid w:val="00260957"/>
    <w:rsid w:val="0026196D"/>
    <w:rsid w:val="002637CD"/>
    <w:rsid w:val="00264646"/>
    <w:rsid w:val="00265D36"/>
    <w:rsid w:val="0026689A"/>
    <w:rsid w:val="0026789E"/>
    <w:rsid w:val="00267F00"/>
    <w:rsid w:val="00270AAA"/>
    <w:rsid w:val="002717A8"/>
    <w:rsid w:val="0027216E"/>
    <w:rsid w:val="0027232D"/>
    <w:rsid w:val="00273193"/>
    <w:rsid w:val="00274D0F"/>
    <w:rsid w:val="00276BDD"/>
    <w:rsid w:val="00277500"/>
    <w:rsid w:val="00281A5F"/>
    <w:rsid w:val="00285022"/>
    <w:rsid w:val="0028655B"/>
    <w:rsid w:val="002873F4"/>
    <w:rsid w:val="00287484"/>
    <w:rsid w:val="00290701"/>
    <w:rsid w:val="0029158F"/>
    <w:rsid w:val="00291600"/>
    <w:rsid w:val="00291F68"/>
    <w:rsid w:val="002925CA"/>
    <w:rsid w:val="002928EB"/>
    <w:rsid w:val="00297174"/>
    <w:rsid w:val="002A060A"/>
    <w:rsid w:val="002A135B"/>
    <w:rsid w:val="002A378A"/>
    <w:rsid w:val="002A4450"/>
    <w:rsid w:val="002A6750"/>
    <w:rsid w:val="002A6F7C"/>
    <w:rsid w:val="002B2296"/>
    <w:rsid w:val="002B4407"/>
    <w:rsid w:val="002B67B7"/>
    <w:rsid w:val="002C0429"/>
    <w:rsid w:val="002C19E4"/>
    <w:rsid w:val="002C6CC4"/>
    <w:rsid w:val="002D0B52"/>
    <w:rsid w:val="002D13C4"/>
    <w:rsid w:val="002D21EA"/>
    <w:rsid w:val="002D275E"/>
    <w:rsid w:val="002D37FB"/>
    <w:rsid w:val="002D4890"/>
    <w:rsid w:val="002D6357"/>
    <w:rsid w:val="002D7584"/>
    <w:rsid w:val="002E037E"/>
    <w:rsid w:val="002E1562"/>
    <w:rsid w:val="002E3026"/>
    <w:rsid w:val="002E339B"/>
    <w:rsid w:val="002E3F06"/>
    <w:rsid w:val="002E6FFA"/>
    <w:rsid w:val="002E7F8F"/>
    <w:rsid w:val="002F1C45"/>
    <w:rsid w:val="002F1FF4"/>
    <w:rsid w:val="002F3627"/>
    <w:rsid w:val="002F3F04"/>
    <w:rsid w:val="002F41BA"/>
    <w:rsid w:val="002F5ED5"/>
    <w:rsid w:val="002F60EB"/>
    <w:rsid w:val="002F79AC"/>
    <w:rsid w:val="003003FC"/>
    <w:rsid w:val="00300BF6"/>
    <w:rsid w:val="00300E62"/>
    <w:rsid w:val="003018AA"/>
    <w:rsid w:val="00303B99"/>
    <w:rsid w:val="00304F7F"/>
    <w:rsid w:val="003051DA"/>
    <w:rsid w:val="00306BB6"/>
    <w:rsid w:val="0030714F"/>
    <w:rsid w:val="0030722E"/>
    <w:rsid w:val="003073E2"/>
    <w:rsid w:val="00307A66"/>
    <w:rsid w:val="00307DDF"/>
    <w:rsid w:val="003133D0"/>
    <w:rsid w:val="00314A43"/>
    <w:rsid w:val="0031679C"/>
    <w:rsid w:val="00321A17"/>
    <w:rsid w:val="00322040"/>
    <w:rsid w:val="00322170"/>
    <w:rsid w:val="0032224F"/>
    <w:rsid w:val="003224D9"/>
    <w:rsid w:val="00323FBE"/>
    <w:rsid w:val="003240B8"/>
    <w:rsid w:val="00325422"/>
    <w:rsid w:val="003255A0"/>
    <w:rsid w:val="00327DEC"/>
    <w:rsid w:val="00331CA2"/>
    <w:rsid w:val="00333FDA"/>
    <w:rsid w:val="003340DE"/>
    <w:rsid w:val="0033598C"/>
    <w:rsid w:val="0033690B"/>
    <w:rsid w:val="00340217"/>
    <w:rsid w:val="00340D19"/>
    <w:rsid w:val="00344804"/>
    <w:rsid w:val="00345B6D"/>
    <w:rsid w:val="0034743D"/>
    <w:rsid w:val="003474F8"/>
    <w:rsid w:val="003518C8"/>
    <w:rsid w:val="0035304F"/>
    <w:rsid w:val="003533B5"/>
    <w:rsid w:val="003552F8"/>
    <w:rsid w:val="00355479"/>
    <w:rsid w:val="00361884"/>
    <w:rsid w:val="003622CA"/>
    <w:rsid w:val="00363030"/>
    <w:rsid w:val="0036462C"/>
    <w:rsid w:val="00364A42"/>
    <w:rsid w:val="003673C5"/>
    <w:rsid w:val="003755FB"/>
    <w:rsid w:val="0037577C"/>
    <w:rsid w:val="0038293E"/>
    <w:rsid w:val="00384ED2"/>
    <w:rsid w:val="00385502"/>
    <w:rsid w:val="00385E4D"/>
    <w:rsid w:val="00386D50"/>
    <w:rsid w:val="00390DCA"/>
    <w:rsid w:val="0039189F"/>
    <w:rsid w:val="00391A43"/>
    <w:rsid w:val="00391BA7"/>
    <w:rsid w:val="00393B15"/>
    <w:rsid w:val="003956D4"/>
    <w:rsid w:val="003A1757"/>
    <w:rsid w:val="003A1FE9"/>
    <w:rsid w:val="003A29DE"/>
    <w:rsid w:val="003B055B"/>
    <w:rsid w:val="003B0611"/>
    <w:rsid w:val="003B16DD"/>
    <w:rsid w:val="003B42D9"/>
    <w:rsid w:val="003B4EBC"/>
    <w:rsid w:val="003B51C4"/>
    <w:rsid w:val="003C112D"/>
    <w:rsid w:val="003C3140"/>
    <w:rsid w:val="003C385B"/>
    <w:rsid w:val="003C3E02"/>
    <w:rsid w:val="003C3FE8"/>
    <w:rsid w:val="003C4F77"/>
    <w:rsid w:val="003C73F9"/>
    <w:rsid w:val="003C74E7"/>
    <w:rsid w:val="003D56B8"/>
    <w:rsid w:val="003D5F07"/>
    <w:rsid w:val="003D6AB5"/>
    <w:rsid w:val="003D746C"/>
    <w:rsid w:val="003E3194"/>
    <w:rsid w:val="003E3931"/>
    <w:rsid w:val="003E3FF5"/>
    <w:rsid w:val="003E4DAA"/>
    <w:rsid w:val="003E5354"/>
    <w:rsid w:val="003E5D21"/>
    <w:rsid w:val="003F022E"/>
    <w:rsid w:val="003F0AD3"/>
    <w:rsid w:val="003F3283"/>
    <w:rsid w:val="003F4ABB"/>
    <w:rsid w:val="003F4E46"/>
    <w:rsid w:val="003F51F4"/>
    <w:rsid w:val="003F52C6"/>
    <w:rsid w:val="003F558E"/>
    <w:rsid w:val="003F673B"/>
    <w:rsid w:val="00400DF2"/>
    <w:rsid w:val="00403D6E"/>
    <w:rsid w:val="00407AC0"/>
    <w:rsid w:val="00412E30"/>
    <w:rsid w:val="00413D22"/>
    <w:rsid w:val="0041442B"/>
    <w:rsid w:val="00415C2D"/>
    <w:rsid w:val="004170AF"/>
    <w:rsid w:val="00421CDB"/>
    <w:rsid w:val="004277F0"/>
    <w:rsid w:val="00427D23"/>
    <w:rsid w:val="004326FB"/>
    <w:rsid w:val="00432BB7"/>
    <w:rsid w:val="004331E9"/>
    <w:rsid w:val="00433AAE"/>
    <w:rsid w:val="00433D86"/>
    <w:rsid w:val="00433E8D"/>
    <w:rsid w:val="00434080"/>
    <w:rsid w:val="0043592C"/>
    <w:rsid w:val="004409C6"/>
    <w:rsid w:val="004411B9"/>
    <w:rsid w:val="00441207"/>
    <w:rsid w:val="004422CA"/>
    <w:rsid w:val="00443670"/>
    <w:rsid w:val="00443807"/>
    <w:rsid w:val="0044452E"/>
    <w:rsid w:val="00444EB8"/>
    <w:rsid w:val="004462F7"/>
    <w:rsid w:val="00447209"/>
    <w:rsid w:val="004475FA"/>
    <w:rsid w:val="00450227"/>
    <w:rsid w:val="00450C6D"/>
    <w:rsid w:val="00453944"/>
    <w:rsid w:val="00455B43"/>
    <w:rsid w:val="00455CB7"/>
    <w:rsid w:val="00457E69"/>
    <w:rsid w:val="0046019D"/>
    <w:rsid w:val="00460259"/>
    <w:rsid w:val="0046102A"/>
    <w:rsid w:val="00464536"/>
    <w:rsid w:val="00464FC5"/>
    <w:rsid w:val="0046514E"/>
    <w:rsid w:val="004652DA"/>
    <w:rsid w:val="0046623C"/>
    <w:rsid w:val="00467469"/>
    <w:rsid w:val="004675F8"/>
    <w:rsid w:val="00467739"/>
    <w:rsid w:val="00470D0C"/>
    <w:rsid w:val="00471B79"/>
    <w:rsid w:val="00473AC7"/>
    <w:rsid w:val="00474E22"/>
    <w:rsid w:val="00475935"/>
    <w:rsid w:val="00475A68"/>
    <w:rsid w:val="0047608F"/>
    <w:rsid w:val="00476554"/>
    <w:rsid w:val="0048055E"/>
    <w:rsid w:val="004813D4"/>
    <w:rsid w:val="00486F5B"/>
    <w:rsid w:val="00491D91"/>
    <w:rsid w:val="00491E91"/>
    <w:rsid w:val="0049243A"/>
    <w:rsid w:val="00493C66"/>
    <w:rsid w:val="0049580C"/>
    <w:rsid w:val="004965D4"/>
    <w:rsid w:val="00497579"/>
    <w:rsid w:val="0049768F"/>
    <w:rsid w:val="004A04E5"/>
    <w:rsid w:val="004A1495"/>
    <w:rsid w:val="004A2165"/>
    <w:rsid w:val="004A5F74"/>
    <w:rsid w:val="004B1052"/>
    <w:rsid w:val="004B25A2"/>
    <w:rsid w:val="004B5B7A"/>
    <w:rsid w:val="004B66EA"/>
    <w:rsid w:val="004B6B14"/>
    <w:rsid w:val="004C24B6"/>
    <w:rsid w:val="004C47F0"/>
    <w:rsid w:val="004C6F63"/>
    <w:rsid w:val="004D1333"/>
    <w:rsid w:val="004D2DE1"/>
    <w:rsid w:val="004D3CDC"/>
    <w:rsid w:val="004D3F35"/>
    <w:rsid w:val="004D5372"/>
    <w:rsid w:val="004D60A9"/>
    <w:rsid w:val="004D7340"/>
    <w:rsid w:val="004E10E3"/>
    <w:rsid w:val="004E2AA8"/>
    <w:rsid w:val="004E47EC"/>
    <w:rsid w:val="004E513F"/>
    <w:rsid w:val="004E514F"/>
    <w:rsid w:val="004E6309"/>
    <w:rsid w:val="004E737F"/>
    <w:rsid w:val="004F028C"/>
    <w:rsid w:val="004F0398"/>
    <w:rsid w:val="004F03DE"/>
    <w:rsid w:val="004F1FB0"/>
    <w:rsid w:val="004F22DA"/>
    <w:rsid w:val="004F2AD9"/>
    <w:rsid w:val="004F65A4"/>
    <w:rsid w:val="005011D1"/>
    <w:rsid w:val="00502165"/>
    <w:rsid w:val="005028E6"/>
    <w:rsid w:val="00502CDB"/>
    <w:rsid w:val="00504834"/>
    <w:rsid w:val="00504C7A"/>
    <w:rsid w:val="005056A9"/>
    <w:rsid w:val="00505AEE"/>
    <w:rsid w:val="00505C29"/>
    <w:rsid w:val="0050632E"/>
    <w:rsid w:val="0050752D"/>
    <w:rsid w:val="00511EF3"/>
    <w:rsid w:val="00513710"/>
    <w:rsid w:val="00513E40"/>
    <w:rsid w:val="00514507"/>
    <w:rsid w:val="005148FD"/>
    <w:rsid w:val="00515C3D"/>
    <w:rsid w:val="00516933"/>
    <w:rsid w:val="0051751C"/>
    <w:rsid w:val="00521350"/>
    <w:rsid w:val="00523FB6"/>
    <w:rsid w:val="00524819"/>
    <w:rsid w:val="005250CE"/>
    <w:rsid w:val="0052529E"/>
    <w:rsid w:val="0052586A"/>
    <w:rsid w:val="00527769"/>
    <w:rsid w:val="0053248E"/>
    <w:rsid w:val="00534D85"/>
    <w:rsid w:val="005351B9"/>
    <w:rsid w:val="00536011"/>
    <w:rsid w:val="005361BE"/>
    <w:rsid w:val="00536C2A"/>
    <w:rsid w:val="00540287"/>
    <w:rsid w:val="005410B3"/>
    <w:rsid w:val="00541207"/>
    <w:rsid w:val="00541252"/>
    <w:rsid w:val="005418FE"/>
    <w:rsid w:val="0054342A"/>
    <w:rsid w:val="00545E1F"/>
    <w:rsid w:val="005500CA"/>
    <w:rsid w:val="00550B79"/>
    <w:rsid w:val="00551012"/>
    <w:rsid w:val="0055150B"/>
    <w:rsid w:val="005532F9"/>
    <w:rsid w:val="0055440B"/>
    <w:rsid w:val="00556F74"/>
    <w:rsid w:val="0055708D"/>
    <w:rsid w:val="00561CA6"/>
    <w:rsid w:val="00561DBE"/>
    <w:rsid w:val="00563F93"/>
    <w:rsid w:val="00564565"/>
    <w:rsid w:val="005647BE"/>
    <w:rsid w:val="00565FD3"/>
    <w:rsid w:val="00566299"/>
    <w:rsid w:val="00571326"/>
    <w:rsid w:val="005722B0"/>
    <w:rsid w:val="005725F6"/>
    <w:rsid w:val="00581D16"/>
    <w:rsid w:val="005856F9"/>
    <w:rsid w:val="00586817"/>
    <w:rsid w:val="005868E8"/>
    <w:rsid w:val="00586D92"/>
    <w:rsid w:val="00586E7E"/>
    <w:rsid w:val="00587507"/>
    <w:rsid w:val="0059220B"/>
    <w:rsid w:val="005925F3"/>
    <w:rsid w:val="005936C0"/>
    <w:rsid w:val="00595879"/>
    <w:rsid w:val="005959F3"/>
    <w:rsid w:val="00596A0B"/>
    <w:rsid w:val="00596E05"/>
    <w:rsid w:val="00596F85"/>
    <w:rsid w:val="005970FA"/>
    <w:rsid w:val="005A0176"/>
    <w:rsid w:val="005A088E"/>
    <w:rsid w:val="005A135D"/>
    <w:rsid w:val="005A1D36"/>
    <w:rsid w:val="005A2298"/>
    <w:rsid w:val="005A28C1"/>
    <w:rsid w:val="005A445D"/>
    <w:rsid w:val="005A72FC"/>
    <w:rsid w:val="005A7717"/>
    <w:rsid w:val="005B0388"/>
    <w:rsid w:val="005B109A"/>
    <w:rsid w:val="005B17B4"/>
    <w:rsid w:val="005C1658"/>
    <w:rsid w:val="005C2FD5"/>
    <w:rsid w:val="005C3794"/>
    <w:rsid w:val="005C5378"/>
    <w:rsid w:val="005C593B"/>
    <w:rsid w:val="005C5F55"/>
    <w:rsid w:val="005C671C"/>
    <w:rsid w:val="005C7467"/>
    <w:rsid w:val="005D2AB9"/>
    <w:rsid w:val="005D34E2"/>
    <w:rsid w:val="005D496E"/>
    <w:rsid w:val="005D4B28"/>
    <w:rsid w:val="005D564C"/>
    <w:rsid w:val="005D6E35"/>
    <w:rsid w:val="005D7C20"/>
    <w:rsid w:val="005E03C1"/>
    <w:rsid w:val="005E1E76"/>
    <w:rsid w:val="005E3119"/>
    <w:rsid w:val="005E3F0B"/>
    <w:rsid w:val="005E6960"/>
    <w:rsid w:val="005E70FA"/>
    <w:rsid w:val="005E767E"/>
    <w:rsid w:val="005E7EB8"/>
    <w:rsid w:val="005F08B2"/>
    <w:rsid w:val="005F18D6"/>
    <w:rsid w:val="005F1F51"/>
    <w:rsid w:val="005F3D82"/>
    <w:rsid w:val="005F5015"/>
    <w:rsid w:val="005F5307"/>
    <w:rsid w:val="005F65CD"/>
    <w:rsid w:val="006018AE"/>
    <w:rsid w:val="00603024"/>
    <w:rsid w:val="006036E2"/>
    <w:rsid w:val="006049DF"/>
    <w:rsid w:val="0060509C"/>
    <w:rsid w:val="00605D32"/>
    <w:rsid w:val="006116E3"/>
    <w:rsid w:val="006119E0"/>
    <w:rsid w:val="00614097"/>
    <w:rsid w:val="00614EAD"/>
    <w:rsid w:val="006169BC"/>
    <w:rsid w:val="00616A5A"/>
    <w:rsid w:val="00617D24"/>
    <w:rsid w:val="006205AE"/>
    <w:rsid w:val="00620C26"/>
    <w:rsid w:val="006225E8"/>
    <w:rsid w:val="0062374E"/>
    <w:rsid w:val="00624400"/>
    <w:rsid w:val="00624E51"/>
    <w:rsid w:val="0062607F"/>
    <w:rsid w:val="00626162"/>
    <w:rsid w:val="00630FA5"/>
    <w:rsid w:val="00634719"/>
    <w:rsid w:val="00634A02"/>
    <w:rsid w:val="00634E65"/>
    <w:rsid w:val="00635B20"/>
    <w:rsid w:val="00636350"/>
    <w:rsid w:val="006375FE"/>
    <w:rsid w:val="006404BC"/>
    <w:rsid w:val="00641899"/>
    <w:rsid w:val="00644D1F"/>
    <w:rsid w:val="006503E8"/>
    <w:rsid w:val="00651773"/>
    <w:rsid w:val="00651C0E"/>
    <w:rsid w:val="00653812"/>
    <w:rsid w:val="006545CF"/>
    <w:rsid w:val="00654A4A"/>
    <w:rsid w:val="006551FF"/>
    <w:rsid w:val="0065545A"/>
    <w:rsid w:val="00656591"/>
    <w:rsid w:val="00657D38"/>
    <w:rsid w:val="006607B1"/>
    <w:rsid w:val="00660BBC"/>
    <w:rsid w:val="00660D43"/>
    <w:rsid w:val="0066115E"/>
    <w:rsid w:val="006611D9"/>
    <w:rsid w:val="00662F58"/>
    <w:rsid w:val="00663301"/>
    <w:rsid w:val="006647D3"/>
    <w:rsid w:val="00666078"/>
    <w:rsid w:val="006661CF"/>
    <w:rsid w:val="006672A6"/>
    <w:rsid w:val="00667737"/>
    <w:rsid w:val="00670BFD"/>
    <w:rsid w:val="00670DBE"/>
    <w:rsid w:val="0067107F"/>
    <w:rsid w:val="00671E4C"/>
    <w:rsid w:val="00673813"/>
    <w:rsid w:val="00674295"/>
    <w:rsid w:val="00681093"/>
    <w:rsid w:val="006818A8"/>
    <w:rsid w:val="00681A51"/>
    <w:rsid w:val="006821AC"/>
    <w:rsid w:val="00682469"/>
    <w:rsid w:val="006828E2"/>
    <w:rsid w:val="00683D97"/>
    <w:rsid w:val="00684FCA"/>
    <w:rsid w:val="006853D3"/>
    <w:rsid w:val="00685954"/>
    <w:rsid w:val="00686B5C"/>
    <w:rsid w:val="00687CF5"/>
    <w:rsid w:val="00690B86"/>
    <w:rsid w:val="0069634D"/>
    <w:rsid w:val="00696997"/>
    <w:rsid w:val="00697731"/>
    <w:rsid w:val="006A0564"/>
    <w:rsid w:val="006A0674"/>
    <w:rsid w:val="006A0E26"/>
    <w:rsid w:val="006A24B7"/>
    <w:rsid w:val="006A6476"/>
    <w:rsid w:val="006A6AEF"/>
    <w:rsid w:val="006A758C"/>
    <w:rsid w:val="006B3E86"/>
    <w:rsid w:val="006B5B2B"/>
    <w:rsid w:val="006B6652"/>
    <w:rsid w:val="006C0899"/>
    <w:rsid w:val="006C1EEC"/>
    <w:rsid w:val="006C3FEA"/>
    <w:rsid w:val="006C503D"/>
    <w:rsid w:val="006C69E7"/>
    <w:rsid w:val="006D0F50"/>
    <w:rsid w:val="006D10AE"/>
    <w:rsid w:val="006D29F2"/>
    <w:rsid w:val="006D4861"/>
    <w:rsid w:val="006D4E88"/>
    <w:rsid w:val="006D5087"/>
    <w:rsid w:val="006D63B1"/>
    <w:rsid w:val="006D6760"/>
    <w:rsid w:val="006D7CA2"/>
    <w:rsid w:val="006E065B"/>
    <w:rsid w:val="006E09D3"/>
    <w:rsid w:val="006E1E6C"/>
    <w:rsid w:val="006E4A5B"/>
    <w:rsid w:val="006E4A88"/>
    <w:rsid w:val="006E5505"/>
    <w:rsid w:val="006E667E"/>
    <w:rsid w:val="006F240A"/>
    <w:rsid w:val="006F2471"/>
    <w:rsid w:val="006F2FB3"/>
    <w:rsid w:val="006F531B"/>
    <w:rsid w:val="006F62BC"/>
    <w:rsid w:val="00700B8F"/>
    <w:rsid w:val="007016DC"/>
    <w:rsid w:val="00702493"/>
    <w:rsid w:val="00705697"/>
    <w:rsid w:val="00710545"/>
    <w:rsid w:val="00713306"/>
    <w:rsid w:val="00714F3B"/>
    <w:rsid w:val="00715DD2"/>
    <w:rsid w:val="00715E49"/>
    <w:rsid w:val="007165E9"/>
    <w:rsid w:val="007166F7"/>
    <w:rsid w:val="00716AEF"/>
    <w:rsid w:val="00717076"/>
    <w:rsid w:val="00717296"/>
    <w:rsid w:val="0072285B"/>
    <w:rsid w:val="00726354"/>
    <w:rsid w:val="00727370"/>
    <w:rsid w:val="00727AFD"/>
    <w:rsid w:val="007319FE"/>
    <w:rsid w:val="007338C2"/>
    <w:rsid w:val="00733F12"/>
    <w:rsid w:val="00734956"/>
    <w:rsid w:val="00735D9E"/>
    <w:rsid w:val="00735EEC"/>
    <w:rsid w:val="00736600"/>
    <w:rsid w:val="00737C89"/>
    <w:rsid w:val="00740BD4"/>
    <w:rsid w:val="0074109C"/>
    <w:rsid w:val="00742335"/>
    <w:rsid w:val="00742842"/>
    <w:rsid w:val="007478BA"/>
    <w:rsid w:val="00753376"/>
    <w:rsid w:val="007543B0"/>
    <w:rsid w:val="007568A9"/>
    <w:rsid w:val="007602FB"/>
    <w:rsid w:val="00760776"/>
    <w:rsid w:val="00761514"/>
    <w:rsid w:val="00761AA2"/>
    <w:rsid w:val="00763CE7"/>
    <w:rsid w:val="00764CAE"/>
    <w:rsid w:val="00767FE6"/>
    <w:rsid w:val="007705B5"/>
    <w:rsid w:val="00772177"/>
    <w:rsid w:val="00774EEF"/>
    <w:rsid w:val="00775C65"/>
    <w:rsid w:val="00775EE7"/>
    <w:rsid w:val="007761FC"/>
    <w:rsid w:val="0077639A"/>
    <w:rsid w:val="00777052"/>
    <w:rsid w:val="0078038F"/>
    <w:rsid w:val="0078100C"/>
    <w:rsid w:val="0078157F"/>
    <w:rsid w:val="00786F48"/>
    <w:rsid w:val="0078772C"/>
    <w:rsid w:val="007878E4"/>
    <w:rsid w:val="007916F5"/>
    <w:rsid w:val="00793125"/>
    <w:rsid w:val="00794341"/>
    <w:rsid w:val="007963BD"/>
    <w:rsid w:val="00796609"/>
    <w:rsid w:val="007A3C41"/>
    <w:rsid w:val="007A4783"/>
    <w:rsid w:val="007A5191"/>
    <w:rsid w:val="007A56B6"/>
    <w:rsid w:val="007A7800"/>
    <w:rsid w:val="007B00B6"/>
    <w:rsid w:val="007B0500"/>
    <w:rsid w:val="007B111B"/>
    <w:rsid w:val="007B23D2"/>
    <w:rsid w:val="007B2A40"/>
    <w:rsid w:val="007B3AE8"/>
    <w:rsid w:val="007B4418"/>
    <w:rsid w:val="007B567D"/>
    <w:rsid w:val="007B5F62"/>
    <w:rsid w:val="007B66B3"/>
    <w:rsid w:val="007B69AF"/>
    <w:rsid w:val="007B6B63"/>
    <w:rsid w:val="007B7077"/>
    <w:rsid w:val="007C0EA4"/>
    <w:rsid w:val="007C3003"/>
    <w:rsid w:val="007C3601"/>
    <w:rsid w:val="007C4702"/>
    <w:rsid w:val="007C5989"/>
    <w:rsid w:val="007C6B60"/>
    <w:rsid w:val="007C6F85"/>
    <w:rsid w:val="007D06C6"/>
    <w:rsid w:val="007D1177"/>
    <w:rsid w:val="007D12D4"/>
    <w:rsid w:val="007D3752"/>
    <w:rsid w:val="007D3AA0"/>
    <w:rsid w:val="007D3DEB"/>
    <w:rsid w:val="007D3FE2"/>
    <w:rsid w:val="007D5531"/>
    <w:rsid w:val="007D5690"/>
    <w:rsid w:val="007D69FA"/>
    <w:rsid w:val="007E1600"/>
    <w:rsid w:val="007E4E62"/>
    <w:rsid w:val="007E716D"/>
    <w:rsid w:val="007F0E12"/>
    <w:rsid w:val="007F40A3"/>
    <w:rsid w:val="007F47A9"/>
    <w:rsid w:val="007F6712"/>
    <w:rsid w:val="00805CBF"/>
    <w:rsid w:val="00807C95"/>
    <w:rsid w:val="00810603"/>
    <w:rsid w:val="008126D5"/>
    <w:rsid w:val="00812B05"/>
    <w:rsid w:val="00814283"/>
    <w:rsid w:val="00820209"/>
    <w:rsid w:val="00820F35"/>
    <w:rsid w:val="00820FEC"/>
    <w:rsid w:val="008220A1"/>
    <w:rsid w:val="00822A99"/>
    <w:rsid w:val="0082393D"/>
    <w:rsid w:val="00824834"/>
    <w:rsid w:val="00825C03"/>
    <w:rsid w:val="00826EA1"/>
    <w:rsid w:val="00827293"/>
    <w:rsid w:val="0083324D"/>
    <w:rsid w:val="0083766F"/>
    <w:rsid w:val="00841733"/>
    <w:rsid w:val="008430AA"/>
    <w:rsid w:val="00843E71"/>
    <w:rsid w:val="0084460A"/>
    <w:rsid w:val="00844D38"/>
    <w:rsid w:val="00844D85"/>
    <w:rsid w:val="008467A8"/>
    <w:rsid w:val="00850D9A"/>
    <w:rsid w:val="00851590"/>
    <w:rsid w:val="008524BE"/>
    <w:rsid w:val="008538CE"/>
    <w:rsid w:val="00853BC2"/>
    <w:rsid w:val="00854278"/>
    <w:rsid w:val="008548EE"/>
    <w:rsid w:val="00856063"/>
    <w:rsid w:val="00857172"/>
    <w:rsid w:val="0086236A"/>
    <w:rsid w:val="00864300"/>
    <w:rsid w:val="00866294"/>
    <w:rsid w:val="0087035A"/>
    <w:rsid w:val="0087127C"/>
    <w:rsid w:val="0087347D"/>
    <w:rsid w:val="008754F1"/>
    <w:rsid w:val="00882DAD"/>
    <w:rsid w:val="00885263"/>
    <w:rsid w:val="00885703"/>
    <w:rsid w:val="00890765"/>
    <w:rsid w:val="00892215"/>
    <w:rsid w:val="00892DA5"/>
    <w:rsid w:val="00894469"/>
    <w:rsid w:val="008949B1"/>
    <w:rsid w:val="00894C71"/>
    <w:rsid w:val="00896A48"/>
    <w:rsid w:val="0089713E"/>
    <w:rsid w:val="008A09C3"/>
    <w:rsid w:val="008A10DE"/>
    <w:rsid w:val="008A10F3"/>
    <w:rsid w:val="008A1156"/>
    <w:rsid w:val="008A17C1"/>
    <w:rsid w:val="008A1F02"/>
    <w:rsid w:val="008A5C0F"/>
    <w:rsid w:val="008A6CDD"/>
    <w:rsid w:val="008B1596"/>
    <w:rsid w:val="008B4133"/>
    <w:rsid w:val="008B6935"/>
    <w:rsid w:val="008C09C4"/>
    <w:rsid w:val="008C18F1"/>
    <w:rsid w:val="008C1F44"/>
    <w:rsid w:val="008C31A9"/>
    <w:rsid w:val="008C38CA"/>
    <w:rsid w:val="008C3B8F"/>
    <w:rsid w:val="008C646F"/>
    <w:rsid w:val="008D0834"/>
    <w:rsid w:val="008D24AF"/>
    <w:rsid w:val="008E1FC0"/>
    <w:rsid w:val="008E2F41"/>
    <w:rsid w:val="008E3E4B"/>
    <w:rsid w:val="008E4138"/>
    <w:rsid w:val="008E4EF9"/>
    <w:rsid w:val="008E6DFC"/>
    <w:rsid w:val="008E7710"/>
    <w:rsid w:val="008F0930"/>
    <w:rsid w:val="008F7090"/>
    <w:rsid w:val="009001D5"/>
    <w:rsid w:val="00900D4D"/>
    <w:rsid w:val="009036CA"/>
    <w:rsid w:val="00903F34"/>
    <w:rsid w:val="00905C0A"/>
    <w:rsid w:val="00907993"/>
    <w:rsid w:val="00910E63"/>
    <w:rsid w:val="00911BEF"/>
    <w:rsid w:val="009122F8"/>
    <w:rsid w:val="00915520"/>
    <w:rsid w:val="009155F7"/>
    <w:rsid w:val="009168CB"/>
    <w:rsid w:val="00921131"/>
    <w:rsid w:val="009247F5"/>
    <w:rsid w:val="00926AB2"/>
    <w:rsid w:val="00930CCD"/>
    <w:rsid w:val="00934B51"/>
    <w:rsid w:val="009407FE"/>
    <w:rsid w:val="00942171"/>
    <w:rsid w:val="00942436"/>
    <w:rsid w:val="009437F6"/>
    <w:rsid w:val="009529C7"/>
    <w:rsid w:val="009551DE"/>
    <w:rsid w:val="00957603"/>
    <w:rsid w:val="00957A1D"/>
    <w:rsid w:val="00962682"/>
    <w:rsid w:val="00962FEB"/>
    <w:rsid w:val="0096487B"/>
    <w:rsid w:val="009648EA"/>
    <w:rsid w:val="00967726"/>
    <w:rsid w:val="00971EBE"/>
    <w:rsid w:val="009757D1"/>
    <w:rsid w:val="00980754"/>
    <w:rsid w:val="009808C7"/>
    <w:rsid w:val="00981535"/>
    <w:rsid w:val="009825C8"/>
    <w:rsid w:val="009832B0"/>
    <w:rsid w:val="0098409F"/>
    <w:rsid w:val="00985192"/>
    <w:rsid w:val="00985537"/>
    <w:rsid w:val="00986FCE"/>
    <w:rsid w:val="00987193"/>
    <w:rsid w:val="00991649"/>
    <w:rsid w:val="00991698"/>
    <w:rsid w:val="00991C17"/>
    <w:rsid w:val="00992D1E"/>
    <w:rsid w:val="00996B59"/>
    <w:rsid w:val="00997EB2"/>
    <w:rsid w:val="009A06F5"/>
    <w:rsid w:val="009A0788"/>
    <w:rsid w:val="009A0E92"/>
    <w:rsid w:val="009A17EC"/>
    <w:rsid w:val="009A3A9B"/>
    <w:rsid w:val="009B03DF"/>
    <w:rsid w:val="009B3A69"/>
    <w:rsid w:val="009B6AF0"/>
    <w:rsid w:val="009C065D"/>
    <w:rsid w:val="009C292D"/>
    <w:rsid w:val="009C46E1"/>
    <w:rsid w:val="009C5F0C"/>
    <w:rsid w:val="009C67C0"/>
    <w:rsid w:val="009D0FEE"/>
    <w:rsid w:val="009D1035"/>
    <w:rsid w:val="009D13D0"/>
    <w:rsid w:val="009D2068"/>
    <w:rsid w:val="009D38D6"/>
    <w:rsid w:val="009D5F08"/>
    <w:rsid w:val="009D7D33"/>
    <w:rsid w:val="009E2E46"/>
    <w:rsid w:val="009E372B"/>
    <w:rsid w:val="009E485E"/>
    <w:rsid w:val="009E4DD4"/>
    <w:rsid w:val="009E4E3F"/>
    <w:rsid w:val="009E4F52"/>
    <w:rsid w:val="009E5C61"/>
    <w:rsid w:val="009E698B"/>
    <w:rsid w:val="009E7738"/>
    <w:rsid w:val="009F1547"/>
    <w:rsid w:val="009F4ABA"/>
    <w:rsid w:val="009F4F86"/>
    <w:rsid w:val="009F519F"/>
    <w:rsid w:val="009F66D1"/>
    <w:rsid w:val="009F6A2B"/>
    <w:rsid w:val="00A0150D"/>
    <w:rsid w:val="00A04A65"/>
    <w:rsid w:val="00A066AE"/>
    <w:rsid w:val="00A10A4D"/>
    <w:rsid w:val="00A10DD9"/>
    <w:rsid w:val="00A121B4"/>
    <w:rsid w:val="00A12C6B"/>
    <w:rsid w:val="00A14117"/>
    <w:rsid w:val="00A149FA"/>
    <w:rsid w:val="00A156D2"/>
    <w:rsid w:val="00A17DF0"/>
    <w:rsid w:val="00A20F78"/>
    <w:rsid w:val="00A218F1"/>
    <w:rsid w:val="00A242D7"/>
    <w:rsid w:val="00A26448"/>
    <w:rsid w:val="00A26D31"/>
    <w:rsid w:val="00A27DEE"/>
    <w:rsid w:val="00A31B93"/>
    <w:rsid w:val="00A3238A"/>
    <w:rsid w:val="00A375EF"/>
    <w:rsid w:val="00A37B18"/>
    <w:rsid w:val="00A423DB"/>
    <w:rsid w:val="00A50B09"/>
    <w:rsid w:val="00A528C2"/>
    <w:rsid w:val="00A54AFD"/>
    <w:rsid w:val="00A54E69"/>
    <w:rsid w:val="00A557B4"/>
    <w:rsid w:val="00A61165"/>
    <w:rsid w:val="00A61B06"/>
    <w:rsid w:val="00A62113"/>
    <w:rsid w:val="00A664DB"/>
    <w:rsid w:val="00A6759C"/>
    <w:rsid w:val="00A67923"/>
    <w:rsid w:val="00A67BBB"/>
    <w:rsid w:val="00A70C5A"/>
    <w:rsid w:val="00A713ED"/>
    <w:rsid w:val="00A714B8"/>
    <w:rsid w:val="00A72EAF"/>
    <w:rsid w:val="00A74901"/>
    <w:rsid w:val="00A75733"/>
    <w:rsid w:val="00A76308"/>
    <w:rsid w:val="00A77C08"/>
    <w:rsid w:val="00A804A4"/>
    <w:rsid w:val="00A81527"/>
    <w:rsid w:val="00A82058"/>
    <w:rsid w:val="00A8382A"/>
    <w:rsid w:val="00A83AD9"/>
    <w:rsid w:val="00A84AE7"/>
    <w:rsid w:val="00A86001"/>
    <w:rsid w:val="00A869B0"/>
    <w:rsid w:val="00A86B8D"/>
    <w:rsid w:val="00A9174E"/>
    <w:rsid w:val="00A91A97"/>
    <w:rsid w:val="00A9241C"/>
    <w:rsid w:val="00A9289F"/>
    <w:rsid w:val="00A92C1D"/>
    <w:rsid w:val="00A934D4"/>
    <w:rsid w:val="00A93A93"/>
    <w:rsid w:val="00A95227"/>
    <w:rsid w:val="00A97B26"/>
    <w:rsid w:val="00AA07AF"/>
    <w:rsid w:val="00AA0C77"/>
    <w:rsid w:val="00AA13CC"/>
    <w:rsid w:val="00AA1C42"/>
    <w:rsid w:val="00AA1D27"/>
    <w:rsid w:val="00AA204C"/>
    <w:rsid w:val="00AA2D57"/>
    <w:rsid w:val="00AA3941"/>
    <w:rsid w:val="00AA56D0"/>
    <w:rsid w:val="00AB045C"/>
    <w:rsid w:val="00AB0C9F"/>
    <w:rsid w:val="00AB143A"/>
    <w:rsid w:val="00AB3C49"/>
    <w:rsid w:val="00AB6ADE"/>
    <w:rsid w:val="00AB7463"/>
    <w:rsid w:val="00AC003C"/>
    <w:rsid w:val="00AC0103"/>
    <w:rsid w:val="00AC1404"/>
    <w:rsid w:val="00AC3158"/>
    <w:rsid w:val="00AC5558"/>
    <w:rsid w:val="00AC6288"/>
    <w:rsid w:val="00AD039F"/>
    <w:rsid w:val="00AD11F3"/>
    <w:rsid w:val="00AD3902"/>
    <w:rsid w:val="00AD4C55"/>
    <w:rsid w:val="00AD6010"/>
    <w:rsid w:val="00AE3358"/>
    <w:rsid w:val="00AE33FF"/>
    <w:rsid w:val="00AE733D"/>
    <w:rsid w:val="00AF06D5"/>
    <w:rsid w:val="00AF09DD"/>
    <w:rsid w:val="00AF0CD9"/>
    <w:rsid w:val="00AF2C9E"/>
    <w:rsid w:val="00AF5809"/>
    <w:rsid w:val="00B00381"/>
    <w:rsid w:val="00B02655"/>
    <w:rsid w:val="00B03014"/>
    <w:rsid w:val="00B036C8"/>
    <w:rsid w:val="00B05102"/>
    <w:rsid w:val="00B07802"/>
    <w:rsid w:val="00B07CCF"/>
    <w:rsid w:val="00B107AC"/>
    <w:rsid w:val="00B11C18"/>
    <w:rsid w:val="00B16A34"/>
    <w:rsid w:val="00B17511"/>
    <w:rsid w:val="00B238D5"/>
    <w:rsid w:val="00B25453"/>
    <w:rsid w:val="00B26EFE"/>
    <w:rsid w:val="00B31A36"/>
    <w:rsid w:val="00B31B9C"/>
    <w:rsid w:val="00B32040"/>
    <w:rsid w:val="00B3463A"/>
    <w:rsid w:val="00B34D6C"/>
    <w:rsid w:val="00B37EB9"/>
    <w:rsid w:val="00B4017D"/>
    <w:rsid w:val="00B409B6"/>
    <w:rsid w:val="00B456D9"/>
    <w:rsid w:val="00B462FF"/>
    <w:rsid w:val="00B475B4"/>
    <w:rsid w:val="00B51523"/>
    <w:rsid w:val="00B5544F"/>
    <w:rsid w:val="00B55CE6"/>
    <w:rsid w:val="00B55E5D"/>
    <w:rsid w:val="00B60A36"/>
    <w:rsid w:val="00B61FC1"/>
    <w:rsid w:val="00B636D4"/>
    <w:rsid w:val="00B63874"/>
    <w:rsid w:val="00B66867"/>
    <w:rsid w:val="00B66994"/>
    <w:rsid w:val="00B66A49"/>
    <w:rsid w:val="00B703B6"/>
    <w:rsid w:val="00B71AFB"/>
    <w:rsid w:val="00B71C35"/>
    <w:rsid w:val="00B71F3A"/>
    <w:rsid w:val="00B7371F"/>
    <w:rsid w:val="00B73C97"/>
    <w:rsid w:val="00B73D44"/>
    <w:rsid w:val="00B74B9C"/>
    <w:rsid w:val="00B750B1"/>
    <w:rsid w:val="00B75587"/>
    <w:rsid w:val="00B76340"/>
    <w:rsid w:val="00B76713"/>
    <w:rsid w:val="00B77556"/>
    <w:rsid w:val="00B80C43"/>
    <w:rsid w:val="00B826DC"/>
    <w:rsid w:val="00B86D13"/>
    <w:rsid w:val="00B907FB"/>
    <w:rsid w:val="00B94786"/>
    <w:rsid w:val="00B94DD0"/>
    <w:rsid w:val="00BA2138"/>
    <w:rsid w:val="00BA6300"/>
    <w:rsid w:val="00BA78B6"/>
    <w:rsid w:val="00BB26AD"/>
    <w:rsid w:val="00BB439B"/>
    <w:rsid w:val="00BB79BD"/>
    <w:rsid w:val="00BC0611"/>
    <w:rsid w:val="00BC0822"/>
    <w:rsid w:val="00BC7208"/>
    <w:rsid w:val="00BC795A"/>
    <w:rsid w:val="00BD0B48"/>
    <w:rsid w:val="00BD1565"/>
    <w:rsid w:val="00BD2A0A"/>
    <w:rsid w:val="00BD2A3A"/>
    <w:rsid w:val="00BD5D0F"/>
    <w:rsid w:val="00BD6A36"/>
    <w:rsid w:val="00BD7C68"/>
    <w:rsid w:val="00BE1CBC"/>
    <w:rsid w:val="00BE29DC"/>
    <w:rsid w:val="00BE2BAE"/>
    <w:rsid w:val="00BE36C3"/>
    <w:rsid w:val="00BE4092"/>
    <w:rsid w:val="00BE4750"/>
    <w:rsid w:val="00BE47DD"/>
    <w:rsid w:val="00BE54A8"/>
    <w:rsid w:val="00BE5F9A"/>
    <w:rsid w:val="00BE70C9"/>
    <w:rsid w:val="00BE76EC"/>
    <w:rsid w:val="00BF1841"/>
    <w:rsid w:val="00BF27E1"/>
    <w:rsid w:val="00BF5230"/>
    <w:rsid w:val="00BF5A8B"/>
    <w:rsid w:val="00BF697A"/>
    <w:rsid w:val="00BF6ADB"/>
    <w:rsid w:val="00BF783A"/>
    <w:rsid w:val="00C03776"/>
    <w:rsid w:val="00C05904"/>
    <w:rsid w:val="00C10840"/>
    <w:rsid w:val="00C11D0B"/>
    <w:rsid w:val="00C11DCD"/>
    <w:rsid w:val="00C13821"/>
    <w:rsid w:val="00C13D37"/>
    <w:rsid w:val="00C14051"/>
    <w:rsid w:val="00C15436"/>
    <w:rsid w:val="00C1555C"/>
    <w:rsid w:val="00C15F73"/>
    <w:rsid w:val="00C17D8C"/>
    <w:rsid w:val="00C2037B"/>
    <w:rsid w:val="00C22FF7"/>
    <w:rsid w:val="00C261FD"/>
    <w:rsid w:val="00C27F76"/>
    <w:rsid w:val="00C30DA4"/>
    <w:rsid w:val="00C333E8"/>
    <w:rsid w:val="00C34649"/>
    <w:rsid w:val="00C36C48"/>
    <w:rsid w:val="00C37825"/>
    <w:rsid w:val="00C42F8B"/>
    <w:rsid w:val="00C44719"/>
    <w:rsid w:val="00C46378"/>
    <w:rsid w:val="00C46EDE"/>
    <w:rsid w:val="00C50108"/>
    <w:rsid w:val="00C50FEF"/>
    <w:rsid w:val="00C517FD"/>
    <w:rsid w:val="00C51ECB"/>
    <w:rsid w:val="00C52C73"/>
    <w:rsid w:val="00C5338B"/>
    <w:rsid w:val="00C57E04"/>
    <w:rsid w:val="00C61BB4"/>
    <w:rsid w:val="00C61C93"/>
    <w:rsid w:val="00C6423C"/>
    <w:rsid w:val="00C64E5A"/>
    <w:rsid w:val="00C6572C"/>
    <w:rsid w:val="00C666FF"/>
    <w:rsid w:val="00C70CFF"/>
    <w:rsid w:val="00C71787"/>
    <w:rsid w:val="00C71B4E"/>
    <w:rsid w:val="00C75655"/>
    <w:rsid w:val="00C75935"/>
    <w:rsid w:val="00C76F15"/>
    <w:rsid w:val="00C779C2"/>
    <w:rsid w:val="00C837C3"/>
    <w:rsid w:val="00C84497"/>
    <w:rsid w:val="00C868F6"/>
    <w:rsid w:val="00C87C39"/>
    <w:rsid w:val="00C90165"/>
    <w:rsid w:val="00C9137C"/>
    <w:rsid w:val="00C91644"/>
    <w:rsid w:val="00C91DE5"/>
    <w:rsid w:val="00C9354E"/>
    <w:rsid w:val="00C9663B"/>
    <w:rsid w:val="00C973C0"/>
    <w:rsid w:val="00CA115C"/>
    <w:rsid w:val="00CA43A5"/>
    <w:rsid w:val="00CA656F"/>
    <w:rsid w:val="00CA7900"/>
    <w:rsid w:val="00CA7C0B"/>
    <w:rsid w:val="00CB02B9"/>
    <w:rsid w:val="00CB0D42"/>
    <w:rsid w:val="00CB1F21"/>
    <w:rsid w:val="00CB3947"/>
    <w:rsid w:val="00CB49D7"/>
    <w:rsid w:val="00CB4B48"/>
    <w:rsid w:val="00CB65C6"/>
    <w:rsid w:val="00CB6E2B"/>
    <w:rsid w:val="00CB6FF7"/>
    <w:rsid w:val="00CB7302"/>
    <w:rsid w:val="00CC1E9F"/>
    <w:rsid w:val="00CC292F"/>
    <w:rsid w:val="00CC3E17"/>
    <w:rsid w:val="00CC527D"/>
    <w:rsid w:val="00CC5896"/>
    <w:rsid w:val="00CC670F"/>
    <w:rsid w:val="00CD1198"/>
    <w:rsid w:val="00CD1394"/>
    <w:rsid w:val="00CE019A"/>
    <w:rsid w:val="00CE059D"/>
    <w:rsid w:val="00CE0C35"/>
    <w:rsid w:val="00CE18A2"/>
    <w:rsid w:val="00CE22CE"/>
    <w:rsid w:val="00CE2541"/>
    <w:rsid w:val="00CE3810"/>
    <w:rsid w:val="00CE4860"/>
    <w:rsid w:val="00CE52B4"/>
    <w:rsid w:val="00CE58BB"/>
    <w:rsid w:val="00CE5DCD"/>
    <w:rsid w:val="00CE701C"/>
    <w:rsid w:val="00CE7599"/>
    <w:rsid w:val="00CF17D6"/>
    <w:rsid w:val="00CF19B8"/>
    <w:rsid w:val="00CF414A"/>
    <w:rsid w:val="00CF4F36"/>
    <w:rsid w:val="00CF4FF0"/>
    <w:rsid w:val="00CF5643"/>
    <w:rsid w:val="00CF5B13"/>
    <w:rsid w:val="00CF5B47"/>
    <w:rsid w:val="00D03E0B"/>
    <w:rsid w:val="00D03F67"/>
    <w:rsid w:val="00D043A9"/>
    <w:rsid w:val="00D104F9"/>
    <w:rsid w:val="00D10B55"/>
    <w:rsid w:val="00D134B7"/>
    <w:rsid w:val="00D14323"/>
    <w:rsid w:val="00D16008"/>
    <w:rsid w:val="00D166D4"/>
    <w:rsid w:val="00D16CFB"/>
    <w:rsid w:val="00D221AE"/>
    <w:rsid w:val="00D256E3"/>
    <w:rsid w:val="00D26552"/>
    <w:rsid w:val="00D30254"/>
    <w:rsid w:val="00D30A15"/>
    <w:rsid w:val="00D32C17"/>
    <w:rsid w:val="00D32ED2"/>
    <w:rsid w:val="00D33768"/>
    <w:rsid w:val="00D33845"/>
    <w:rsid w:val="00D33D87"/>
    <w:rsid w:val="00D35077"/>
    <w:rsid w:val="00D35A6E"/>
    <w:rsid w:val="00D408A8"/>
    <w:rsid w:val="00D43671"/>
    <w:rsid w:val="00D441E6"/>
    <w:rsid w:val="00D46DAE"/>
    <w:rsid w:val="00D51C8F"/>
    <w:rsid w:val="00D5204B"/>
    <w:rsid w:val="00D54C10"/>
    <w:rsid w:val="00D55191"/>
    <w:rsid w:val="00D55CD0"/>
    <w:rsid w:val="00D55D75"/>
    <w:rsid w:val="00D55DBE"/>
    <w:rsid w:val="00D57544"/>
    <w:rsid w:val="00D57757"/>
    <w:rsid w:val="00D57973"/>
    <w:rsid w:val="00D57E8E"/>
    <w:rsid w:val="00D603F5"/>
    <w:rsid w:val="00D60CE2"/>
    <w:rsid w:val="00D612EC"/>
    <w:rsid w:val="00D6153E"/>
    <w:rsid w:val="00D623C4"/>
    <w:rsid w:val="00D63B97"/>
    <w:rsid w:val="00D650DC"/>
    <w:rsid w:val="00D66504"/>
    <w:rsid w:val="00D67138"/>
    <w:rsid w:val="00D722DF"/>
    <w:rsid w:val="00D7313D"/>
    <w:rsid w:val="00D73B60"/>
    <w:rsid w:val="00D73DB2"/>
    <w:rsid w:val="00D774B8"/>
    <w:rsid w:val="00D80AB9"/>
    <w:rsid w:val="00D84675"/>
    <w:rsid w:val="00D8526A"/>
    <w:rsid w:val="00D86252"/>
    <w:rsid w:val="00D87C3A"/>
    <w:rsid w:val="00D90DF3"/>
    <w:rsid w:val="00D90EA9"/>
    <w:rsid w:val="00D917F3"/>
    <w:rsid w:val="00D95CA7"/>
    <w:rsid w:val="00D97BAA"/>
    <w:rsid w:val="00DA1EFF"/>
    <w:rsid w:val="00DA2BB5"/>
    <w:rsid w:val="00DA3AF3"/>
    <w:rsid w:val="00DA4F50"/>
    <w:rsid w:val="00DA5455"/>
    <w:rsid w:val="00DA5C2B"/>
    <w:rsid w:val="00DA6100"/>
    <w:rsid w:val="00DB2214"/>
    <w:rsid w:val="00DB45FA"/>
    <w:rsid w:val="00DB5EFB"/>
    <w:rsid w:val="00DB6EF1"/>
    <w:rsid w:val="00DB7098"/>
    <w:rsid w:val="00DB7D00"/>
    <w:rsid w:val="00DC12CE"/>
    <w:rsid w:val="00DC19BB"/>
    <w:rsid w:val="00DC1FC2"/>
    <w:rsid w:val="00DC4036"/>
    <w:rsid w:val="00DC52B1"/>
    <w:rsid w:val="00DC6404"/>
    <w:rsid w:val="00DC6519"/>
    <w:rsid w:val="00DC67F3"/>
    <w:rsid w:val="00DD0760"/>
    <w:rsid w:val="00DD321C"/>
    <w:rsid w:val="00DD4050"/>
    <w:rsid w:val="00DD52C2"/>
    <w:rsid w:val="00DD5FAB"/>
    <w:rsid w:val="00DD7FDF"/>
    <w:rsid w:val="00DE1703"/>
    <w:rsid w:val="00DE204E"/>
    <w:rsid w:val="00DE25AC"/>
    <w:rsid w:val="00DE3209"/>
    <w:rsid w:val="00DE53D6"/>
    <w:rsid w:val="00DE74EF"/>
    <w:rsid w:val="00DF1C6F"/>
    <w:rsid w:val="00DF3FCD"/>
    <w:rsid w:val="00DF568D"/>
    <w:rsid w:val="00E00CCB"/>
    <w:rsid w:val="00E01589"/>
    <w:rsid w:val="00E036B1"/>
    <w:rsid w:val="00E03B06"/>
    <w:rsid w:val="00E042C7"/>
    <w:rsid w:val="00E05BD9"/>
    <w:rsid w:val="00E0781A"/>
    <w:rsid w:val="00E11475"/>
    <w:rsid w:val="00E13905"/>
    <w:rsid w:val="00E152E4"/>
    <w:rsid w:val="00E15632"/>
    <w:rsid w:val="00E17098"/>
    <w:rsid w:val="00E175A7"/>
    <w:rsid w:val="00E20168"/>
    <w:rsid w:val="00E20740"/>
    <w:rsid w:val="00E20E92"/>
    <w:rsid w:val="00E236C2"/>
    <w:rsid w:val="00E23CC6"/>
    <w:rsid w:val="00E243CC"/>
    <w:rsid w:val="00E245DA"/>
    <w:rsid w:val="00E24645"/>
    <w:rsid w:val="00E27D06"/>
    <w:rsid w:val="00E31BCB"/>
    <w:rsid w:val="00E32963"/>
    <w:rsid w:val="00E337BC"/>
    <w:rsid w:val="00E350CD"/>
    <w:rsid w:val="00E372A9"/>
    <w:rsid w:val="00E4001B"/>
    <w:rsid w:val="00E414F9"/>
    <w:rsid w:val="00E455A3"/>
    <w:rsid w:val="00E45850"/>
    <w:rsid w:val="00E464AE"/>
    <w:rsid w:val="00E4657B"/>
    <w:rsid w:val="00E474F3"/>
    <w:rsid w:val="00E47C08"/>
    <w:rsid w:val="00E50BBE"/>
    <w:rsid w:val="00E51FDE"/>
    <w:rsid w:val="00E530CD"/>
    <w:rsid w:val="00E534B2"/>
    <w:rsid w:val="00E54719"/>
    <w:rsid w:val="00E553C1"/>
    <w:rsid w:val="00E558E6"/>
    <w:rsid w:val="00E56B66"/>
    <w:rsid w:val="00E579AF"/>
    <w:rsid w:val="00E61921"/>
    <w:rsid w:val="00E63900"/>
    <w:rsid w:val="00E66047"/>
    <w:rsid w:val="00E6613F"/>
    <w:rsid w:val="00E664AA"/>
    <w:rsid w:val="00E705B7"/>
    <w:rsid w:val="00E7086E"/>
    <w:rsid w:val="00E708EE"/>
    <w:rsid w:val="00E70ECC"/>
    <w:rsid w:val="00E71A89"/>
    <w:rsid w:val="00E71CA0"/>
    <w:rsid w:val="00E75EF6"/>
    <w:rsid w:val="00E77197"/>
    <w:rsid w:val="00E81B1A"/>
    <w:rsid w:val="00E84B83"/>
    <w:rsid w:val="00E84FB3"/>
    <w:rsid w:val="00E87037"/>
    <w:rsid w:val="00E91BFD"/>
    <w:rsid w:val="00E931AE"/>
    <w:rsid w:val="00EA0F03"/>
    <w:rsid w:val="00EA1EF9"/>
    <w:rsid w:val="00EA2CA0"/>
    <w:rsid w:val="00EA4BEE"/>
    <w:rsid w:val="00EA6417"/>
    <w:rsid w:val="00EA7237"/>
    <w:rsid w:val="00EB0373"/>
    <w:rsid w:val="00EB055B"/>
    <w:rsid w:val="00EB112A"/>
    <w:rsid w:val="00EB20B0"/>
    <w:rsid w:val="00EC1212"/>
    <w:rsid w:val="00EC1D3D"/>
    <w:rsid w:val="00EC3331"/>
    <w:rsid w:val="00EC3715"/>
    <w:rsid w:val="00EC5537"/>
    <w:rsid w:val="00EC60D6"/>
    <w:rsid w:val="00EC6748"/>
    <w:rsid w:val="00EC677E"/>
    <w:rsid w:val="00EC6CD4"/>
    <w:rsid w:val="00EC7E67"/>
    <w:rsid w:val="00EC7FBC"/>
    <w:rsid w:val="00ED4CA0"/>
    <w:rsid w:val="00ED5B5C"/>
    <w:rsid w:val="00ED5CE4"/>
    <w:rsid w:val="00ED70BD"/>
    <w:rsid w:val="00ED7B0F"/>
    <w:rsid w:val="00EE0B3E"/>
    <w:rsid w:val="00EE37BB"/>
    <w:rsid w:val="00EE39EA"/>
    <w:rsid w:val="00EE4EF3"/>
    <w:rsid w:val="00EF4099"/>
    <w:rsid w:val="00EF6BDC"/>
    <w:rsid w:val="00EF7F84"/>
    <w:rsid w:val="00F01C4C"/>
    <w:rsid w:val="00F02786"/>
    <w:rsid w:val="00F0434F"/>
    <w:rsid w:val="00F05EDE"/>
    <w:rsid w:val="00F063A2"/>
    <w:rsid w:val="00F0670F"/>
    <w:rsid w:val="00F07696"/>
    <w:rsid w:val="00F07FA6"/>
    <w:rsid w:val="00F11BB3"/>
    <w:rsid w:val="00F12FEB"/>
    <w:rsid w:val="00F13036"/>
    <w:rsid w:val="00F1306C"/>
    <w:rsid w:val="00F13415"/>
    <w:rsid w:val="00F13659"/>
    <w:rsid w:val="00F21D1A"/>
    <w:rsid w:val="00F22865"/>
    <w:rsid w:val="00F24D75"/>
    <w:rsid w:val="00F261E3"/>
    <w:rsid w:val="00F3227F"/>
    <w:rsid w:val="00F32586"/>
    <w:rsid w:val="00F32D2C"/>
    <w:rsid w:val="00F34B2F"/>
    <w:rsid w:val="00F34F33"/>
    <w:rsid w:val="00F36D1F"/>
    <w:rsid w:val="00F3769E"/>
    <w:rsid w:val="00F37E1A"/>
    <w:rsid w:val="00F4084F"/>
    <w:rsid w:val="00F40F06"/>
    <w:rsid w:val="00F41EBE"/>
    <w:rsid w:val="00F41F80"/>
    <w:rsid w:val="00F42669"/>
    <w:rsid w:val="00F427F1"/>
    <w:rsid w:val="00F42BA6"/>
    <w:rsid w:val="00F451EA"/>
    <w:rsid w:val="00F45266"/>
    <w:rsid w:val="00F45B16"/>
    <w:rsid w:val="00F4749B"/>
    <w:rsid w:val="00F511D8"/>
    <w:rsid w:val="00F514FB"/>
    <w:rsid w:val="00F53330"/>
    <w:rsid w:val="00F53BF7"/>
    <w:rsid w:val="00F54C95"/>
    <w:rsid w:val="00F56B7F"/>
    <w:rsid w:val="00F56CE9"/>
    <w:rsid w:val="00F57224"/>
    <w:rsid w:val="00F61151"/>
    <w:rsid w:val="00F619D5"/>
    <w:rsid w:val="00F61EA8"/>
    <w:rsid w:val="00F6418B"/>
    <w:rsid w:val="00F64ECE"/>
    <w:rsid w:val="00F674A5"/>
    <w:rsid w:val="00F67B6E"/>
    <w:rsid w:val="00F7105A"/>
    <w:rsid w:val="00F77765"/>
    <w:rsid w:val="00F77EC3"/>
    <w:rsid w:val="00F77F01"/>
    <w:rsid w:val="00F836C4"/>
    <w:rsid w:val="00F85E98"/>
    <w:rsid w:val="00F864E7"/>
    <w:rsid w:val="00F916E5"/>
    <w:rsid w:val="00F93FC3"/>
    <w:rsid w:val="00F95589"/>
    <w:rsid w:val="00F95BB9"/>
    <w:rsid w:val="00FA1137"/>
    <w:rsid w:val="00FA2CAF"/>
    <w:rsid w:val="00FA6D64"/>
    <w:rsid w:val="00FA7C8B"/>
    <w:rsid w:val="00FB0249"/>
    <w:rsid w:val="00FB052B"/>
    <w:rsid w:val="00FB393A"/>
    <w:rsid w:val="00FB52BD"/>
    <w:rsid w:val="00FB70FA"/>
    <w:rsid w:val="00FB793A"/>
    <w:rsid w:val="00FC0497"/>
    <w:rsid w:val="00FC197D"/>
    <w:rsid w:val="00FC27AA"/>
    <w:rsid w:val="00FC55E7"/>
    <w:rsid w:val="00FC5915"/>
    <w:rsid w:val="00FC5D6D"/>
    <w:rsid w:val="00FD0BE3"/>
    <w:rsid w:val="00FD1F95"/>
    <w:rsid w:val="00FD3DD0"/>
    <w:rsid w:val="00FD4054"/>
    <w:rsid w:val="00FD5E08"/>
    <w:rsid w:val="00FD6657"/>
    <w:rsid w:val="00FD6BE0"/>
    <w:rsid w:val="00FE2332"/>
    <w:rsid w:val="00FE42FD"/>
    <w:rsid w:val="00FE616A"/>
    <w:rsid w:val="00FE69B8"/>
    <w:rsid w:val="00FF0FCA"/>
    <w:rsid w:val="00FF1A54"/>
    <w:rsid w:val="00FF2824"/>
    <w:rsid w:val="00FF3C9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paragraph" w:styleId="EndnoteText">
    <w:name w:val="endnote text"/>
    <w:basedOn w:val="Normal"/>
    <w:link w:val="EndnoteTextChar"/>
    <w:uiPriority w:val="99"/>
    <w:semiHidden/>
    <w:unhideWhenUsed/>
    <w:rsid w:val="00513710"/>
  </w:style>
  <w:style w:type="character" w:customStyle="1" w:styleId="EndnoteTextChar">
    <w:name w:val="Endnote Text Char"/>
    <w:basedOn w:val="DefaultParagraphFont"/>
    <w:link w:val="EndnoteText"/>
    <w:uiPriority w:val="99"/>
    <w:semiHidden/>
    <w:rsid w:val="005137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3710"/>
    <w:rPr>
      <w:vertAlign w:val="superscript"/>
    </w:rPr>
  </w:style>
  <w:style w:type="character" w:styleId="CommentReference">
    <w:name w:val="annotation reference"/>
    <w:basedOn w:val="DefaultParagraphFont"/>
    <w:uiPriority w:val="99"/>
    <w:semiHidden/>
    <w:unhideWhenUsed/>
    <w:rsid w:val="00475A68"/>
    <w:rPr>
      <w:sz w:val="16"/>
      <w:szCs w:val="16"/>
    </w:rPr>
  </w:style>
  <w:style w:type="paragraph" w:styleId="CommentText">
    <w:name w:val="annotation text"/>
    <w:basedOn w:val="Normal"/>
    <w:link w:val="CommentTextChar"/>
    <w:uiPriority w:val="99"/>
    <w:semiHidden/>
    <w:unhideWhenUsed/>
    <w:rsid w:val="00475A68"/>
  </w:style>
  <w:style w:type="character" w:customStyle="1" w:styleId="CommentTextChar">
    <w:name w:val="Comment Text Char"/>
    <w:basedOn w:val="DefaultParagraphFont"/>
    <w:link w:val="CommentText"/>
    <w:uiPriority w:val="99"/>
    <w:semiHidden/>
    <w:rsid w:val="00475A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5A68"/>
    <w:rPr>
      <w:b/>
      <w:bCs/>
    </w:rPr>
  </w:style>
  <w:style w:type="character" w:customStyle="1" w:styleId="CommentSubjectChar">
    <w:name w:val="Comment Subject Char"/>
    <w:basedOn w:val="CommentTextChar"/>
    <w:link w:val="CommentSubject"/>
    <w:uiPriority w:val="99"/>
    <w:semiHidden/>
    <w:rsid w:val="00475A6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paragraph" w:styleId="EndnoteText">
    <w:name w:val="endnote text"/>
    <w:basedOn w:val="Normal"/>
    <w:link w:val="EndnoteTextChar"/>
    <w:uiPriority w:val="99"/>
    <w:semiHidden/>
    <w:unhideWhenUsed/>
    <w:rsid w:val="00513710"/>
  </w:style>
  <w:style w:type="character" w:customStyle="1" w:styleId="EndnoteTextChar">
    <w:name w:val="Endnote Text Char"/>
    <w:basedOn w:val="DefaultParagraphFont"/>
    <w:link w:val="EndnoteText"/>
    <w:uiPriority w:val="99"/>
    <w:semiHidden/>
    <w:rsid w:val="005137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3710"/>
    <w:rPr>
      <w:vertAlign w:val="superscript"/>
    </w:rPr>
  </w:style>
  <w:style w:type="character" w:styleId="CommentReference">
    <w:name w:val="annotation reference"/>
    <w:basedOn w:val="DefaultParagraphFont"/>
    <w:uiPriority w:val="99"/>
    <w:semiHidden/>
    <w:unhideWhenUsed/>
    <w:rsid w:val="00475A68"/>
    <w:rPr>
      <w:sz w:val="16"/>
      <w:szCs w:val="16"/>
    </w:rPr>
  </w:style>
  <w:style w:type="paragraph" w:styleId="CommentText">
    <w:name w:val="annotation text"/>
    <w:basedOn w:val="Normal"/>
    <w:link w:val="CommentTextChar"/>
    <w:uiPriority w:val="99"/>
    <w:semiHidden/>
    <w:unhideWhenUsed/>
    <w:rsid w:val="00475A68"/>
  </w:style>
  <w:style w:type="character" w:customStyle="1" w:styleId="CommentTextChar">
    <w:name w:val="Comment Text Char"/>
    <w:basedOn w:val="DefaultParagraphFont"/>
    <w:link w:val="CommentText"/>
    <w:uiPriority w:val="99"/>
    <w:semiHidden/>
    <w:rsid w:val="00475A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5A68"/>
    <w:rPr>
      <w:b/>
      <w:bCs/>
    </w:rPr>
  </w:style>
  <w:style w:type="character" w:customStyle="1" w:styleId="CommentSubjectChar">
    <w:name w:val="Comment Subject Char"/>
    <w:basedOn w:val="CommentTextChar"/>
    <w:link w:val="CommentSubject"/>
    <w:uiPriority w:val="99"/>
    <w:semiHidden/>
    <w:rsid w:val="00475A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608543f47095ef789ad8a73b608fd4b0&amp;_xfercite=%3ccite%20cc%3d%22USA%22%3e%3c%21%5bCDATA%5b438%20Pa.%20Super.%20352%5d%5d%3e%3c%2fcite%3e&amp;_butType=4&amp;_butStat=0&amp;_butNum=22&amp;_butInline=1&amp;_butinfo=20%20PA.C.S.%205602&amp;_fmtstr=FULL&amp;docnum=3&amp;_startdoc=1&amp;wchp=dGLbVzk-zSkAW&amp;_md5=fdf2868e7ee536edfb1c43aab693971a"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lexis.com/research/buttonTFLink?_m=608543f47095ef789ad8a73b608fd4b0&amp;_xfercite=%3ccite%20cc%3d%22USA%22%3e%3c%21%5bCDATA%5b438%20Pa.%20Super.%20352%5d%5d%3e%3c%2fcite%3e&amp;_butType=4&amp;_butStat=0&amp;_butNum=20&amp;_butInline=1&amp;_butinfo=42%20PA.C.S.%202524&amp;_fmtstr=FULL&amp;docnum=3&amp;_startdoc=1&amp;wchp=dGLbVzk-zSkAW&amp;_md5=50575ecfc7792e01a0d970bb7d1f4989" TargetMode="External"/><Relationship Id="rId17" Type="http://schemas.openxmlformats.org/officeDocument/2006/relationships/hyperlink" Target="https://www.lexis.com/research/buttonTFLink?_m=608543f47095ef789ad8a73b608fd4b0&amp;_xfercite=%3ccite%20cc%3d%22USA%22%3e%3c%21%5bCDATA%5b438%20Pa.%20Super.%20352%5d%5d%3e%3c%2fcite%3e&amp;_butType=4&amp;_butStat=0&amp;_butNum=26&amp;_butInline=1&amp;_butinfo=20%20PA.C.S.%205603&amp;_fmtstr=FULL&amp;docnum=3&amp;_startdoc=1&amp;wchp=dGLbVzk-zSkAW&amp;_md5=a7e70e1a7a524f449b0e8d3fd3d848da" TargetMode="External"/><Relationship Id="rId2" Type="http://schemas.openxmlformats.org/officeDocument/2006/relationships/numbering" Target="numbering.xml"/><Relationship Id="rId16" Type="http://schemas.openxmlformats.org/officeDocument/2006/relationships/hyperlink" Target="https://www.lexis.com/research/buttonTFLink?_m=608543f47095ef789ad8a73b608fd4b0&amp;_xfercite=%3ccite%20cc%3d%22USA%22%3e%3c%21%5bCDATA%5b438%20Pa.%20Super.%20352%5d%5d%3e%3c%2fcite%3e&amp;_butType=4&amp;_butStat=0&amp;_butNum=25&amp;_butInline=1&amp;_butinfo=20%20PA.C.S.%205602&amp;_fmtstr=FULL&amp;docnum=3&amp;_startdoc=1&amp;wchp=dGLbVzk-zSkAW&amp;_md5=0ba703602381df4877dcce673ddaafe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608543f47095ef789ad8a73b608fd4b0&amp;_xfercite=%3ccite%20cc%3d%22USA%22%3e%3c%21%5bCDATA%5b438%20Pa.%20Super.%20352%5d%5d%3e%3c%2fcite%3e&amp;_butType=4&amp;_butStat=0&amp;_butNum=19&amp;_butInline=1&amp;_butinfo=20%20PA.C.S.%205603&amp;_fmtstr=FULL&amp;docnum=3&amp;_startdoc=1&amp;wchp=dGLbVzk-zSkAW&amp;_md5=242e71a4d15c17646f2d75e6bca5df12" TargetMode="External"/><Relationship Id="rId5" Type="http://schemas.openxmlformats.org/officeDocument/2006/relationships/settings" Target="settings.xml"/><Relationship Id="rId15" Type="http://schemas.openxmlformats.org/officeDocument/2006/relationships/hyperlink" Target="https://www.lexis.com/research/buttonTFLink?_m=608543f47095ef789ad8a73b608fd4b0&amp;_xfercite=%3ccite%20cc%3d%22USA%22%3e%3c%21%5bCDATA%5b438%20Pa.%20Super.%20352%5d%5d%3e%3c%2fcite%3e&amp;_butType=4&amp;_butStat=0&amp;_butNum=24&amp;_butInline=1&amp;_butinfo=20%20PA.C.S.%205603&amp;_fmtstr=FULL&amp;docnum=3&amp;_startdoc=1&amp;wchp=dGLbVzk-zSkAW&amp;_md5=d8925fe7b965446f8f7cf4dbb6aab600" TargetMode="External"/><Relationship Id="rId10" Type="http://schemas.openxmlformats.org/officeDocument/2006/relationships/hyperlink" Target="https://www.lexis.com/research/buttonTFLink?_m=608543f47095ef789ad8a73b608fd4b0&amp;_xfercite=%3ccite%20cc%3d%22USA%22%3e%3c%21%5bCDATA%5b438%20Pa.%20Super.%20352%5d%5d%3e%3c%2fcite%3e&amp;_butType=4&amp;_butStat=0&amp;_butNum=18&amp;_butInline=1&amp;_butinfo=20%20PA.C.S.%205602&amp;_fmtstr=FULL&amp;docnum=3&amp;_startdoc=1&amp;wchp=dGLbVzk-zSkAW&amp;_md5=679c17105d7afbed0d395f099a2df0f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hyperlink" Target="https://www.lexis.com/research/buttonTFLink?_m=608543f47095ef789ad8a73b608fd4b0&amp;_xfercite=%3ccite%20cc%3d%22USA%22%3e%3c%21%5bCDATA%5b438%20Pa.%20Super.%20352%5d%5d%3e%3c%2fcite%3e&amp;_butType=4&amp;_butStat=0&amp;_butNum=23&amp;_butInline=1&amp;_butinfo=20%20PA.C.S.%205603&amp;_fmtstr=FULL&amp;docnum=3&amp;_startdoc=1&amp;wchp=dGLbVzk-zSkAW&amp;_md5=374a970c9285342db5474e84f4eb17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ABC7D-3D3B-4972-9D3E-5F3BEF20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34</cp:revision>
  <cp:lastPrinted>2014-03-06T14:47:00Z</cp:lastPrinted>
  <dcterms:created xsi:type="dcterms:W3CDTF">2014-02-14T16:30:00Z</dcterms:created>
  <dcterms:modified xsi:type="dcterms:W3CDTF">2014-03-06T14:47:00Z</dcterms:modified>
</cp:coreProperties>
</file>