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Default="005D711E">
      <w:pPr>
        <w:rPr>
          <w:b/>
        </w:rPr>
      </w:pPr>
    </w:p>
    <w:p w:rsidR="005D711E" w:rsidRDefault="005D711E">
      <w:pPr>
        <w:rPr>
          <w:b/>
        </w:rPr>
      </w:pPr>
    </w:p>
    <w:p w:rsidR="007A206B" w:rsidRDefault="007A206B">
      <w:pPr>
        <w:rPr>
          <w:b/>
        </w:rPr>
      </w:pPr>
    </w:p>
    <w:p w:rsidR="007A206B" w:rsidRDefault="007A206B">
      <w:pPr>
        <w:rPr>
          <w:b/>
        </w:rPr>
      </w:pPr>
    </w:p>
    <w:p w:rsidR="007A206B" w:rsidRDefault="007A206B">
      <w:pPr>
        <w:rPr>
          <w:b/>
        </w:rPr>
      </w:pPr>
    </w:p>
    <w:p w:rsidR="004B4861" w:rsidRDefault="004B4861">
      <w:pPr>
        <w:pStyle w:val="Heading8"/>
        <w:ind w:left="270"/>
        <w:jc w:val="center"/>
        <w:rPr>
          <w:sz w:val="32"/>
          <w:szCs w:val="32"/>
        </w:rPr>
      </w:pPr>
    </w:p>
    <w:p w:rsidR="004B4861" w:rsidRDefault="004B4861">
      <w:pPr>
        <w:pStyle w:val="Heading8"/>
        <w:ind w:left="270"/>
        <w:jc w:val="center"/>
        <w:rPr>
          <w:sz w:val="32"/>
          <w:szCs w:val="32"/>
        </w:rPr>
      </w:pPr>
    </w:p>
    <w:p w:rsidR="001032C8" w:rsidRPr="003F3344" w:rsidRDefault="00BC271B" w:rsidP="001032C8">
      <w:pPr>
        <w:pStyle w:val="Title"/>
        <w:rPr>
          <w:rFonts w:ascii="Arial" w:hAnsi="Arial" w:cs="Arial"/>
          <w:sz w:val="36"/>
          <w:szCs w:val="36"/>
          <w:u w:val="none"/>
        </w:rPr>
      </w:pPr>
      <w:r w:rsidRPr="003F3344">
        <w:rPr>
          <w:rFonts w:ascii="Arial" w:hAnsi="Arial" w:cs="Arial"/>
          <w:sz w:val="36"/>
          <w:szCs w:val="36"/>
          <w:u w:val="none"/>
        </w:rPr>
        <w:t>PPL ELECTRIC UTILITIES CORPORATION</w:t>
      </w:r>
    </w:p>
    <w:p w:rsidR="001032C8" w:rsidRPr="002243BA" w:rsidRDefault="001032C8" w:rsidP="001032C8">
      <w:pPr>
        <w:jc w:val="center"/>
        <w:rPr>
          <w:rFonts w:ascii="Arial" w:hAnsi="Arial" w:cs="Arial"/>
          <w:b/>
          <w:sz w:val="36"/>
          <w:szCs w:val="36"/>
        </w:rPr>
      </w:pPr>
    </w:p>
    <w:p w:rsidR="001032C8" w:rsidRPr="002243BA" w:rsidRDefault="001032C8" w:rsidP="001032C8">
      <w:pPr>
        <w:jc w:val="center"/>
        <w:rPr>
          <w:rFonts w:ascii="Arial" w:hAnsi="Arial" w:cs="Arial"/>
          <w:b/>
          <w:sz w:val="36"/>
          <w:szCs w:val="36"/>
        </w:rPr>
      </w:pPr>
    </w:p>
    <w:p w:rsidR="005D711E" w:rsidRPr="002243BA" w:rsidRDefault="005D711E" w:rsidP="007B2F04">
      <w:pPr>
        <w:pStyle w:val="Heading8"/>
        <w:jc w:val="center"/>
        <w:rPr>
          <w:rFonts w:ascii="Arial" w:hAnsi="Arial" w:cs="Arial"/>
          <w:szCs w:val="36"/>
        </w:rPr>
      </w:pPr>
    </w:p>
    <w:p w:rsidR="005D711E" w:rsidRPr="002243BA" w:rsidRDefault="005D711E" w:rsidP="007B2F04">
      <w:pPr>
        <w:pStyle w:val="BodyText2"/>
        <w:rPr>
          <w:rFonts w:ascii="Arial" w:hAnsi="Arial" w:cs="Arial"/>
          <w:szCs w:val="36"/>
        </w:rPr>
      </w:pPr>
    </w:p>
    <w:p w:rsidR="004B4861" w:rsidRPr="002243BA" w:rsidRDefault="004B4861" w:rsidP="007B2F04">
      <w:pPr>
        <w:pStyle w:val="BodyText2"/>
        <w:tabs>
          <w:tab w:val="clear" w:pos="4680"/>
        </w:tabs>
        <w:rPr>
          <w:rFonts w:ascii="Arial" w:hAnsi="Arial" w:cs="Arial"/>
          <w:szCs w:val="36"/>
        </w:rPr>
      </w:pPr>
    </w:p>
    <w:p w:rsidR="004B4861" w:rsidRPr="002243BA" w:rsidRDefault="004B4861" w:rsidP="007B2F04">
      <w:pPr>
        <w:pStyle w:val="BodyText2"/>
        <w:tabs>
          <w:tab w:val="clear" w:pos="4680"/>
        </w:tabs>
        <w:rPr>
          <w:rFonts w:ascii="Arial" w:hAnsi="Arial" w:cs="Arial"/>
          <w:szCs w:val="36"/>
        </w:rPr>
      </w:pPr>
    </w:p>
    <w:p w:rsidR="004B4861" w:rsidRPr="002243BA" w:rsidRDefault="004B4861" w:rsidP="007B2F04">
      <w:pPr>
        <w:pStyle w:val="BodyText2"/>
        <w:tabs>
          <w:tab w:val="clear" w:pos="4680"/>
        </w:tabs>
        <w:rPr>
          <w:rFonts w:ascii="Arial" w:hAnsi="Arial" w:cs="Arial"/>
          <w:szCs w:val="36"/>
        </w:rPr>
      </w:pPr>
    </w:p>
    <w:p w:rsidR="007366D9" w:rsidRPr="003F3344" w:rsidRDefault="00CC781F" w:rsidP="00CC781F">
      <w:pPr>
        <w:tabs>
          <w:tab w:val="center" w:pos="4680"/>
        </w:tabs>
        <w:suppressAutoHyphens/>
        <w:rPr>
          <w:rFonts w:ascii="Arial" w:hAnsi="Arial" w:cs="Arial"/>
          <w:sz w:val="28"/>
          <w:szCs w:val="28"/>
        </w:rPr>
      </w:pPr>
      <w:r>
        <w:rPr>
          <w:rFonts w:ascii="Arial" w:hAnsi="Arial" w:cs="Arial"/>
          <w:b/>
          <w:sz w:val="32"/>
          <w:szCs w:val="28"/>
        </w:rPr>
        <w:tab/>
      </w:r>
      <w:r w:rsidR="00554B9B" w:rsidRPr="003F3344">
        <w:rPr>
          <w:rFonts w:ascii="Arial" w:hAnsi="Arial" w:cs="Arial"/>
          <w:b/>
          <w:sz w:val="28"/>
          <w:szCs w:val="28"/>
        </w:rPr>
        <w:t xml:space="preserve">A REPORT ON THE </w:t>
      </w:r>
      <w:r w:rsidR="00273FE8" w:rsidRPr="003F3344">
        <w:rPr>
          <w:rFonts w:ascii="Arial" w:hAnsi="Arial" w:cs="Arial"/>
          <w:b/>
          <w:sz w:val="28"/>
          <w:szCs w:val="28"/>
        </w:rPr>
        <w:t xml:space="preserve">UNIVERSAL </w:t>
      </w:r>
      <w:r w:rsidR="00BB133D" w:rsidRPr="003F3344">
        <w:rPr>
          <w:rFonts w:ascii="Arial" w:hAnsi="Arial" w:cs="Arial"/>
          <w:b/>
          <w:sz w:val="28"/>
          <w:szCs w:val="28"/>
        </w:rPr>
        <w:t>SERVICE</w:t>
      </w:r>
      <w:r w:rsidR="005D711E" w:rsidRPr="003F3344">
        <w:rPr>
          <w:rFonts w:ascii="Arial" w:hAnsi="Arial" w:cs="Arial"/>
          <w:b/>
          <w:sz w:val="28"/>
          <w:szCs w:val="28"/>
        </w:rPr>
        <w:t xml:space="preserve"> </w:t>
      </w:r>
      <w:r w:rsidR="00BC271B" w:rsidRPr="003F3344">
        <w:rPr>
          <w:rFonts w:ascii="Arial" w:hAnsi="Arial" w:cs="Arial"/>
          <w:b/>
          <w:sz w:val="28"/>
          <w:szCs w:val="28"/>
        </w:rPr>
        <w:t>RIDER</w:t>
      </w:r>
      <w:r w:rsidR="00554B9B" w:rsidRPr="003F3344">
        <w:rPr>
          <w:rFonts w:ascii="Arial" w:hAnsi="Arial" w:cs="Arial"/>
          <w:sz w:val="28"/>
          <w:szCs w:val="28"/>
        </w:rPr>
        <w:t xml:space="preserve"> </w:t>
      </w:r>
    </w:p>
    <w:p w:rsidR="00CC781F" w:rsidRPr="003F3344" w:rsidRDefault="00CC781F" w:rsidP="00CC781F">
      <w:pPr>
        <w:tabs>
          <w:tab w:val="center" w:pos="4680"/>
        </w:tabs>
        <w:suppressAutoHyphens/>
        <w:rPr>
          <w:rFonts w:ascii="Arial" w:hAnsi="Arial" w:cs="Arial"/>
          <w:sz w:val="28"/>
          <w:szCs w:val="28"/>
        </w:rPr>
      </w:pPr>
    </w:p>
    <w:p w:rsidR="00BB35EE" w:rsidRDefault="00554B9B" w:rsidP="00554B9B">
      <w:pPr>
        <w:suppressAutoHyphens/>
        <w:jc w:val="center"/>
        <w:rPr>
          <w:rFonts w:ascii="Arial" w:hAnsi="Arial" w:cs="Arial"/>
          <w:b/>
          <w:sz w:val="28"/>
          <w:szCs w:val="28"/>
        </w:rPr>
      </w:pPr>
      <w:r w:rsidRPr="003F3344">
        <w:rPr>
          <w:rFonts w:ascii="Arial" w:hAnsi="Arial" w:cs="Arial"/>
          <w:b/>
          <w:sz w:val="28"/>
          <w:szCs w:val="28"/>
        </w:rPr>
        <w:t xml:space="preserve">FOR THE </w:t>
      </w:r>
      <w:r w:rsidR="00B5683C">
        <w:rPr>
          <w:rFonts w:ascii="Arial" w:hAnsi="Arial" w:cs="Arial"/>
          <w:b/>
          <w:sz w:val="28"/>
          <w:szCs w:val="28"/>
        </w:rPr>
        <w:t>TWELVE MONTHS</w:t>
      </w:r>
      <w:r w:rsidR="003463D1" w:rsidRPr="003F3344">
        <w:rPr>
          <w:rFonts w:ascii="Arial" w:hAnsi="Arial" w:cs="Arial"/>
          <w:b/>
          <w:sz w:val="28"/>
          <w:szCs w:val="28"/>
        </w:rPr>
        <w:t xml:space="preserve"> </w:t>
      </w:r>
      <w:r w:rsidR="00061843" w:rsidRPr="003F3344">
        <w:rPr>
          <w:rFonts w:ascii="Arial" w:hAnsi="Arial" w:cs="Arial"/>
          <w:b/>
          <w:sz w:val="28"/>
          <w:szCs w:val="28"/>
        </w:rPr>
        <w:t xml:space="preserve">ENDED </w:t>
      </w:r>
      <w:r w:rsidR="00AF2A97">
        <w:rPr>
          <w:rFonts w:ascii="Arial" w:hAnsi="Arial" w:cs="Arial"/>
          <w:b/>
          <w:sz w:val="28"/>
          <w:szCs w:val="28"/>
        </w:rPr>
        <w:t>NOVEMEBR 30</w:t>
      </w:r>
      <w:r w:rsidR="009C0A77" w:rsidRPr="003F3344">
        <w:rPr>
          <w:rFonts w:ascii="Arial" w:hAnsi="Arial" w:cs="Arial"/>
          <w:b/>
          <w:sz w:val="28"/>
          <w:szCs w:val="28"/>
        </w:rPr>
        <w:t>,</w:t>
      </w:r>
      <w:r w:rsidR="00061843" w:rsidRPr="003F3344">
        <w:rPr>
          <w:rFonts w:ascii="Arial" w:hAnsi="Arial" w:cs="Arial"/>
          <w:b/>
          <w:sz w:val="28"/>
          <w:szCs w:val="28"/>
        </w:rPr>
        <w:t xml:space="preserve"> 20</w:t>
      </w:r>
      <w:r w:rsidR="00AF2A97">
        <w:rPr>
          <w:rFonts w:ascii="Arial" w:hAnsi="Arial" w:cs="Arial"/>
          <w:b/>
          <w:sz w:val="28"/>
          <w:szCs w:val="28"/>
        </w:rPr>
        <w:t xml:space="preserve">12 </w:t>
      </w:r>
    </w:p>
    <w:p w:rsidR="00BB35EE" w:rsidRDefault="00BB35EE" w:rsidP="00554B9B">
      <w:pPr>
        <w:suppressAutoHyphens/>
        <w:jc w:val="center"/>
        <w:rPr>
          <w:rFonts w:ascii="Arial" w:hAnsi="Arial" w:cs="Arial"/>
          <w:b/>
          <w:sz w:val="28"/>
          <w:szCs w:val="28"/>
        </w:rPr>
      </w:pPr>
    </w:p>
    <w:p w:rsidR="00061843" w:rsidRPr="003F3344" w:rsidRDefault="00AF2A97" w:rsidP="00554B9B">
      <w:pPr>
        <w:suppressAutoHyphens/>
        <w:jc w:val="center"/>
        <w:rPr>
          <w:rFonts w:ascii="Arial" w:hAnsi="Arial" w:cs="Arial"/>
          <w:b/>
          <w:sz w:val="28"/>
          <w:szCs w:val="28"/>
        </w:rPr>
      </w:pPr>
      <w:r>
        <w:rPr>
          <w:rFonts w:ascii="Arial" w:hAnsi="Arial" w:cs="Arial"/>
          <w:b/>
          <w:sz w:val="28"/>
          <w:szCs w:val="28"/>
        </w:rPr>
        <w:t>AND THE TWELVE MONTHS ENDED NOVEMBER 30, 2011</w:t>
      </w:r>
      <w:r w:rsidR="00061843" w:rsidRPr="003F3344">
        <w:rPr>
          <w:rFonts w:ascii="Arial" w:hAnsi="Arial" w:cs="Arial"/>
          <w:b/>
          <w:sz w:val="28"/>
          <w:szCs w:val="28"/>
        </w:rPr>
        <w:t xml:space="preserve"> </w:t>
      </w:r>
    </w:p>
    <w:p w:rsidR="005D711E" w:rsidRPr="003F3344" w:rsidRDefault="001062F3" w:rsidP="005B3234">
      <w:pPr>
        <w:pStyle w:val="BodyText2"/>
        <w:tabs>
          <w:tab w:val="clear" w:pos="4680"/>
          <w:tab w:val="left" w:pos="3960"/>
        </w:tabs>
        <w:jc w:val="left"/>
        <w:outlineLvl w:val="0"/>
        <w:rPr>
          <w:rFonts w:ascii="Arial" w:hAnsi="Arial" w:cs="Arial"/>
          <w:sz w:val="28"/>
          <w:szCs w:val="28"/>
        </w:rPr>
      </w:pPr>
      <w:r>
        <w:rPr>
          <w:rFonts w:ascii="Arial" w:hAnsi="Arial" w:cs="Arial"/>
          <w:sz w:val="28"/>
          <w:szCs w:val="28"/>
        </w:rPr>
        <w:tab/>
      </w:r>
    </w:p>
    <w:p w:rsidR="005D711E" w:rsidRPr="003F3344" w:rsidRDefault="005D711E" w:rsidP="007B2F04">
      <w:pPr>
        <w:pStyle w:val="BodyText2"/>
        <w:rPr>
          <w:rFonts w:ascii="Arial" w:hAnsi="Arial" w:cs="Arial"/>
          <w:sz w:val="28"/>
          <w:szCs w:val="28"/>
        </w:rPr>
      </w:pPr>
    </w:p>
    <w:p w:rsidR="002243BA" w:rsidRPr="003F3344" w:rsidRDefault="002243BA" w:rsidP="007B2F04">
      <w:pPr>
        <w:pStyle w:val="BodyText2"/>
        <w:rPr>
          <w:rFonts w:ascii="Arial" w:hAnsi="Arial" w:cs="Arial"/>
          <w:sz w:val="28"/>
          <w:szCs w:val="28"/>
        </w:rPr>
      </w:pPr>
    </w:p>
    <w:p w:rsidR="002243BA" w:rsidRPr="003F3344" w:rsidRDefault="002243BA" w:rsidP="007B2F04">
      <w:pPr>
        <w:pStyle w:val="BodyText2"/>
        <w:rPr>
          <w:rFonts w:ascii="Arial" w:hAnsi="Arial" w:cs="Arial"/>
          <w:sz w:val="28"/>
          <w:szCs w:val="28"/>
        </w:rPr>
      </w:pPr>
    </w:p>
    <w:p w:rsidR="005D711E" w:rsidRPr="003F3344" w:rsidRDefault="005D711E" w:rsidP="007B2F04">
      <w:pPr>
        <w:tabs>
          <w:tab w:val="center" w:pos="4680"/>
        </w:tabs>
        <w:suppressAutoHyphens/>
        <w:jc w:val="center"/>
        <w:rPr>
          <w:rFonts w:ascii="Arial" w:hAnsi="Arial" w:cs="Arial"/>
          <w:b/>
          <w:sz w:val="28"/>
          <w:szCs w:val="28"/>
        </w:rPr>
      </w:pPr>
    </w:p>
    <w:p w:rsidR="005D711E" w:rsidRPr="003F3344" w:rsidRDefault="005D711E" w:rsidP="007B2F04">
      <w:pPr>
        <w:tabs>
          <w:tab w:val="center" w:pos="4680"/>
        </w:tabs>
        <w:suppressAutoHyphens/>
        <w:jc w:val="center"/>
        <w:rPr>
          <w:rFonts w:ascii="Arial" w:hAnsi="Arial" w:cs="Arial"/>
          <w:b/>
          <w:sz w:val="28"/>
          <w:szCs w:val="28"/>
        </w:rPr>
      </w:pPr>
    </w:p>
    <w:p w:rsidR="009F6861" w:rsidRPr="003F3344" w:rsidRDefault="005D711E" w:rsidP="007B2F04">
      <w:pPr>
        <w:tabs>
          <w:tab w:val="center" w:pos="4680"/>
        </w:tabs>
        <w:suppressAutoHyphens/>
        <w:jc w:val="center"/>
        <w:outlineLvl w:val="0"/>
        <w:rPr>
          <w:rFonts w:ascii="Arial" w:hAnsi="Arial" w:cs="Arial"/>
          <w:b/>
          <w:sz w:val="28"/>
          <w:szCs w:val="28"/>
        </w:rPr>
      </w:pPr>
      <w:r w:rsidRPr="003F3344">
        <w:rPr>
          <w:rFonts w:ascii="Arial" w:hAnsi="Arial" w:cs="Arial"/>
          <w:b/>
          <w:sz w:val="28"/>
          <w:szCs w:val="28"/>
        </w:rPr>
        <w:t xml:space="preserve">Prepared </w:t>
      </w:r>
      <w:r w:rsidR="00C06521" w:rsidRPr="003F3344">
        <w:rPr>
          <w:rFonts w:ascii="Arial" w:hAnsi="Arial" w:cs="Arial"/>
          <w:b/>
          <w:sz w:val="28"/>
          <w:szCs w:val="28"/>
        </w:rPr>
        <w:t xml:space="preserve">By </w:t>
      </w:r>
      <w:r w:rsidRPr="003F3344">
        <w:rPr>
          <w:rFonts w:ascii="Arial" w:hAnsi="Arial" w:cs="Arial"/>
          <w:b/>
          <w:sz w:val="28"/>
          <w:szCs w:val="28"/>
        </w:rPr>
        <w:t>The</w:t>
      </w:r>
    </w:p>
    <w:p w:rsidR="005D711E" w:rsidRPr="003F3344" w:rsidRDefault="005D711E" w:rsidP="007B2F04">
      <w:pPr>
        <w:tabs>
          <w:tab w:val="center" w:pos="4680"/>
        </w:tabs>
        <w:suppressAutoHyphens/>
        <w:jc w:val="center"/>
        <w:outlineLvl w:val="0"/>
        <w:rPr>
          <w:rFonts w:ascii="Arial" w:hAnsi="Arial" w:cs="Arial"/>
          <w:b/>
          <w:sz w:val="28"/>
          <w:szCs w:val="28"/>
        </w:rPr>
      </w:pPr>
      <w:r w:rsidRPr="003F3344">
        <w:rPr>
          <w:rFonts w:ascii="Arial" w:hAnsi="Arial" w:cs="Arial"/>
          <w:b/>
          <w:sz w:val="28"/>
          <w:szCs w:val="28"/>
        </w:rPr>
        <w:t>Pennsylvania Public Utility Commission</w:t>
      </w:r>
    </w:p>
    <w:p w:rsidR="005D711E" w:rsidRPr="003F3344" w:rsidRDefault="00C06521" w:rsidP="00C06521">
      <w:pPr>
        <w:tabs>
          <w:tab w:val="center" w:pos="4680"/>
        </w:tabs>
        <w:suppressAutoHyphens/>
        <w:rPr>
          <w:rFonts w:ascii="Arial" w:hAnsi="Arial" w:cs="Arial"/>
          <w:b/>
          <w:sz w:val="28"/>
          <w:szCs w:val="28"/>
        </w:rPr>
      </w:pPr>
      <w:r w:rsidRPr="003F3344">
        <w:rPr>
          <w:rFonts w:ascii="Arial" w:hAnsi="Arial" w:cs="Arial"/>
          <w:b/>
          <w:sz w:val="28"/>
          <w:szCs w:val="28"/>
        </w:rPr>
        <w:tab/>
      </w:r>
      <w:r w:rsidR="005D711E" w:rsidRPr="003F3344">
        <w:rPr>
          <w:rFonts w:ascii="Arial" w:hAnsi="Arial" w:cs="Arial"/>
          <w:b/>
          <w:sz w:val="28"/>
          <w:szCs w:val="28"/>
        </w:rPr>
        <w:t xml:space="preserve">Bureau </w:t>
      </w:r>
      <w:r w:rsidR="00B80AC5">
        <w:rPr>
          <w:rFonts w:ascii="Arial" w:hAnsi="Arial" w:cs="Arial"/>
          <w:b/>
          <w:sz w:val="28"/>
          <w:szCs w:val="28"/>
        </w:rPr>
        <w:t>o</w:t>
      </w:r>
      <w:r w:rsidR="005D711E" w:rsidRPr="003F3344">
        <w:rPr>
          <w:rFonts w:ascii="Arial" w:hAnsi="Arial" w:cs="Arial"/>
          <w:b/>
          <w:sz w:val="28"/>
          <w:szCs w:val="28"/>
        </w:rPr>
        <w:t>f Audits</w:t>
      </w:r>
    </w:p>
    <w:p w:rsidR="00501A6C" w:rsidRPr="003F3344" w:rsidRDefault="00C06521" w:rsidP="00C06521">
      <w:pPr>
        <w:tabs>
          <w:tab w:val="center" w:pos="4680"/>
        </w:tabs>
        <w:suppressAutoHyphens/>
        <w:rPr>
          <w:rFonts w:ascii="Arial" w:hAnsi="Arial" w:cs="Arial"/>
          <w:b/>
          <w:sz w:val="28"/>
          <w:szCs w:val="28"/>
        </w:rPr>
      </w:pPr>
      <w:r w:rsidRPr="003F3344">
        <w:rPr>
          <w:rFonts w:ascii="Arial" w:hAnsi="Arial" w:cs="Arial"/>
          <w:b/>
          <w:sz w:val="28"/>
          <w:szCs w:val="28"/>
        </w:rPr>
        <w:tab/>
      </w:r>
      <w:r w:rsidR="00B5683C">
        <w:rPr>
          <w:rFonts w:ascii="Arial" w:hAnsi="Arial" w:cs="Arial"/>
          <w:b/>
          <w:sz w:val="28"/>
          <w:szCs w:val="28"/>
        </w:rPr>
        <w:t xml:space="preserve">Report Date: </w:t>
      </w:r>
      <w:r w:rsidR="006E2CE6" w:rsidRPr="003F3344">
        <w:rPr>
          <w:rFonts w:ascii="Arial" w:hAnsi="Arial" w:cs="Arial"/>
          <w:b/>
          <w:sz w:val="28"/>
          <w:szCs w:val="28"/>
        </w:rPr>
        <w:t xml:space="preserve"> </w:t>
      </w:r>
      <w:r w:rsidR="00E04310">
        <w:rPr>
          <w:rFonts w:ascii="Arial" w:hAnsi="Arial" w:cs="Arial"/>
          <w:b/>
          <w:sz w:val="28"/>
          <w:szCs w:val="28"/>
        </w:rPr>
        <w:t>February 4</w:t>
      </w:r>
      <w:bookmarkStart w:id="0" w:name="_GoBack"/>
      <w:bookmarkEnd w:id="0"/>
      <w:r w:rsidR="00705008">
        <w:rPr>
          <w:rFonts w:ascii="Arial" w:hAnsi="Arial" w:cs="Arial"/>
          <w:b/>
          <w:sz w:val="28"/>
          <w:szCs w:val="28"/>
        </w:rPr>
        <w:t>, 2014</w:t>
      </w:r>
    </w:p>
    <w:p w:rsidR="009F6861" w:rsidRPr="003F3344" w:rsidRDefault="009F6861" w:rsidP="00C06521">
      <w:pPr>
        <w:tabs>
          <w:tab w:val="center" w:pos="4680"/>
        </w:tabs>
        <w:suppressAutoHyphens/>
        <w:rPr>
          <w:rFonts w:ascii="Arial" w:hAnsi="Arial" w:cs="Arial"/>
          <w:b/>
          <w:sz w:val="28"/>
          <w:szCs w:val="28"/>
        </w:rPr>
      </w:pPr>
    </w:p>
    <w:p w:rsidR="005D711E" w:rsidRPr="003F3344" w:rsidRDefault="00C06521" w:rsidP="00BB133D">
      <w:pPr>
        <w:tabs>
          <w:tab w:val="center" w:pos="4680"/>
        </w:tabs>
        <w:suppressAutoHyphens/>
        <w:rPr>
          <w:rFonts w:ascii="Arial" w:hAnsi="Arial" w:cs="Arial"/>
          <w:b/>
          <w:sz w:val="28"/>
          <w:szCs w:val="28"/>
        </w:rPr>
        <w:sectPr w:rsidR="005D711E" w:rsidRPr="003F3344" w:rsidSect="0047509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0" w:footer="720" w:gutter="0"/>
          <w:pgNumType w:start="1"/>
          <w:cols w:space="720"/>
          <w:noEndnote/>
        </w:sectPr>
      </w:pPr>
      <w:r w:rsidRPr="003F3344">
        <w:rPr>
          <w:rFonts w:ascii="Arial" w:hAnsi="Arial" w:cs="Arial"/>
          <w:b/>
          <w:sz w:val="28"/>
          <w:szCs w:val="28"/>
        </w:rPr>
        <w:tab/>
        <w:t>Docket D-</w:t>
      </w:r>
      <w:r w:rsidR="002A3F41">
        <w:rPr>
          <w:rFonts w:ascii="Arial" w:hAnsi="Arial" w:cs="Arial"/>
          <w:b/>
          <w:sz w:val="28"/>
          <w:szCs w:val="28"/>
        </w:rPr>
        <w:t>201</w:t>
      </w:r>
      <w:r w:rsidR="00AF2A97">
        <w:rPr>
          <w:rFonts w:ascii="Arial" w:hAnsi="Arial" w:cs="Arial"/>
          <w:b/>
          <w:sz w:val="28"/>
          <w:szCs w:val="28"/>
        </w:rPr>
        <w:t>3</w:t>
      </w:r>
      <w:r w:rsidR="0085746F" w:rsidRPr="003F3344">
        <w:rPr>
          <w:rFonts w:ascii="Arial" w:hAnsi="Arial" w:cs="Arial"/>
          <w:b/>
          <w:sz w:val="28"/>
          <w:szCs w:val="28"/>
        </w:rPr>
        <w:t>-</w:t>
      </w:r>
      <w:r w:rsidR="00AF2A97">
        <w:rPr>
          <w:rFonts w:ascii="Arial" w:hAnsi="Arial" w:cs="Arial"/>
          <w:b/>
          <w:sz w:val="28"/>
          <w:szCs w:val="28"/>
        </w:rPr>
        <w:t>2342562</w:t>
      </w:r>
    </w:p>
    <w:p w:rsidR="005D711E" w:rsidRPr="00EA4FD5" w:rsidRDefault="00BC271B" w:rsidP="009F6861">
      <w:pPr>
        <w:pStyle w:val="Heading1"/>
        <w:tabs>
          <w:tab w:val="left" w:pos="180"/>
          <w:tab w:val="left" w:pos="270"/>
        </w:tabs>
        <w:rPr>
          <w:rFonts w:ascii="Arial" w:hAnsi="Arial" w:cs="Arial"/>
          <w:sz w:val="26"/>
          <w:szCs w:val="26"/>
          <w:u w:val="none"/>
        </w:rPr>
      </w:pPr>
      <w:r w:rsidRPr="00EA4FD5">
        <w:rPr>
          <w:rFonts w:ascii="Arial" w:hAnsi="Arial" w:cs="Arial"/>
          <w:sz w:val="26"/>
          <w:szCs w:val="26"/>
          <w:u w:val="none"/>
        </w:rPr>
        <w:lastRenderedPageBreak/>
        <w:t>PPL ELECTRIC UTILITIES CORPORATION</w:t>
      </w:r>
    </w:p>
    <w:p w:rsidR="005D711E" w:rsidRPr="002C0039" w:rsidRDefault="005D711E" w:rsidP="009F6861">
      <w:pPr>
        <w:tabs>
          <w:tab w:val="left" w:pos="180"/>
          <w:tab w:val="left" w:pos="270"/>
        </w:tabs>
        <w:suppressAutoHyphens/>
        <w:rPr>
          <w:rFonts w:ascii="Arial" w:hAnsi="Arial" w:cs="Arial"/>
          <w:sz w:val="26"/>
          <w:szCs w:val="26"/>
        </w:rPr>
      </w:pPr>
    </w:p>
    <w:p w:rsidR="005D711E" w:rsidRPr="002C0039" w:rsidRDefault="002C0039" w:rsidP="009F6861">
      <w:pPr>
        <w:jc w:val="center"/>
        <w:rPr>
          <w:rFonts w:ascii="Arial" w:hAnsi="Arial" w:cs="Arial"/>
          <w:b/>
          <w:sz w:val="26"/>
          <w:szCs w:val="26"/>
        </w:rPr>
      </w:pPr>
      <w:r w:rsidRPr="002C0039">
        <w:rPr>
          <w:rFonts w:ascii="Arial" w:hAnsi="Arial" w:cs="Arial"/>
          <w:b/>
          <w:sz w:val="26"/>
          <w:szCs w:val="26"/>
        </w:rPr>
        <w:t xml:space="preserve">Table of </w:t>
      </w:r>
      <w:r w:rsidR="005D711E" w:rsidRPr="002C0039">
        <w:rPr>
          <w:rFonts w:ascii="Arial" w:hAnsi="Arial" w:cs="Arial"/>
          <w:b/>
          <w:sz w:val="26"/>
          <w:szCs w:val="26"/>
        </w:rPr>
        <w:t>Contents</w:t>
      </w:r>
    </w:p>
    <w:p w:rsidR="005D711E" w:rsidRPr="00EA4FD5" w:rsidRDefault="005D711E">
      <w:pPr>
        <w:tabs>
          <w:tab w:val="left" w:pos="-720"/>
          <w:tab w:val="left" w:pos="180"/>
          <w:tab w:val="left" w:pos="270"/>
        </w:tabs>
        <w:suppressAutoHyphens/>
        <w:ind w:right="-90"/>
        <w:rPr>
          <w:rFonts w:ascii="Arial" w:hAnsi="Arial" w:cs="Arial"/>
          <w:b/>
          <w:szCs w:val="24"/>
        </w:rPr>
      </w:pPr>
    </w:p>
    <w:p w:rsidR="00101D15" w:rsidRPr="003F3344" w:rsidRDefault="00101D15">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3F3344" w:rsidTr="001657F8">
        <w:tc>
          <w:tcPr>
            <w:tcW w:w="8478" w:type="dxa"/>
            <w:tcBorders>
              <w:top w:val="nil"/>
              <w:left w:val="nil"/>
              <w:bottom w:val="nil"/>
              <w:right w:val="nil"/>
            </w:tcBorders>
          </w:tcPr>
          <w:p w:rsidR="005D711E" w:rsidRPr="003F3344"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3F3344" w:rsidRDefault="005D711E">
            <w:pPr>
              <w:pStyle w:val="EndnoteText"/>
              <w:tabs>
                <w:tab w:val="left" w:pos="-720"/>
                <w:tab w:val="left" w:pos="180"/>
                <w:tab w:val="left" w:pos="270"/>
              </w:tabs>
              <w:suppressAutoHyphens/>
              <w:jc w:val="center"/>
              <w:rPr>
                <w:rFonts w:ascii="Arial" w:hAnsi="Arial" w:cs="Arial"/>
                <w:b/>
                <w:szCs w:val="24"/>
                <w:u w:val="single"/>
              </w:rPr>
            </w:pPr>
            <w:r w:rsidRPr="003F3344">
              <w:rPr>
                <w:rFonts w:ascii="Arial" w:hAnsi="Arial" w:cs="Arial"/>
                <w:b/>
                <w:szCs w:val="24"/>
                <w:u w:val="single"/>
              </w:rPr>
              <w:t>Page</w:t>
            </w:r>
          </w:p>
        </w:tc>
      </w:tr>
      <w:tr w:rsidR="005D711E" w:rsidRPr="003F3344" w:rsidTr="001657F8">
        <w:trPr>
          <w:trHeight w:hRule="exact" w:val="216"/>
        </w:trPr>
        <w:tc>
          <w:tcPr>
            <w:tcW w:w="8478" w:type="dxa"/>
            <w:tcBorders>
              <w:top w:val="nil"/>
              <w:left w:val="nil"/>
              <w:bottom w:val="nil"/>
              <w:right w:val="nil"/>
            </w:tcBorders>
          </w:tcPr>
          <w:p w:rsidR="005D711E" w:rsidRPr="003F3344"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3F3344" w:rsidRDefault="005D711E">
            <w:pPr>
              <w:pStyle w:val="EndnoteText"/>
              <w:tabs>
                <w:tab w:val="left" w:pos="-720"/>
                <w:tab w:val="left" w:pos="180"/>
                <w:tab w:val="left" w:pos="270"/>
              </w:tabs>
              <w:suppressAutoHyphens/>
              <w:jc w:val="center"/>
              <w:rPr>
                <w:rFonts w:ascii="Arial" w:hAnsi="Arial" w:cs="Arial"/>
                <w:b/>
                <w:szCs w:val="24"/>
                <w:u w:val="single"/>
              </w:rPr>
            </w:pPr>
          </w:p>
        </w:tc>
      </w:tr>
      <w:tr w:rsidR="005D711E" w:rsidRPr="003F3344" w:rsidTr="001657F8">
        <w:tc>
          <w:tcPr>
            <w:tcW w:w="8478" w:type="dxa"/>
            <w:tcBorders>
              <w:top w:val="nil"/>
              <w:left w:val="nil"/>
              <w:bottom w:val="nil"/>
              <w:right w:val="nil"/>
            </w:tcBorders>
          </w:tcPr>
          <w:p w:rsidR="005D711E" w:rsidRPr="00BB54C4" w:rsidRDefault="005D711E">
            <w:pPr>
              <w:tabs>
                <w:tab w:val="left" w:pos="-720"/>
                <w:tab w:val="left" w:pos="180"/>
                <w:tab w:val="left" w:pos="270"/>
              </w:tabs>
              <w:suppressAutoHyphens/>
              <w:rPr>
                <w:rFonts w:ascii="Arial" w:hAnsi="Arial" w:cs="Arial"/>
                <w:b/>
                <w:szCs w:val="24"/>
                <w:u w:val="single"/>
              </w:rPr>
            </w:pPr>
            <w:r w:rsidRPr="00BB54C4">
              <w:rPr>
                <w:rFonts w:ascii="Arial" w:hAnsi="Arial" w:cs="Arial"/>
                <w:b/>
                <w:szCs w:val="24"/>
                <w:u w:val="single"/>
              </w:rPr>
              <w:t xml:space="preserve">FINANCIAL REVIEW </w:t>
            </w:r>
          </w:p>
        </w:tc>
        <w:tc>
          <w:tcPr>
            <w:tcW w:w="1098" w:type="dxa"/>
            <w:tcBorders>
              <w:top w:val="nil"/>
              <w:left w:val="nil"/>
              <w:bottom w:val="nil"/>
              <w:right w:val="nil"/>
            </w:tcBorders>
          </w:tcPr>
          <w:p w:rsidR="005D711E" w:rsidRPr="003F3344" w:rsidRDefault="005D711E" w:rsidP="00101D15">
            <w:pPr>
              <w:pStyle w:val="EndnoteText"/>
              <w:tabs>
                <w:tab w:val="right" w:pos="562"/>
              </w:tabs>
              <w:suppressAutoHyphens/>
              <w:rPr>
                <w:rFonts w:ascii="Arial" w:hAnsi="Arial" w:cs="Arial"/>
                <w:szCs w:val="24"/>
              </w:rPr>
            </w:pPr>
          </w:p>
        </w:tc>
      </w:tr>
      <w:tr w:rsidR="00101D15" w:rsidRPr="003F3344" w:rsidTr="001657F8">
        <w:tc>
          <w:tcPr>
            <w:tcW w:w="8478" w:type="dxa"/>
            <w:tcBorders>
              <w:top w:val="nil"/>
              <w:left w:val="nil"/>
              <w:bottom w:val="nil"/>
              <w:right w:val="nil"/>
            </w:tcBorders>
          </w:tcPr>
          <w:p w:rsidR="00101D15" w:rsidRPr="003F3344"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3F3344" w:rsidRDefault="00101D15" w:rsidP="00101D15">
            <w:pPr>
              <w:pStyle w:val="EndnoteText"/>
              <w:tabs>
                <w:tab w:val="right" w:pos="562"/>
              </w:tabs>
              <w:suppressAutoHyphens/>
              <w:rPr>
                <w:rFonts w:ascii="Arial" w:hAnsi="Arial" w:cs="Arial"/>
                <w:szCs w:val="24"/>
              </w:rPr>
            </w:pPr>
          </w:p>
        </w:tc>
      </w:tr>
      <w:tr w:rsidR="005D711E" w:rsidRPr="003F3344" w:rsidTr="001657F8">
        <w:tc>
          <w:tcPr>
            <w:tcW w:w="8478" w:type="dxa"/>
            <w:tcBorders>
              <w:top w:val="nil"/>
              <w:left w:val="nil"/>
              <w:bottom w:val="nil"/>
              <w:right w:val="nil"/>
            </w:tcBorders>
          </w:tcPr>
          <w:p w:rsidR="005D711E" w:rsidRPr="003F3344" w:rsidRDefault="005D711E" w:rsidP="0085746F">
            <w:pPr>
              <w:pStyle w:val="EndnoteText"/>
              <w:tabs>
                <w:tab w:val="left" w:pos="-720"/>
                <w:tab w:val="left" w:pos="360"/>
                <w:tab w:val="left" w:pos="540"/>
                <w:tab w:val="left" w:pos="810"/>
                <w:tab w:val="left" w:pos="9180"/>
              </w:tabs>
              <w:suppressAutoHyphens/>
              <w:rPr>
                <w:rFonts w:ascii="Arial" w:hAnsi="Arial" w:cs="Arial"/>
                <w:szCs w:val="24"/>
              </w:rPr>
            </w:pPr>
            <w:r w:rsidRPr="003F3344">
              <w:rPr>
                <w:rFonts w:ascii="Arial" w:hAnsi="Arial" w:cs="Arial"/>
                <w:szCs w:val="24"/>
              </w:rPr>
              <w:tab/>
            </w:r>
            <w:r w:rsidR="00BB54C4">
              <w:rPr>
                <w:rFonts w:ascii="Arial" w:hAnsi="Arial" w:cs="Arial"/>
                <w:szCs w:val="24"/>
              </w:rPr>
              <w:t xml:space="preserve">Independent </w:t>
            </w:r>
            <w:r w:rsidRPr="003F3344">
              <w:rPr>
                <w:rFonts w:ascii="Arial" w:hAnsi="Arial" w:cs="Arial"/>
                <w:szCs w:val="24"/>
              </w:rPr>
              <w:t>Auditor's Report</w:t>
            </w:r>
          </w:p>
        </w:tc>
        <w:tc>
          <w:tcPr>
            <w:tcW w:w="1098" w:type="dxa"/>
            <w:tcBorders>
              <w:top w:val="nil"/>
              <w:left w:val="nil"/>
              <w:bottom w:val="nil"/>
              <w:right w:val="nil"/>
            </w:tcBorders>
          </w:tcPr>
          <w:p w:rsidR="005D711E" w:rsidRPr="003F3344" w:rsidRDefault="004C4136" w:rsidP="00D342A5">
            <w:pPr>
              <w:pStyle w:val="EndnoteText"/>
              <w:tabs>
                <w:tab w:val="right" w:pos="612"/>
              </w:tabs>
              <w:suppressAutoHyphens/>
              <w:jc w:val="center"/>
              <w:rPr>
                <w:rFonts w:ascii="Arial" w:hAnsi="Arial" w:cs="Arial"/>
                <w:szCs w:val="24"/>
              </w:rPr>
            </w:pPr>
            <w:r w:rsidRPr="003F3344">
              <w:rPr>
                <w:rFonts w:ascii="Arial" w:hAnsi="Arial" w:cs="Arial"/>
                <w:szCs w:val="24"/>
              </w:rPr>
              <w:t>1</w:t>
            </w:r>
          </w:p>
        </w:tc>
      </w:tr>
      <w:tr w:rsidR="00A8202D" w:rsidRPr="003F3344" w:rsidTr="001657F8">
        <w:tc>
          <w:tcPr>
            <w:tcW w:w="8478" w:type="dxa"/>
            <w:tcBorders>
              <w:top w:val="nil"/>
              <w:left w:val="nil"/>
              <w:bottom w:val="nil"/>
              <w:right w:val="nil"/>
            </w:tcBorders>
          </w:tcPr>
          <w:p w:rsidR="00A8202D" w:rsidRPr="003F3344"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F3344" w:rsidRDefault="00A8202D" w:rsidP="00D342A5">
            <w:pPr>
              <w:tabs>
                <w:tab w:val="right" w:pos="612"/>
              </w:tabs>
              <w:suppressAutoHyphens/>
              <w:rPr>
                <w:rFonts w:ascii="Arial" w:hAnsi="Arial" w:cs="Arial"/>
                <w:szCs w:val="24"/>
              </w:rPr>
            </w:pPr>
          </w:p>
        </w:tc>
      </w:tr>
      <w:tr w:rsidR="00A8202D" w:rsidRPr="003F3344" w:rsidTr="001657F8">
        <w:tc>
          <w:tcPr>
            <w:tcW w:w="8478" w:type="dxa"/>
            <w:tcBorders>
              <w:top w:val="nil"/>
              <w:left w:val="nil"/>
              <w:bottom w:val="nil"/>
              <w:right w:val="nil"/>
            </w:tcBorders>
          </w:tcPr>
          <w:p w:rsidR="00F41C6C" w:rsidRDefault="00F41C6C" w:rsidP="00A8202D">
            <w:pPr>
              <w:pStyle w:val="EndnoteText"/>
              <w:tabs>
                <w:tab w:val="left" w:pos="9180"/>
              </w:tabs>
              <w:suppressAutoHyphens/>
              <w:ind w:left="360"/>
              <w:rPr>
                <w:rFonts w:ascii="Arial" w:hAnsi="Arial" w:cs="Arial"/>
                <w:szCs w:val="24"/>
              </w:rPr>
            </w:pPr>
            <w:r>
              <w:rPr>
                <w:rFonts w:ascii="Arial" w:hAnsi="Arial" w:cs="Arial"/>
                <w:szCs w:val="24"/>
              </w:rPr>
              <w:t xml:space="preserve">Condensed </w:t>
            </w:r>
            <w:r w:rsidR="00061843" w:rsidRPr="003F3344">
              <w:rPr>
                <w:rFonts w:ascii="Arial" w:hAnsi="Arial" w:cs="Arial"/>
                <w:szCs w:val="24"/>
              </w:rPr>
              <w:t xml:space="preserve">Statement of </w:t>
            </w:r>
            <w:r w:rsidR="00273FE8" w:rsidRPr="003F3344">
              <w:rPr>
                <w:rFonts w:ascii="Arial" w:hAnsi="Arial" w:cs="Arial"/>
                <w:szCs w:val="24"/>
              </w:rPr>
              <w:t>Universal</w:t>
            </w:r>
            <w:r w:rsidR="00A8202D" w:rsidRPr="003F3344">
              <w:rPr>
                <w:rFonts w:ascii="Arial" w:hAnsi="Arial" w:cs="Arial"/>
                <w:szCs w:val="24"/>
              </w:rPr>
              <w:t xml:space="preserve"> Service </w:t>
            </w:r>
            <w:r w:rsidR="00BC271B" w:rsidRPr="003F3344">
              <w:rPr>
                <w:rFonts w:ascii="Arial" w:hAnsi="Arial" w:cs="Arial"/>
                <w:szCs w:val="24"/>
              </w:rPr>
              <w:t>Rider</w:t>
            </w:r>
            <w:r w:rsidR="00A8202D" w:rsidRPr="003F3344">
              <w:rPr>
                <w:rFonts w:ascii="Arial" w:hAnsi="Arial" w:cs="Arial"/>
                <w:szCs w:val="24"/>
              </w:rPr>
              <w:t xml:space="preserve"> </w:t>
            </w:r>
            <w:r w:rsidR="00454455">
              <w:rPr>
                <w:rFonts w:ascii="Arial" w:hAnsi="Arial" w:cs="Arial"/>
                <w:szCs w:val="24"/>
              </w:rPr>
              <w:t xml:space="preserve">(USR) </w:t>
            </w:r>
          </w:p>
          <w:p w:rsidR="00D82645" w:rsidRDefault="00F41C6C" w:rsidP="00F41C6C">
            <w:pPr>
              <w:pStyle w:val="EndnoteText"/>
              <w:tabs>
                <w:tab w:val="left" w:pos="9180"/>
              </w:tabs>
              <w:suppressAutoHyphens/>
              <w:ind w:left="360"/>
              <w:rPr>
                <w:rFonts w:ascii="Arial" w:hAnsi="Arial" w:cs="Arial"/>
                <w:szCs w:val="24"/>
              </w:rPr>
            </w:pPr>
            <w:r w:rsidRPr="003F3344">
              <w:rPr>
                <w:rFonts w:ascii="Arial" w:hAnsi="Arial" w:cs="Arial"/>
                <w:szCs w:val="24"/>
              </w:rPr>
              <w:t xml:space="preserve">Over/(Under) </w:t>
            </w:r>
            <w:r w:rsidR="00061843" w:rsidRPr="003F3344">
              <w:rPr>
                <w:rFonts w:ascii="Arial" w:hAnsi="Arial" w:cs="Arial"/>
                <w:szCs w:val="24"/>
              </w:rPr>
              <w:t xml:space="preserve">Collections </w:t>
            </w:r>
            <w:r w:rsidR="00465C2F">
              <w:rPr>
                <w:rFonts w:ascii="Arial" w:hAnsi="Arial" w:cs="Arial"/>
                <w:szCs w:val="24"/>
              </w:rPr>
              <w:t xml:space="preserve">(Section 1307(e)) </w:t>
            </w:r>
            <w:r>
              <w:rPr>
                <w:rFonts w:ascii="Arial" w:hAnsi="Arial" w:cs="Arial"/>
                <w:szCs w:val="24"/>
              </w:rPr>
              <w:t>f</w:t>
            </w:r>
            <w:r w:rsidR="00A8202D" w:rsidRPr="003F3344">
              <w:rPr>
                <w:rFonts w:ascii="Arial" w:hAnsi="Arial" w:cs="Arial"/>
                <w:szCs w:val="24"/>
              </w:rPr>
              <w:t xml:space="preserve">or </w:t>
            </w:r>
            <w:r>
              <w:rPr>
                <w:rFonts w:ascii="Arial" w:hAnsi="Arial" w:cs="Arial"/>
                <w:szCs w:val="24"/>
              </w:rPr>
              <w:t>t</w:t>
            </w:r>
            <w:r w:rsidR="00A8202D" w:rsidRPr="003F3344">
              <w:rPr>
                <w:rFonts w:ascii="Arial" w:hAnsi="Arial" w:cs="Arial"/>
                <w:szCs w:val="24"/>
              </w:rPr>
              <w:t xml:space="preserve">he </w:t>
            </w:r>
            <w:r w:rsidR="00241E6D" w:rsidRPr="003F3344">
              <w:rPr>
                <w:rFonts w:ascii="Arial" w:hAnsi="Arial" w:cs="Arial"/>
                <w:szCs w:val="24"/>
              </w:rPr>
              <w:t>Twelve</w:t>
            </w:r>
            <w:r w:rsidR="00A8202D" w:rsidRPr="003F3344">
              <w:rPr>
                <w:rFonts w:ascii="Arial" w:hAnsi="Arial" w:cs="Arial"/>
                <w:szCs w:val="24"/>
              </w:rPr>
              <w:t xml:space="preserve"> Months </w:t>
            </w:r>
          </w:p>
          <w:p w:rsidR="00A8202D" w:rsidRPr="003F3344" w:rsidRDefault="00A8202D" w:rsidP="00F41C6C">
            <w:pPr>
              <w:pStyle w:val="EndnoteText"/>
              <w:tabs>
                <w:tab w:val="left" w:pos="9180"/>
              </w:tabs>
              <w:suppressAutoHyphens/>
              <w:ind w:left="360"/>
              <w:rPr>
                <w:rFonts w:ascii="Arial" w:hAnsi="Arial" w:cs="Arial"/>
                <w:szCs w:val="24"/>
              </w:rPr>
            </w:pPr>
            <w:r w:rsidRPr="003F3344">
              <w:rPr>
                <w:rFonts w:ascii="Arial" w:hAnsi="Arial" w:cs="Arial"/>
                <w:szCs w:val="24"/>
              </w:rPr>
              <w:t xml:space="preserve">Ended </w:t>
            </w:r>
            <w:r w:rsidR="00F75615">
              <w:rPr>
                <w:rFonts w:ascii="Arial" w:hAnsi="Arial" w:cs="Arial"/>
                <w:szCs w:val="24"/>
              </w:rPr>
              <w:t>November 30</w:t>
            </w:r>
            <w:r w:rsidRPr="003F3344">
              <w:rPr>
                <w:rFonts w:ascii="Arial" w:hAnsi="Arial" w:cs="Arial"/>
                <w:szCs w:val="24"/>
              </w:rPr>
              <w:t>, 20</w:t>
            </w:r>
            <w:r w:rsidR="002A3F41">
              <w:rPr>
                <w:rFonts w:ascii="Arial" w:hAnsi="Arial" w:cs="Arial"/>
                <w:szCs w:val="24"/>
              </w:rPr>
              <w:t>1</w:t>
            </w:r>
            <w:r w:rsidR="00F75615">
              <w:rPr>
                <w:rFonts w:ascii="Arial" w:hAnsi="Arial" w:cs="Arial"/>
                <w:szCs w:val="24"/>
              </w:rPr>
              <w:t>2</w:t>
            </w:r>
          </w:p>
        </w:tc>
        <w:tc>
          <w:tcPr>
            <w:tcW w:w="1098" w:type="dxa"/>
            <w:tcBorders>
              <w:top w:val="nil"/>
              <w:left w:val="nil"/>
              <w:bottom w:val="nil"/>
              <w:right w:val="nil"/>
            </w:tcBorders>
          </w:tcPr>
          <w:p w:rsidR="00454455" w:rsidRDefault="00454455" w:rsidP="00D342A5">
            <w:pPr>
              <w:tabs>
                <w:tab w:val="right" w:pos="612"/>
              </w:tabs>
              <w:suppressAutoHyphens/>
              <w:jc w:val="center"/>
              <w:rPr>
                <w:rFonts w:ascii="Arial" w:hAnsi="Arial" w:cs="Arial"/>
                <w:szCs w:val="24"/>
              </w:rPr>
            </w:pPr>
          </w:p>
          <w:p w:rsidR="00F41C6C" w:rsidRDefault="00F41C6C" w:rsidP="00D342A5">
            <w:pPr>
              <w:tabs>
                <w:tab w:val="right" w:pos="612"/>
              </w:tabs>
              <w:suppressAutoHyphens/>
              <w:jc w:val="center"/>
              <w:rPr>
                <w:rFonts w:ascii="Arial" w:hAnsi="Arial" w:cs="Arial"/>
                <w:szCs w:val="24"/>
              </w:rPr>
            </w:pPr>
          </w:p>
          <w:p w:rsidR="009075E7" w:rsidRPr="003F3344" w:rsidRDefault="004C4136" w:rsidP="00D342A5">
            <w:pPr>
              <w:tabs>
                <w:tab w:val="right" w:pos="612"/>
              </w:tabs>
              <w:suppressAutoHyphens/>
              <w:jc w:val="center"/>
              <w:rPr>
                <w:rFonts w:ascii="Arial" w:hAnsi="Arial" w:cs="Arial"/>
                <w:szCs w:val="24"/>
              </w:rPr>
            </w:pPr>
            <w:r w:rsidRPr="003F3344">
              <w:rPr>
                <w:rFonts w:ascii="Arial" w:hAnsi="Arial" w:cs="Arial"/>
                <w:szCs w:val="24"/>
              </w:rPr>
              <w:t>2</w:t>
            </w:r>
          </w:p>
        </w:tc>
      </w:tr>
      <w:tr w:rsidR="00F75615" w:rsidRPr="003F3344" w:rsidTr="001657F8">
        <w:tc>
          <w:tcPr>
            <w:tcW w:w="8478" w:type="dxa"/>
            <w:tcBorders>
              <w:top w:val="nil"/>
              <w:left w:val="nil"/>
              <w:bottom w:val="nil"/>
              <w:right w:val="nil"/>
            </w:tcBorders>
          </w:tcPr>
          <w:p w:rsidR="00F75615" w:rsidRPr="003F3344" w:rsidRDefault="00F75615"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F75615" w:rsidRPr="003F3344" w:rsidRDefault="00F75615" w:rsidP="00D342A5">
            <w:pPr>
              <w:tabs>
                <w:tab w:val="right" w:pos="612"/>
              </w:tabs>
              <w:suppressAutoHyphens/>
              <w:rPr>
                <w:rFonts w:ascii="Arial" w:hAnsi="Arial" w:cs="Arial"/>
                <w:szCs w:val="24"/>
              </w:rPr>
            </w:pPr>
          </w:p>
        </w:tc>
      </w:tr>
      <w:tr w:rsidR="00F75615" w:rsidRPr="003F3344" w:rsidTr="00F75615">
        <w:tc>
          <w:tcPr>
            <w:tcW w:w="8478" w:type="dxa"/>
            <w:tcBorders>
              <w:top w:val="nil"/>
              <w:left w:val="nil"/>
              <w:bottom w:val="nil"/>
              <w:right w:val="nil"/>
            </w:tcBorders>
          </w:tcPr>
          <w:p w:rsidR="000906D5" w:rsidRDefault="000906D5" w:rsidP="00291BD5">
            <w:pPr>
              <w:pStyle w:val="EndnoteText"/>
              <w:tabs>
                <w:tab w:val="left" w:pos="9180"/>
              </w:tabs>
              <w:suppressAutoHyphens/>
              <w:ind w:left="360"/>
              <w:rPr>
                <w:rFonts w:ascii="Arial" w:hAnsi="Arial" w:cs="Arial"/>
                <w:szCs w:val="24"/>
              </w:rPr>
            </w:pPr>
            <w:r>
              <w:rPr>
                <w:rFonts w:ascii="Arial" w:hAnsi="Arial" w:cs="Arial"/>
                <w:szCs w:val="24"/>
              </w:rPr>
              <w:t xml:space="preserve">Condensed </w:t>
            </w:r>
            <w:r w:rsidR="00F75615">
              <w:rPr>
                <w:rFonts w:ascii="Arial" w:hAnsi="Arial" w:cs="Arial"/>
                <w:szCs w:val="24"/>
              </w:rPr>
              <w:t xml:space="preserve">Statement of Universal Service Rider (USR) </w:t>
            </w:r>
          </w:p>
          <w:p w:rsidR="00D82645" w:rsidRDefault="00F75615" w:rsidP="000906D5">
            <w:pPr>
              <w:pStyle w:val="EndnoteText"/>
              <w:tabs>
                <w:tab w:val="left" w:pos="9180"/>
              </w:tabs>
              <w:suppressAutoHyphens/>
              <w:ind w:left="360"/>
              <w:rPr>
                <w:rFonts w:ascii="Arial" w:hAnsi="Arial" w:cs="Arial"/>
                <w:szCs w:val="24"/>
              </w:rPr>
            </w:pPr>
            <w:r>
              <w:rPr>
                <w:rFonts w:ascii="Arial" w:hAnsi="Arial" w:cs="Arial"/>
                <w:szCs w:val="24"/>
              </w:rPr>
              <w:t>Over/(Under) Collections</w:t>
            </w:r>
            <w:r w:rsidR="000906D5">
              <w:rPr>
                <w:rFonts w:ascii="Arial" w:hAnsi="Arial" w:cs="Arial"/>
                <w:szCs w:val="24"/>
              </w:rPr>
              <w:t xml:space="preserve"> </w:t>
            </w:r>
            <w:r w:rsidR="00465C2F">
              <w:rPr>
                <w:rFonts w:ascii="Arial" w:hAnsi="Arial" w:cs="Arial"/>
                <w:szCs w:val="24"/>
              </w:rPr>
              <w:t xml:space="preserve">(Section 1307(e)) </w:t>
            </w:r>
            <w:r w:rsidR="000906D5">
              <w:rPr>
                <w:rFonts w:ascii="Arial" w:hAnsi="Arial" w:cs="Arial"/>
                <w:szCs w:val="24"/>
              </w:rPr>
              <w:t>f</w:t>
            </w:r>
            <w:r>
              <w:rPr>
                <w:rFonts w:ascii="Arial" w:hAnsi="Arial" w:cs="Arial"/>
                <w:szCs w:val="24"/>
              </w:rPr>
              <w:t xml:space="preserve">or </w:t>
            </w:r>
            <w:r w:rsidR="000906D5">
              <w:rPr>
                <w:rFonts w:ascii="Arial" w:hAnsi="Arial" w:cs="Arial"/>
                <w:szCs w:val="24"/>
              </w:rPr>
              <w:t>t</w:t>
            </w:r>
            <w:r>
              <w:rPr>
                <w:rFonts w:ascii="Arial" w:hAnsi="Arial" w:cs="Arial"/>
                <w:szCs w:val="24"/>
              </w:rPr>
              <w:t xml:space="preserve">he Twelve Months </w:t>
            </w:r>
          </w:p>
          <w:p w:rsidR="00F75615" w:rsidRPr="003F3344" w:rsidRDefault="00F75615" w:rsidP="000906D5">
            <w:pPr>
              <w:pStyle w:val="EndnoteText"/>
              <w:tabs>
                <w:tab w:val="left" w:pos="9180"/>
              </w:tabs>
              <w:suppressAutoHyphens/>
              <w:ind w:left="360"/>
              <w:rPr>
                <w:rFonts w:ascii="Arial" w:hAnsi="Arial" w:cs="Arial"/>
                <w:szCs w:val="24"/>
              </w:rPr>
            </w:pPr>
            <w:r>
              <w:rPr>
                <w:rFonts w:ascii="Arial" w:hAnsi="Arial" w:cs="Arial"/>
                <w:szCs w:val="24"/>
              </w:rPr>
              <w:t>Ended November 30, 2011</w:t>
            </w:r>
          </w:p>
        </w:tc>
        <w:tc>
          <w:tcPr>
            <w:tcW w:w="1098" w:type="dxa"/>
            <w:tcBorders>
              <w:top w:val="nil"/>
              <w:left w:val="nil"/>
              <w:bottom w:val="nil"/>
              <w:right w:val="nil"/>
            </w:tcBorders>
            <w:vAlign w:val="bottom"/>
          </w:tcPr>
          <w:p w:rsidR="00F75615" w:rsidRPr="003F3344" w:rsidRDefault="00F75615" w:rsidP="00F75615">
            <w:pPr>
              <w:tabs>
                <w:tab w:val="right" w:pos="612"/>
              </w:tabs>
              <w:suppressAutoHyphens/>
              <w:jc w:val="center"/>
              <w:rPr>
                <w:rFonts w:ascii="Arial" w:hAnsi="Arial" w:cs="Arial"/>
                <w:szCs w:val="24"/>
              </w:rPr>
            </w:pPr>
            <w:r>
              <w:rPr>
                <w:rFonts w:ascii="Arial" w:hAnsi="Arial" w:cs="Arial"/>
                <w:szCs w:val="24"/>
              </w:rPr>
              <w:t>3</w:t>
            </w:r>
          </w:p>
        </w:tc>
      </w:tr>
      <w:tr w:rsidR="00A8202D" w:rsidRPr="003F3344" w:rsidTr="001657F8">
        <w:tc>
          <w:tcPr>
            <w:tcW w:w="8478" w:type="dxa"/>
            <w:tcBorders>
              <w:top w:val="nil"/>
              <w:left w:val="nil"/>
              <w:bottom w:val="nil"/>
              <w:right w:val="nil"/>
            </w:tcBorders>
          </w:tcPr>
          <w:p w:rsidR="00A8202D" w:rsidRPr="003F3344"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F3344" w:rsidRDefault="00A8202D" w:rsidP="00D342A5">
            <w:pPr>
              <w:tabs>
                <w:tab w:val="right" w:pos="612"/>
              </w:tabs>
              <w:suppressAutoHyphens/>
              <w:rPr>
                <w:rFonts w:ascii="Arial" w:hAnsi="Arial" w:cs="Arial"/>
                <w:szCs w:val="24"/>
              </w:rPr>
            </w:pPr>
          </w:p>
        </w:tc>
      </w:tr>
      <w:tr w:rsidR="009075E7" w:rsidRPr="003F3344" w:rsidTr="00A8202D">
        <w:trPr>
          <w:trHeight w:val="252"/>
        </w:trPr>
        <w:tc>
          <w:tcPr>
            <w:tcW w:w="8478" w:type="dxa"/>
            <w:tcBorders>
              <w:top w:val="nil"/>
              <w:left w:val="nil"/>
              <w:bottom w:val="nil"/>
              <w:right w:val="nil"/>
            </w:tcBorders>
          </w:tcPr>
          <w:p w:rsidR="009075E7" w:rsidRPr="003F3344" w:rsidRDefault="009075E7" w:rsidP="00EF0761">
            <w:pPr>
              <w:tabs>
                <w:tab w:val="left" w:pos="390"/>
                <w:tab w:val="left" w:pos="9180"/>
              </w:tabs>
              <w:suppressAutoHyphens/>
              <w:ind w:left="360"/>
              <w:rPr>
                <w:rFonts w:ascii="Arial" w:hAnsi="Arial" w:cs="Arial"/>
                <w:szCs w:val="24"/>
              </w:rPr>
            </w:pPr>
            <w:r w:rsidRPr="003F3344">
              <w:rPr>
                <w:rFonts w:ascii="Arial" w:hAnsi="Arial" w:cs="Arial"/>
                <w:szCs w:val="24"/>
              </w:rPr>
              <w:t>Notes To The Financial Statements</w:t>
            </w:r>
          </w:p>
        </w:tc>
        <w:tc>
          <w:tcPr>
            <w:tcW w:w="1098" w:type="dxa"/>
            <w:tcBorders>
              <w:top w:val="nil"/>
              <w:left w:val="nil"/>
              <w:bottom w:val="nil"/>
              <w:right w:val="nil"/>
            </w:tcBorders>
          </w:tcPr>
          <w:p w:rsidR="009075E7" w:rsidRPr="003F3344" w:rsidRDefault="00F75615" w:rsidP="00D342A5">
            <w:pPr>
              <w:tabs>
                <w:tab w:val="right" w:pos="612"/>
              </w:tabs>
              <w:suppressAutoHyphens/>
              <w:jc w:val="center"/>
              <w:rPr>
                <w:rFonts w:ascii="Arial" w:hAnsi="Arial" w:cs="Arial"/>
                <w:szCs w:val="24"/>
              </w:rPr>
            </w:pPr>
            <w:r>
              <w:rPr>
                <w:rFonts w:ascii="Arial" w:hAnsi="Arial" w:cs="Arial"/>
                <w:szCs w:val="24"/>
              </w:rPr>
              <w:t>4</w:t>
            </w:r>
          </w:p>
        </w:tc>
      </w:tr>
      <w:tr w:rsidR="00A8202D" w:rsidRPr="003F3344" w:rsidTr="00A8202D">
        <w:trPr>
          <w:trHeight w:val="252"/>
        </w:trPr>
        <w:tc>
          <w:tcPr>
            <w:tcW w:w="8478" w:type="dxa"/>
            <w:tcBorders>
              <w:top w:val="nil"/>
              <w:left w:val="nil"/>
              <w:bottom w:val="nil"/>
              <w:right w:val="nil"/>
            </w:tcBorders>
          </w:tcPr>
          <w:p w:rsidR="00A8202D" w:rsidRPr="003F3344" w:rsidRDefault="00A8202D" w:rsidP="00EF0761">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F3344" w:rsidRDefault="00A8202D" w:rsidP="00D342A5">
            <w:pPr>
              <w:tabs>
                <w:tab w:val="right" w:pos="612"/>
              </w:tabs>
              <w:suppressAutoHyphens/>
              <w:rPr>
                <w:rFonts w:ascii="Arial" w:hAnsi="Arial" w:cs="Arial"/>
                <w:szCs w:val="24"/>
              </w:rPr>
            </w:pPr>
          </w:p>
        </w:tc>
      </w:tr>
      <w:tr w:rsidR="004C4136" w:rsidRPr="003F3344" w:rsidTr="008028F4">
        <w:tc>
          <w:tcPr>
            <w:tcW w:w="8478" w:type="dxa"/>
            <w:tcBorders>
              <w:top w:val="nil"/>
              <w:left w:val="nil"/>
              <w:bottom w:val="nil"/>
              <w:right w:val="nil"/>
            </w:tcBorders>
          </w:tcPr>
          <w:p w:rsidR="00B82555" w:rsidRPr="003F3344" w:rsidRDefault="00B82555">
            <w:pPr>
              <w:tabs>
                <w:tab w:val="left" w:pos="-720"/>
                <w:tab w:val="left" w:pos="360"/>
                <w:tab w:val="left" w:pos="1440"/>
                <w:tab w:val="left" w:pos="9180"/>
              </w:tabs>
              <w:suppressAutoHyphens/>
              <w:rPr>
                <w:rFonts w:ascii="Arial" w:hAnsi="Arial" w:cs="Arial"/>
                <w:b/>
                <w:szCs w:val="24"/>
                <w:u w:val="single"/>
              </w:rPr>
            </w:pPr>
          </w:p>
          <w:p w:rsidR="004C4136" w:rsidRPr="000906D5" w:rsidRDefault="004C4136">
            <w:pPr>
              <w:tabs>
                <w:tab w:val="left" w:pos="-720"/>
                <w:tab w:val="left" w:pos="360"/>
                <w:tab w:val="left" w:pos="1440"/>
                <w:tab w:val="left" w:pos="9180"/>
              </w:tabs>
              <w:suppressAutoHyphens/>
              <w:rPr>
                <w:rFonts w:ascii="Arial" w:hAnsi="Arial" w:cs="Arial"/>
                <w:b/>
                <w:szCs w:val="24"/>
                <w:u w:val="single"/>
              </w:rPr>
            </w:pPr>
            <w:r w:rsidRPr="000906D5">
              <w:rPr>
                <w:rFonts w:ascii="Arial" w:hAnsi="Arial" w:cs="Arial"/>
                <w:b/>
                <w:szCs w:val="24"/>
                <w:u w:val="single"/>
              </w:rPr>
              <w:t>BACKGROUND AND OPERATIONAL REVIEW</w:t>
            </w:r>
          </w:p>
        </w:tc>
        <w:tc>
          <w:tcPr>
            <w:tcW w:w="1098" w:type="dxa"/>
            <w:tcBorders>
              <w:top w:val="nil"/>
              <w:left w:val="nil"/>
              <w:bottom w:val="nil"/>
              <w:right w:val="nil"/>
            </w:tcBorders>
            <w:vAlign w:val="bottom"/>
          </w:tcPr>
          <w:p w:rsidR="004C4136" w:rsidRPr="003F3344" w:rsidRDefault="008028F4" w:rsidP="008028F4">
            <w:pPr>
              <w:tabs>
                <w:tab w:val="right" w:pos="612"/>
              </w:tabs>
              <w:suppressAutoHyphens/>
              <w:jc w:val="center"/>
              <w:rPr>
                <w:rFonts w:ascii="Arial" w:hAnsi="Arial" w:cs="Arial"/>
                <w:szCs w:val="24"/>
              </w:rPr>
            </w:pPr>
            <w:r>
              <w:rPr>
                <w:rFonts w:ascii="Arial" w:hAnsi="Arial" w:cs="Arial"/>
                <w:szCs w:val="24"/>
              </w:rPr>
              <w:t>5</w:t>
            </w:r>
          </w:p>
        </w:tc>
      </w:tr>
      <w:tr w:rsidR="004C4136" w:rsidRPr="003F3344" w:rsidTr="001657F8">
        <w:tc>
          <w:tcPr>
            <w:tcW w:w="8478" w:type="dxa"/>
            <w:tcBorders>
              <w:top w:val="nil"/>
              <w:left w:val="nil"/>
              <w:bottom w:val="nil"/>
              <w:right w:val="nil"/>
            </w:tcBorders>
          </w:tcPr>
          <w:p w:rsidR="004C4136" w:rsidRPr="003F3344" w:rsidRDefault="004C4136">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4C4136" w:rsidRPr="003F3344" w:rsidRDefault="004C4136" w:rsidP="00D342A5">
            <w:pPr>
              <w:tabs>
                <w:tab w:val="right" w:pos="612"/>
              </w:tabs>
              <w:suppressAutoHyphens/>
              <w:rPr>
                <w:rFonts w:ascii="Arial" w:hAnsi="Arial" w:cs="Arial"/>
                <w:szCs w:val="24"/>
              </w:rPr>
            </w:pPr>
          </w:p>
        </w:tc>
      </w:tr>
      <w:tr w:rsidR="008209D8" w:rsidRPr="003F3344" w:rsidTr="006D2A3F">
        <w:tc>
          <w:tcPr>
            <w:tcW w:w="8478" w:type="dxa"/>
            <w:tcBorders>
              <w:top w:val="nil"/>
              <w:left w:val="nil"/>
              <w:bottom w:val="nil"/>
              <w:right w:val="nil"/>
            </w:tcBorders>
          </w:tcPr>
          <w:p w:rsidR="008209D8" w:rsidRPr="000906D5" w:rsidRDefault="008209D8" w:rsidP="006D2A3F">
            <w:pPr>
              <w:tabs>
                <w:tab w:val="left" w:pos="-720"/>
                <w:tab w:val="left" w:pos="360"/>
                <w:tab w:val="left" w:pos="1440"/>
                <w:tab w:val="left" w:pos="9180"/>
              </w:tabs>
              <w:suppressAutoHyphens/>
              <w:rPr>
                <w:rFonts w:ascii="Arial" w:hAnsi="Arial" w:cs="Arial"/>
                <w:b/>
                <w:szCs w:val="24"/>
                <w:u w:val="single"/>
              </w:rPr>
            </w:pPr>
            <w:r w:rsidRPr="000906D5">
              <w:rPr>
                <w:rFonts w:ascii="Arial" w:hAnsi="Arial" w:cs="Arial"/>
                <w:b/>
                <w:szCs w:val="24"/>
                <w:u w:val="single"/>
              </w:rPr>
              <w:t>ACKNOWLEDGEMENTS</w:t>
            </w:r>
          </w:p>
        </w:tc>
        <w:tc>
          <w:tcPr>
            <w:tcW w:w="1098" w:type="dxa"/>
            <w:tcBorders>
              <w:top w:val="nil"/>
              <w:left w:val="nil"/>
              <w:bottom w:val="nil"/>
              <w:right w:val="nil"/>
            </w:tcBorders>
          </w:tcPr>
          <w:p w:rsidR="008209D8" w:rsidRPr="003F3344" w:rsidRDefault="00673004" w:rsidP="00BD37B9">
            <w:pPr>
              <w:tabs>
                <w:tab w:val="right" w:pos="612"/>
              </w:tabs>
              <w:suppressAutoHyphens/>
              <w:jc w:val="center"/>
              <w:rPr>
                <w:rFonts w:ascii="Arial" w:hAnsi="Arial" w:cs="Arial"/>
                <w:szCs w:val="24"/>
              </w:rPr>
            </w:pPr>
            <w:r>
              <w:rPr>
                <w:rFonts w:ascii="Arial" w:hAnsi="Arial" w:cs="Arial"/>
                <w:szCs w:val="24"/>
              </w:rPr>
              <w:t>6</w:t>
            </w:r>
          </w:p>
        </w:tc>
      </w:tr>
      <w:tr w:rsidR="008209D8" w:rsidRPr="003F3344" w:rsidTr="006D2A3F">
        <w:tc>
          <w:tcPr>
            <w:tcW w:w="8478" w:type="dxa"/>
            <w:tcBorders>
              <w:top w:val="nil"/>
              <w:left w:val="nil"/>
              <w:bottom w:val="nil"/>
              <w:right w:val="nil"/>
            </w:tcBorders>
          </w:tcPr>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3F3344" w:rsidRDefault="008209D8" w:rsidP="006D2A3F">
            <w:pPr>
              <w:tabs>
                <w:tab w:val="right" w:pos="562"/>
              </w:tabs>
              <w:suppressAutoHyphens/>
              <w:rPr>
                <w:rFonts w:ascii="Arial" w:hAnsi="Arial" w:cs="Arial"/>
                <w:szCs w:val="24"/>
              </w:rPr>
            </w:pPr>
          </w:p>
        </w:tc>
      </w:tr>
      <w:tr w:rsidR="008209D8" w:rsidRPr="003F3344" w:rsidTr="006D2A3F">
        <w:tc>
          <w:tcPr>
            <w:tcW w:w="8478" w:type="dxa"/>
            <w:tcBorders>
              <w:top w:val="nil"/>
              <w:left w:val="nil"/>
              <w:bottom w:val="nil"/>
              <w:right w:val="nil"/>
            </w:tcBorders>
          </w:tcPr>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3F3344" w:rsidRDefault="008209D8" w:rsidP="006D2A3F">
            <w:pPr>
              <w:tabs>
                <w:tab w:val="right" w:pos="562"/>
              </w:tabs>
              <w:suppressAutoHyphens/>
              <w:rPr>
                <w:rFonts w:ascii="Arial" w:hAnsi="Arial" w:cs="Arial"/>
                <w:szCs w:val="24"/>
              </w:rPr>
            </w:pPr>
          </w:p>
        </w:tc>
      </w:tr>
      <w:tr w:rsidR="008209D8" w:rsidRPr="003F3344" w:rsidTr="006D2A3F">
        <w:tc>
          <w:tcPr>
            <w:tcW w:w="8478" w:type="dxa"/>
            <w:tcBorders>
              <w:top w:val="nil"/>
              <w:left w:val="nil"/>
              <w:bottom w:val="nil"/>
              <w:right w:val="nil"/>
            </w:tcBorders>
          </w:tcPr>
          <w:p w:rsidR="008209D8" w:rsidRPr="003F3344" w:rsidRDefault="008209D8"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8209D8" w:rsidRPr="003F3344" w:rsidRDefault="008209D8" w:rsidP="006D2A3F">
            <w:pPr>
              <w:tabs>
                <w:tab w:val="right" w:pos="562"/>
              </w:tabs>
              <w:suppressAutoHyphens/>
              <w:rPr>
                <w:rFonts w:ascii="Arial" w:hAnsi="Arial" w:cs="Arial"/>
                <w:szCs w:val="24"/>
              </w:rPr>
            </w:pPr>
          </w:p>
        </w:tc>
      </w:tr>
    </w:tbl>
    <w:p w:rsidR="00FB1D8B" w:rsidRPr="003F3344" w:rsidRDefault="00FB1D8B" w:rsidP="00FB1D8B">
      <w:pPr>
        <w:tabs>
          <w:tab w:val="center" w:pos="4680"/>
        </w:tabs>
        <w:suppressAutoHyphens/>
        <w:rPr>
          <w:rFonts w:ascii="Arial" w:hAnsi="Arial" w:cs="Arial"/>
          <w:szCs w:val="24"/>
        </w:rPr>
      </w:pPr>
    </w:p>
    <w:p w:rsidR="00FB1D8B" w:rsidRPr="003F3344" w:rsidRDefault="00FB1D8B" w:rsidP="00FB1D8B">
      <w:pPr>
        <w:tabs>
          <w:tab w:val="center" w:pos="4680"/>
        </w:tabs>
        <w:suppressAutoHyphens/>
        <w:rPr>
          <w:rFonts w:ascii="Arial" w:hAnsi="Arial" w:cs="Arial"/>
          <w:szCs w:val="24"/>
        </w:rPr>
      </w:pPr>
    </w:p>
    <w:p w:rsidR="00FB1D8B" w:rsidRPr="003F3344" w:rsidRDefault="00FB1D8B" w:rsidP="00FB1D8B">
      <w:pPr>
        <w:tabs>
          <w:tab w:val="center" w:pos="4680"/>
        </w:tabs>
        <w:suppressAutoHyphens/>
        <w:rPr>
          <w:rFonts w:ascii="Arial" w:hAnsi="Arial" w:cs="Arial"/>
          <w:szCs w:val="24"/>
        </w:rPr>
      </w:pPr>
    </w:p>
    <w:p w:rsidR="005D711E" w:rsidRPr="003F3344" w:rsidRDefault="005D711E">
      <w:pPr>
        <w:tabs>
          <w:tab w:val="center" w:pos="4680"/>
        </w:tabs>
        <w:suppressAutoHyphens/>
        <w:rPr>
          <w:rFonts w:ascii="Arial" w:hAnsi="Arial" w:cs="Arial"/>
          <w:szCs w:val="24"/>
        </w:rPr>
      </w:pPr>
    </w:p>
    <w:p w:rsidR="00592663" w:rsidRPr="003F3344" w:rsidRDefault="00592663">
      <w:pPr>
        <w:tabs>
          <w:tab w:val="center" w:pos="4680"/>
        </w:tabs>
        <w:suppressAutoHyphens/>
        <w:rPr>
          <w:rFonts w:ascii="Arial" w:hAnsi="Arial" w:cs="Arial"/>
          <w:szCs w:val="24"/>
        </w:rPr>
      </w:pPr>
    </w:p>
    <w:p w:rsidR="00B8416D" w:rsidRPr="003F3344" w:rsidRDefault="00B8416D">
      <w:pPr>
        <w:tabs>
          <w:tab w:val="center" w:pos="4680"/>
        </w:tabs>
        <w:suppressAutoHyphens/>
        <w:rPr>
          <w:rFonts w:ascii="Arial" w:hAnsi="Arial" w:cs="Arial"/>
          <w:szCs w:val="24"/>
        </w:rPr>
      </w:pPr>
    </w:p>
    <w:p w:rsidR="00B8416D" w:rsidRPr="003F3344" w:rsidRDefault="00B8416D">
      <w:pPr>
        <w:tabs>
          <w:tab w:val="center" w:pos="4680"/>
        </w:tabs>
        <w:suppressAutoHyphens/>
        <w:rPr>
          <w:rFonts w:ascii="Arial" w:hAnsi="Arial" w:cs="Arial"/>
          <w:szCs w:val="24"/>
        </w:rPr>
      </w:pPr>
    </w:p>
    <w:p w:rsidR="00B8416D" w:rsidRPr="003F3344" w:rsidRDefault="00B8416D">
      <w:pPr>
        <w:tabs>
          <w:tab w:val="center" w:pos="4680"/>
        </w:tabs>
        <w:suppressAutoHyphens/>
        <w:rPr>
          <w:rFonts w:ascii="Arial" w:hAnsi="Arial" w:cs="Arial"/>
          <w:szCs w:val="24"/>
        </w:rPr>
      </w:pPr>
    </w:p>
    <w:p w:rsidR="00901A3F" w:rsidRPr="003F3344" w:rsidRDefault="00901A3F" w:rsidP="003213B5">
      <w:pPr>
        <w:tabs>
          <w:tab w:val="center" w:pos="4680"/>
        </w:tabs>
        <w:suppressAutoHyphens/>
        <w:jc w:val="center"/>
        <w:rPr>
          <w:rFonts w:ascii="Arial" w:hAnsi="Arial" w:cs="Arial"/>
          <w:szCs w:val="24"/>
        </w:rPr>
      </w:pPr>
    </w:p>
    <w:p w:rsidR="0071208D" w:rsidRDefault="0071208D">
      <w:pPr>
        <w:tabs>
          <w:tab w:val="center" w:pos="4680"/>
        </w:tabs>
        <w:suppressAutoHyphens/>
        <w:jc w:val="center"/>
        <w:rPr>
          <w:rFonts w:ascii="Arial" w:hAnsi="Arial" w:cs="Arial"/>
          <w:szCs w:val="24"/>
        </w:rPr>
        <w:sectPr w:rsidR="0071208D" w:rsidSect="00A914D1">
          <w:headerReference w:type="even" r:id="rId15"/>
          <w:headerReference w:type="default" r:id="rId16"/>
          <w:footerReference w:type="default" r:id="rId17"/>
          <w:headerReference w:type="first" r:id="rId18"/>
          <w:endnotePr>
            <w:numFmt w:val="decimal"/>
          </w:endnotePr>
          <w:pgSz w:w="12240" w:h="15840" w:code="1"/>
          <w:pgMar w:top="1440" w:right="1440" w:bottom="1152" w:left="1440" w:header="0" w:footer="720" w:gutter="0"/>
          <w:pgNumType w:start="1"/>
          <w:cols w:space="720"/>
          <w:noEndnote/>
        </w:sectPr>
      </w:pPr>
    </w:p>
    <w:p w:rsidR="005D711E" w:rsidRPr="002243BA" w:rsidRDefault="005D711E" w:rsidP="00E5265E">
      <w:pPr>
        <w:pStyle w:val="Heading4"/>
        <w:tabs>
          <w:tab w:val="clear" w:pos="4680"/>
        </w:tabs>
        <w:rPr>
          <w:rFonts w:ascii="Arial" w:hAnsi="Arial" w:cs="Arial"/>
          <w:sz w:val="36"/>
          <w:szCs w:val="36"/>
          <w:u w:val="none"/>
        </w:rPr>
      </w:pPr>
      <w:r w:rsidRPr="002243BA">
        <w:rPr>
          <w:rFonts w:ascii="Arial" w:hAnsi="Arial" w:cs="Arial"/>
          <w:sz w:val="36"/>
          <w:szCs w:val="36"/>
          <w:u w:val="none"/>
        </w:rPr>
        <w:lastRenderedPageBreak/>
        <w:t>FINANCIAL REVIEW</w:t>
      </w:r>
    </w:p>
    <w:p w:rsidR="005D711E" w:rsidRPr="007A206B" w:rsidRDefault="005D711E">
      <w:pPr>
        <w:tabs>
          <w:tab w:val="left" w:pos="-1440"/>
          <w:tab w:val="left" w:pos="-720"/>
        </w:tabs>
        <w:suppressAutoHyphens/>
        <w:jc w:val="center"/>
        <w:rPr>
          <w:rFonts w:ascii="Arial" w:hAnsi="Arial" w:cs="Arial"/>
          <w:szCs w:val="24"/>
        </w:rPr>
      </w:pPr>
    </w:p>
    <w:p w:rsidR="005D711E" w:rsidRPr="007A206B" w:rsidRDefault="005D711E">
      <w:pPr>
        <w:tabs>
          <w:tab w:val="left" w:pos="1440"/>
          <w:tab w:val="center" w:pos="4464"/>
        </w:tabs>
        <w:suppressAutoHyphens/>
        <w:rPr>
          <w:rFonts w:ascii="Arial" w:hAnsi="Arial" w:cs="Arial"/>
          <w:szCs w:val="24"/>
        </w:rPr>
        <w:sectPr w:rsidR="005D711E" w:rsidRPr="007A206B" w:rsidSect="0071208D">
          <w:endnotePr>
            <w:numFmt w:val="decimal"/>
          </w:endnotePr>
          <w:pgSz w:w="12240" w:h="15840" w:code="1"/>
          <w:pgMar w:top="1440" w:right="1440" w:bottom="1440" w:left="1440" w:header="0" w:footer="720" w:gutter="0"/>
          <w:pgNumType w:start="1"/>
          <w:cols w:space="720"/>
          <w:vAlign w:val="center"/>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7A206B">
        <w:trPr>
          <w:trHeight w:val="990"/>
        </w:trPr>
        <w:tc>
          <w:tcPr>
            <w:tcW w:w="1363" w:type="dxa"/>
          </w:tcPr>
          <w:p w:rsidR="005D711E" w:rsidRPr="007A206B" w:rsidRDefault="00C9327D">
            <w:pPr>
              <w:rPr>
                <w:rFonts w:ascii="Arial" w:hAnsi="Arial" w:cs="Arial"/>
                <w:szCs w:val="24"/>
              </w:rPr>
            </w:pPr>
            <w:r>
              <w:rPr>
                <w:rFonts w:ascii="Arial" w:hAnsi="Arial" w:cs="Arial"/>
                <w:noProof/>
                <w:spacing w:val="-2"/>
                <w:szCs w:val="24"/>
              </w:rPr>
              <w:lastRenderedPageBreak/>
              <w:drawing>
                <wp:inline distT="0" distB="0" distL="0" distR="0" wp14:anchorId="767C83DE" wp14:editId="21DBE00D">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9"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7A206B" w:rsidRDefault="005D711E">
            <w:pPr>
              <w:suppressAutoHyphens/>
              <w:spacing w:line="204" w:lineRule="auto"/>
              <w:jc w:val="center"/>
              <w:rPr>
                <w:rFonts w:ascii="Arial" w:hAnsi="Arial" w:cs="Arial"/>
                <w:color w:val="000080"/>
                <w:spacing w:val="-3"/>
                <w:szCs w:val="24"/>
              </w:rPr>
            </w:pPr>
          </w:p>
          <w:p w:rsidR="005D711E" w:rsidRPr="007A206B" w:rsidRDefault="005D711E">
            <w:pPr>
              <w:suppressAutoHyphens/>
              <w:spacing w:line="204" w:lineRule="auto"/>
              <w:jc w:val="center"/>
              <w:rPr>
                <w:rFonts w:ascii="Arial" w:hAnsi="Arial" w:cs="Arial"/>
                <w:color w:val="000080"/>
                <w:spacing w:val="-3"/>
                <w:szCs w:val="24"/>
              </w:rPr>
            </w:pPr>
            <w:r w:rsidRPr="007A206B">
              <w:rPr>
                <w:rFonts w:ascii="Arial" w:hAnsi="Arial" w:cs="Arial"/>
                <w:color w:val="000080"/>
                <w:spacing w:val="-3"/>
                <w:szCs w:val="24"/>
              </w:rPr>
              <w:t>COMMONWEALTH OF PENNSYLVANIA</w:t>
            </w:r>
          </w:p>
          <w:p w:rsidR="005D711E" w:rsidRPr="007A206B" w:rsidRDefault="005D711E">
            <w:pPr>
              <w:suppressAutoHyphens/>
              <w:spacing w:line="204" w:lineRule="auto"/>
              <w:jc w:val="center"/>
              <w:rPr>
                <w:rFonts w:ascii="Arial" w:hAnsi="Arial" w:cs="Arial"/>
                <w:color w:val="000080"/>
                <w:spacing w:val="-3"/>
                <w:szCs w:val="24"/>
              </w:rPr>
            </w:pPr>
            <w:r w:rsidRPr="007A206B">
              <w:rPr>
                <w:rFonts w:ascii="Arial" w:hAnsi="Arial" w:cs="Arial"/>
                <w:color w:val="000080"/>
                <w:spacing w:val="-3"/>
                <w:szCs w:val="24"/>
              </w:rPr>
              <w:t>PENNSYLVANIA PUBLIC UTILITY COMMISSION</w:t>
            </w:r>
          </w:p>
          <w:p w:rsidR="005D711E" w:rsidRPr="007A206B" w:rsidRDefault="005D711E">
            <w:pPr>
              <w:jc w:val="center"/>
              <w:rPr>
                <w:rFonts w:ascii="Arial" w:hAnsi="Arial" w:cs="Arial"/>
                <w:szCs w:val="24"/>
              </w:rPr>
            </w:pPr>
            <w:r w:rsidRPr="007A206B">
              <w:rPr>
                <w:rFonts w:ascii="Arial" w:hAnsi="Arial" w:cs="Arial"/>
                <w:color w:val="000080"/>
                <w:spacing w:val="-3"/>
                <w:szCs w:val="24"/>
              </w:rPr>
              <w:t>P.O. BOX 3265, HARRISBURG, PA 17105-3265</w:t>
            </w:r>
          </w:p>
        </w:tc>
        <w:tc>
          <w:tcPr>
            <w:tcW w:w="1452" w:type="dxa"/>
          </w:tcPr>
          <w:p w:rsidR="005D711E" w:rsidRDefault="005D711E">
            <w:pPr>
              <w:rPr>
                <w:rFonts w:ascii="Arial" w:hAnsi="Arial" w:cs="Arial"/>
                <w:szCs w:val="24"/>
              </w:rPr>
            </w:pPr>
          </w:p>
          <w:p w:rsidR="0071208D" w:rsidRPr="007A206B" w:rsidRDefault="0071208D">
            <w:pPr>
              <w:rPr>
                <w:rFonts w:ascii="Arial" w:hAnsi="Arial" w:cs="Arial"/>
                <w:szCs w:val="24"/>
              </w:rPr>
            </w:pPr>
          </w:p>
          <w:p w:rsidR="005D711E" w:rsidRPr="007A206B" w:rsidRDefault="005D711E">
            <w:pPr>
              <w:jc w:val="center"/>
              <w:rPr>
                <w:rFonts w:ascii="Arial" w:hAnsi="Arial" w:cs="Arial"/>
                <w:szCs w:val="24"/>
              </w:rPr>
            </w:pPr>
            <w:r w:rsidRPr="0071208D">
              <w:rPr>
                <w:rFonts w:ascii="Arial" w:hAnsi="Arial" w:cs="Arial"/>
                <w:b/>
                <w:spacing w:val="-1"/>
                <w:sz w:val="14"/>
                <w:szCs w:val="24"/>
              </w:rPr>
              <w:t>IN REPLY PLEASE REFER TO OUR FILE</w:t>
            </w:r>
          </w:p>
        </w:tc>
      </w:tr>
    </w:tbl>
    <w:p w:rsidR="005D711E" w:rsidRPr="007A206B" w:rsidRDefault="005D711E">
      <w:pPr>
        <w:pStyle w:val="Heading1"/>
        <w:tabs>
          <w:tab w:val="clear" w:pos="4680"/>
        </w:tabs>
        <w:jc w:val="left"/>
        <w:rPr>
          <w:rFonts w:ascii="Arial" w:hAnsi="Arial" w:cs="Arial"/>
          <w:szCs w:val="24"/>
        </w:rPr>
      </w:pPr>
    </w:p>
    <w:p w:rsidR="005D711E" w:rsidRPr="00EA4FD5" w:rsidRDefault="00BB54C4">
      <w:pPr>
        <w:pStyle w:val="Heading1"/>
        <w:tabs>
          <w:tab w:val="clear" w:pos="4680"/>
        </w:tabs>
        <w:rPr>
          <w:rFonts w:ascii="Arial" w:hAnsi="Arial" w:cs="Arial"/>
          <w:sz w:val="26"/>
          <w:szCs w:val="26"/>
          <w:u w:val="none"/>
        </w:rPr>
      </w:pPr>
      <w:r>
        <w:rPr>
          <w:rFonts w:ascii="Arial" w:hAnsi="Arial" w:cs="Arial"/>
          <w:sz w:val="26"/>
          <w:szCs w:val="26"/>
          <w:u w:val="none"/>
        </w:rPr>
        <w:t xml:space="preserve">INDEPENDENT </w:t>
      </w:r>
      <w:r w:rsidR="005D711E" w:rsidRPr="00EA4FD5">
        <w:rPr>
          <w:rFonts w:ascii="Arial" w:hAnsi="Arial" w:cs="Arial"/>
          <w:sz w:val="26"/>
          <w:szCs w:val="26"/>
          <w:u w:val="none"/>
        </w:rPr>
        <w:t>AUDITOR'S REPORT</w:t>
      </w:r>
    </w:p>
    <w:p w:rsidR="005D711E" w:rsidRPr="00EA4FD5" w:rsidRDefault="005D711E" w:rsidP="00CF2F5B">
      <w:pPr>
        <w:suppressAutoHyphens/>
        <w:rPr>
          <w:rFonts w:ascii="Arial" w:hAnsi="Arial" w:cs="Arial"/>
          <w:b/>
          <w:sz w:val="26"/>
          <w:szCs w:val="26"/>
        </w:rPr>
      </w:pPr>
    </w:p>
    <w:p w:rsidR="005D711E" w:rsidRPr="00EA4FD5" w:rsidRDefault="005D711E" w:rsidP="00CF2F5B">
      <w:pPr>
        <w:pStyle w:val="Heading1"/>
        <w:tabs>
          <w:tab w:val="clear" w:pos="4680"/>
        </w:tabs>
        <w:rPr>
          <w:rFonts w:ascii="Arial" w:hAnsi="Arial" w:cs="Arial"/>
          <w:szCs w:val="26"/>
          <w:u w:val="none"/>
        </w:rPr>
      </w:pPr>
      <w:r w:rsidRPr="00EA4FD5">
        <w:rPr>
          <w:rFonts w:ascii="Arial" w:hAnsi="Arial" w:cs="Arial"/>
          <w:szCs w:val="26"/>
          <w:u w:val="none"/>
        </w:rPr>
        <w:t xml:space="preserve">To The </w:t>
      </w:r>
      <w:r w:rsidR="00D14815" w:rsidRPr="00EA4FD5">
        <w:rPr>
          <w:rFonts w:ascii="Arial" w:hAnsi="Arial" w:cs="Arial"/>
          <w:szCs w:val="26"/>
          <w:u w:val="none"/>
        </w:rPr>
        <w:t xml:space="preserve">Pennsylvania </w:t>
      </w:r>
      <w:r w:rsidRPr="00EA4FD5">
        <w:rPr>
          <w:rFonts w:ascii="Arial" w:hAnsi="Arial" w:cs="Arial"/>
          <w:szCs w:val="26"/>
          <w:u w:val="none"/>
        </w:rPr>
        <w:t>Public Utility Commission</w:t>
      </w:r>
    </w:p>
    <w:p w:rsidR="005D711E" w:rsidRPr="00EA4FD5" w:rsidRDefault="005D711E" w:rsidP="00CF2F5B">
      <w:pPr>
        <w:suppressAutoHyphens/>
        <w:rPr>
          <w:rFonts w:ascii="Arial" w:hAnsi="Arial" w:cs="Arial"/>
          <w:szCs w:val="24"/>
        </w:rPr>
      </w:pPr>
    </w:p>
    <w:p w:rsidR="00CF2F5B" w:rsidRPr="007A206B" w:rsidRDefault="00CF2F5B" w:rsidP="00CF2F5B">
      <w:pPr>
        <w:suppressAutoHyphens/>
        <w:rPr>
          <w:rFonts w:ascii="Arial" w:hAnsi="Arial" w:cs="Arial"/>
          <w:szCs w:val="24"/>
        </w:rPr>
      </w:pPr>
    </w:p>
    <w:p w:rsidR="005D711E" w:rsidRPr="007A206B" w:rsidRDefault="005D711E" w:rsidP="00CF2F5B">
      <w:pPr>
        <w:suppressAutoHyphens/>
        <w:ind w:firstLine="720"/>
        <w:rPr>
          <w:rFonts w:ascii="Arial" w:hAnsi="Arial" w:cs="Arial"/>
          <w:szCs w:val="24"/>
        </w:rPr>
      </w:pPr>
      <w:r w:rsidRPr="007A206B">
        <w:rPr>
          <w:rFonts w:ascii="Arial" w:hAnsi="Arial" w:cs="Arial"/>
          <w:szCs w:val="24"/>
        </w:rPr>
        <w:t xml:space="preserve">We have audited </w:t>
      </w:r>
      <w:r w:rsidR="00BC271B">
        <w:rPr>
          <w:rFonts w:ascii="Arial" w:hAnsi="Arial" w:cs="Arial"/>
          <w:szCs w:val="24"/>
        </w:rPr>
        <w:t xml:space="preserve">PPL Electric Utilities Corporation’s </w:t>
      </w:r>
      <w:r w:rsidR="007F0B64">
        <w:rPr>
          <w:rFonts w:ascii="Arial" w:hAnsi="Arial" w:cs="Arial"/>
          <w:szCs w:val="24"/>
        </w:rPr>
        <w:t xml:space="preserve">Statement of </w:t>
      </w:r>
      <w:r w:rsidR="00BC271B">
        <w:rPr>
          <w:rFonts w:ascii="Arial" w:hAnsi="Arial" w:cs="Arial"/>
          <w:szCs w:val="24"/>
        </w:rPr>
        <w:t>Universal Service Rider</w:t>
      </w:r>
      <w:r w:rsidR="000B1499">
        <w:rPr>
          <w:rFonts w:ascii="Arial" w:hAnsi="Arial" w:cs="Arial"/>
          <w:szCs w:val="24"/>
        </w:rPr>
        <w:t xml:space="preserve"> </w:t>
      </w:r>
      <w:r w:rsidR="00454455">
        <w:rPr>
          <w:rFonts w:ascii="Arial" w:hAnsi="Arial" w:cs="Arial"/>
          <w:szCs w:val="24"/>
        </w:rPr>
        <w:t xml:space="preserve">(USR) </w:t>
      </w:r>
      <w:r w:rsidR="00BC271B">
        <w:rPr>
          <w:rFonts w:ascii="Arial" w:hAnsi="Arial" w:cs="Arial"/>
          <w:szCs w:val="24"/>
        </w:rPr>
        <w:t>Over</w:t>
      </w:r>
      <w:r w:rsidR="00872000" w:rsidRPr="007A206B">
        <w:rPr>
          <w:rFonts w:ascii="Arial" w:hAnsi="Arial" w:cs="Arial"/>
          <w:szCs w:val="24"/>
        </w:rPr>
        <w:t>/</w:t>
      </w:r>
      <w:r w:rsidR="00A27F48" w:rsidRPr="007A206B">
        <w:rPr>
          <w:rFonts w:ascii="Arial" w:hAnsi="Arial" w:cs="Arial"/>
          <w:szCs w:val="24"/>
        </w:rPr>
        <w:t xml:space="preserve">Under Collections </w:t>
      </w:r>
      <w:r w:rsidR="00465C2F">
        <w:rPr>
          <w:rFonts w:ascii="Arial" w:hAnsi="Arial" w:cs="Arial"/>
          <w:szCs w:val="24"/>
        </w:rPr>
        <w:t xml:space="preserve">(Section 1307(e)) </w:t>
      </w:r>
      <w:r w:rsidR="00A27F48" w:rsidRPr="007A206B">
        <w:rPr>
          <w:rFonts w:ascii="Arial" w:hAnsi="Arial" w:cs="Arial"/>
          <w:szCs w:val="24"/>
        </w:rPr>
        <w:t xml:space="preserve">for </w:t>
      </w:r>
      <w:r w:rsidR="001C5737" w:rsidRPr="007A206B">
        <w:rPr>
          <w:rFonts w:ascii="Arial" w:hAnsi="Arial" w:cs="Arial"/>
          <w:szCs w:val="24"/>
        </w:rPr>
        <w:t xml:space="preserve">the </w:t>
      </w:r>
      <w:r w:rsidR="00596AA5">
        <w:rPr>
          <w:rFonts w:ascii="Arial" w:hAnsi="Arial" w:cs="Arial"/>
          <w:szCs w:val="24"/>
        </w:rPr>
        <w:t>twelve month</w:t>
      </w:r>
      <w:r w:rsidR="00523567">
        <w:rPr>
          <w:rFonts w:ascii="Arial" w:hAnsi="Arial" w:cs="Arial"/>
          <w:szCs w:val="24"/>
        </w:rPr>
        <w:t xml:space="preserve"> period</w:t>
      </w:r>
      <w:r w:rsidR="00596AA5">
        <w:rPr>
          <w:rFonts w:ascii="Arial" w:hAnsi="Arial" w:cs="Arial"/>
          <w:szCs w:val="24"/>
        </w:rPr>
        <w:t xml:space="preserve">s </w:t>
      </w:r>
      <w:r w:rsidR="00B62271" w:rsidRPr="007A206B">
        <w:rPr>
          <w:rFonts w:ascii="Arial" w:hAnsi="Arial" w:cs="Arial"/>
          <w:szCs w:val="24"/>
        </w:rPr>
        <w:t>e</w:t>
      </w:r>
      <w:r w:rsidRPr="007A206B">
        <w:rPr>
          <w:rFonts w:ascii="Arial" w:hAnsi="Arial" w:cs="Arial"/>
          <w:szCs w:val="24"/>
        </w:rPr>
        <w:t xml:space="preserve">nded </w:t>
      </w:r>
      <w:r w:rsidR="00CC0CCC">
        <w:rPr>
          <w:rFonts w:ascii="Arial" w:hAnsi="Arial" w:cs="Arial"/>
          <w:szCs w:val="24"/>
        </w:rPr>
        <w:t>November 30, 2012 and November 30, 2011</w:t>
      </w:r>
      <w:r w:rsidRPr="007A206B">
        <w:rPr>
          <w:rFonts w:ascii="Arial" w:hAnsi="Arial" w:cs="Arial"/>
          <w:szCs w:val="24"/>
        </w:rPr>
        <w:t xml:space="preserve">.  </w:t>
      </w:r>
      <w:r w:rsidR="007F0B64" w:rsidRPr="007A206B">
        <w:rPr>
          <w:rFonts w:ascii="Arial" w:hAnsi="Arial" w:cs="Arial"/>
          <w:szCs w:val="24"/>
        </w:rPr>
        <w:t>Th</w:t>
      </w:r>
      <w:r w:rsidR="0056219C">
        <w:rPr>
          <w:rFonts w:ascii="Arial" w:hAnsi="Arial" w:cs="Arial"/>
          <w:szCs w:val="24"/>
        </w:rPr>
        <w:t>e</w:t>
      </w:r>
      <w:r w:rsidR="007F0B64">
        <w:rPr>
          <w:rFonts w:ascii="Arial" w:hAnsi="Arial" w:cs="Arial"/>
          <w:szCs w:val="24"/>
        </w:rPr>
        <w:t>s</w:t>
      </w:r>
      <w:r w:rsidR="0056219C">
        <w:rPr>
          <w:rFonts w:ascii="Arial" w:hAnsi="Arial" w:cs="Arial"/>
          <w:szCs w:val="24"/>
        </w:rPr>
        <w:t>e</w:t>
      </w:r>
      <w:r w:rsidR="007F0B64" w:rsidRPr="007A206B">
        <w:rPr>
          <w:rFonts w:ascii="Arial" w:hAnsi="Arial" w:cs="Arial"/>
          <w:szCs w:val="24"/>
        </w:rPr>
        <w:t xml:space="preserve"> </w:t>
      </w:r>
      <w:r w:rsidRPr="007A206B">
        <w:rPr>
          <w:rFonts w:ascii="Arial" w:hAnsi="Arial" w:cs="Arial"/>
          <w:szCs w:val="24"/>
        </w:rPr>
        <w:t>statement</w:t>
      </w:r>
      <w:r w:rsidR="0056219C">
        <w:rPr>
          <w:rFonts w:ascii="Arial" w:hAnsi="Arial" w:cs="Arial"/>
          <w:szCs w:val="24"/>
        </w:rPr>
        <w:t>s are</w:t>
      </w:r>
      <w:r w:rsidR="007F0B64" w:rsidRPr="007A206B">
        <w:rPr>
          <w:rFonts w:ascii="Arial" w:hAnsi="Arial" w:cs="Arial"/>
          <w:szCs w:val="24"/>
        </w:rPr>
        <w:t xml:space="preserve"> </w:t>
      </w:r>
      <w:r w:rsidRPr="007A206B">
        <w:rPr>
          <w:rFonts w:ascii="Arial" w:hAnsi="Arial" w:cs="Arial"/>
          <w:szCs w:val="24"/>
        </w:rPr>
        <w:t>the responsibility of the Company's management.  Our responsibility is to express an opinion on the statement</w:t>
      </w:r>
      <w:r w:rsidR="0056219C">
        <w:rPr>
          <w:rFonts w:ascii="Arial" w:hAnsi="Arial" w:cs="Arial"/>
          <w:szCs w:val="24"/>
        </w:rPr>
        <w:t>s</w:t>
      </w:r>
      <w:r w:rsidRPr="007A206B">
        <w:rPr>
          <w:rFonts w:ascii="Arial" w:hAnsi="Arial" w:cs="Arial"/>
          <w:szCs w:val="24"/>
        </w:rPr>
        <w:t xml:space="preserve"> based on our audit.</w:t>
      </w:r>
    </w:p>
    <w:p w:rsidR="005D711E" w:rsidRPr="007A206B" w:rsidRDefault="005D711E" w:rsidP="00CF2F5B">
      <w:pPr>
        <w:suppressAutoHyphens/>
        <w:rPr>
          <w:rFonts w:ascii="Arial" w:hAnsi="Arial" w:cs="Arial"/>
          <w:szCs w:val="24"/>
        </w:rPr>
      </w:pPr>
    </w:p>
    <w:p w:rsidR="00370CC2" w:rsidRPr="003D4D7B" w:rsidRDefault="005D711E" w:rsidP="00370CC2">
      <w:pPr>
        <w:suppressAutoHyphens/>
        <w:rPr>
          <w:rFonts w:ascii="Arial" w:hAnsi="Arial" w:cs="Arial"/>
          <w:szCs w:val="24"/>
        </w:rPr>
      </w:pPr>
      <w:r w:rsidRPr="007A206B">
        <w:rPr>
          <w:rFonts w:ascii="Arial" w:hAnsi="Arial" w:cs="Arial"/>
          <w:szCs w:val="24"/>
        </w:rPr>
        <w:tab/>
      </w:r>
      <w:r w:rsidR="00370CC2" w:rsidRPr="00905409">
        <w:rPr>
          <w:rFonts w:ascii="Arial" w:hAnsi="Arial" w:cs="Arial"/>
          <w:szCs w:val="24"/>
        </w:rPr>
        <w:t xml:space="preserve">We conducted our audit in accordance with auditing standards </w:t>
      </w:r>
      <w:r w:rsidR="007F0B64" w:rsidRPr="00905409">
        <w:rPr>
          <w:rFonts w:ascii="Arial" w:hAnsi="Arial" w:cs="Arial"/>
          <w:szCs w:val="24"/>
        </w:rPr>
        <w:t>generally accepted</w:t>
      </w:r>
      <w:r w:rsidR="00370CC2" w:rsidRPr="00905409">
        <w:rPr>
          <w:rFonts w:ascii="Arial" w:hAnsi="Arial" w:cs="Arial"/>
          <w:szCs w:val="24"/>
        </w:rPr>
        <w:t xml:space="preserve"> in the United States of America.  These standards require that we plan and perform the audit to obtain reasonable assurance about whether the specified statement</w:t>
      </w:r>
      <w:r w:rsidR="007A24AB">
        <w:rPr>
          <w:rFonts w:ascii="Arial" w:hAnsi="Arial" w:cs="Arial"/>
          <w:szCs w:val="24"/>
        </w:rPr>
        <w:t>s</w:t>
      </w:r>
      <w:r w:rsidR="00370CC2" w:rsidRPr="00905409">
        <w:rPr>
          <w:rFonts w:ascii="Arial" w:hAnsi="Arial" w:cs="Arial"/>
          <w:szCs w:val="24"/>
        </w:rPr>
        <w:t xml:space="preserve"> </w:t>
      </w:r>
      <w:r w:rsidR="009A43BF">
        <w:rPr>
          <w:rFonts w:ascii="Arial" w:hAnsi="Arial" w:cs="Arial"/>
          <w:szCs w:val="24"/>
        </w:rPr>
        <w:t>are</w:t>
      </w:r>
      <w:r w:rsidR="00370CC2" w:rsidRPr="00905409">
        <w:rPr>
          <w:rFonts w:ascii="Arial" w:hAnsi="Arial" w:cs="Arial"/>
          <w:szCs w:val="24"/>
        </w:rPr>
        <w:t xml:space="preserve"> free of material misstatement.  </w:t>
      </w:r>
      <w:r w:rsidR="00370CC2">
        <w:rPr>
          <w:rFonts w:ascii="Arial" w:hAnsi="Arial" w:cs="Arial"/>
          <w:szCs w:val="24"/>
        </w:rPr>
        <w:t xml:space="preserve">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00370CC2" w:rsidRPr="00905409">
        <w:rPr>
          <w:rFonts w:ascii="Arial" w:hAnsi="Arial" w:cs="Arial"/>
          <w:szCs w:val="24"/>
        </w:rPr>
        <w:t>An audit includes examining, on a test basis, evidence supporting the amounts and disclosures in the statement</w:t>
      </w:r>
      <w:r w:rsidR="009A43BF">
        <w:rPr>
          <w:rFonts w:ascii="Arial" w:hAnsi="Arial" w:cs="Arial"/>
          <w:szCs w:val="24"/>
        </w:rPr>
        <w:t>s</w:t>
      </w:r>
      <w:r w:rsidR="00370CC2" w:rsidRPr="00905409">
        <w:rPr>
          <w:rFonts w:ascii="Arial" w:hAnsi="Arial" w:cs="Arial"/>
          <w:szCs w:val="24"/>
        </w:rPr>
        <w:t xml:space="preserve"> 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7A206B" w:rsidRDefault="005D711E" w:rsidP="00CF2F5B">
      <w:pPr>
        <w:suppressAutoHyphens/>
        <w:rPr>
          <w:rFonts w:ascii="Arial" w:hAnsi="Arial" w:cs="Arial"/>
          <w:szCs w:val="24"/>
        </w:rPr>
      </w:pPr>
    </w:p>
    <w:p w:rsidR="009A43BF" w:rsidRDefault="005D711E" w:rsidP="009A43BF">
      <w:pPr>
        <w:suppressAutoHyphens/>
        <w:rPr>
          <w:rFonts w:ascii="Arial" w:hAnsi="Arial" w:cs="Arial"/>
          <w:szCs w:val="24"/>
        </w:rPr>
      </w:pPr>
      <w:r w:rsidRPr="007A206B">
        <w:rPr>
          <w:rFonts w:ascii="Arial" w:hAnsi="Arial" w:cs="Arial"/>
          <w:szCs w:val="24"/>
        </w:rPr>
        <w:tab/>
      </w:r>
      <w:r w:rsidR="009A43BF" w:rsidRPr="00936DE2">
        <w:rPr>
          <w:rFonts w:ascii="Arial" w:hAnsi="Arial" w:cs="Arial"/>
          <w:szCs w:val="24"/>
        </w:rPr>
        <w:t xml:space="preserve">The </w:t>
      </w:r>
      <w:r w:rsidR="009A43BF">
        <w:rPr>
          <w:rFonts w:ascii="Arial" w:hAnsi="Arial" w:cs="Arial"/>
          <w:szCs w:val="24"/>
        </w:rPr>
        <w:t>S</w:t>
      </w:r>
      <w:r w:rsidR="009A43BF" w:rsidRPr="00936DE2">
        <w:rPr>
          <w:rFonts w:ascii="Arial" w:hAnsi="Arial" w:cs="Arial"/>
          <w:szCs w:val="24"/>
        </w:rPr>
        <w:t>tatement</w:t>
      </w:r>
      <w:r w:rsidR="009A43BF">
        <w:rPr>
          <w:rFonts w:ascii="Arial" w:hAnsi="Arial" w:cs="Arial"/>
          <w:szCs w:val="24"/>
        </w:rPr>
        <w:t xml:space="preserve">s of Universal Service Rider (USR) Over/Under Collections were </w:t>
      </w:r>
      <w:r w:rsidR="009A43BF" w:rsidRPr="00936DE2">
        <w:rPr>
          <w:rFonts w:ascii="Arial" w:hAnsi="Arial" w:cs="Arial"/>
          <w:szCs w:val="24"/>
        </w:rPr>
        <w:t>prepared for the purpose of complying with the rules and regulations</w:t>
      </w:r>
      <w:r w:rsidR="009A43BF">
        <w:rPr>
          <w:rFonts w:ascii="Arial" w:hAnsi="Arial" w:cs="Arial"/>
          <w:szCs w:val="24"/>
        </w:rPr>
        <w:t xml:space="preserve"> (Section 1307(e))</w:t>
      </w:r>
      <w:r w:rsidR="009A43BF" w:rsidRPr="00936DE2">
        <w:rPr>
          <w:rFonts w:ascii="Arial" w:hAnsi="Arial" w:cs="Arial"/>
          <w:szCs w:val="24"/>
        </w:rPr>
        <w:t xml:space="preserve"> of the Pennsylvania Public Utility Commission and </w:t>
      </w:r>
      <w:r w:rsidR="009A43BF">
        <w:rPr>
          <w:rFonts w:ascii="Arial" w:hAnsi="Arial" w:cs="Arial"/>
          <w:szCs w:val="24"/>
        </w:rPr>
        <w:t>are</w:t>
      </w:r>
      <w:r w:rsidR="009A43BF" w:rsidRPr="00936DE2">
        <w:rPr>
          <w:rFonts w:ascii="Arial" w:hAnsi="Arial" w:cs="Arial"/>
          <w:szCs w:val="24"/>
        </w:rPr>
        <w:t xml:space="preserve"> not intended to be a complete presentation of the Company's revenues and expenses.</w:t>
      </w:r>
    </w:p>
    <w:p w:rsidR="005D711E" w:rsidRPr="007A206B" w:rsidRDefault="005D711E" w:rsidP="00CF2F5B">
      <w:pPr>
        <w:suppressAutoHyphens/>
        <w:rPr>
          <w:rFonts w:ascii="Arial" w:hAnsi="Arial" w:cs="Arial"/>
          <w:szCs w:val="24"/>
        </w:rPr>
      </w:pPr>
    </w:p>
    <w:p w:rsidR="00035C26" w:rsidRPr="001D73AB" w:rsidRDefault="005D711E" w:rsidP="00035C26">
      <w:pPr>
        <w:suppressAutoHyphens/>
        <w:rPr>
          <w:rFonts w:ascii="Arial" w:hAnsi="Arial" w:cs="Arial"/>
          <w:szCs w:val="24"/>
        </w:rPr>
      </w:pPr>
      <w:r w:rsidRPr="007A206B">
        <w:rPr>
          <w:rFonts w:ascii="Arial" w:hAnsi="Arial" w:cs="Arial"/>
          <w:szCs w:val="24"/>
        </w:rPr>
        <w:tab/>
      </w:r>
      <w:r w:rsidR="00035C26" w:rsidRPr="00936DE2">
        <w:rPr>
          <w:rFonts w:ascii="Arial" w:hAnsi="Arial" w:cs="Arial"/>
          <w:szCs w:val="24"/>
        </w:rPr>
        <w:t xml:space="preserve">In our opinion, </w:t>
      </w:r>
      <w:r w:rsidR="00035C26">
        <w:rPr>
          <w:rFonts w:ascii="Arial" w:hAnsi="Arial" w:cs="Arial"/>
          <w:szCs w:val="24"/>
        </w:rPr>
        <w:t xml:space="preserve">the information set forth in </w:t>
      </w:r>
      <w:r w:rsidR="00035C26" w:rsidRPr="00936DE2">
        <w:rPr>
          <w:rFonts w:ascii="Arial" w:hAnsi="Arial" w:cs="Arial"/>
          <w:szCs w:val="24"/>
        </w:rPr>
        <w:t xml:space="preserve">the accompanying </w:t>
      </w:r>
      <w:r w:rsidR="00035C26">
        <w:rPr>
          <w:rFonts w:ascii="Arial" w:hAnsi="Arial" w:cs="Arial"/>
          <w:szCs w:val="24"/>
        </w:rPr>
        <w:t xml:space="preserve">condensed </w:t>
      </w:r>
      <w:r w:rsidR="00035C26" w:rsidRPr="00936DE2">
        <w:rPr>
          <w:rFonts w:ascii="Arial" w:hAnsi="Arial" w:cs="Arial"/>
          <w:szCs w:val="24"/>
        </w:rPr>
        <w:t>statement</w:t>
      </w:r>
      <w:r w:rsidR="00035C26">
        <w:rPr>
          <w:rFonts w:ascii="Arial" w:hAnsi="Arial" w:cs="Arial"/>
          <w:szCs w:val="24"/>
        </w:rPr>
        <w:t>s</w:t>
      </w:r>
      <w:r w:rsidR="00035C26" w:rsidRPr="00936DE2">
        <w:rPr>
          <w:rFonts w:ascii="Arial" w:hAnsi="Arial" w:cs="Arial"/>
          <w:szCs w:val="24"/>
        </w:rPr>
        <w:t xml:space="preserve"> of </w:t>
      </w:r>
      <w:r w:rsidR="00035C26">
        <w:rPr>
          <w:rFonts w:ascii="Arial" w:hAnsi="Arial" w:cs="Arial"/>
          <w:szCs w:val="24"/>
        </w:rPr>
        <w:t>Universal Service Rider (USR) Over/Under Collections for the twelve month periods ended November 30, 2012 and November 30, 2011</w:t>
      </w:r>
      <w:r w:rsidR="00552D68">
        <w:rPr>
          <w:rFonts w:ascii="Arial" w:hAnsi="Arial" w:cs="Arial"/>
          <w:szCs w:val="24"/>
        </w:rPr>
        <w:t xml:space="preserve"> </w:t>
      </w:r>
      <w:r w:rsidR="00035C26">
        <w:rPr>
          <w:rFonts w:ascii="Arial" w:hAnsi="Arial" w:cs="Arial"/>
          <w:szCs w:val="24"/>
        </w:rPr>
        <w:t xml:space="preserve">of </w:t>
      </w:r>
      <w:r w:rsidR="00035C26" w:rsidRPr="00936DE2">
        <w:rPr>
          <w:rFonts w:ascii="Arial" w:hAnsi="Arial" w:cs="Arial"/>
          <w:szCs w:val="24"/>
        </w:rPr>
        <w:t>PPL Electri</w:t>
      </w:r>
      <w:r w:rsidR="00D3147B">
        <w:rPr>
          <w:rFonts w:ascii="Arial" w:hAnsi="Arial" w:cs="Arial"/>
          <w:szCs w:val="24"/>
        </w:rPr>
        <w:t>c Utilities Corporation present</w:t>
      </w:r>
      <w:r w:rsidR="00035C26" w:rsidRPr="00936DE2">
        <w:rPr>
          <w:rFonts w:ascii="Arial" w:hAnsi="Arial" w:cs="Arial"/>
          <w:szCs w:val="24"/>
        </w:rPr>
        <w:t xml:space="preserve"> fairly, in all material respects, </w:t>
      </w:r>
      <w:r w:rsidR="00035C26">
        <w:rPr>
          <w:rFonts w:ascii="Arial" w:hAnsi="Arial" w:cs="Arial"/>
          <w:szCs w:val="24"/>
        </w:rPr>
        <w:t>in relation to the audited financial statement</w:t>
      </w:r>
      <w:r w:rsidR="00D3147B">
        <w:rPr>
          <w:rFonts w:ascii="Arial" w:hAnsi="Arial" w:cs="Arial"/>
          <w:szCs w:val="24"/>
        </w:rPr>
        <w:t>s</w:t>
      </w:r>
      <w:r w:rsidR="00035C26">
        <w:rPr>
          <w:rFonts w:ascii="Arial" w:hAnsi="Arial" w:cs="Arial"/>
          <w:szCs w:val="24"/>
        </w:rPr>
        <w:t xml:space="preserve"> from which </w:t>
      </w:r>
      <w:r w:rsidR="00D3147B">
        <w:rPr>
          <w:rFonts w:ascii="Arial" w:hAnsi="Arial" w:cs="Arial"/>
          <w:szCs w:val="24"/>
        </w:rPr>
        <w:t>they were derived</w:t>
      </w:r>
      <w:r w:rsidR="00035C26">
        <w:rPr>
          <w:rFonts w:ascii="Arial" w:hAnsi="Arial" w:cs="Arial"/>
          <w:szCs w:val="24"/>
        </w:rPr>
        <w:t>.</w:t>
      </w:r>
    </w:p>
    <w:p w:rsidR="005D711E" w:rsidRPr="007A206B" w:rsidRDefault="005D711E" w:rsidP="00CF2F5B">
      <w:pPr>
        <w:suppressAutoHyphens/>
        <w:rPr>
          <w:rFonts w:ascii="Arial" w:hAnsi="Arial" w:cs="Arial"/>
          <w:szCs w:val="24"/>
        </w:rPr>
      </w:pPr>
    </w:p>
    <w:p w:rsidR="005D711E" w:rsidRPr="007A206B" w:rsidRDefault="005D711E" w:rsidP="00CF2F5B">
      <w:pPr>
        <w:suppressAutoHyphens/>
        <w:rPr>
          <w:rFonts w:ascii="Arial" w:hAnsi="Arial" w:cs="Arial"/>
          <w:szCs w:val="24"/>
        </w:rPr>
      </w:pPr>
    </w:p>
    <w:p w:rsidR="005D711E" w:rsidRDefault="005D711E" w:rsidP="00CF2F5B">
      <w:pPr>
        <w:suppressAutoHyphens/>
        <w:rPr>
          <w:rFonts w:ascii="Arial" w:hAnsi="Arial" w:cs="Arial"/>
          <w:szCs w:val="24"/>
        </w:rPr>
      </w:pPr>
    </w:p>
    <w:p w:rsidR="0071208D" w:rsidRPr="007A206B" w:rsidRDefault="0071208D" w:rsidP="00CF2F5B">
      <w:pPr>
        <w:suppressAutoHyphens/>
        <w:rPr>
          <w:rFonts w:ascii="Arial" w:hAnsi="Arial" w:cs="Arial"/>
          <w:szCs w:val="24"/>
        </w:rPr>
      </w:pPr>
    </w:p>
    <w:p w:rsidR="005D711E" w:rsidRPr="007A206B" w:rsidRDefault="005D711E" w:rsidP="00CF2F5B">
      <w:pPr>
        <w:suppressAutoHyphens/>
        <w:outlineLvl w:val="0"/>
        <w:rPr>
          <w:rFonts w:ascii="Arial" w:hAnsi="Arial" w:cs="Arial"/>
          <w:szCs w:val="24"/>
        </w:rPr>
      </w:pP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00EA4FD5">
        <w:rPr>
          <w:rFonts w:ascii="Arial" w:hAnsi="Arial" w:cs="Arial"/>
          <w:szCs w:val="24"/>
        </w:rPr>
        <w:t>Dennis P. Hosler</w:t>
      </w:r>
      <w:r w:rsidRPr="007A206B">
        <w:rPr>
          <w:rFonts w:ascii="Arial" w:hAnsi="Arial" w:cs="Arial"/>
          <w:szCs w:val="24"/>
        </w:rPr>
        <w:t>, CPA</w:t>
      </w:r>
    </w:p>
    <w:p w:rsidR="005D711E" w:rsidRPr="007A206B" w:rsidRDefault="005D711E" w:rsidP="00CF2F5B">
      <w:pPr>
        <w:suppressAutoHyphens/>
        <w:outlineLvl w:val="0"/>
        <w:rPr>
          <w:rFonts w:ascii="Arial" w:hAnsi="Arial" w:cs="Arial"/>
          <w:szCs w:val="24"/>
        </w:rPr>
      </w:pP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t xml:space="preserve">Director </w:t>
      </w:r>
    </w:p>
    <w:p w:rsidR="006D55C8" w:rsidRDefault="005D711E" w:rsidP="00CF2F5B">
      <w:pPr>
        <w:suppressAutoHyphens/>
        <w:rPr>
          <w:rFonts w:ascii="Arial" w:hAnsi="Arial" w:cs="Arial"/>
          <w:szCs w:val="24"/>
        </w:rPr>
        <w:sectPr w:rsidR="006D55C8" w:rsidSect="006D55C8">
          <w:headerReference w:type="even" r:id="rId20"/>
          <w:headerReference w:type="default" r:id="rId21"/>
          <w:footerReference w:type="default" r:id="rId22"/>
          <w:headerReference w:type="first" r:id="rId23"/>
          <w:endnotePr>
            <w:numFmt w:val="decimal"/>
          </w:endnotePr>
          <w:pgSz w:w="12240" w:h="15840" w:code="1"/>
          <w:pgMar w:top="1440" w:right="1440" w:bottom="1152" w:left="1440" w:header="0" w:footer="720" w:gutter="0"/>
          <w:pgNumType w:fmt="numberInDash" w:start="1"/>
          <w:cols w:space="720"/>
          <w:noEndnote/>
        </w:sectPr>
      </w:pP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r>
      <w:r w:rsidRPr="007A206B">
        <w:rPr>
          <w:rFonts w:ascii="Arial" w:hAnsi="Arial" w:cs="Arial"/>
          <w:szCs w:val="24"/>
        </w:rPr>
        <w:tab/>
        <w:t>Bureau of Audits</w:t>
      </w:r>
    </w:p>
    <w:tbl>
      <w:tblPr>
        <w:tblW w:w="9648" w:type="dxa"/>
        <w:tblLook w:val="0000" w:firstRow="0" w:lastRow="0" w:firstColumn="0" w:lastColumn="0" w:noHBand="0" w:noVBand="0"/>
      </w:tblPr>
      <w:tblGrid>
        <w:gridCol w:w="9648"/>
      </w:tblGrid>
      <w:tr w:rsidR="008B2A09" w:rsidRPr="007A206B" w:rsidTr="001B0888">
        <w:trPr>
          <w:trHeight w:val="277"/>
        </w:trPr>
        <w:tc>
          <w:tcPr>
            <w:tcW w:w="9648" w:type="dxa"/>
            <w:tcBorders>
              <w:top w:val="nil"/>
              <w:left w:val="nil"/>
              <w:bottom w:val="nil"/>
              <w:right w:val="nil"/>
            </w:tcBorders>
            <w:shd w:val="clear" w:color="auto" w:fill="auto"/>
            <w:noWrap/>
            <w:vAlign w:val="bottom"/>
          </w:tcPr>
          <w:p w:rsidR="008B2A09" w:rsidRPr="00EA4FD5" w:rsidRDefault="001B12BC" w:rsidP="008B2A09">
            <w:pPr>
              <w:overflowPunct/>
              <w:autoSpaceDE/>
              <w:autoSpaceDN/>
              <w:adjustRightInd/>
              <w:jc w:val="center"/>
              <w:textAlignment w:val="auto"/>
              <w:rPr>
                <w:rFonts w:ascii="Arial" w:hAnsi="Arial" w:cs="Arial"/>
                <w:b/>
                <w:sz w:val="26"/>
                <w:szCs w:val="26"/>
              </w:rPr>
            </w:pPr>
            <w:r w:rsidRPr="00EA4FD5">
              <w:rPr>
                <w:rFonts w:ascii="Arial" w:hAnsi="Arial" w:cs="Arial"/>
                <w:b/>
                <w:sz w:val="26"/>
                <w:szCs w:val="26"/>
              </w:rPr>
              <w:lastRenderedPageBreak/>
              <w:t>PPL ELECTRIC UTILITIES CORPORATION</w:t>
            </w:r>
          </w:p>
          <w:p w:rsidR="002A168B" w:rsidRPr="00EA4FD5" w:rsidRDefault="002A168B" w:rsidP="008B2A09">
            <w:pPr>
              <w:overflowPunct/>
              <w:autoSpaceDE/>
              <w:autoSpaceDN/>
              <w:adjustRightInd/>
              <w:jc w:val="center"/>
              <w:textAlignment w:val="auto"/>
              <w:rPr>
                <w:rFonts w:ascii="Arial" w:hAnsi="Arial" w:cs="Arial"/>
                <w:b/>
                <w:sz w:val="20"/>
                <w:szCs w:val="26"/>
              </w:rPr>
            </w:pPr>
          </w:p>
        </w:tc>
      </w:tr>
      <w:tr w:rsidR="00F16CD7" w:rsidRPr="00874BC6" w:rsidTr="001B0888">
        <w:trPr>
          <w:trHeight w:val="277"/>
        </w:trPr>
        <w:tc>
          <w:tcPr>
            <w:tcW w:w="9648" w:type="dxa"/>
            <w:tcBorders>
              <w:top w:val="nil"/>
              <w:left w:val="nil"/>
              <w:bottom w:val="nil"/>
              <w:right w:val="nil"/>
            </w:tcBorders>
            <w:shd w:val="clear" w:color="auto" w:fill="auto"/>
            <w:noWrap/>
            <w:vAlign w:val="bottom"/>
          </w:tcPr>
          <w:p w:rsidR="00F16CD7" w:rsidRPr="00F16CD7" w:rsidRDefault="00F16CD7">
            <w:pPr>
              <w:overflowPunct/>
              <w:autoSpaceDE/>
              <w:autoSpaceDN/>
              <w:adjustRightInd/>
              <w:jc w:val="center"/>
              <w:textAlignment w:val="auto"/>
              <w:rPr>
                <w:rFonts w:ascii="Arial" w:hAnsi="Arial" w:cs="Arial"/>
                <w:b/>
                <w:sz w:val="26"/>
                <w:szCs w:val="26"/>
              </w:rPr>
            </w:pPr>
            <w:r w:rsidRPr="00F379CC">
              <w:rPr>
                <w:rFonts w:ascii="Arial" w:hAnsi="Arial" w:cs="Arial"/>
                <w:b/>
                <w:sz w:val="26"/>
                <w:szCs w:val="26"/>
              </w:rPr>
              <w:t>Condensed (Note 1)</w:t>
            </w:r>
          </w:p>
        </w:tc>
      </w:tr>
      <w:tr w:rsidR="008B2A09" w:rsidRPr="00874BC6" w:rsidTr="001B0888">
        <w:trPr>
          <w:trHeight w:val="277"/>
        </w:trPr>
        <w:tc>
          <w:tcPr>
            <w:tcW w:w="9648" w:type="dxa"/>
            <w:tcBorders>
              <w:top w:val="nil"/>
              <w:left w:val="nil"/>
              <w:bottom w:val="nil"/>
              <w:right w:val="nil"/>
            </w:tcBorders>
            <w:shd w:val="clear" w:color="auto" w:fill="auto"/>
            <w:noWrap/>
            <w:vAlign w:val="bottom"/>
          </w:tcPr>
          <w:p w:rsidR="00F16CD7" w:rsidRDefault="001B12BC">
            <w:pPr>
              <w:overflowPunct/>
              <w:autoSpaceDE/>
              <w:autoSpaceDN/>
              <w:adjustRightInd/>
              <w:jc w:val="center"/>
              <w:textAlignment w:val="auto"/>
              <w:rPr>
                <w:rFonts w:ascii="Arial" w:hAnsi="Arial" w:cs="Arial"/>
                <w:b/>
                <w:sz w:val="26"/>
                <w:szCs w:val="26"/>
              </w:rPr>
            </w:pPr>
            <w:r w:rsidRPr="00F16CD7">
              <w:rPr>
                <w:rFonts w:ascii="Arial" w:hAnsi="Arial" w:cs="Arial"/>
                <w:b/>
                <w:sz w:val="26"/>
                <w:szCs w:val="26"/>
              </w:rPr>
              <w:t xml:space="preserve">Statement </w:t>
            </w:r>
            <w:r w:rsidR="00C1047D" w:rsidRPr="00F16CD7">
              <w:rPr>
                <w:rFonts w:ascii="Arial" w:hAnsi="Arial" w:cs="Arial"/>
                <w:b/>
                <w:sz w:val="26"/>
                <w:szCs w:val="26"/>
              </w:rPr>
              <w:t>O</w:t>
            </w:r>
            <w:r w:rsidRPr="00F16CD7">
              <w:rPr>
                <w:rFonts w:ascii="Arial" w:hAnsi="Arial" w:cs="Arial"/>
                <w:b/>
                <w:sz w:val="26"/>
                <w:szCs w:val="26"/>
              </w:rPr>
              <w:t>f Universal Service Rider</w:t>
            </w:r>
            <w:r w:rsidR="000640DB" w:rsidRPr="00F16CD7">
              <w:rPr>
                <w:rFonts w:ascii="Arial" w:hAnsi="Arial" w:cs="Arial"/>
                <w:b/>
                <w:sz w:val="26"/>
                <w:szCs w:val="26"/>
              </w:rPr>
              <w:t xml:space="preserve"> </w:t>
            </w:r>
            <w:r w:rsidR="00777B58" w:rsidRPr="00F16CD7">
              <w:rPr>
                <w:rFonts w:ascii="Arial" w:hAnsi="Arial" w:cs="Arial"/>
                <w:b/>
                <w:sz w:val="26"/>
                <w:szCs w:val="26"/>
              </w:rPr>
              <w:t xml:space="preserve">(USR) </w:t>
            </w:r>
          </w:p>
          <w:p w:rsidR="008B2A09" w:rsidRPr="00F16CD7" w:rsidRDefault="001F176D">
            <w:pPr>
              <w:overflowPunct/>
              <w:autoSpaceDE/>
              <w:autoSpaceDN/>
              <w:adjustRightInd/>
              <w:jc w:val="center"/>
              <w:textAlignment w:val="auto"/>
              <w:rPr>
                <w:rFonts w:ascii="Arial" w:hAnsi="Arial" w:cs="Arial"/>
                <w:b/>
                <w:sz w:val="26"/>
                <w:szCs w:val="26"/>
              </w:rPr>
            </w:pPr>
            <w:r w:rsidRPr="00F16CD7">
              <w:rPr>
                <w:rFonts w:ascii="Arial" w:hAnsi="Arial" w:cs="Arial"/>
                <w:b/>
                <w:sz w:val="26"/>
                <w:szCs w:val="26"/>
              </w:rPr>
              <w:t>Over/</w:t>
            </w:r>
            <w:r w:rsidR="00D9515C" w:rsidRPr="00F16CD7">
              <w:rPr>
                <w:rFonts w:ascii="Arial" w:hAnsi="Arial" w:cs="Arial"/>
                <w:b/>
                <w:sz w:val="26"/>
                <w:szCs w:val="26"/>
              </w:rPr>
              <w:t>(</w:t>
            </w:r>
            <w:r w:rsidRPr="00F16CD7">
              <w:rPr>
                <w:rFonts w:ascii="Arial" w:hAnsi="Arial" w:cs="Arial"/>
                <w:b/>
                <w:sz w:val="26"/>
                <w:szCs w:val="26"/>
              </w:rPr>
              <w:t>Under</w:t>
            </w:r>
            <w:r w:rsidR="00D9515C" w:rsidRPr="00F16CD7">
              <w:rPr>
                <w:rFonts w:ascii="Arial" w:hAnsi="Arial" w:cs="Arial"/>
                <w:b/>
                <w:sz w:val="26"/>
                <w:szCs w:val="26"/>
              </w:rPr>
              <w:t>)</w:t>
            </w:r>
            <w:r w:rsidRPr="00F16CD7">
              <w:rPr>
                <w:rFonts w:ascii="Arial" w:hAnsi="Arial" w:cs="Arial"/>
                <w:b/>
                <w:sz w:val="26"/>
                <w:szCs w:val="26"/>
              </w:rPr>
              <w:t xml:space="preserve"> Collections</w:t>
            </w:r>
            <w:r w:rsidR="00F16CD7">
              <w:rPr>
                <w:rFonts w:ascii="Arial" w:hAnsi="Arial" w:cs="Arial"/>
                <w:b/>
                <w:sz w:val="26"/>
                <w:szCs w:val="26"/>
              </w:rPr>
              <w:t xml:space="preserve"> </w:t>
            </w:r>
            <w:r w:rsidR="00F16CD7" w:rsidRPr="004A3BF2">
              <w:rPr>
                <w:rFonts w:ascii="Arial" w:hAnsi="Arial" w:cs="Arial"/>
                <w:b/>
                <w:sz w:val="26"/>
                <w:szCs w:val="28"/>
              </w:rPr>
              <w:t>(Section 1307(e))</w:t>
            </w:r>
          </w:p>
        </w:tc>
      </w:tr>
      <w:tr w:rsidR="008B2A09" w:rsidRPr="00874BC6" w:rsidTr="001B0888">
        <w:trPr>
          <w:trHeight w:val="277"/>
        </w:trPr>
        <w:tc>
          <w:tcPr>
            <w:tcW w:w="9648" w:type="dxa"/>
            <w:tcBorders>
              <w:top w:val="nil"/>
              <w:left w:val="nil"/>
              <w:bottom w:val="nil"/>
              <w:right w:val="nil"/>
            </w:tcBorders>
            <w:shd w:val="clear" w:color="auto" w:fill="auto"/>
            <w:noWrap/>
            <w:vAlign w:val="bottom"/>
          </w:tcPr>
          <w:p w:rsidR="008B2A09" w:rsidRPr="00F16CD7" w:rsidRDefault="008B2A09" w:rsidP="000A4866">
            <w:pPr>
              <w:overflowPunct/>
              <w:autoSpaceDE/>
              <w:autoSpaceDN/>
              <w:adjustRightInd/>
              <w:jc w:val="center"/>
              <w:textAlignment w:val="auto"/>
              <w:rPr>
                <w:rFonts w:ascii="Arial" w:hAnsi="Arial" w:cs="Arial"/>
                <w:b/>
                <w:sz w:val="26"/>
                <w:szCs w:val="26"/>
              </w:rPr>
            </w:pPr>
            <w:r w:rsidRPr="00F16CD7">
              <w:rPr>
                <w:rFonts w:ascii="Arial" w:hAnsi="Arial" w:cs="Arial"/>
                <w:b/>
                <w:sz w:val="26"/>
                <w:szCs w:val="26"/>
              </w:rPr>
              <w:t xml:space="preserve">For </w:t>
            </w:r>
            <w:r w:rsidR="00C1047D" w:rsidRPr="00F16CD7">
              <w:rPr>
                <w:rFonts w:ascii="Arial" w:hAnsi="Arial" w:cs="Arial"/>
                <w:b/>
                <w:sz w:val="26"/>
                <w:szCs w:val="26"/>
              </w:rPr>
              <w:t>T</w:t>
            </w:r>
            <w:r w:rsidRPr="00F16CD7">
              <w:rPr>
                <w:rFonts w:ascii="Arial" w:hAnsi="Arial" w:cs="Arial"/>
                <w:b/>
                <w:sz w:val="26"/>
                <w:szCs w:val="26"/>
              </w:rPr>
              <w:t xml:space="preserve">he </w:t>
            </w:r>
            <w:r w:rsidR="00732CB7" w:rsidRPr="00F16CD7">
              <w:rPr>
                <w:rFonts w:ascii="Arial" w:hAnsi="Arial" w:cs="Arial"/>
                <w:b/>
                <w:sz w:val="26"/>
                <w:szCs w:val="26"/>
              </w:rPr>
              <w:t>Twelve</w:t>
            </w:r>
            <w:r w:rsidRPr="00F16CD7">
              <w:rPr>
                <w:rFonts w:ascii="Arial" w:hAnsi="Arial" w:cs="Arial"/>
                <w:b/>
                <w:sz w:val="26"/>
                <w:szCs w:val="26"/>
              </w:rPr>
              <w:t xml:space="preserve"> Months Ended </w:t>
            </w:r>
            <w:r w:rsidR="000A4866" w:rsidRPr="00F16CD7">
              <w:rPr>
                <w:rFonts w:ascii="Arial" w:hAnsi="Arial" w:cs="Arial"/>
                <w:b/>
                <w:sz w:val="26"/>
                <w:szCs w:val="26"/>
              </w:rPr>
              <w:t>November 30</w:t>
            </w:r>
            <w:r w:rsidR="00240719" w:rsidRPr="00F16CD7">
              <w:rPr>
                <w:rFonts w:ascii="Arial" w:hAnsi="Arial" w:cs="Arial"/>
                <w:b/>
                <w:sz w:val="26"/>
                <w:szCs w:val="26"/>
              </w:rPr>
              <w:t xml:space="preserve">, </w:t>
            </w:r>
            <w:r w:rsidRPr="00F16CD7">
              <w:rPr>
                <w:rFonts w:ascii="Arial" w:hAnsi="Arial" w:cs="Arial"/>
                <w:b/>
                <w:sz w:val="26"/>
                <w:szCs w:val="26"/>
              </w:rPr>
              <w:t>20</w:t>
            </w:r>
            <w:r w:rsidR="000A4866" w:rsidRPr="00F16CD7">
              <w:rPr>
                <w:rFonts w:ascii="Arial" w:hAnsi="Arial" w:cs="Arial"/>
                <w:b/>
                <w:sz w:val="26"/>
                <w:szCs w:val="26"/>
              </w:rPr>
              <w:t>12</w:t>
            </w:r>
            <w:r w:rsidR="00C1047D" w:rsidRPr="00F16CD7">
              <w:rPr>
                <w:rFonts w:ascii="Arial" w:hAnsi="Arial" w:cs="Arial"/>
                <w:b/>
                <w:sz w:val="26"/>
                <w:szCs w:val="26"/>
              </w:rPr>
              <w:t>*</w:t>
            </w:r>
          </w:p>
        </w:tc>
      </w:tr>
    </w:tbl>
    <w:p w:rsidR="00B852ED" w:rsidRPr="007A206B" w:rsidRDefault="00B852ED">
      <w:pPr>
        <w:rPr>
          <w:rFonts w:ascii="Arial" w:hAnsi="Arial" w:cs="Arial"/>
          <w:szCs w:val="24"/>
        </w:rPr>
      </w:pPr>
    </w:p>
    <w:tbl>
      <w:tblPr>
        <w:tblpPr w:leftFromText="180" w:rightFromText="180" w:vertAnchor="text" w:horzAnchor="page" w:tblpX="1453" w:tblpY="215"/>
        <w:tblW w:w="9630" w:type="dxa"/>
        <w:tblLayout w:type="fixed"/>
        <w:tblLook w:val="04A0" w:firstRow="1" w:lastRow="0" w:firstColumn="1" w:lastColumn="0" w:noHBand="0" w:noVBand="1"/>
      </w:tblPr>
      <w:tblGrid>
        <w:gridCol w:w="2088"/>
        <w:gridCol w:w="270"/>
        <w:gridCol w:w="2250"/>
        <w:gridCol w:w="270"/>
        <w:gridCol w:w="2229"/>
        <w:gridCol w:w="236"/>
        <w:gridCol w:w="2287"/>
      </w:tblGrid>
      <w:tr w:rsidR="000A529C" w:rsidRPr="00AB3645" w:rsidTr="000A529C">
        <w:trPr>
          <w:trHeight w:val="1397"/>
        </w:trPr>
        <w:tc>
          <w:tcPr>
            <w:tcW w:w="2088" w:type="dxa"/>
            <w:tcBorders>
              <w:bottom w:val="single" w:sz="4" w:space="0" w:color="auto"/>
            </w:tcBorders>
            <w:vAlign w:val="bottom"/>
          </w:tcPr>
          <w:p w:rsidR="00AB3645" w:rsidRPr="00AB3645" w:rsidRDefault="00AB3645" w:rsidP="000A529C">
            <w:pPr>
              <w:tabs>
                <w:tab w:val="center" w:pos="4680"/>
              </w:tabs>
              <w:suppressAutoHyphens/>
              <w:jc w:val="center"/>
              <w:rPr>
                <w:rFonts w:ascii="Arial" w:hAnsi="Arial" w:cs="Arial"/>
                <w:szCs w:val="24"/>
              </w:rPr>
            </w:pPr>
            <w:r w:rsidRPr="00AB3645">
              <w:rPr>
                <w:rFonts w:ascii="Arial" w:hAnsi="Arial" w:cs="Arial"/>
                <w:szCs w:val="24"/>
              </w:rPr>
              <w:t>Month</w:t>
            </w:r>
          </w:p>
        </w:tc>
        <w:tc>
          <w:tcPr>
            <w:tcW w:w="270" w:type="dxa"/>
          </w:tcPr>
          <w:p w:rsidR="00AB3645" w:rsidRPr="00AB3645" w:rsidRDefault="00AB3645" w:rsidP="000A529C">
            <w:pPr>
              <w:jc w:val="center"/>
              <w:rPr>
                <w:rFonts w:ascii="Arial" w:hAnsi="Arial" w:cs="Arial"/>
                <w:bCs/>
                <w:szCs w:val="24"/>
              </w:rPr>
            </w:pPr>
          </w:p>
        </w:tc>
        <w:tc>
          <w:tcPr>
            <w:tcW w:w="2250" w:type="dxa"/>
            <w:tcBorders>
              <w:bottom w:val="single" w:sz="4" w:space="0" w:color="auto"/>
            </w:tcBorders>
            <w:vAlign w:val="bottom"/>
          </w:tcPr>
          <w:p w:rsidR="00AB3645" w:rsidRPr="00AB3645" w:rsidRDefault="00AB3645" w:rsidP="000A529C">
            <w:pPr>
              <w:jc w:val="center"/>
              <w:rPr>
                <w:rFonts w:ascii="Arial" w:hAnsi="Arial" w:cs="Arial"/>
                <w:bCs/>
                <w:szCs w:val="24"/>
              </w:rPr>
            </w:pPr>
            <w:r w:rsidRPr="00AB3645">
              <w:rPr>
                <w:rFonts w:ascii="Arial" w:hAnsi="Arial" w:cs="Arial"/>
                <w:bCs/>
                <w:szCs w:val="24"/>
              </w:rPr>
              <w:t xml:space="preserve">Distribution </w:t>
            </w:r>
          </w:p>
          <w:p w:rsidR="00AB3645" w:rsidRPr="00AB3645" w:rsidRDefault="00AB3645" w:rsidP="000A529C">
            <w:pPr>
              <w:jc w:val="center"/>
              <w:rPr>
                <w:rFonts w:ascii="Arial" w:hAnsi="Arial" w:cs="Arial"/>
                <w:bCs/>
                <w:szCs w:val="24"/>
              </w:rPr>
            </w:pPr>
            <w:r w:rsidRPr="00AB3645">
              <w:rPr>
                <w:rFonts w:ascii="Arial" w:hAnsi="Arial" w:cs="Arial"/>
                <w:bCs/>
                <w:szCs w:val="24"/>
              </w:rPr>
              <w:t xml:space="preserve">Revenues </w:t>
            </w:r>
          </w:p>
          <w:p w:rsidR="00AB3645" w:rsidRPr="00AB3645" w:rsidRDefault="00AB3645" w:rsidP="000A529C">
            <w:pPr>
              <w:tabs>
                <w:tab w:val="center" w:pos="4680"/>
              </w:tabs>
              <w:suppressAutoHyphens/>
              <w:jc w:val="center"/>
              <w:rPr>
                <w:rFonts w:ascii="Arial" w:hAnsi="Arial" w:cs="Arial"/>
                <w:szCs w:val="24"/>
              </w:rPr>
            </w:pPr>
            <w:r w:rsidRPr="00AB3645">
              <w:rPr>
                <w:rFonts w:ascii="Arial" w:hAnsi="Arial" w:cs="Arial"/>
                <w:bCs/>
                <w:szCs w:val="24"/>
              </w:rPr>
              <w:t>Available for USR</w:t>
            </w:r>
          </w:p>
        </w:tc>
        <w:tc>
          <w:tcPr>
            <w:tcW w:w="270" w:type="dxa"/>
          </w:tcPr>
          <w:p w:rsidR="00AB3645" w:rsidRPr="00AB3645" w:rsidRDefault="00AB3645" w:rsidP="000A529C">
            <w:pPr>
              <w:tabs>
                <w:tab w:val="center" w:pos="4680"/>
              </w:tabs>
              <w:suppressAutoHyphens/>
              <w:jc w:val="center"/>
              <w:rPr>
                <w:rFonts w:ascii="Arial" w:hAnsi="Arial" w:cs="Arial"/>
                <w:bCs/>
                <w:szCs w:val="24"/>
              </w:rPr>
            </w:pPr>
          </w:p>
        </w:tc>
        <w:tc>
          <w:tcPr>
            <w:tcW w:w="2229" w:type="dxa"/>
            <w:tcBorders>
              <w:bottom w:val="single" w:sz="4" w:space="0" w:color="auto"/>
            </w:tcBorders>
            <w:vAlign w:val="bottom"/>
          </w:tcPr>
          <w:p w:rsidR="00AB3645" w:rsidRPr="00AB3645" w:rsidRDefault="00AB3645" w:rsidP="000A529C">
            <w:pPr>
              <w:tabs>
                <w:tab w:val="center" w:pos="4680"/>
              </w:tabs>
              <w:suppressAutoHyphens/>
              <w:jc w:val="center"/>
              <w:rPr>
                <w:rFonts w:ascii="Arial" w:hAnsi="Arial" w:cs="Arial"/>
                <w:szCs w:val="24"/>
              </w:rPr>
            </w:pPr>
            <w:proofErr w:type="spellStart"/>
            <w:r w:rsidRPr="00AB3645">
              <w:rPr>
                <w:rFonts w:ascii="Arial" w:hAnsi="Arial" w:cs="Arial"/>
                <w:bCs/>
                <w:szCs w:val="24"/>
              </w:rPr>
              <w:t>OnTrack</w:t>
            </w:r>
            <w:proofErr w:type="spellEnd"/>
            <w:r w:rsidRPr="00AB3645">
              <w:rPr>
                <w:rFonts w:ascii="Arial" w:hAnsi="Arial" w:cs="Arial"/>
                <w:bCs/>
                <w:szCs w:val="24"/>
              </w:rPr>
              <w:t>/WRAP Expenses</w:t>
            </w:r>
          </w:p>
        </w:tc>
        <w:tc>
          <w:tcPr>
            <w:tcW w:w="236" w:type="dxa"/>
          </w:tcPr>
          <w:p w:rsidR="00AB3645" w:rsidRPr="00AB3645" w:rsidRDefault="00AB3645" w:rsidP="000A529C">
            <w:pPr>
              <w:jc w:val="center"/>
              <w:rPr>
                <w:rFonts w:ascii="Arial" w:hAnsi="Arial" w:cs="Arial"/>
                <w:bCs/>
                <w:szCs w:val="24"/>
              </w:rPr>
            </w:pPr>
          </w:p>
        </w:tc>
        <w:tc>
          <w:tcPr>
            <w:tcW w:w="2287" w:type="dxa"/>
            <w:tcBorders>
              <w:bottom w:val="single" w:sz="4" w:space="0" w:color="auto"/>
            </w:tcBorders>
            <w:vAlign w:val="bottom"/>
          </w:tcPr>
          <w:p w:rsidR="00AB3645" w:rsidRPr="00AB3645" w:rsidRDefault="00AB3645" w:rsidP="000A529C">
            <w:pPr>
              <w:jc w:val="center"/>
              <w:rPr>
                <w:rFonts w:ascii="Arial" w:hAnsi="Arial" w:cs="Arial"/>
                <w:bCs/>
                <w:szCs w:val="24"/>
              </w:rPr>
            </w:pPr>
          </w:p>
          <w:p w:rsidR="00AB3645" w:rsidRPr="00AB3645" w:rsidRDefault="00AB3645" w:rsidP="000A529C">
            <w:pPr>
              <w:tabs>
                <w:tab w:val="center" w:pos="4680"/>
              </w:tabs>
              <w:suppressAutoHyphens/>
              <w:jc w:val="center"/>
              <w:rPr>
                <w:rFonts w:ascii="Arial" w:hAnsi="Arial" w:cs="Arial"/>
                <w:szCs w:val="24"/>
              </w:rPr>
            </w:pPr>
            <w:r w:rsidRPr="00AB3645">
              <w:rPr>
                <w:rFonts w:ascii="Arial" w:hAnsi="Arial" w:cs="Arial"/>
                <w:bCs/>
                <w:szCs w:val="24"/>
              </w:rPr>
              <w:t>Over/(Under) Collections</w:t>
            </w:r>
          </w:p>
        </w:tc>
      </w:tr>
      <w:tr w:rsidR="000A529C" w:rsidRPr="005F3659" w:rsidTr="000A529C">
        <w:trPr>
          <w:trHeight w:val="279"/>
        </w:trPr>
        <w:tc>
          <w:tcPr>
            <w:tcW w:w="2088" w:type="dxa"/>
            <w:tcBorders>
              <w:top w:val="single" w:sz="4" w:space="0" w:color="auto"/>
            </w:tcBorders>
          </w:tcPr>
          <w:p w:rsidR="00AB3645" w:rsidRPr="000640DB" w:rsidRDefault="00AB3645" w:rsidP="000A529C">
            <w:pPr>
              <w:tabs>
                <w:tab w:val="center" w:pos="4680"/>
              </w:tabs>
              <w:suppressAutoHyphens/>
              <w:rPr>
                <w:rFonts w:ascii="Arial" w:hAnsi="Arial" w:cs="Arial"/>
                <w:szCs w:val="24"/>
              </w:rPr>
            </w:pPr>
          </w:p>
        </w:tc>
        <w:tc>
          <w:tcPr>
            <w:tcW w:w="270" w:type="dxa"/>
          </w:tcPr>
          <w:p w:rsidR="00AB3645" w:rsidRDefault="00AB3645" w:rsidP="000A529C">
            <w:pPr>
              <w:tabs>
                <w:tab w:val="center" w:pos="4680"/>
              </w:tabs>
              <w:suppressAutoHyphens/>
              <w:jc w:val="center"/>
              <w:rPr>
                <w:rFonts w:ascii="Arial" w:hAnsi="Arial" w:cs="Arial"/>
                <w:szCs w:val="24"/>
              </w:rPr>
            </w:pPr>
          </w:p>
        </w:tc>
        <w:tc>
          <w:tcPr>
            <w:tcW w:w="2250" w:type="dxa"/>
            <w:tcBorders>
              <w:top w:val="single" w:sz="4" w:space="0" w:color="auto"/>
            </w:tcBorders>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(1)</w:t>
            </w:r>
          </w:p>
        </w:tc>
        <w:tc>
          <w:tcPr>
            <w:tcW w:w="270" w:type="dxa"/>
          </w:tcPr>
          <w:p w:rsidR="00AB3645" w:rsidRDefault="00AB3645" w:rsidP="000A529C">
            <w:pPr>
              <w:tabs>
                <w:tab w:val="center" w:pos="4680"/>
              </w:tabs>
              <w:suppressAutoHyphens/>
              <w:jc w:val="center"/>
              <w:rPr>
                <w:rFonts w:ascii="Arial" w:hAnsi="Arial" w:cs="Arial"/>
                <w:szCs w:val="24"/>
              </w:rPr>
            </w:pPr>
          </w:p>
        </w:tc>
        <w:tc>
          <w:tcPr>
            <w:tcW w:w="2229" w:type="dxa"/>
            <w:tcBorders>
              <w:top w:val="single" w:sz="4" w:space="0" w:color="auto"/>
            </w:tcBorders>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(2)</w:t>
            </w:r>
          </w:p>
        </w:tc>
        <w:tc>
          <w:tcPr>
            <w:tcW w:w="236" w:type="dxa"/>
          </w:tcPr>
          <w:p w:rsidR="00AB3645" w:rsidRDefault="00AB3645" w:rsidP="000A529C">
            <w:pPr>
              <w:tabs>
                <w:tab w:val="center" w:pos="4680"/>
              </w:tabs>
              <w:suppressAutoHyphens/>
              <w:jc w:val="center"/>
              <w:rPr>
                <w:rFonts w:ascii="Arial" w:hAnsi="Arial" w:cs="Arial"/>
                <w:sz w:val="22"/>
                <w:szCs w:val="22"/>
              </w:rPr>
            </w:pPr>
          </w:p>
        </w:tc>
        <w:tc>
          <w:tcPr>
            <w:tcW w:w="2287" w:type="dxa"/>
            <w:tcBorders>
              <w:top w:val="single" w:sz="4" w:space="0" w:color="auto"/>
            </w:tcBorders>
          </w:tcPr>
          <w:p w:rsidR="00AB3645" w:rsidRPr="005F3659" w:rsidRDefault="00AB3645" w:rsidP="000A529C">
            <w:pPr>
              <w:tabs>
                <w:tab w:val="center" w:pos="4680"/>
              </w:tabs>
              <w:suppressAutoHyphens/>
              <w:jc w:val="center"/>
              <w:rPr>
                <w:rFonts w:ascii="Arial" w:hAnsi="Arial" w:cs="Arial"/>
                <w:szCs w:val="24"/>
              </w:rPr>
            </w:pPr>
            <w:r>
              <w:rPr>
                <w:rFonts w:ascii="Arial" w:hAnsi="Arial" w:cs="Arial"/>
                <w:sz w:val="22"/>
                <w:szCs w:val="22"/>
              </w:rPr>
              <w:t xml:space="preserve">   (3)=(1)-(2)</w:t>
            </w:r>
          </w:p>
        </w:tc>
      </w:tr>
      <w:tr w:rsidR="00AB3645" w:rsidRPr="005F3659" w:rsidTr="000A529C">
        <w:trPr>
          <w:trHeight w:val="279"/>
        </w:trPr>
        <w:tc>
          <w:tcPr>
            <w:tcW w:w="2088" w:type="dxa"/>
          </w:tcPr>
          <w:p w:rsidR="00AB3645" w:rsidRPr="000640DB" w:rsidRDefault="00AB3645" w:rsidP="000A529C">
            <w:pPr>
              <w:tabs>
                <w:tab w:val="center" w:pos="4680"/>
              </w:tabs>
              <w:suppressAutoHyphens/>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tcPr>
          <w:p w:rsidR="00AB3645" w:rsidRPr="005F3659" w:rsidRDefault="00AB3645" w:rsidP="00F901D2">
            <w:pPr>
              <w:tabs>
                <w:tab w:val="center" w:pos="4680"/>
              </w:tabs>
              <w:suppressAutoHyphens/>
              <w:jc w:val="center"/>
              <w:rPr>
                <w:rFonts w:ascii="Arial" w:hAnsi="Arial" w:cs="Arial"/>
                <w:szCs w:val="24"/>
              </w:rPr>
            </w:pPr>
            <w:r w:rsidRPr="005F3659">
              <w:rPr>
                <w:rFonts w:ascii="Arial" w:hAnsi="Arial" w:cs="Arial"/>
                <w:szCs w:val="24"/>
              </w:rPr>
              <w:t xml:space="preserve">(Note </w:t>
            </w:r>
            <w:r w:rsidR="00F901D2">
              <w:rPr>
                <w:rFonts w:ascii="Arial" w:hAnsi="Arial" w:cs="Arial"/>
                <w:szCs w:val="24"/>
              </w:rPr>
              <w:t>2</w:t>
            </w:r>
            <w:r w:rsidRPr="005F3659">
              <w:rPr>
                <w:rFonts w:ascii="Arial" w:hAnsi="Arial" w:cs="Arial"/>
                <w:szCs w:val="24"/>
              </w:rPr>
              <w:t>)</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tcPr>
          <w:p w:rsidR="00AB3645" w:rsidRPr="005F3659" w:rsidRDefault="00AB3645" w:rsidP="00F901D2">
            <w:pPr>
              <w:tabs>
                <w:tab w:val="center" w:pos="4680"/>
              </w:tabs>
              <w:suppressAutoHyphens/>
              <w:jc w:val="center"/>
              <w:rPr>
                <w:rFonts w:ascii="Arial" w:hAnsi="Arial" w:cs="Arial"/>
                <w:szCs w:val="24"/>
              </w:rPr>
            </w:pPr>
            <w:r w:rsidRPr="005F3659">
              <w:rPr>
                <w:rFonts w:ascii="Arial" w:hAnsi="Arial" w:cs="Arial"/>
                <w:szCs w:val="24"/>
              </w:rPr>
              <w:t xml:space="preserve">(Note </w:t>
            </w:r>
            <w:r w:rsidR="00F901D2">
              <w:rPr>
                <w:rFonts w:ascii="Arial" w:hAnsi="Arial" w:cs="Arial"/>
                <w:szCs w:val="24"/>
              </w:rPr>
              <w:t>3</w:t>
            </w:r>
            <w:r w:rsidRPr="005F3659">
              <w:rPr>
                <w:rFonts w:ascii="Arial" w:hAnsi="Arial" w:cs="Arial"/>
                <w:szCs w:val="24"/>
              </w:rPr>
              <w:t>)</w:t>
            </w: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tcPr>
          <w:p w:rsidR="00AB3645" w:rsidRPr="005F3659" w:rsidRDefault="00AB3645" w:rsidP="00F901D2">
            <w:pPr>
              <w:tabs>
                <w:tab w:val="center" w:pos="4680"/>
              </w:tabs>
              <w:suppressAutoHyphens/>
              <w:jc w:val="center"/>
              <w:rPr>
                <w:rFonts w:ascii="Arial" w:hAnsi="Arial" w:cs="Arial"/>
                <w:szCs w:val="24"/>
              </w:rPr>
            </w:pPr>
            <w:r w:rsidRPr="005F3659">
              <w:rPr>
                <w:rFonts w:ascii="Arial" w:hAnsi="Arial" w:cs="Arial"/>
                <w:szCs w:val="24"/>
              </w:rPr>
              <w:t xml:space="preserve">(Note </w:t>
            </w:r>
            <w:r w:rsidR="00F901D2">
              <w:rPr>
                <w:rFonts w:ascii="Arial" w:hAnsi="Arial" w:cs="Arial"/>
                <w:szCs w:val="24"/>
              </w:rPr>
              <w:t>4</w:t>
            </w:r>
            <w:r w:rsidRPr="005F3659">
              <w:rPr>
                <w:rFonts w:ascii="Arial" w:hAnsi="Arial" w:cs="Arial"/>
                <w:szCs w:val="24"/>
              </w:rPr>
              <w:t>)</w:t>
            </w:r>
          </w:p>
        </w:tc>
      </w:tr>
      <w:tr w:rsidR="00AB3645" w:rsidRPr="005F3659" w:rsidTr="000A529C">
        <w:trPr>
          <w:trHeight w:val="279"/>
        </w:trPr>
        <w:tc>
          <w:tcPr>
            <w:tcW w:w="2088" w:type="dxa"/>
          </w:tcPr>
          <w:p w:rsidR="00AB3645" w:rsidRPr="005F3659" w:rsidRDefault="00AB3645" w:rsidP="000A529C">
            <w:pPr>
              <w:tabs>
                <w:tab w:val="center" w:pos="4680"/>
              </w:tabs>
              <w:suppressAutoHyphens/>
              <w:rPr>
                <w:rFonts w:ascii="Arial" w:hAnsi="Arial" w:cs="Arial"/>
                <w:szCs w:val="24"/>
              </w:rPr>
            </w:pPr>
          </w:p>
        </w:tc>
        <w:tc>
          <w:tcPr>
            <w:tcW w:w="270" w:type="dxa"/>
          </w:tcPr>
          <w:p w:rsidR="00AB3645" w:rsidRPr="005F3659" w:rsidRDefault="00AB3645" w:rsidP="000A529C">
            <w:pPr>
              <w:tabs>
                <w:tab w:val="center" w:pos="4680"/>
              </w:tabs>
              <w:suppressAutoHyphens/>
              <w:rPr>
                <w:rFonts w:ascii="Arial" w:hAnsi="Arial" w:cs="Arial"/>
                <w:szCs w:val="24"/>
              </w:rPr>
            </w:pPr>
          </w:p>
        </w:tc>
        <w:tc>
          <w:tcPr>
            <w:tcW w:w="2250" w:type="dxa"/>
          </w:tcPr>
          <w:p w:rsidR="00AB3645" w:rsidRPr="005F3659" w:rsidRDefault="00AB3645" w:rsidP="000A529C">
            <w:pPr>
              <w:tabs>
                <w:tab w:val="center" w:pos="4680"/>
              </w:tabs>
              <w:suppressAutoHyphens/>
              <w:rPr>
                <w:rFonts w:ascii="Arial" w:hAnsi="Arial" w:cs="Arial"/>
                <w:szCs w:val="24"/>
              </w:rPr>
            </w:pPr>
          </w:p>
        </w:tc>
        <w:tc>
          <w:tcPr>
            <w:tcW w:w="270" w:type="dxa"/>
          </w:tcPr>
          <w:p w:rsidR="00AB3645" w:rsidRPr="005F3659" w:rsidRDefault="00AB3645" w:rsidP="000A529C">
            <w:pPr>
              <w:tabs>
                <w:tab w:val="center" w:pos="4680"/>
              </w:tabs>
              <w:suppressAutoHyphens/>
              <w:rPr>
                <w:rFonts w:ascii="Arial" w:hAnsi="Arial" w:cs="Arial"/>
                <w:szCs w:val="24"/>
              </w:rPr>
            </w:pPr>
          </w:p>
        </w:tc>
        <w:tc>
          <w:tcPr>
            <w:tcW w:w="2229" w:type="dxa"/>
          </w:tcPr>
          <w:p w:rsidR="00AB3645" w:rsidRPr="005F3659" w:rsidRDefault="00AB3645" w:rsidP="000A529C">
            <w:pPr>
              <w:tabs>
                <w:tab w:val="center" w:pos="4680"/>
              </w:tabs>
              <w:suppressAutoHyphens/>
              <w:rPr>
                <w:rFonts w:ascii="Arial" w:hAnsi="Arial" w:cs="Arial"/>
                <w:szCs w:val="24"/>
              </w:rPr>
            </w:pPr>
          </w:p>
        </w:tc>
        <w:tc>
          <w:tcPr>
            <w:tcW w:w="236" w:type="dxa"/>
          </w:tcPr>
          <w:p w:rsidR="00AB3645" w:rsidRPr="005F3659" w:rsidRDefault="00AB3645" w:rsidP="000A529C">
            <w:pPr>
              <w:tabs>
                <w:tab w:val="center" w:pos="4680"/>
              </w:tabs>
              <w:suppressAutoHyphens/>
              <w:rPr>
                <w:rFonts w:ascii="Arial" w:hAnsi="Arial" w:cs="Arial"/>
                <w:szCs w:val="24"/>
              </w:rPr>
            </w:pPr>
          </w:p>
        </w:tc>
        <w:tc>
          <w:tcPr>
            <w:tcW w:w="2287" w:type="dxa"/>
          </w:tcPr>
          <w:p w:rsidR="00AB3645" w:rsidRPr="005F3659" w:rsidRDefault="00AB3645" w:rsidP="000A529C">
            <w:pPr>
              <w:tabs>
                <w:tab w:val="center" w:pos="4680"/>
              </w:tabs>
              <w:suppressAutoHyphens/>
              <w:ind w:right="791"/>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December 2011</w:t>
            </w:r>
          </w:p>
        </w:tc>
        <w:tc>
          <w:tcPr>
            <w:tcW w:w="270" w:type="dxa"/>
          </w:tcPr>
          <w:p w:rsidR="00AB3645"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 xml:space="preserve"> </w:t>
            </w: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5,169,373</w:t>
            </w:r>
          </w:p>
        </w:tc>
        <w:tc>
          <w:tcPr>
            <w:tcW w:w="270" w:type="dxa"/>
          </w:tcPr>
          <w:p w:rsidR="00AB3645"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 xml:space="preserve"> </w:t>
            </w: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5,221,759</w:t>
            </w: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5B0702" w:rsidP="005B0702">
            <w:pPr>
              <w:tabs>
                <w:tab w:val="center" w:pos="4680"/>
              </w:tabs>
              <w:suppressAutoHyphens/>
              <w:jc w:val="center"/>
              <w:rPr>
                <w:rFonts w:ascii="Arial" w:hAnsi="Arial" w:cs="Arial"/>
                <w:szCs w:val="24"/>
              </w:rPr>
            </w:pPr>
            <w:r>
              <w:rPr>
                <w:rFonts w:ascii="Arial" w:hAnsi="Arial" w:cs="Arial"/>
                <w:szCs w:val="24"/>
              </w:rPr>
              <w:t xml:space="preserve"> </w:t>
            </w:r>
            <w:r w:rsidR="00AB3645" w:rsidRPr="005F3659">
              <w:rPr>
                <w:rFonts w:ascii="Arial" w:hAnsi="Arial" w:cs="Arial"/>
                <w:szCs w:val="24"/>
              </w:rPr>
              <w:t>$</w:t>
            </w:r>
            <w:r w:rsidR="00AB3645">
              <w:rPr>
                <w:rFonts w:ascii="Arial" w:hAnsi="Arial" w:cs="Arial"/>
                <w:szCs w:val="24"/>
              </w:rPr>
              <w:t xml:space="preserve">     </w:t>
            </w:r>
            <w:r w:rsidR="000963D2">
              <w:rPr>
                <w:rFonts w:ascii="Arial" w:hAnsi="Arial" w:cs="Arial"/>
                <w:szCs w:val="24"/>
              </w:rPr>
              <w:t xml:space="preserve">  </w:t>
            </w:r>
            <w:r w:rsidR="00AB3645" w:rsidRPr="005F3659">
              <w:rPr>
                <w:rFonts w:ascii="Arial" w:hAnsi="Arial" w:cs="Arial"/>
                <w:szCs w:val="24"/>
              </w:rPr>
              <w:t>(</w:t>
            </w:r>
            <w:r w:rsidR="00AB3645">
              <w:rPr>
                <w:rFonts w:ascii="Arial" w:hAnsi="Arial" w:cs="Arial"/>
                <w:szCs w:val="24"/>
              </w:rPr>
              <w:t>52,386</w:t>
            </w:r>
            <w:r w:rsidR="00AB3645" w:rsidRPr="005F3659">
              <w:rPr>
                <w:rFonts w:ascii="Arial" w:hAnsi="Arial" w:cs="Arial"/>
                <w:szCs w:val="24"/>
              </w:rPr>
              <w:t>)</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January 2012</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6,905,496</w:t>
            </w:r>
          </w:p>
        </w:tc>
        <w:tc>
          <w:tcPr>
            <w:tcW w:w="270" w:type="dxa"/>
          </w:tcPr>
          <w:p w:rsidR="00AB3645"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 xml:space="preserve">     </w:t>
            </w:r>
            <w:r w:rsidR="000963D2">
              <w:rPr>
                <w:rFonts w:ascii="Arial" w:hAnsi="Arial" w:cs="Arial"/>
                <w:szCs w:val="24"/>
              </w:rPr>
              <w:t xml:space="preserve"> </w:t>
            </w:r>
            <w:r>
              <w:rPr>
                <w:rFonts w:ascii="Arial" w:hAnsi="Arial" w:cs="Arial"/>
                <w:szCs w:val="24"/>
              </w:rPr>
              <w:t>5,320,196</w:t>
            </w:r>
          </w:p>
        </w:tc>
        <w:tc>
          <w:tcPr>
            <w:tcW w:w="236" w:type="dxa"/>
          </w:tcPr>
          <w:p w:rsidR="00AB3645"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 xml:space="preserve">     1,585,300</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February</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6,663,504</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6,347,693</w:t>
            </w:r>
          </w:p>
        </w:tc>
        <w:tc>
          <w:tcPr>
            <w:tcW w:w="236" w:type="dxa"/>
          </w:tcPr>
          <w:p w:rsidR="00AB3645"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 xml:space="preserve">     </w:t>
            </w:r>
            <w:r w:rsidRPr="005F3659">
              <w:rPr>
                <w:rFonts w:ascii="Arial" w:hAnsi="Arial" w:cs="Arial"/>
                <w:szCs w:val="24"/>
              </w:rPr>
              <w:t xml:space="preserve">   </w:t>
            </w:r>
            <w:r>
              <w:rPr>
                <w:rFonts w:ascii="Arial" w:hAnsi="Arial" w:cs="Arial"/>
                <w:szCs w:val="24"/>
              </w:rPr>
              <w:t>315,811</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March</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5,876,917</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4,863,270</w:t>
            </w: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0963D2" w:rsidP="000A529C">
            <w:pPr>
              <w:tabs>
                <w:tab w:val="center" w:pos="4680"/>
              </w:tabs>
              <w:suppressAutoHyphens/>
              <w:jc w:val="center"/>
              <w:rPr>
                <w:rFonts w:ascii="Arial" w:hAnsi="Arial" w:cs="Arial"/>
                <w:szCs w:val="24"/>
              </w:rPr>
            </w:pPr>
            <w:r>
              <w:rPr>
                <w:rFonts w:ascii="Arial" w:hAnsi="Arial" w:cs="Arial"/>
                <w:szCs w:val="24"/>
              </w:rPr>
              <w:t xml:space="preserve"> </w:t>
            </w:r>
            <w:r w:rsidR="00AB3645" w:rsidRPr="005F3659">
              <w:rPr>
                <w:rFonts w:ascii="Arial" w:hAnsi="Arial" w:cs="Arial"/>
                <w:szCs w:val="24"/>
              </w:rPr>
              <w:t xml:space="preserve">  </w:t>
            </w:r>
            <w:r w:rsidR="00AB3645">
              <w:rPr>
                <w:rFonts w:ascii="Arial" w:hAnsi="Arial" w:cs="Arial"/>
                <w:szCs w:val="24"/>
              </w:rPr>
              <w:t xml:space="preserve">  </w:t>
            </w:r>
            <w:r w:rsidR="00AB3645" w:rsidRPr="005F3659">
              <w:rPr>
                <w:rFonts w:ascii="Arial" w:hAnsi="Arial" w:cs="Arial"/>
                <w:szCs w:val="24"/>
              </w:rPr>
              <w:t xml:space="preserve">  </w:t>
            </w:r>
            <w:r w:rsidR="00AB3645">
              <w:rPr>
                <w:rFonts w:ascii="Arial" w:hAnsi="Arial" w:cs="Arial"/>
                <w:szCs w:val="24"/>
              </w:rPr>
              <w:t>1,013,647</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April</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4,471,319</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4,113,228</w:t>
            </w: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 xml:space="preserve"> </w:t>
            </w:r>
            <w:r w:rsidRPr="005F3659">
              <w:rPr>
                <w:rFonts w:ascii="Arial" w:hAnsi="Arial" w:cs="Arial"/>
                <w:szCs w:val="24"/>
              </w:rPr>
              <w:t xml:space="preserve"> </w:t>
            </w:r>
            <w:r>
              <w:rPr>
                <w:rFonts w:ascii="Arial" w:hAnsi="Arial" w:cs="Arial"/>
                <w:szCs w:val="24"/>
              </w:rPr>
              <w:t xml:space="preserve">   </w:t>
            </w:r>
            <w:r w:rsidRPr="005F3659">
              <w:rPr>
                <w:rFonts w:ascii="Arial" w:hAnsi="Arial" w:cs="Arial"/>
                <w:szCs w:val="24"/>
              </w:rPr>
              <w:t xml:space="preserve">   </w:t>
            </w:r>
            <w:r>
              <w:rPr>
                <w:rFonts w:ascii="Arial" w:hAnsi="Arial" w:cs="Arial"/>
                <w:szCs w:val="24"/>
              </w:rPr>
              <w:t>358,091</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May</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4,114,149</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3,337,053</w:t>
            </w:r>
          </w:p>
        </w:tc>
        <w:tc>
          <w:tcPr>
            <w:tcW w:w="236" w:type="dxa"/>
          </w:tcPr>
          <w:p w:rsidR="00AB3645"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 xml:space="preserve">  </w:t>
            </w:r>
            <w:r w:rsidR="000963D2">
              <w:rPr>
                <w:rFonts w:ascii="Arial" w:hAnsi="Arial" w:cs="Arial"/>
                <w:szCs w:val="24"/>
              </w:rPr>
              <w:t xml:space="preserve"> </w:t>
            </w:r>
            <w:r>
              <w:rPr>
                <w:rFonts w:ascii="Arial" w:hAnsi="Arial" w:cs="Arial"/>
                <w:szCs w:val="24"/>
              </w:rPr>
              <w:t xml:space="preserve">       777,096</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sidRPr="005F3659">
              <w:rPr>
                <w:rFonts w:ascii="Arial" w:hAnsi="Arial" w:cs="Arial"/>
                <w:szCs w:val="24"/>
              </w:rPr>
              <w:t>J</w:t>
            </w:r>
            <w:r>
              <w:rPr>
                <w:rFonts w:ascii="Arial" w:hAnsi="Arial" w:cs="Arial"/>
                <w:szCs w:val="24"/>
              </w:rPr>
              <w:t>une</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4,458,272</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3,426,914</w:t>
            </w: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Pr>
                <w:rFonts w:ascii="Arial" w:hAnsi="Arial" w:cs="Arial"/>
                <w:szCs w:val="24"/>
              </w:rPr>
              <w:t xml:space="preserve">  </w:t>
            </w:r>
            <w:r w:rsidR="000963D2">
              <w:rPr>
                <w:rFonts w:ascii="Arial" w:hAnsi="Arial" w:cs="Arial"/>
                <w:szCs w:val="24"/>
              </w:rPr>
              <w:t xml:space="preserve"> </w:t>
            </w:r>
            <w:r w:rsidRPr="005F3659">
              <w:rPr>
                <w:rFonts w:ascii="Arial" w:hAnsi="Arial" w:cs="Arial"/>
                <w:szCs w:val="24"/>
              </w:rPr>
              <w:t xml:space="preserve">   </w:t>
            </w:r>
            <w:r>
              <w:rPr>
                <w:rFonts w:ascii="Arial" w:hAnsi="Arial" w:cs="Arial"/>
                <w:szCs w:val="24"/>
              </w:rPr>
              <w:t>1,031,358</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July</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5,640,750</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4,502,275</w:t>
            </w:r>
          </w:p>
        </w:tc>
        <w:tc>
          <w:tcPr>
            <w:tcW w:w="236" w:type="dxa"/>
          </w:tcPr>
          <w:p w:rsidR="00AB3645"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 xml:space="preserve">    </w:t>
            </w:r>
            <w:r w:rsidR="000963D2">
              <w:rPr>
                <w:rFonts w:ascii="Arial" w:hAnsi="Arial" w:cs="Arial"/>
                <w:szCs w:val="24"/>
              </w:rPr>
              <w:t xml:space="preserve"> </w:t>
            </w:r>
            <w:r w:rsidRPr="005F3659">
              <w:rPr>
                <w:rFonts w:ascii="Arial" w:hAnsi="Arial" w:cs="Arial"/>
                <w:szCs w:val="24"/>
              </w:rPr>
              <w:t xml:space="preserve">  </w:t>
            </w:r>
            <w:r>
              <w:rPr>
                <w:rFonts w:ascii="Arial" w:hAnsi="Arial" w:cs="Arial"/>
                <w:szCs w:val="24"/>
              </w:rPr>
              <w:t>1,138,475</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August</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5,762,134</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4,453,890</w:t>
            </w:r>
          </w:p>
        </w:tc>
        <w:tc>
          <w:tcPr>
            <w:tcW w:w="236" w:type="dxa"/>
          </w:tcPr>
          <w:p w:rsidR="00AB3645"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 xml:space="preserve">    </w:t>
            </w:r>
            <w:r w:rsidRPr="005F3659">
              <w:rPr>
                <w:rFonts w:ascii="Arial" w:hAnsi="Arial" w:cs="Arial"/>
                <w:szCs w:val="24"/>
              </w:rPr>
              <w:t xml:space="preserve"> </w:t>
            </w:r>
            <w:r w:rsidR="000963D2">
              <w:rPr>
                <w:rFonts w:ascii="Arial" w:hAnsi="Arial" w:cs="Arial"/>
                <w:szCs w:val="24"/>
              </w:rPr>
              <w:t xml:space="preserve"> </w:t>
            </w:r>
            <w:r w:rsidRPr="005F3659">
              <w:rPr>
                <w:rFonts w:ascii="Arial" w:hAnsi="Arial" w:cs="Arial"/>
                <w:szCs w:val="24"/>
              </w:rPr>
              <w:t xml:space="preserve"> </w:t>
            </w:r>
            <w:r>
              <w:rPr>
                <w:rFonts w:ascii="Arial" w:hAnsi="Arial" w:cs="Arial"/>
                <w:szCs w:val="24"/>
              </w:rPr>
              <w:t>1,308,244</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September</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5,057,105</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3,733,217</w:t>
            </w: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Pr>
                <w:rFonts w:ascii="Arial" w:hAnsi="Arial" w:cs="Arial"/>
                <w:szCs w:val="24"/>
              </w:rPr>
              <w:t xml:space="preserve">   </w:t>
            </w: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1,323,888</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October</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4,172,001</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3,384,151</w:t>
            </w:r>
          </w:p>
        </w:tc>
        <w:tc>
          <w:tcPr>
            <w:tcW w:w="236" w:type="dxa"/>
          </w:tcPr>
          <w:p w:rsidR="00AB3645"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r>
              <w:rPr>
                <w:rFonts w:ascii="Arial" w:hAnsi="Arial" w:cs="Arial"/>
                <w:szCs w:val="24"/>
              </w:rPr>
              <w:t xml:space="preserve">     </w:t>
            </w:r>
            <w:r w:rsidRPr="005F3659">
              <w:rPr>
                <w:rFonts w:ascii="Arial" w:hAnsi="Arial" w:cs="Arial"/>
                <w:szCs w:val="24"/>
              </w:rPr>
              <w:t xml:space="preserve"> </w:t>
            </w:r>
            <w:r>
              <w:rPr>
                <w:rFonts w:ascii="Arial" w:hAnsi="Arial" w:cs="Arial"/>
                <w:szCs w:val="24"/>
              </w:rPr>
              <w:t xml:space="preserve">  </w:t>
            </w:r>
            <w:r w:rsidRPr="005F3659">
              <w:rPr>
                <w:rFonts w:ascii="Arial" w:hAnsi="Arial" w:cs="Arial"/>
                <w:szCs w:val="24"/>
              </w:rPr>
              <w:t xml:space="preserve"> </w:t>
            </w:r>
            <w:r w:rsidR="000963D2">
              <w:rPr>
                <w:rFonts w:ascii="Arial" w:hAnsi="Arial" w:cs="Arial"/>
                <w:szCs w:val="24"/>
              </w:rPr>
              <w:t xml:space="preserve"> </w:t>
            </w:r>
            <w:r>
              <w:rPr>
                <w:rFonts w:ascii="Arial" w:hAnsi="Arial" w:cs="Arial"/>
                <w:szCs w:val="24"/>
              </w:rPr>
              <w:t>787,850</w:t>
            </w:r>
          </w:p>
        </w:tc>
      </w:tr>
      <w:tr w:rsidR="00AB3645" w:rsidRPr="005F3659" w:rsidTr="000A529C">
        <w:trPr>
          <w:trHeight w:val="279"/>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szCs w:val="24"/>
              </w:rPr>
            </w:pPr>
            <w:r>
              <w:rPr>
                <w:rFonts w:ascii="Arial" w:hAnsi="Arial" w:cs="Arial"/>
                <w:szCs w:val="24"/>
              </w:rPr>
              <w:t>November</w:t>
            </w:r>
          </w:p>
        </w:tc>
        <w:tc>
          <w:tcPr>
            <w:tcW w:w="270" w:type="dxa"/>
          </w:tcPr>
          <w:p w:rsidR="00AB3645" w:rsidRPr="007C3408" w:rsidRDefault="00AB3645" w:rsidP="000A529C">
            <w:pPr>
              <w:tabs>
                <w:tab w:val="center" w:pos="4680"/>
              </w:tabs>
              <w:suppressAutoHyphens/>
              <w:jc w:val="center"/>
              <w:rPr>
                <w:rFonts w:ascii="Arial" w:hAnsi="Arial" w:cs="Arial"/>
                <w:szCs w:val="24"/>
              </w:rPr>
            </w:pPr>
          </w:p>
        </w:tc>
        <w:tc>
          <w:tcPr>
            <w:tcW w:w="2250" w:type="dxa"/>
            <w:vAlign w:val="center"/>
          </w:tcPr>
          <w:p w:rsidR="00AB3645" w:rsidRPr="007C3408" w:rsidRDefault="00AB3645" w:rsidP="000A529C">
            <w:pPr>
              <w:tabs>
                <w:tab w:val="center" w:pos="4680"/>
              </w:tabs>
              <w:suppressAutoHyphens/>
              <w:jc w:val="center"/>
              <w:rPr>
                <w:rFonts w:ascii="Arial" w:hAnsi="Arial" w:cs="Arial"/>
                <w:szCs w:val="24"/>
                <w:u w:val="single"/>
              </w:rPr>
            </w:pPr>
            <w:r w:rsidRPr="007C3408">
              <w:rPr>
                <w:rFonts w:ascii="Arial" w:hAnsi="Arial" w:cs="Arial"/>
                <w:szCs w:val="24"/>
              </w:rPr>
              <w:t xml:space="preserve"> </w:t>
            </w:r>
            <w:r w:rsidRPr="000963D2">
              <w:rPr>
                <w:rFonts w:ascii="Arial" w:hAnsi="Arial" w:cs="Arial"/>
                <w:szCs w:val="24"/>
                <w:u w:val="single"/>
              </w:rPr>
              <w:t xml:space="preserve">    </w:t>
            </w:r>
            <w:r w:rsidRPr="007C3408">
              <w:rPr>
                <w:rFonts w:ascii="Arial" w:hAnsi="Arial" w:cs="Arial"/>
                <w:szCs w:val="24"/>
                <w:u w:val="single"/>
              </w:rPr>
              <w:t xml:space="preserve"> </w:t>
            </w:r>
            <w:r w:rsidR="000963D2">
              <w:rPr>
                <w:rFonts w:ascii="Arial" w:hAnsi="Arial" w:cs="Arial"/>
                <w:szCs w:val="24"/>
                <w:u w:val="single"/>
              </w:rPr>
              <w:t xml:space="preserve"> </w:t>
            </w:r>
            <w:r>
              <w:rPr>
                <w:rFonts w:ascii="Arial" w:hAnsi="Arial" w:cs="Arial"/>
                <w:szCs w:val="24"/>
                <w:u w:val="single"/>
              </w:rPr>
              <w:t>4,779,047</w:t>
            </w:r>
          </w:p>
        </w:tc>
        <w:tc>
          <w:tcPr>
            <w:tcW w:w="270" w:type="dxa"/>
          </w:tcPr>
          <w:p w:rsidR="00AB3645" w:rsidRPr="007C3408" w:rsidRDefault="00AB3645" w:rsidP="000A529C">
            <w:pPr>
              <w:tabs>
                <w:tab w:val="center" w:pos="4680"/>
              </w:tabs>
              <w:suppressAutoHyphens/>
              <w:jc w:val="center"/>
              <w:rPr>
                <w:rFonts w:ascii="Arial" w:hAnsi="Arial" w:cs="Arial"/>
                <w:szCs w:val="24"/>
              </w:rPr>
            </w:pPr>
          </w:p>
        </w:tc>
        <w:tc>
          <w:tcPr>
            <w:tcW w:w="2229" w:type="dxa"/>
            <w:vAlign w:val="center"/>
          </w:tcPr>
          <w:p w:rsidR="00AB3645" w:rsidRPr="007C3408" w:rsidRDefault="00AB3645" w:rsidP="000A529C">
            <w:pPr>
              <w:tabs>
                <w:tab w:val="center" w:pos="4680"/>
              </w:tabs>
              <w:suppressAutoHyphens/>
              <w:jc w:val="center"/>
              <w:rPr>
                <w:rFonts w:ascii="Arial" w:hAnsi="Arial" w:cs="Arial"/>
                <w:szCs w:val="24"/>
                <w:u w:val="single"/>
              </w:rPr>
            </w:pPr>
            <w:r w:rsidRPr="000963D2">
              <w:rPr>
                <w:rFonts w:ascii="Arial" w:hAnsi="Arial" w:cs="Arial"/>
                <w:szCs w:val="24"/>
                <w:u w:val="single"/>
              </w:rPr>
              <w:t xml:space="preserve">   </w:t>
            </w:r>
            <w:r w:rsidRPr="007C3408">
              <w:rPr>
                <w:rFonts w:ascii="Arial" w:hAnsi="Arial" w:cs="Arial"/>
                <w:szCs w:val="24"/>
                <w:u w:val="single"/>
              </w:rPr>
              <w:t xml:space="preserve">  </w:t>
            </w:r>
            <w:r w:rsidR="000963D2">
              <w:rPr>
                <w:rFonts w:ascii="Arial" w:hAnsi="Arial" w:cs="Arial"/>
                <w:szCs w:val="24"/>
                <w:u w:val="single"/>
              </w:rPr>
              <w:t xml:space="preserve"> </w:t>
            </w:r>
            <w:r>
              <w:rPr>
                <w:rFonts w:ascii="Arial" w:hAnsi="Arial" w:cs="Arial"/>
                <w:szCs w:val="24"/>
                <w:u w:val="single"/>
              </w:rPr>
              <w:t>4,224,110</w:t>
            </w:r>
          </w:p>
        </w:tc>
        <w:tc>
          <w:tcPr>
            <w:tcW w:w="236" w:type="dxa"/>
          </w:tcPr>
          <w:p w:rsidR="00AB3645" w:rsidRDefault="00AB3645" w:rsidP="000A529C">
            <w:pPr>
              <w:tabs>
                <w:tab w:val="center" w:pos="4680"/>
              </w:tabs>
              <w:suppressAutoHyphens/>
              <w:jc w:val="center"/>
              <w:rPr>
                <w:rFonts w:ascii="Arial" w:hAnsi="Arial" w:cs="Arial"/>
                <w:szCs w:val="24"/>
              </w:rPr>
            </w:pPr>
          </w:p>
        </w:tc>
        <w:tc>
          <w:tcPr>
            <w:tcW w:w="2287" w:type="dxa"/>
            <w:vAlign w:val="center"/>
          </w:tcPr>
          <w:p w:rsidR="00AB3645" w:rsidRPr="007C3408" w:rsidRDefault="00AB3645" w:rsidP="000A529C">
            <w:pPr>
              <w:tabs>
                <w:tab w:val="center" w:pos="4680"/>
              </w:tabs>
              <w:suppressAutoHyphens/>
              <w:jc w:val="center"/>
              <w:rPr>
                <w:rFonts w:ascii="Arial" w:hAnsi="Arial" w:cs="Arial"/>
                <w:szCs w:val="24"/>
                <w:u w:val="single"/>
              </w:rPr>
            </w:pPr>
            <w:r w:rsidRPr="000963D2">
              <w:rPr>
                <w:rFonts w:ascii="Arial" w:hAnsi="Arial" w:cs="Arial"/>
                <w:szCs w:val="24"/>
              </w:rPr>
              <w:t xml:space="preserve">  </w:t>
            </w:r>
            <w:r w:rsidRPr="000963D2">
              <w:rPr>
                <w:rFonts w:ascii="Arial" w:hAnsi="Arial" w:cs="Arial"/>
                <w:szCs w:val="24"/>
                <w:u w:val="single"/>
              </w:rPr>
              <w:t xml:space="preserve">  </w:t>
            </w:r>
            <w:r w:rsidRPr="00073ED2">
              <w:rPr>
                <w:rFonts w:ascii="Arial" w:hAnsi="Arial" w:cs="Arial"/>
                <w:szCs w:val="24"/>
                <w:u w:val="single"/>
              </w:rPr>
              <w:t xml:space="preserve"> </w:t>
            </w:r>
            <w:r>
              <w:rPr>
                <w:rFonts w:ascii="Arial" w:hAnsi="Arial" w:cs="Arial"/>
                <w:szCs w:val="24"/>
                <w:u w:val="single"/>
              </w:rPr>
              <w:t xml:space="preserve"> </w:t>
            </w:r>
            <w:r w:rsidRPr="00073ED2">
              <w:rPr>
                <w:rFonts w:ascii="Arial" w:hAnsi="Arial" w:cs="Arial"/>
                <w:szCs w:val="24"/>
                <w:u w:val="single"/>
              </w:rPr>
              <w:t xml:space="preserve"> </w:t>
            </w:r>
            <w:r>
              <w:rPr>
                <w:rFonts w:ascii="Arial" w:hAnsi="Arial" w:cs="Arial"/>
                <w:szCs w:val="24"/>
                <w:u w:val="single"/>
              </w:rPr>
              <w:t xml:space="preserve">  </w:t>
            </w:r>
            <w:r w:rsidR="000963D2">
              <w:rPr>
                <w:rFonts w:ascii="Arial" w:hAnsi="Arial" w:cs="Arial"/>
                <w:szCs w:val="24"/>
                <w:u w:val="single"/>
              </w:rPr>
              <w:t xml:space="preserve"> </w:t>
            </w:r>
            <w:r>
              <w:rPr>
                <w:rFonts w:ascii="Arial" w:hAnsi="Arial" w:cs="Arial"/>
                <w:szCs w:val="24"/>
                <w:u w:val="single"/>
              </w:rPr>
              <w:t>554,937</w:t>
            </w:r>
          </w:p>
        </w:tc>
      </w:tr>
      <w:tr w:rsidR="00AB3645" w:rsidRPr="005F3659" w:rsidTr="000A529C">
        <w:trPr>
          <w:trHeight w:val="273"/>
        </w:trPr>
        <w:tc>
          <w:tcPr>
            <w:tcW w:w="2088" w:type="dxa"/>
          </w:tcPr>
          <w:p w:rsidR="00AB3645" w:rsidRPr="005F3659" w:rsidRDefault="00AB3645" w:rsidP="000A529C">
            <w:pP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50" w:type="dxa"/>
            <w:vAlign w:val="center"/>
          </w:tcPr>
          <w:p w:rsidR="00AB3645" w:rsidRPr="005F3659" w:rsidRDefault="00AB3645" w:rsidP="000A529C">
            <w:pPr>
              <w:tabs>
                <w:tab w:val="center" w:pos="4680"/>
              </w:tabs>
              <w:suppressAutoHyphens/>
              <w:jc w:val="center"/>
              <w:rPr>
                <w:rFonts w:ascii="Arial" w:hAnsi="Arial" w:cs="Arial"/>
                <w:szCs w:val="24"/>
              </w:rPr>
            </w:pP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rPr>
            </w:pPr>
          </w:p>
        </w:tc>
        <w:tc>
          <w:tcPr>
            <w:tcW w:w="236" w:type="dxa"/>
          </w:tcPr>
          <w:p w:rsidR="00AB3645" w:rsidRPr="005F3659" w:rsidRDefault="00AB3645" w:rsidP="000A529C">
            <w:pPr>
              <w:tabs>
                <w:tab w:val="center" w:pos="4680"/>
              </w:tabs>
              <w:suppressAutoHyphens/>
              <w:jc w:val="center"/>
              <w:rPr>
                <w:rFonts w:ascii="Arial" w:hAnsi="Arial" w:cs="Arial"/>
                <w:szCs w:val="24"/>
              </w:rPr>
            </w:pPr>
          </w:p>
        </w:tc>
        <w:tc>
          <w:tcPr>
            <w:tcW w:w="2287" w:type="dxa"/>
            <w:vAlign w:val="center"/>
          </w:tcPr>
          <w:p w:rsidR="00AB3645" w:rsidRPr="005F3659" w:rsidRDefault="00AB3645" w:rsidP="000A529C">
            <w:pPr>
              <w:tabs>
                <w:tab w:val="center" w:pos="4680"/>
              </w:tabs>
              <w:suppressAutoHyphens/>
              <w:jc w:val="center"/>
              <w:rPr>
                <w:rFonts w:ascii="Arial" w:hAnsi="Arial" w:cs="Arial"/>
                <w:szCs w:val="24"/>
              </w:rPr>
            </w:pPr>
          </w:p>
        </w:tc>
      </w:tr>
      <w:tr w:rsidR="00AB3645" w:rsidRPr="005F3659" w:rsidTr="000A529C">
        <w:trPr>
          <w:trHeight w:val="279"/>
        </w:trPr>
        <w:tc>
          <w:tcPr>
            <w:tcW w:w="2088" w:type="dxa"/>
          </w:tcPr>
          <w:p w:rsidR="00AB3645" w:rsidRPr="005F3659" w:rsidRDefault="00AB3645" w:rsidP="000A529C">
            <w:pPr>
              <w:rPr>
                <w:rFonts w:ascii="Arial" w:hAnsi="Arial" w:cs="Arial"/>
                <w:bCs/>
                <w:szCs w:val="24"/>
              </w:rPr>
            </w:pPr>
            <w:r w:rsidRPr="005F3659">
              <w:rPr>
                <w:rFonts w:ascii="Arial" w:hAnsi="Arial" w:cs="Arial"/>
                <w:bCs/>
                <w:szCs w:val="24"/>
              </w:rPr>
              <w:t>Totals</w:t>
            </w:r>
          </w:p>
        </w:tc>
        <w:tc>
          <w:tcPr>
            <w:tcW w:w="270" w:type="dxa"/>
          </w:tcPr>
          <w:p w:rsidR="00AB3645" w:rsidRDefault="00AB3645" w:rsidP="000A529C">
            <w:pPr>
              <w:tabs>
                <w:tab w:val="center" w:pos="4680"/>
              </w:tabs>
              <w:suppressAutoHyphens/>
              <w:jc w:val="center"/>
              <w:rPr>
                <w:rFonts w:ascii="Arial" w:hAnsi="Arial" w:cs="Arial"/>
                <w:szCs w:val="24"/>
              </w:rPr>
            </w:pPr>
          </w:p>
        </w:tc>
        <w:tc>
          <w:tcPr>
            <w:tcW w:w="2250" w:type="dxa"/>
            <w:vAlign w:val="center"/>
          </w:tcPr>
          <w:p w:rsidR="00AB3645" w:rsidRPr="007C3408" w:rsidRDefault="00AB3645" w:rsidP="000A529C">
            <w:pPr>
              <w:tabs>
                <w:tab w:val="center" w:pos="4680"/>
              </w:tabs>
              <w:suppressAutoHyphens/>
              <w:jc w:val="center"/>
              <w:rPr>
                <w:rFonts w:ascii="Arial" w:hAnsi="Arial" w:cs="Arial"/>
                <w:szCs w:val="24"/>
              </w:rPr>
            </w:pPr>
            <w:r>
              <w:rPr>
                <w:rFonts w:ascii="Arial" w:hAnsi="Arial" w:cs="Arial"/>
                <w:szCs w:val="24"/>
              </w:rPr>
              <w:t xml:space="preserve"> </w:t>
            </w:r>
            <w:r w:rsidRPr="000963D2">
              <w:rPr>
                <w:rFonts w:ascii="Arial" w:hAnsi="Arial" w:cs="Arial"/>
                <w:szCs w:val="24"/>
                <w:u w:val="double"/>
              </w:rPr>
              <w:t xml:space="preserve">$ </w:t>
            </w:r>
            <w:r w:rsidR="000963D2" w:rsidRPr="000963D2">
              <w:rPr>
                <w:rFonts w:ascii="Arial" w:hAnsi="Arial" w:cs="Arial"/>
                <w:szCs w:val="24"/>
                <w:u w:val="double"/>
              </w:rPr>
              <w:t xml:space="preserve"> </w:t>
            </w:r>
            <w:r>
              <w:rPr>
                <w:rFonts w:ascii="Arial" w:hAnsi="Arial" w:cs="Arial"/>
                <w:szCs w:val="24"/>
                <w:u w:val="double"/>
              </w:rPr>
              <w:t>63,070,067</w:t>
            </w:r>
          </w:p>
        </w:tc>
        <w:tc>
          <w:tcPr>
            <w:tcW w:w="270" w:type="dxa"/>
          </w:tcPr>
          <w:p w:rsidR="00AB3645" w:rsidRPr="005F3659" w:rsidRDefault="00AB3645" w:rsidP="000A529C">
            <w:pPr>
              <w:tabs>
                <w:tab w:val="center" w:pos="4680"/>
              </w:tabs>
              <w:suppressAutoHyphens/>
              <w:jc w:val="center"/>
              <w:rPr>
                <w:rFonts w:ascii="Arial" w:hAnsi="Arial" w:cs="Arial"/>
                <w:szCs w:val="24"/>
              </w:rPr>
            </w:pPr>
          </w:p>
        </w:tc>
        <w:tc>
          <w:tcPr>
            <w:tcW w:w="2229" w:type="dxa"/>
            <w:vAlign w:val="center"/>
          </w:tcPr>
          <w:p w:rsidR="00AB3645" w:rsidRPr="005F3659" w:rsidRDefault="00AB3645" w:rsidP="000A529C">
            <w:pPr>
              <w:tabs>
                <w:tab w:val="center" w:pos="4680"/>
              </w:tabs>
              <w:suppressAutoHyphens/>
              <w:jc w:val="center"/>
              <w:rPr>
                <w:rFonts w:ascii="Arial" w:hAnsi="Arial" w:cs="Arial"/>
                <w:szCs w:val="24"/>
                <w:u w:val="double"/>
              </w:rPr>
            </w:pPr>
            <w:r w:rsidRPr="000963D2">
              <w:rPr>
                <w:rFonts w:ascii="Arial" w:hAnsi="Arial" w:cs="Arial"/>
                <w:szCs w:val="24"/>
                <w:u w:val="double"/>
              </w:rPr>
              <w:t xml:space="preserve">$ </w:t>
            </w:r>
            <w:r w:rsidR="000963D2" w:rsidRPr="000963D2">
              <w:rPr>
                <w:rFonts w:ascii="Arial" w:hAnsi="Arial" w:cs="Arial"/>
                <w:szCs w:val="24"/>
                <w:u w:val="double"/>
              </w:rPr>
              <w:t xml:space="preserve"> </w:t>
            </w:r>
            <w:r>
              <w:rPr>
                <w:rFonts w:ascii="Arial" w:hAnsi="Arial" w:cs="Arial"/>
                <w:szCs w:val="24"/>
                <w:u w:val="double"/>
              </w:rPr>
              <w:t>52,927,756</w:t>
            </w:r>
          </w:p>
        </w:tc>
        <w:tc>
          <w:tcPr>
            <w:tcW w:w="236" w:type="dxa"/>
          </w:tcPr>
          <w:p w:rsidR="00AB3645" w:rsidRDefault="00AB3645" w:rsidP="000A529C">
            <w:pPr>
              <w:tabs>
                <w:tab w:val="center" w:pos="4680"/>
              </w:tabs>
              <w:suppressAutoHyphens/>
              <w:jc w:val="center"/>
              <w:rPr>
                <w:rFonts w:ascii="Arial" w:hAnsi="Arial" w:cs="Arial"/>
                <w:szCs w:val="24"/>
              </w:rPr>
            </w:pPr>
          </w:p>
        </w:tc>
        <w:tc>
          <w:tcPr>
            <w:tcW w:w="2287" w:type="dxa"/>
            <w:vAlign w:val="center"/>
          </w:tcPr>
          <w:p w:rsidR="00AB3645" w:rsidRPr="00181523" w:rsidRDefault="00AB3645" w:rsidP="000963D2">
            <w:pPr>
              <w:tabs>
                <w:tab w:val="center" w:pos="4680"/>
              </w:tabs>
              <w:suppressAutoHyphens/>
              <w:jc w:val="center"/>
              <w:rPr>
                <w:rFonts w:ascii="Arial" w:hAnsi="Arial" w:cs="Arial"/>
                <w:szCs w:val="24"/>
                <w:u w:val="double"/>
              </w:rPr>
            </w:pPr>
            <w:r>
              <w:rPr>
                <w:rFonts w:ascii="Arial" w:hAnsi="Arial" w:cs="Arial"/>
                <w:szCs w:val="24"/>
              </w:rPr>
              <w:t xml:space="preserve">  </w:t>
            </w:r>
            <w:r w:rsidRPr="00181523">
              <w:rPr>
                <w:rFonts w:ascii="Arial" w:hAnsi="Arial" w:cs="Arial"/>
                <w:szCs w:val="24"/>
                <w:u w:val="double"/>
              </w:rPr>
              <w:t>$</w:t>
            </w:r>
            <w:r w:rsidR="000963D2">
              <w:rPr>
                <w:rFonts w:ascii="Arial" w:hAnsi="Arial" w:cs="Arial"/>
                <w:szCs w:val="24"/>
                <w:u w:val="double"/>
              </w:rPr>
              <w:t xml:space="preserve">  </w:t>
            </w:r>
            <w:r w:rsidRPr="00181523">
              <w:rPr>
                <w:rFonts w:ascii="Arial" w:hAnsi="Arial" w:cs="Arial"/>
                <w:szCs w:val="24"/>
                <w:u w:val="double"/>
              </w:rPr>
              <w:t>10,142,311</w:t>
            </w:r>
          </w:p>
        </w:tc>
      </w:tr>
      <w:tr w:rsidR="00AB3645" w:rsidRPr="005F3659" w:rsidTr="000A529C">
        <w:trPr>
          <w:trHeight w:val="279"/>
        </w:trPr>
        <w:tc>
          <w:tcPr>
            <w:tcW w:w="2088" w:type="dxa"/>
          </w:tcPr>
          <w:p w:rsidR="00AB3645" w:rsidRPr="005F3659" w:rsidRDefault="00AB3645" w:rsidP="000A529C">
            <w:pPr>
              <w:rPr>
                <w:rFonts w:ascii="Arial" w:hAnsi="Arial" w:cs="Arial"/>
                <w:bCs/>
                <w:szCs w:val="24"/>
              </w:rPr>
            </w:pPr>
          </w:p>
        </w:tc>
        <w:tc>
          <w:tcPr>
            <w:tcW w:w="270" w:type="dxa"/>
          </w:tcPr>
          <w:p w:rsidR="00AB3645" w:rsidRPr="005F3659" w:rsidRDefault="00AB3645" w:rsidP="000A529C">
            <w:pPr>
              <w:tabs>
                <w:tab w:val="center" w:pos="4680"/>
              </w:tabs>
              <w:suppressAutoHyphens/>
              <w:rPr>
                <w:rFonts w:ascii="Arial" w:hAnsi="Arial" w:cs="Arial"/>
                <w:szCs w:val="24"/>
              </w:rPr>
            </w:pPr>
          </w:p>
        </w:tc>
        <w:tc>
          <w:tcPr>
            <w:tcW w:w="2250" w:type="dxa"/>
          </w:tcPr>
          <w:p w:rsidR="00AB3645" w:rsidRPr="005F3659" w:rsidRDefault="00AB3645" w:rsidP="000A529C">
            <w:pPr>
              <w:tabs>
                <w:tab w:val="center" w:pos="4680"/>
              </w:tabs>
              <w:suppressAutoHyphens/>
              <w:rPr>
                <w:rFonts w:ascii="Arial" w:hAnsi="Arial" w:cs="Arial"/>
                <w:szCs w:val="24"/>
              </w:rPr>
            </w:pPr>
          </w:p>
        </w:tc>
        <w:tc>
          <w:tcPr>
            <w:tcW w:w="270" w:type="dxa"/>
          </w:tcPr>
          <w:p w:rsidR="00AB3645" w:rsidRPr="005F3659" w:rsidRDefault="00AB3645" w:rsidP="000A529C">
            <w:pPr>
              <w:tabs>
                <w:tab w:val="center" w:pos="4680"/>
              </w:tabs>
              <w:suppressAutoHyphens/>
              <w:rPr>
                <w:rFonts w:ascii="Arial" w:hAnsi="Arial" w:cs="Arial"/>
                <w:szCs w:val="24"/>
              </w:rPr>
            </w:pPr>
          </w:p>
        </w:tc>
        <w:tc>
          <w:tcPr>
            <w:tcW w:w="2229" w:type="dxa"/>
          </w:tcPr>
          <w:p w:rsidR="00AB3645" w:rsidRPr="005F3659" w:rsidRDefault="00AB3645" w:rsidP="000A529C">
            <w:pPr>
              <w:tabs>
                <w:tab w:val="center" w:pos="4680"/>
              </w:tabs>
              <w:suppressAutoHyphens/>
              <w:rPr>
                <w:rFonts w:ascii="Arial" w:hAnsi="Arial" w:cs="Arial"/>
                <w:szCs w:val="24"/>
              </w:rPr>
            </w:pPr>
          </w:p>
        </w:tc>
        <w:tc>
          <w:tcPr>
            <w:tcW w:w="236" w:type="dxa"/>
          </w:tcPr>
          <w:p w:rsidR="00AB3645" w:rsidRPr="005F3659" w:rsidRDefault="00AB3645" w:rsidP="000A529C">
            <w:pPr>
              <w:tabs>
                <w:tab w:val="center" w:pos="4680"/>
              </w:tabs>
              <w:suppressAutoHyphens/>
              <w:rPr>
                <w:rFonts w:ascii="Arial" w:hAnsi="Arial" w:cs="Arial"/>
                <w:szCs w:val="24"/>
              </w:rPr>
            </w:pPr>
          </w:p>
        </w:tc>
        <w:tc>
          <w:tcPr>
            <w:tcW w:w="2287" w:type="dxa"/>
          </w:tcPr>
          <w:p w:rsidR="00AB3645" w:rsidRPr="005F3659" w:rsidRDefault="00AB3645" w:rsidP="000A529C">
            <w:pPr>
              <w:tabs>
                <w:tab w:val="center" w:pos="4680"/>
              </w:tabs>
              <w:suppressAutoHyphens/>
              <w:rPr>
                <w:rFonts w:ascii="Arial" w:hAnsi="Arial" w:cs="Arial"/>
                <w:szCs w:val="24"/>
              </w:rPr>
            </w:pPr>
          </w:p>
        </w:tc>
      </w:tr>
    </w:tbl>
    <w:p w:rsidR="00361DBA" w:rsidRDefault="00361DBA" w:rsidP="00361DBA">
      <w:pPr>
        <w:jc w:val="center"/>
        <w:rPr>
          <w:rFonts w:ascii="Arial" w:hAnsi="Arial" w:cs="Arial"/>
          <w:szCs w:val="24"/>
        </w:rPr>
      </w:pPr>
    </w:p>
    <w:p w:rsidR="00B30D33" w:rsidRDefault="004E072F" w:rsidP="00B30D33">
      <w:pPr>
        <w:tabs>
          <w:tab w:val="left" w:pos="360"/>
          <w:tab w:val="center" w:pos="4680"/>
        </w:tabs>
        <w:suppressAutoHyphens/>
        <w:ind w:left="-450"/>
        <w:rPr>
          <w:rFonts w:ascii="Arial" w:hAnsi="Arial" w:cs="Arial"/>
          <w:szCs w:val="24"/>
        </w:rPr>
      </w:pPr>
      <w:r>
        <w:rPr>
          <w:rFonts w:ascii="Arial" w:hAnsi="Arial" w:cs="Arial"/>
          <w:szCs w:val="24"/>
        </w:rPr>
        <w:t xml:space="preserve">   </w:t>
      </w:r>
      <w:r w:rsidR="00162686">
        <w:rPr>
          <w:rFonts w:ascii="Arial" w:hAnsi="Arial" w:cs="Arial"/>
          <w:szCs w:val="24"/>
        </w:rPr>
        <w:t xml:space="preserve"> </w:t>
      </w:r>
      <w:r w:rsidR="00B30D33">
        <w:rPr>
          <w:rFonts w:ascii="Arial" w:hAnsi="Arial" w:cs="Arial"/>
          <w:szCs w:val="24"/>
        </w:rPr>
        <w:t>*</w:t>
      </w:r>
      <w:r w:rsidR="00C1047D">
        <w:rPr>
          <w:rFonts w:ascii="Arial" w:hAnsi="Arial" w:cs="Arial"/>
          <w:szCs w:val="24"/>
        </w:rPr>
        <w:t>As reported to the Commission at Docket No.</w:t>
      </w:r>
      <w:r>
        <w:rPr>
          <w:rFonts w:ascii="Arial" w:hAnsi="Arial" w:cs="Arial"/>
          <w:szCs w:val="24"/>
        </w:rPr>
        <w:t xml:space="preserve"> </w:t>
      </w:r>
      <w:proofErr w:type="gramStart"/>
      <w:r>
        <w:rPr>
          <w:rFonts w:ascii="Arial" w:hAnsi="Arial" w:cs="Arial"/>
          <w:szCs w:val="24"/>
        </w:rPr>
        <w:t>M-201</w:t>
      </w:r>
      <w:r w:rsidR="00B406EF">
        <w:rPr>
          <w:rFonts w:ascii="Arial" w:hAnsi="Arial" w:cs="Arial"/>
          <w:szCs w:val="24"/>
        </w:rPr>
        <w:t>2</w:t>
      </w:r>
      <w:r>
        <w:rPr>
          <w:rFonts w:ascii="Arial" w:hAnsi="Arial" w:cs="Arial"/>
          <w:szCs w:val="24"/>
        </w:rPr>
        <w:t>-</w:t>
      </w:r>
      <w:r w:rsidR="000A4866">
        <w:rPr>
          <w:rFonts w:ascii="Arial" w:hAnsi="Arial" w:cs="Arial"/>
          <w:szCs w:val="24"/>
        </w:rPr>
        <w:t>2337086</w:t>
      </w:r>
      <w:r>
        <w:rPr>
          <w:rFonts w:ascii="Arial" w:hAnsi="Arial" w:cs="Arial"/>
          <w:szCs w:val="24"/>
        </w:rPr>
        <w:t>.</w:t>
      </w:r>
      <w:proofErr w:type="gramEnd"/>
    </w:p>
    <w:p w:rsidR="00B30D33" w:rsidRDefault="00B30D33" w:rsidP="00B30D33">
      <w:pPr>
        <w:tabs>
          <w:tab w:val="left" w:pos="360"/>
          <w:tab w:val="center" w:pos="4680"/>
        </w:tabs>
        <w:suppressAutoHyphens/>
        <w:ind w:left="-450"/>
        <w:rPr>
          <w:rFonts w:ascii="Arial" w:hAnsi="Arial" w:cs="Arial"/>
          <w:szCs w:val="24"/>
        </w:rPr>
      </w:pPr>
      <w:r>
        <w:rPr>
          <w:rFonts w:ascii="Arial" w:hAnsi="Arial" w:cs="Arial"/>
          <w:szCs w:val="24"/>
        </w:rPr>
        <w:t xml:space="preserve"> </w:t>
      </w:r>
    </w:p>
    <w:p w:rsidR="0090493D" w:rsidRDefault="00B30D33" w:rsidP="006D55C8">
      <w:pPr>
        <w:tabs>
          <w:tab w:val="left" w:pos="360"/>
          <w:tab w:val="center" w:pos="4680"/>
        </w:tabs>
        <w:suppressAutoHyphens/>
        <w:ind w:left="-450"/>
        <w:rPr>
          <w:rFonts w:ascii="Arial" w:hAnsi="Arial" w:cs="Arial"/>
          <w:szCs w:val="24"/>
        </w:rPr>
      </w:pPr>
      <w:r>
        <w:rPr>
          <w:rFonts w:ascii="Arial" w:hAnsi="Arial" w:cs="Arial"/>
          <w:szCs w:val="24"/>
        </w:rPr>
        <w:t xml:space="preserve">     </w:t>
      </w:r>
      <w:r w:rsidR="007F65D9" w:rsidRPr="007A206B">
        <w:rPr>
          <w:rFonts w:ascii="Arial" w:hAnsi="Arial" w:cs="Arial"/>
          <w:szCs w:val="24"/>
        </w:rPr>
        <w:t>Notes to the Financial Statements are an integral part of this report.</w:t>
      </w:r>
    </w:p>
    <w:p w:rsidR="00F07978" w:rsidRDefault="00F07978" w:rsidP="006D55C8">
      <w:pPr>
        <w:tabs>
          <w:tab w:val="left" w:pos="360"/>
          <w:tab w:val="center" w:pos="4680"/>
        </w:tabs>
        <w:suppressAutoHyphens/>
        <w:ind w:left="-450"/>
        <w:rPr>
          <w:rFonts w:ascii="Arial" w:hAnsi="Arial" w:cs="Arial"/>
          <w:szCs w:val="24"/>
        </w:rPr>
      </w:pPr>
    </w:p>
    <w:tbl>
      <w:tblPr>
        <w:tblW w:w="9648" w:type="dxa"/>
        <w:tblLook w:val="0000" w:firstRow="0" w:lastRow="0" w:firstColumn="0" w:lastColumn="0" w:noHBand="0" w:noVBand="0"/>
      </w:tblPr>
      <w:tblGrid>
        <w:gridCol w:w="9648"/>
      </w:tblGrid>
      <w:tr w:rsidR="000A4866" w:rsidRPr="00EA4FD5" w:rsidTr="00E5190C">
        <w:trPr>
          <w:trHeight w:val="277"/>
        </w:trPr>
        <w:tc>
          <w:tcPr>
            <w:tcW w:w="9648" w:type="dxa"/>
            <w:tcBorders>
              <w:top w:val="nil"/>
              <w:left w:val="nil"/>
              <w:bottom w:val="nil"/>
              <w:right w:val="nil"/>
            </w:tcBorders>
            <w:shd w:val="clear" w:color="auto" w:fill="auto"/>
            <w:noWrap/>
            <w:vAlign w:val="bottom"/>
          </w:tcPr>
          <w:p w:rsidR="000A4866" w:rsidRPr="00EA4FD5" w:rsidRDefault="000A4866" w:rsidP="00E5190C">
            <w:pPr>
              <w:overflowPunct/>
              <w:autoSpaceDE/>
              <w:autoSpaceDN/>
              <w:adjustRightInd/>
              <w:jc w:val="center"/>
              <w:textAlignment w:val="auto"/>
              <w:rPr>
                <w:rFonts w:ascii="Arial" w:hAnsi="Arial" w:cs="Arial"/>
                <w:b/>
                <w:sz w:val="26"/>
                <w:szCs w:val="26"/>
              </w:rPr>
            </w:pPr>
            <w:r w:rsidRPr="00EA4FD5">
              <w:rPr>
                <w:rFonts w:ascii="Arial" w:hAnsi="Arial" w:cs="Arial"/>
                <w:b/>
                <w:sz w:val="26"/>
                <w:szCs w:val="26"/>
              </w:rPr>
              <w:lastRenderedPageBreak/>
              <w:t>PPL ELECTRIC UTILITIES CORPORATION</w:t>
            </w:r>
          </w:p>
          <w:p w:rsidR="000A4866" w:rsidRPr="00EA4FD5" w:rsidRDefault="000A4866" w:rsidP="00E5190C">
            <w:pPr>
              <w:overflowPunct/>
              <w:autoSpaceDE/>
              <w:autoSpaceDN/>
              <w:adjustRightInd/>
              <w:jc w:val="center"/>
              <w:textAlignment w:val="auto"/>
              <w:rPr>
                <w:rFonts w:ascii="Arial" w:hAnsi="Arial" w:cs="Arial"/>
                <w:b/>
                <w:sz w:val="20"/>
                <w:szCs w:val="26"/>
              </w:rPr>
            </w:pPr>
          </w:p>
        </w:tc>
      </w:tr>
      <w:tr w:rsidR="00F379CC" w:rsidRPr="00EA4FD5" w:rsidTr="00E5190C">
        <w:trPr>
          <w:trHeight w:val="277"/>
        </w:trPr>
        <w:tc>
          <w:tcPr>
            <w:tcW w:w="9648" w:type="dxa"/>
            <w:tcBorders>
              <w:top w:val="nil"/>
              <w:left w:val="nil"/>
              <w:bottom w:val="nil"/>
              <w:right w:val="nil"/>
            </w:tcBorders>
            <w:shd w:val="clear" w:color="auto" w:fill="auto"/>
            <w:noWrap/>
            <w:vAlign w:val="bottom"/>
          </w:tcPr>
          <w:p w:rsidR="00F379CC" w:rsidRPr="00F379CC" w:rsidRDefault="00F379CC" w:rsidP="00F379CC">
            <w:pPr>
              <w:tabs>
                <w:tab w:val="center" w:pos="4680"/>
              </w:tabs>
              <w:suppressAutoHyphens/>
              <w:jc w:val="center"/>
              <w:rPr>
                <w:rFonts w:ascii="Arial" w:hAnsi="Arial" w:cs="Arial"/>
                <w:b/>
                <w:sz w:val="26"/>
                <w:szCs w:val="26"/>
              </w:rPr>
            </w:pPr>
            <w:r w:rsidRPr="00F379CC">
              <w:rPr>
                <w:rFonts w:ascii="Arial" w:hAnsi="Arial" w:cs="Arial"/>
                <w:b/>
                <w:sz w:val="26"/>
                <w:szCs w:val="26"/>
              </w:rPr>
              <w:t>Condensed (Note 1)</w:t>
            </w:r>
          </w:p>
        </w:tc>
      </w:tr>
      <w:tr w:rsidR="000A4866" w:rsidRPr="00EA4FD5" w:rsidTr="00E5190C">
        <w:trPr>
          <w:trHeight w:val="277"/>
        </w:trPr>
        <w:tc>
          <w:tcPr>
            <w:tcW w:w="9648" w:type="dxa"/>
            <w:tcBorders>
              <w:top w:val="nil"/>
              <w:left w:val="nil"/>
              <w:bottom w:val="nil"/>
              <w:right w:val="nil"/>
            </w:tcBorders>
            <w:shd w:val="clear" w:color="auto" w:fill="auto"/>
            <w:noWrap/>
            <w:vAlign w:val="bottom"/>
          </w:tcPr>
          <w:p w:rsidR="00F379CC" w:rsidRDefault="000A4866" w:rsidP="00E5190C">
            <w:pPr>
              <w:overflowPunct/>
              <w:autoSpaceDE/>
              <w:autoSpaceDN/>
              <w:adjustRightInd/>
              <w:jc w:val="center"/>
              <w:textAlignment w:val="auto"/>
              <w:rPr>
                <w:rFonts w:ascii="Arial" w:hAnsi="Arial" w:cs="Arial"/>
                <w:b/>
                <w:sz w:val="26"/>
                <w:szCs w:val="26"/>
              </w:rPr>
            </w:pPr>
            <w:r w:rsidRPr="00F379CC">
              <w:rPr>
                <w:rFonts w:ascii="Arial" w:hAnsi="Arial" w:cs="Arial"/>
                <w:b/>
                <w:sz w:val="26"/>
                <w:szCs w:val="26"/>
              </w:rPr>
              <w:t xml:space="preserve">Statement Of Universal Service Rider (USR) </w:t>
            </w:r>
          </w:p>
          <w:p w:rsidR="000A4866" w:rsidRPr="00F379CC" w:rsidRDefault="000A4866" w:rsidP="00E5190C">
            <w:pPr>
              <w:overflowPunct/>
              <w:autoSpaceDE/>
              <w:autoSpaceDN/>
              <w:adjustRightInd/>
              <w:jc w:val="center"/>
              <w:textAlignment w:val="auto"/>
              <w:rPr>
                <w:rFonts w:ascii="Arial" w:hAnsi="Arial" w:cs="Arial"/>
                <w:b/>
                <w:sz w:val="26"/>
                <w:szCs w:val="26"/>
              </w:rPr>
            </w:pPr>
            <w:r w:rsidRPr="00F379CC">
              <w:rPr>
                <w:rFonts w:ascii="Arial" w:hAnsi="Arial" w:cs="Arial"/>
                <w:b/>
                <w:sz w:val="26"/>
                <w:szCs w:val="26"/>
              </w:rPr>
              <w:t>Over/(Under) Collections</w:t>
            </w:r>
            <w:r w:rsidR="00F379CC">
              <w:rPr>
                <w:rFonts w:ascii="Arial" w:hAnsi="Arial" w:cs="Arial"/>
                <w:b/>
                <w:sz w:val="26"/>
                <w:szCs w:val="26"/>
              </w:rPr>
              <w:t xml:space="preserve"> </w:t>
            </w:r>
            <w:r w:rsidR="00F379CC" w:rsidRPr="004A3BF2">
              <w:rPr>
                <w:rFonts w:ascii="Arial" w:hAnsi="Arial" w:cs="Arial"/>
                <w:b/>
                <w:sz w:val="26"/>
                <w:szCs w:val="28"/>
              </w:rPr>
              <w:t>(Section 1307(e))</w:t>
            </w:r>
          </w:p>
        </w:tc>
      </w:tr>
      <w:tr w:rsidR="000A4866" w:rsidRPr="00EA4FD5" w:rsidTr="00E5190C">
        <w:trPr>
          <w:trHeight w:val="277"/>
        </w:trPr>
        <w:tc>
          <w:tcPr>
            <w:tcW w:w="9648" w:type="dxa"/>
            <w:tcBorders>
              <w:top w:val="nil"/>
              <w:left w:val="nil"/>
              <w:bottom w:val="nil"/>
              <w:right w:val="nil"/>
            </w:tcBorders>
            <w:shd w:val="clear" w:color="auto" w:fill="auto"/>
            <w:noWrap/>
            <w:vAlign w:val="bottom"/>
          </w:tcPr>
          <w:p w:rsidR="000A4866" w:rsidRPr="00F379CC" w:rsidRDefault="000A4866" w:rsidP="00654751">
            <w:pPr>
              <w:overflowPunct/>
              <w:autoSpaceDE/>
              <w:autoSpaceDN/>
              <w:adjustRightInd/>
              <w:jc w:val="center"/>
              <w:textAlignment w:val="auto"/>
              <w:rPr>
                <w:rFonts w:ascii="Arial" w:hAnsi="Arial" w:cs="Arial"/>
                <w:b/>
                <w:sz w:val="26"/>
                <w:szCs w:val="26"/>
              </w:rPr>
            </w:pPr>
            <w:r w:rsidRPr="00F379CC">
              <w:rPr>
                <w:rFonts w:ascii="Arial" w:hAnsi="Arial" w:cs="Arial"/>
                <w:b/>
                <w:sz w:val="26"/>
                <w:szCs w:val="26"/>
              </w:rPr>
              <w:t>For The Twelve Months Ended November 30, 201</w:t>
            </w:r>
            <w:r w:rsidR="00654751" w:rsidRPr="00F379CC">
              <w:rPr>
                <w:rFonts w:ascii="Arial" w:hAnsi="Arial" w:cs="Arial"/>
                <w:b/>
                <w:sz w:val="26"/>
                <w:szCs w:val="26"/>
              </w:rPr>
              <w:t>1</w:t>
            </w:r>
            <w:r w:rsidRPr="00F379CC">
              <w:rPr>
                <w:rFonts w:ascii="Arial" w:hAnsi="Arial" w:cs="Arial"/>
                <w:b/>
                <w:sz w:val="26"/>
                <w:szCs w:val="26"/>
              </w:rPr>
              <w:t>*</w:t>
            </w:r>
          </w:p>
        </w:tc>
      </w:tr>
    </w:tbl>
    <w:p w:rsidR="000A4866" w:rsidRPr="00EA4FD5" w:rsidRDefault="000A4866" w:rsidP="0024111D">
      <w:pPr>
        <w:rPr>
          <w:rFonts w:ascii="Arial" w:hAnsi="Arial" w:cs="Arial"/>
          <w:szCs w:val="24"/>
        </w:rPr>
      </w:pPr>
    </w:p>
    <w:tbl>
      <w:tblPr>
        <w:tblpPr w:leftFromText="180" w:rightFromText="180" w:vertAnchor="text" w:horzAnchor="page" w:tblpX="1507" w:tblpY="215"/>
        <w:tblW w:w="9558" w:type="dxa"/>
        <w:tblLayout w:type="fixed"/>
        <w:tblLook w:val="04A0" w:firstRow="1" w:lastRow="0" w:firstColumn="1" w:lastColumn="0" w:noHBand="0" w:noVBand="1"/>
      </w:tblPr>
      <w:tblGrid>
        <w:gridCol w:w="2150"/>
        <w:gridCol w:w="236"/>
        <w:gridCol w:w="2312"/>
        <w:gridCol w:w="270"/>
        <w:gridCol w:w="2250"/>
        <w:gridCol w:w="270"/>
        <w:gridCol w:w="2070"/>
      </w:tblGrid>
      <w:tr w:rsidR="00A12344" w:rsidRPr="00EA4FD5" w:rsidTr="0024111D">
        <w:trPr>
          <w:trHeight w:val="903"/>
        </w:trPr>
        <w:tc>
          <w:tcPr>
            <w:tcW w:w="2150" w:type="dxa"/>
            <w:tcBorders>
              <w:bottom w:val="single" w:sz="4" w:space="0" w:color="auto"/>
            </w:tcBorders>
            <w:vAlign w:val="bottom"/>
          </w:tcPr>
          <w:p w:rsidR="00A12344" w:rsidRPr="00A12344" w:rsidRDefault="00A12344" w:rsidP="00857E43">
            <w:pPr>
              <w:tabs>
                <w:tab w:val="center" w:pos="4680"/>
              </w:tabs>
              <w:suppressAutoHyphens/>
              <w:jc w:val="center"/>
              <w:rPr>
                <w:rFonts w:ascii="Arial" w:hAnsi="Arial" w:cs="Arial"/>
                <w:szCs w:val="24"/>
              </w:rPr>
            </w:pPr>
            <w:r w:rsidRPr="00A12344">
              <w:rPr>
                <w:rFonts w:ascii="Arial" w:hAnsi="Arial" w:cs="Arial"/>
                <w:szCs w:val="24"/>
              </w:rPr>
              <w:t>Month</w:t>
            </w:r>
          </w:p>
        </w:tc>
        <w:tc>
          <w:tcPr>
            <w:tcW w:w="236" w:type="dxa"/>
          </w:tcPr>
          <w:p w:rsidR="00A12344" w:rsidRPr="00A12344" w:rsidRDefault="00A12344" w:rsidP="00857E43">
            <w:pPr>
              <w:jc w:val="center"/>
              <w:rPr>
                <w:rFonts w:ascii="Arial" w:hAnsi="Arial" w:cs="Arial"/>
                <w:bCs/>
                <w:szCs w:val="24"/>
              </w:rPr>
            </w:pPr>
          </w:p>
        </w:tc>
        <w:tc>
          <w:tcPr>
            <w:tcW w:w="2312" w:type="dxa"/>
            <w:tcBorders>
              <w:bottom w:val="single" w:sz="4" w:space="0" w:color="auto"/>
            </w:tcBorders>
            <w:vAlign w:val="bottom"/>
          </w:tcPr>
          <w:p w:rsidR="00A12344" w:rsidRPr="00A12344" w:rsidRDefault="00A12344" w:rsidP="00857E43">
            <w:pPr>
              <w:jc w:val="center"/>
              <w:rPr>
                <w:rFonts w:ascii="Arial" w:hAnsi="Arial" w:cs="Arial"/>
                <w:bCs/>
                <w:szCs w:val="24"/>
              </w:rPr>
            </w:pPr>
            <w:r w:rsidRPr="00A12344">
              <w:rPr>
                <w:rFonts w:ascii="Arial" w:hAnsi="Arial" w:cs="Arial"/>
                <w:bCs/>
                <w:szCs w:val="24"/>
              </w:rPr>
              <w:t xml:space="preserve">Distribution </w:t>
            </w:r>
          </w:p>
          <w:p w:rsidR="00A12344" w:rsidRPr="00A12344" w:rsidRDefault="00A12344" w:rsidP="00857E43">
            <w:pPr>
              <w:jc w:val="center"/>
              <w:rPr>
                <w:rFonts w:ascii="Arial" w:hAnsi="Arial" w:cs="Arial"/>
                <w:bCs/>
                <w:szCs w:val="24"/>
              </w:rPr>
            </w:pPr>
            <w:r w:rsidRPr="00A12344">
              <w:rPr>
                <w:rFonts w:ascii="Arial" w:hAnsi="Arial" w:cs="Arial"/>
                <w:bCs/>
                <w:szCs w:val="24"/>
              </w:rPr>
              <w:t xml:space="preserve">Revenues </w:t>
            </w:r>
          </w:p>
          <w:p w:rsidR="00A12344" w:rsidRPr="00A12344" w:rsidRDefault="00A12344" w:rsidP="00857E43">
            <w:pPr>
              <w:tabs>
                <w:tab w:val="center" w:pos="4680"/>
              </w:tabs>
              <w:suppressAutoHyphens/>
              <w:jc w:val="center"/>
              <w:rPr>
                <w:rFonts w:ascii="Arial" w:hAnsi="Arial" w:cs="Arial"/>
                <w:szCs w:val="24"/>
              </w:rPr>
            </w:pPr>
            <w:r w:rsidRPr="00A12344">
              <w:rPr>
                <w:rFonts w:ascii="Arial" w:hAnsi="Arial" w:cs="Arial"/>
                <w:bCs/>
                <w:szCs w:val="24"/>
              </w:rPr>
              <w:t>Available for USR</w:t>
            </w:r>
          </w:p>
        </w:tc>
        <w:tc>
          <w:tcPr>
            <w:tcW w:w="270" w:type="dxa"/>
          </w:tcPr>
          <w:p w:rsidR="00A12344" w:rsidRPr="00A12344" w:rsidRDefault="00A12344" w:rsidP="00857E43">
            <w:pPr>
              <w:tabs>
                <w:tab w:val="center" w:pos="4680"/>
              </w:tabs>
              <w:suppressAutoHyphens/>
              <w:jc w:val="center"/>
              <w:rPr>
                <w:rFonts w:ascii="Arial" w:hAnsi="Arial" w:cs="Arial"/>
                <w:bCs/>
                <w:szCs w:val="24"/>
              </w:rPr>
            </w:pPr>
          </w:p>
        </w:tc>
        <w:tc>
          <w:tcPr>
            <w:tcW w:w="2250" w:type="dxa"/>
            <w:tcBorders>
              <w:bottom w:val="single" w:sz="4" w:space="0" w:color="auto"/>
            </w:tcBorders>
            <w:vAlign w:val="bottom"/>
          </w:tcPr>
          <w:p w:rsidR="00A12344" w:rsidRPr="00A12344" w:rsidRDefault="00A12344" w:rsidP="00857E43">
            <w:pPr>
              <w:tabs>
                <w:tab w:val="center" w:pos="4680"/>
              </w:tabs>
              <w:suppressAutoHyphens/>
              <w:jc w:val="center"/>
              <w:rPr>
                <w:rFonts w:ascii="Arial" w:hAnsi="Arial" w:cs="Arial"/>
                <w:szCs w:val="24"/>
              </w:rPr>
            </w:pPr>
            <w:proofErr w:type="spellStart"/>
            <w:r w:rsidRPr="00A12344">
              <w:rPr>
                <w:rFonts w:ascii="Arial" w:hAnsi="Arial" w:cs="Arial"/>
                <w:bCs/>
                <w:szCs w:val="24"/>
              </w:rPr>
              <w:t>OnTrack</w:t>
            </w:r>
            <w:proofErr w:type="spellEnd"/>
            <w:r w:rsidRPr="00A12344">
              <w:rPr>
                <w:rFonts w:ascii="Arial" w:hAnsi="Arial" w:cs="Arial"/>
                <w:bCs/>
                <w:szCs w:val="24"/>
              </w:rPr>
              <w:t>/WRAP Expenses</w:t>
            </w:r>
          </w:p>
        </w:tc>
        <w:tc>
          <w:tcPr>
            <w:tcW w:w="270" w:type="dxa"/>
          </w:tcPr>
          <w:p w:rsidR="00A12344" w:rsidRPr="00A12344" w:rsidRDefault="00A12344" w:rsidP="00857E43">
            <w:pPr>
              <w:jc w:val="center"/>
              <w:rPr>
                <w:rFonts w:ascii="Arial" w:hAnsi="Arial" w:cs="Arial"/>
                <w:bCs/>
                <w:szCs w:val="24"/>
              </w:rPr>
            </w:pPr>
          </w:p>
        </w:tc>
        <w:tc>
          <w:tcPr>
            <w:tcW w:w="2070" w:type="dxa"/>
            <w:tcBorders>
              <w:bottom w:val="single" w:sz="4" w:space="0" w:color="auto"/>
            </w:tcBorders>
            <w:vAlign w:val="bottom"/>
          </w:tcPr>
          <w:p w:rsidR="00A12344" w:rsidRPr="00A12344" w:rsidRDefault="00A12344" w:rsidP="00857E43">
            <w:pPr>
              <w:jc w:val="center"/>
              <w:rPr>
                <w:rFonts w:ascii="Arial" w:hAnsi="Arial" w:cs="Arial"/>
                <w:bCs/>
                <w:szCs w:val="24"/>
              </w:rPr>
            </w:pPr>
            <w:r w:rsidRPr="00A12344">
              <w:rPr>
                <w:rFonts w:ascii="Arial" w:hAnsi="Arial" w:cs="Arial"/>
                <w:bCs/>
                <w:szCs w:val="24"/>
              </w:rPr>
              <w:t>USR</w:t>
            </w:r>
          </w:p>
          <w:p w:rsidR="00A12344" w:rsidRPr="00A12344" w:rsidRDefault="00A12344" w:rsidP="00857E43">
            <w:pPr>
              <w:tabs>
                <w:tab w:val="center" w:pos="4680"/>
              </w:tabs>
              <w:suppressAutoHyphens/>
              <w:jc w:val="center"/>
              <w:rPr>
                <w:rFonts w:ascii="Arial" w:hAnsi="Arial" w:cs="Arial"/>
                <w:szCs w:val="24"/>
              </w:rPr>
            </w:pPr>
            <w:r w:rsidRPr="00A12344">
              <w:rPr>
                <w:rFonts w:ascii="Arial" w:hAnsi="Arial" w:cs="Arial"/>
                <w:bCs/>
                <w:szCs w:val="24"/>
              </w:rPr>
              <w:t>Over/(Under) Collections</w:t>
            </w:r>
          </w:p>
        </w:tc>
      </w:tr>
      <w:tr w:rsidR="00A12344" w:rsidRPr="00EA4FD5" w:rsidTr="001D5A18">
        <w:trPr>
          <w:trHeight w:val="279"/>
        </w:trPr>
        <w:tc>
          <w:tcPr>
            <w:tcW w:w="2150" w:type="dxa"/>
            <w:tcBorders>
              <w:top w:val="single" w:sz="4" w:space="0" w:color="auto"/>
            </w:tcBorders>
          </w:tcPr>
          <w:p w:rsidR="00A12344" w:rsidRPr="00EA4FD5" w:rsidRDefault="00A12344" w:rsidP="00A12344">
            <w:pPr>
              <w:tabs>
                <w:tab w:val="center" w:pos="4680"/>
              </w:tabs>
              <w:suppressAutoHyphens/>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tcBorders>
              <w:top w:val="single" w:sz="4" w:space="0" w:color="auto"/>
            </w:tcBorders>
          </w:tcPr>
          <w:p w:rsidR="00A12344" w:rsidRPr="005F3659" w:rsidRDefault="00A12344" w:rsidP="00A12344">
            <w:pPr>
              <w:tabs>
                <w:tab w:val="center" w:pos="4680"/>
              </w:tabs>
              <w:suppressAutoHyphens/>
              <w:jc w:val="center"/>
              <w:rPr>
                <w:rFonts w:ascii="Arial" w:hAnsi="Arial" w:cs="Arial"/>
                <w:szCs w:val="24"/>
              </w:rPr>
            </w:pPr>
            <w:r>
              <w:rPr>
                <w:rFonts w:ascii="Arial" w:hAnsi="Arial" w:cs="Arial"/>
                <w:szCs w:val="24"/>
              </w:rPr>
              <w:t>(1)</w:t>
            </w:r>
          </w:p>
        </w:tc>
        <w:tc>
          <w:tcPr>
            <w:tcW w:w="270" w:type="dxa"/>
          </w:tcPr>
          <w:p w:rsidR="00A12344" w:rsidRDefault="00A12344" w:rsidP="00A12344">
            <w:pPr>
              <w:tabs>
                <w:tab w:val="center" w:pos="4680"/>
              </w:tabs>
              <w:suppressAutoHyphens/>
              <w:jc w:val="center"/>
              <w:rPr>
                <w:rFonts w:ascii="Arial" w:hAnsi="Arial" w:cs="Arial"/>
                <w:szCs w:val="24"/>
              </w:rPr>
            </w:pPr>
          </w:p>
        </w:tc>
        <w:tc>
          <w:tcPr>
            <w:tcW w:w="2250" w:type="dxa"/>
            <w:tcBorders>
              <w:top w:val="single" w:sz="4" w:space="0" w:color="auto"/>
            </w:tcBorders>
          </w:tcPr>
          <w:p w:rsidR="00A12344" w:rsidRPr="005F3659" w:rsidRDefault="00A12344" w:rsidP="00A12344">
            <w:pPr>
              <w:tabs>
                <w:tab w:val="center" w:pos="4680"/>
              </w:tabs>
              <w:suppressAutoHyphens/>
              <w:jc w:val="center"/>
              <w:rPr>
                <w:rFonts w:ascii="Arial" w:hAnsi="Arial" w:cs="Arial"/>
                <w:szCs w:val="24"/>
              </w:rPr>
            </w:pPr>
            <w:r>
              <w:rPr>
                <w:rFonts w:ascii="Arial" w:hAnsi="Arial" w:cs="Arial"/>
                <w:szCs w:val="24"/>
              </w:rPr>
              <w:t>(2)</w:t>
            </w:r>
          </w:p>
        </w:tc>
        <w:tc>
          <w:tcPr>
            <w:tcW w:w="270" w:type="dxa"/>
          </w:tcPr>
          <w:p w:rsidR="00A12344" w:rsidRDefault="00A12344" w:rsidP="00A12344">
            <w:pPr>
              <w:tabs>
                <w:tab w:val="center" w:pos="4680"/>
              </w:tabs>
              <w:suppressAutoHyphens/>
              <w:jc w:val="center"/>
              <w:rPr>
                <w:rFonts w:ascii="Arial" w:hAnsi="Arial" w:cs="Arial"/>
                <w:sz w:val="22"/>
                <w:szCs w:val="22"/>
              </w:rPr>
            </w:pPr>
          </w:p>
        </w:tc>
        <w:tc>
          <w:tcPr>
            <w:tcW w:w="2070" w:type="dxa"/>
            <w:tcBorders>
              <w:top w:val="single" w:sz="4" w:space="0" w:color="auto"/>
            </w:tcBorders>
          </w:tcPr>
          <w:p w:rsidR="00A12344" w:rsidRPr="005F3659" w:rsidRDefault="00A12344" w:rsidP="00A12344">
            <w:pPr>
              <w:tabs>
                <w:tab w:val="center" w:pos="4680"/>
              </w:tabs>
              <w:suppressAutoHyphens/>
              <w:jc w:val="center"/>
              <w:rPr>
                <w:rFonts w:ascii="Arial" w:hAnsi="Arial" w:cs="Arial"/>
                <w:szCs w:val="24"/>
              </w:rPr>
            </w:pPr>
            <w:r>
              <w:rPr>
                <w:rFonts w:ascii="Arial" w:hAnsi="Arial" w:cs="Arial"/>
                <w:sz w:val="22"/>
                <w:szCs w:val="22"/>
              </w:rPr>
              <w:t xml:space="preserve">   (3)=(1)-(2)</w:t>
            </w:r>
          </w:p>
        </w:tc>
      </w:tr>
      <w:tr w:rsidR="00A12344" w:rsidRPr="00EA4FD5" w:rsidTr="00A12344">
        <w:trPr>
          <w:trHeight w:val="279"/>
        </w:trPr>
        <w:tc>
          <w:tcPr>
            <w:tcW w:w="2150" w:type="dxa"/>
          </w:tcPr>
          <w:p w:rsidR="00A12344" w:rsidRPr="00EA4FD5" w:rsidRDefault="00A12344" w:rsidP="00A12344">
            <w:pPr>
              <w:tabs>
                <w:tab w:val="center" w:pos="4680"/>
              </w:tabs>
              <w:suppressAutoHyphens/>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tcPr>
          <w:p w:rsidR="00A12344" w:rsidRPr="00EA4FD5" w:rsidRDefault="00A12344" w:rsidP="00F901D2">
            <w:pPr>
              <w:tabs>
                <w:tab w:val="center" w:pos="4680"/>
              </w:tabs>
              <w:suppressAutoHyphens/>
              <w:jc w:val="center"/>
              <w:rPr>
                <w:rFonts w:ascii="Arial" w:hAnsi="Arial" w:cs="Arial"/>
                <w:szCs w:val="24"/>
              </w:rPr>
            </w:pPr>
            <w:r w:rsidRPr="00EA4FD5">
              <w:rPr>
                <w:rFonts w:ascii="Arial" w:hAnsi="Arial" w:cs="Arial"/>
                <w:szCs w:val="24"/>
              </w:rPr>
              <w:t xml:space="preserve">(Note </w:t>
            </w:r>
            <w:r w:rsidR="00F901D2">
              <w:rPr>
                <w:rFonts w:ascii="Arial" w:hAnsi="Arial" w:cs="Arial"/>
                <w:szCs w:val="24"/>
              </w:rPr>
              <w:t>2</w:t>
            </w:r>
            <w:r w:rsidRPr="00EA4FD5">
              <w:rPr>
                <w:rFonts w:ascii="Arial" w:hAnsi="Arial" w:cs="Arial"/>
                <w:szCs w:val="24"/>
              </w:rPr>
              <w:t>)</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tcPr>
          <w:p w:rsidR="00A12344" w:rsidRPr="00EA4FD5" w:rsidRDefault="00A12344" w:rsidP="00F901D2">
            <w:pPr>
              <w:tabs>
                <w:tab w:val="center" w:pos="4680"/>
              </w:tabs>
              <w:suppressAutoHyphens/>
              <w:jc w:val="center"/>
              <w:rPr>
                <w:rFonts w:ascii="Arial" w:hAnsi="Arial" w:cs="Arial"/>
                <w:szCs w:val="24"/>
              </w:rPr>
            </w:pPr>
            <w:r w:rsidRPr="00EA4FD5">
              <w:rPr>
                <w:rFonts w:ascii="Arial" w:hAnsi="Arial" w:cs="Arial"/>
                <w:szCs w:val="24"/>
              </w:rPr>
              <w:t xml:space="preserve">(Note </w:t>
            </w:r>
            <w:r w:rsidR="00F901D2">
              <w:rPr>
                <w:rFonts w:ascii="Arial" w:hAnsi="Arial" w:cs="Arial"/>
                <w:szCs w:val="24"/>
              </w:rPr>
              <w:t>3</w:t>
            </w:r>
            <w:r w:rsidRPr="00EA4FD5">
              <w:rPr>
                <w:rFonts w:ascii="Arial" w:hAnsi="Arial" w:cs="Arial"/>
                <w:szCs w:val="24"/>
              </w:rPr>
              <w:t>)</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tcPr>
          <w:p w:rsidR="00A12344" w:rsidRPr="00EA4FD5" w:rsidRDefault="00A12344" w:rsidP="00F901D2">
            <w:pPr>
              <w:tabs>
                <w:tab w:val="center" w:pos="4680"/>
              </w:tabs>
              <w:suppressAutoHyphens/>
              <w:jc w:val="center"/>
              <w:rPr>
                <w:rFonts w:ascii="Arial" w:hAnsi="Arial" w:cs="Arial"/>
                <w:szCs w:val="24"/>
              </w:rPr>
            </w:pPr>
            <w:r w:rsidRPr="00EA4FD5">
              <w:rPr>
                <w:rFonts w:ascii="Arial" w:hAnsi="Arial" w:cs="Arial"/>
                <w:szCs w:val="24"/>
              </w:rPr>
              <w:t xml:space="preserve">(Note </w:t>
            </w:r>
            <w:r w:rsidR="00F901D2">
              <w:rPr>
                <w:rFonts w:ascii="Arial" w:hAnsi="Arial" w:cs="Arial"/>
                <w:szCs w:val="24"/>
              </w:rPr>
              <w:t>4</w:t>
            </w:r>
            <w:r w:rsidRPr="00EA4FD5">
              <w:rPr>
                <w:rFonts w:ascii="Arial" w:hAnsi="Arial" w:cs="Arial"/>
                <w:szCs w:val="24"/>
              </w:rPr>
              <w:t>)</w:t>
            </w:r>
          </w:p>
        </w:tc>
      </w:tr>
      <w:tr w:rsidR="00A12344" w:rsidRPr="00EA4FD5" w:rsidTr="00A12344">
        <w:trPr>
          <w:trHeight w:val="279"/>
        </w:trPr>
        <w:tc>
          <w:tcPr>
            <w:tcW w:w="2150" w:type="dxa"/>
          </w:tcPr>
          <w:p w:rsidR="00A12344" w:rsidRPr="00EA4FD5" w:rsidRDefault="00A12344" w:rsidP="00A12344">
            <w:pPr>
              <w:tabs>
                <w:tab w:val="center" w:pos="4680"/>
              </w:tabs>
              <w:suppressAutoHyphens/>
              <w:rPr>
                <w:rFonts w:ascii="Arial" w:hAnsi="Arial" w:cs="Arial"/>
                <w:szCs w:val="24"/>
              </w:rPr>
            </w:pPr>
          </w:p>
        </w:tc>
        <w:tc>
          <w:tcPr>
            <w:tcW w:w="236" w:type="dxa"/>
          </w:tcPr>
          <w:p w:rsidR="00A12344" w:rsidRPr="00EA4FD5" w:rsidRDefault="00A12344" w:rsidP="00A12344">
            <w:pPr>
              <w:tabs>
                <w:tab w:val="center" w:pos="4680"/>
              </w:tabs>
              <w:suppressAutoHyphens/>
              <w:rPr>
                <w:rFonts w:ascii="Arial" w:hAnsi="Arial" w:cs="Arial"/>
                <w:szCs w:val="24"/>
              </w:rPr>
            </w:pPr>
          </w:p>
        </w:tc>
        <w:tc>
          <w:tcPr>
            <w:tcW w:w="2312" w:type="dxa"/>
          </w:tcPr>
          <w:p w:rsidR="00A12344" w:rsidRPr="00EA4FD5" w:rsidRDefault="00A12344" w:rsidP="00A12344">
            <w:pPr>
              <w:tabs>
                <w:tab w:val="center" w:pos="4680"/>
              </w:tabs>
              <w:suppressAutoHyphens/>
              <w:rPr>
                <w:rFonts w:ascii="Arial" w:hAnsi="Arial" w:cs="Arial"/>
                <w:szCs w:val="24"/>
              </w:rPr>
            </w:pPr>
          </w:p>
        </w:tc>
        <w:tc>
          <w:tcPr>
            <w:tcW w:w="270" w:type="dxa"/>
          </w:tcPr>
          <w:p w:rsidR="00A12344" w:rsidRPr="00EA4FD5" w:rsidRDefault="00A12344" w:rsidP="00A12344">
            <w:pPr>
              <w:tabs>
                <w:tab w:val="center" w:pos="4680"/>
              </w:tabs>
              <w:suppressAutoHyphens/>
              <w:rPr>
                <w:rFonts w:ascii="Arial" w:hAnsi="Arial" w:cs="Arial"/>
                <w:szCs w:val="24"/>
              </w:rPr>
            </w:pPr>
          </w:p>
        </w:tc>
        <w:tc>
          <w:tcPr>
            <w:tcW w:w="2250" w:type="dxa"/>
          </w:tcPr>
          <w:p w:rsidR="00A12344" w:rsidRPr="00EA4FD5" w:rsidRDefault="00A12344" w:rsidP="00A12344">
            <w:pPr>
              <w:tabs>
                <w:tab w:val="center" w:pos="4680"/>
              </w:tabs>
              <w:suppressAutoHyphens/>
              <w:rPr>
                <w:rFonts w:ascii="Arial" w:hAnsi="Arial" w:cs="Arial"/>
                <w:szCs w:val="24"/>
              </w:rPr>
            </w:pPr>
          </w:p>
        </w:tc>
        <w:tc>
          <w:tcPr>
            <w:tcW w:w="270" w:type="dxa"/>
          </w:tcPr>
          <w:p w:rsidR="00A12344" w:rsidRPr="00EA4FD5" w:rsidRDefault="00A12344" w:rsidP="00A12344">
            <w:pPr>
              <w:tabs>
                <w:tab w:val="center" w:pos="4680"/>
              </w:tabs>
              <w:suppressAutoHyphens/>
              <w:rPr>
                <w:rFonts w:ascii="Arial" w:hAnsi="Arial" w:cs="Arial"/>
                <w:szCs w:val="24"/>
              </w:rPr>
            </w:pPr>
          </w:p>
        </w:tc>
        <w:tc>
          <w:tcPr>
            <w:tcW w:w="2070" w:type="dxa"/>
          </w:tcPr>
          <w:p w:rsidR="00A12344" w:rsidRPr="00EA4FD5" w:rsidRDefault="00A12344" w:rsidP="00A12344">
            <w:pPr>
              <w:tabs>
                <w:tab w:val="center" w:pos="4680"/>
              </w:tabs>
              <w:suppressAutoHyphens/>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December 2010**</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      (330,919)</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1,546,997</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940914" w:rsidP="00A12344">
            <w:pPr>
              <w:tabs>
                <w:tab w:val="center" w:pos="4680"/>
              </w:tabs>
              <w:suppressAutoHyphens/>
              <w:jc w:val="center"/>
              <w:rPr>
                <w:rFonts w:ascii="Arial" w:hAnsi="Arial" w:cs="Arial"/>
                <w:szCs w:val="24"/>
              </w:rPr>
            </w:pPr>
            <w:r>
              <w:rPr>
                <w:rFonts w:ascii="Arial" w:hAnsi="Arial" w:cs="Arial"/>
                <w:szCs w:val="24"/>
              </w:rPr>
              <w:t xml:space="preserve">  </w:t>
            </w:r>
            <w:r w:rsidR="00A12344" w:rsidRPr="00EA4FD5">
              <w:rPr>
                <w:rFonts w:ascii="Arial" w:hAnsi="Arial" w:cs="Arial"/>
                <w:szCs w:val="24"/>
              </w:rPr>
              <w:t>$  (1,877,916)</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January 2011</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4,966,043</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6,983,949</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(2,017,906)</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February</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6,424,455</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6,606,896</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A204B9">
              <w:rPr>
                <w:rFonts w:ascii="Arial" w:hAnsi="Arial" w:cs="Arial"/>
                <w:szCs w:val="24"/>
              </w:rPr>
              <w:t xml:space="preserve"> </w:t>
            </w:r>
            <w:r w:rsidRPr="00EA4FD5">
              <w:rPr>
                <w:rFonts w:ascii="Arial" w:hAnsi="Arial" w:cs="Arial"/>
                <w:szCs w:val="24"/>
              </w:rPr>
              <w:t>(182,441)</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March</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5,546,100</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5,911,411</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00A204B9">
              <w:rPr>
                <w:rFonts w:ascii="Arial" w:hAnsi="Arial" w:cs="Arial"/>
                <w:szCs w:val="24"/>
              </w:rPr>
              <w:t xml:space="preserve">    </w:t>
            </w:r>
            <w:r w:rsidRPr="00EA4FD5">
              <w:rPr>
                <w:rFonts w:ascii="Arial" w:hAnsi="Arial" w:cs="Arial"/>
                <w:szCs w:val="24"/>
              </w:rPr>
              <w:t>(365,311)</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April</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4,585,815</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5,049,091</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(463,276)</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May</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3,993,519</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3,367,784</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625,735</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June</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4,056,429</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3,715,883</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340,546</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July</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4,688,884</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4,143,499</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545,385</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August</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5,106,302</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5,047,183</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59,119</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September</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4,161,063</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4,258,857</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(97,794)</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October</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3,752,015</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r w:rsidRPr="00EA4FD5">
              <w:rPr>
                <w:rFonts w:ascii="Arial" w:hAnsi="Arial" w:cs="Arial"/>
                <w:szCs w:val="24"/>
              </w:rPr>
              <w:t xml:space="preserve">  </w:t>
            </w:r>
            <w:r w:rsidR="00940914">
              <w:rPr>
                <w:rFonts w:ascii="Arial" w:hAnsi="Arial" w:cs="Arial"/>
                <w:szCs w:val="24"/>
              </w:rPr>
              <w:t xml:space="preserve"> </w:t>
            </w:r>
            <w:r w:rsidRPr="00EA4FD5">
              <w:rPr>
                <w:rFonts w:ascii="Arial" w:hAnsi="Arial" w:cs="Arial"/>
                <w:szCs w:val="24"/>
              </w:rPr>
              <w:t xml:space="preserve">   3,536,612</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940914" w:rsidP="00A12344">
            <w:pPr>
              <w:tabs>
                <w:tab w:val="center" w:pos="4680"/>
              </w:tabs>
              <w:suppressAutoHyphens/>
              <w:jc w:val="center"/>
              <w:rPr>
                <w:rFonts w:ascii="Arial" w:hAnsi="Arial" w:cs="Arial"/>
                <w:szCs w:val="24"/>
              </w:rPr>
            </w:pPr>
            <w:r>
              <w:rPr>
                <w:rFonts w:ascii="Arial" w:hAnsi="Arial" w:cs="Arial"/>
                <w:szCs w:val="24"/>
              </w:rPr>
              <w:t xml:space="preserve">        </w:t>
            </w:r>
            <w:r w:rsidR="00A12344" w:rsidRPr="00EA4FD5">
              <w:rPr>
                <w:rFonts w:ascii="Arial" w:hAnsi="Arial" w:cs="Arial"/>
                <w:szCs w:val="24"/>
              </w:rPr>
              <w:t>215,403</w:t>
            </w:r>
          </w:p>
        </w:tc>
      </w:tr>
      <w:tr w:rsidR="00A12344" w:rsidRPr="00EA4FD5" w:rsidTr="00A12344">
        <w:trPr>
          <w:trHeight w:val="279"/>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szCs w:val="24"/>
              </w:rPr>
            </w:pPr>
            <w:r w:rsidRPr="00EA4FD5">
              <w:rPr>
                <w:rFonts w:ascii="Arial" w:hAnsi="Arial" w:cs="Arial"/>
                <w:szCs w:val="24"/>
              </w:rPr>
              <w:t>November</w:t>
            </w: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940914" w:rsidRDefault="00A12344" w:rsidP="00A12344">
            <w:pPr>
              <w:tabs>
                <w:tab w:val="center" w:pos="4680"/>
              </w:tabs>
              <w:suppressAutoHyphens/>
              <w:jc w:val="center"/>
              <w:rPr>
                <w:rFonts w:ascii="Arial" w:hAnsi="Arial" w:cs="Arial"/>
                <w:szCs w:val="24"/>
                <w:u w:val="single"/>
              </w:rPr>
            </w:pPr>
            <w:r w:rsidRPr="00940914">
              <w:rPr>
                <w:rFonts w:ascii="Arial" w:hAnsi="Arial" w:cs="Arial"/>
                <w:szCs w:val="24"/>
                <w:u w:val="single"/>
              </w:rPr>
              <w:t xml:space="preserve">      3,930,428</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940914" w:rsidRDefault="00A12344" w:rsidP="00A12344">
            <w:pPr>
              <w:tabs>
                <w:tab w:val="center" w:pos="4680"/>
              </w:tabs>
              <w:suppressAutoHyphens/>
              <w:jc w:val="center"/>
              <w:rPr>
                <w:rFonts w:ascii="Arial" w:hAnsi="Arial" w:cs="Arial"/>
                <w:szCs w:val="24"/>
                <w:u w:val="single"/>
              </w:rPr>
            </w:pPr>
            <w:r w:rsidRPr="00940914">
              <w:rPr>
                <w:rFonts w:ascii="Arial" w:hAnsi="Arial" w:cs="Arial"/>
                <w:szCs w:val="24"/>
                <w:u w:val="single"/>
              </w:rPr>
              <w:t xml:space="preserve">    </w:t>
            </w:r>
            <w:r w:rsidR="00940914">
              <w:rPr>
                <w:rFonts w:ascii="Arial" w:hAnsi="Arial" w:cs="Arial"/>
                <w:szCs w:val="24"/>
                <w:u w:val="single"/>
              </w:rPr>
              <w:t xml:space="preserve"> </w:t>
            </w:r>
            <w:r w:rsidRPr="00940914">
              <w:rPr>
                <w:rFonts w:ascii="Arial" w:hAnsi="Arial" w:cs="Arial"/>
                <w:szCs w:val="24"/>
                <w:u w:val="single"/>
              </w:rPr>
              <w:t xml:space="preserve"> 4,254,598</w:t>
            </w: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940914" w:rsidRDefault="00940914" w:rsidP="00A12344">
            <w:pPr>
              <w:tabs>
                <w:tab w:val="center" w:pos="4680"/>
              </w:tabs>
              <w:suppressAutoHyphens/>
              <w:jc w:val="center"/>
              <w:rPr>
                <w:rFonts w:ascii="Arial" w:hAnsi="Arial" w:cs="Arial"/>
                <w:szCs w:val="24"/>
                <w:u w:val="single"/>
              </w:rPr>
            </w:pPr>
            <w:r w:rsidRPr="00940914">
              <w:rPr>
                <w:rFonts w:ascii="Arial" w:hAnsi="Arial" w:cs="Arial"/>
                <w:szCs w:val="24"/>
              </w:rPr>
              <w:t xml:space="preserve">  </w:t>
            </w:r>
            <w:r>
              <w:rPr>
                <w:rFonts w:ascii="Arial" w:hAnsi="Arial" w:cs="Arial"/>
                <w:szCs w:val="24"/>
                <w:u w:val="single"/>
              </w:rPr>
              <w:t xml:space="preserve">      </w:t>
            </w:r>
            <w:r w:rsidR="00A12344" w:rsidRPr="00940914">
              <w:rPr>
                <w:rFonts w:ascii="Arial" w:hAnsi="Arial" w:cs="Arial"/>
                <w:szCs w:val="24"/>
                <w:u w:val="single"/>
              </w:rPr>
              <w:t>(324,170)</w:t>
            </w:r>
          </w:p>
        </w:tc>
      </w:tr>
      <w:tr w:rsidR="00A12344" w:rsidRPr="00EA4FD5" w:rsidTr="00A12344">
        <w:trPr>
          <w:trHeight w:val="273"/>
        </w:trPr>
        <w:tc>
          <w:tcPr>
            <w:tcW w:w="2150" w:type="dxa"/>
          </w:tcPr>
          <w:p w:rsidR="00A12344" w:rsidRPr="00EA4FD5" w:rsidRDefault="00A12344" w:rsidP="00A12344">
            <w:pPr>
              <w:rPr>
                <w:rFonts w:ascii="Arial" w:hAnsi="Arial" w:cs="Arial"/>
                <w:szCs w:val="24"/>
              </w:rPr>
            </w:pPr>
          </w:p>
        </w:tc>
        <w:tc>
          <w:tcPr>
            <w:tcW w:w="236" w:type="dxa"/>
          </w:tcPr>
          <w:p w:rsidR="00A12344" w:rsidRPr="00EA4FD5" w:rsidRDefault="00A12344" w:rsidP="00A12344">
            <w:pPr>
              <w:tabs>
                <w:tab w:val="center" w:pos="4680"/>
              </w:tabs>
              <w:suppressAutoHyphens/>
              <w:jc w:val="center"/>
              <w:rPr>
                <w:rFonts w:ascii="Arial" w:hAnsi="Arial" w:cs="Arial"/>
                <w:szCs w:val="24"/>
              </w:rPr>
            </w:pPr>
          </w:p>
        </w:tc>
        <w:tc>
          <w:tcPr>
            <w:tcW w:w="2312"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250" w:type="dxa"/>
            <w:vAlign w:val="center"/>
          </w:tcPr>
          <w:p w:rsidR="00A12344" w:rsidRPr="00EA4FD5" w:rsidRDefault="00A12344" w:rsidP="00A12344">
            <w:pPr>
              <w:tabs>
                <w:tab w:val="center" w:pos="4680"/>
              </w:tabs>
              <w:suppressAutoHyphens/>
              <w:jc w:val="center"/>
              <w:rPr>
                <w:rFonts w:ascii="Arial" w:hAnsi="Arial" w:cs="Arial"/>
                <w:szCs w:val="24"/>
              </w:rPr>
            </w:pPr>
          </w:p>
        </w:tc>
        <w:tc>
          <w:tcPr>
            <w:tcW w:w="270" w:type="dxa"/>
          </w:tcPr>
          <w:p w:rsidR="00A12344" w:rsidRPr="00EA4FD5" w:rsidRDefault="00A12344" w:rsidP="00A12344">
            <w:pPr>
              <w:tabs>
                <w:tab w:val="center" w:pos="4680"/>
              </w:tabs>
              <w:suppressAutoHyphens/>
              <w:jc w:val="center"/>
              <w:rPr>
                <w:rFonts w:ascii="Arial" w:hAnsi="Arial" w:cs="Arial"/>
                <w:szCs w:val="24"/>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rPr>
            </w:pPr>
          </w:p>
        </w:tc>
      </w:tr>
      <w:tr w:rsidR="00A12344" w:rsidRPr="00EA4FD5" w:rsidTr="00A12344">
        <w:trPr>
          <w:trHeight w:val="279"/>
        </w:trPr>
        <w:tc>
          <w:tcPr>
            <w:tcW w:w="2150" w:type="dxa"/>
          </w:tcPr>
          <w:p w:rsidR="00A12344" w:rsidRPr="00EA4FD5" w:rsidRDefault="00A12344" w:rsidP="00A12344">
            <w:pPr>
              <w:rPr>
                <w:rFonts w:ascii="Arial" w:hAnsi="Arial" w:cs="Arial"/>
                <w:bCs/>
                <w:szCs w:val="24"/>
              </w:rPr>
            </w:pPr>
            <w:r w:rsidRPr="00EA4FD5">
              <w:rPr>
                <w:rFonts w:ascii="Arial" w:hAnsi="Arial" w:cs="Arial"/>
                <w:bCs/>
                <w:szCs w:val="24"/>
              </w:rPr>
              <w:t>Totals</w:t>
            </w:r>
          </w:p>
        </w:tc>
        <w:tc>
          <w:tcPr>
            <w:tcW w:w="236" w:type="dxa"/>
          </w:tcPr>
          <w:p w:rsidR="00A12344" w:rsidRPr="00EA4FD5" w:rsidRDefault="00A12344" w:rsidP="00A12344">
            <w:pPr>
              <w:tabs>
                <w:tab w:val="center" w:pos="4680"/>
              </w:tabs>
              <w:suppressAutoHyphens/>
              <w:jc w:val="center"/>
              <w:rPr>
                <w:rFonts w:ascii="Arial" w:hAnsi="Arial" w:cs="Arial"/>
                <w:szCs w:val="24"/>
                <w:u w:val="double"/>
              </w:rPr>
            </w:pPr>
          </w:p>
        </w:tc>
        <w:tc>
          <w:tcPr>
            <w:tcW w:w="2312" w:type="dxa"/>
            <w:vAlign w:val="center"/>
          </w:tcPr>
          <w:p w:rsidR="00A12344" w:rsidRPr="00EA4FD5" w:rsidRDefault="00940914" w:rsidP="00940914">
            <w:pPr>
              <w:tabs>
                <w:tab w:val="center" w:pos="4680"/>
              </w:tabs>
              <w:suppressAutoHyphens/>
              <w:jc w:val="center"/>
              <w:rPr>
                <w:rFonts w:ascii="Arial" w:hAnsi="Arial" w:cs="Arial"/>
                <w:szCs w:val="24"/>
                <w:u w:val="double"/>
              </w:rPr>
            </w:pPr>
            <w:r>
              <w:rPr>
                <w:rFonts w:ascii="Arial" w:hAnsi="Arial" w:cs="Arial"/>
                <w:szCs w:val="24"/>
                <w:u w:val="double"/>
              </w:rPr>
              <w:t xml:space="preserve">$ </w:t>
            </w:r>
            <w:r w:rsidR="00A12344" w:rsidRPr="00EA4FD5">
              <w:rPr>
                <w:rFonts w:ascii="Arial" w:hAnsi="Arial" w:cs="Arial"/>
                <w:szCs w:val="24"/>
                <w:u w:val="double"/>
              </w:rPr>
              <w:t xml:space="preserve"> 50,880,134</w:t>
            </w:r>
          </w:p>
        </w:tc>
        <w:tc>
          <w:tcPr>
            <w:tcW w:w="270" w:type="dxa"/>
          </w:tcPr>
          <w:p w:rsidR="00A12344" w:rsidRPr="00EA4FD5" w:rsidRDefault="00A12344" w:rsidP="00A12344">
            <w:pPr>
              <w:tabs>
                <w:tab w:val="center" w:pos="4680"/>
              </w:tabs>
              <w:suppressAutoHyphens/>
              <w:jc w:val="center"/>
              <w:rPr>
                <w:rFonts w:ascii="Arial" w:hAnsi="Arial" w:cs="Arial"/>
                <w:szCs w:val="24"/>
                <w:u w:val="double"/>
              </w:rPr>
            </w:pPr>
          </w:p>
        </w:tc>
        <w:tc>
          <w:tcPr>
            <w:tcW w:w="2250" w:type="dxa"/>
            <w:vAlign w:val="center"/>
          </w:tcPr>
          <w:p w:rsidR="00A12344" w:rsidRPr="00EA4FD5" w:rsidRDefault="00940914" w:rsidP="00940914">
            <w:pPr>
              <w:tabs>
                <w:tab w:val="center" w:pos="4680"/>
              </w:tabs>
              <w:suppressAutoHyphens/>
              <w:jc w:val="center"/>
              <w:rPr>
                <w:rFonts w:ascii="Arial" w:hAnsi="Arial" w:cs="Arial"/>
                <w:szCs w:val="24"/>
                <w:u w:val="double"/>
              </w:rPr>
            </w:pPr>
            <w:r>
              <w:rPr>
                <w:rFonts w:ascii="Arial" w:hAnsi="Arial" w:cs="Arial"/>
                <w:szCs w:val="24"/>
                <w:u w:val="double"/>
              </w:rPr>
              <w:t xml:space="preserve">$ </w:t>
            </w:r>
            <w:r w:rsidR="00A12344" w:rsidRPr="00EA4FD5">
              <w:rPr>
                <w:rFonts w:ascii="Arial" w:hAnsi="Arial" w:cs="Arial"/>
                <w:szCs w:val="24"/>
                <w:u w:val="double"/>
              </w:rPr>
              <w:t xml:space="preserve"> 54,422,760</w:t>
            </w:r>
            <w:r>
              <w:rPr>
                <w:rFonts w:ascii="Arial" w:hAnsi="Arial" w:cs="Arial"/>
                <w:szCs w:val="24"/>
                <w:u w:val="double"/>
              </w:rPr>
              <w:t xml:space="preserve">     </w:t>
            </w:r>
          </w:p>
        </w:tc>
        <w:tc>
          <w:tcPr>
            <w:tcW w:w="270" w:type="dxa"/>
          </w:tcPr>
          <w:p w:rsidR="00A12344" w:rsidRPr="00EA4FD5" w:rsidRDefault="00A12344" w:rsidP="00A12344">
            <w:pPr>
              <w:tabs>
                <w:tab w:val="center" w:pos="4680"/>
              </w:tabs>
              <w:suppressAutoHyphens/>
              <w:jc w:val="center"/>
              <w:rPr>
                <w:rFonts w:ascii="Arial" w:hAnsi="Arial" w:cs="Arial"/>
                <w:szCs w:val="24"/>
                <w:u w:val="double"/>
              </w:rPr>
            </w:pPr>
          </w:p>
        </w:tc>
        <w:tc>
          <w:tcPr>
            <w:tcW w:w="2070" w:type="dxa"/>
            <w:vAlign w:val="center"/>
          </w:tcPr>
          <w:p w:rsidR="00A12344" w:rsidRPr="00EA4FD5" w:rsidRDefault="00A12344" w:rsidP="00A12344">
            <w:pPr>
              <w:tabs>
                <w:tab w:val="center" w:pos="4680"/>
              </w:tabs>
              <w:suppressAutoHyphens/>
              <w:jc w:val="center"/>
              <w:rPr>
                <w:rFonts w:ascii="Arial" w:hAnsi="Arial" w:cs="Arial"/>
                <w:szCs w:val="24"/>
                <w:u w:val="double"/>
              </w:rPr>
            </w:pPr>
            <w:r w:rsidRPr="00940914">
              <w:rPr>
                <w:rFonts w:ascii="Arial" w:hAnsi="Arial" w:cs="Arial"/>
                <w:szCs w:val="24"/>
              </w:rPr>
              <w:t xml:space="preserve">  </w:t>
            </w:r>
            <w:r w:rsidRPr="00EA4FD5">
              <w:rPr>
                <w:rFonts w:ascii="Arial" w:hAnsi="Arial" w:cs="Arial"/>
                <w:szCs w:val="24"/>
                <w:u w:val="double"/>
              </w:rPr>
              <w:t>$</w:t>
            </w:r>
            <w:r w:rsidR="00940914">
              <w:rPr>
                <w:rFonts w:ascii="Arial" w:hAnsi="Arial" w:cs="Arial"/>
                <w:szCs w:val="24"/>
                <w:u w:val="double"/>
              </w:rPr>
              <w:t xml:space="preserve">  </w:t>
            </w:r>
            <w:r w:rsidRPr="00EA4FD5">
              <w:rPr>
                <w:rFonts w:ascii="Arial" w:hAnsi="Arial" w:cs="Arial"/>
                <w:szCs w:val="24"/>
                <w:u w:val="double"/>
              </w:rPr>
              <w:t>(3,542,626)</w:t>
            </w:r>
          </w:p>
        </w:tc>
      </w:tr>
      <w:tr w:rsidR="00A12344" w:rsidRPr="00EA4FD5" w:rsidTr="00A12344">
        <w:trPr>
          <w:trHeight w:val="279"/>
        </w:trPr>
        <w:tc>
          <w:tcPr>
            <w:tcW w:w="2150" w:type="dxa"/>
          </w:tcPr>
          <w:p w:rsidR="00A12344" w:rsidRPr="00EA4FD5" w:rsidRDefault="00A12344" w:rsidP="00A12344">
            <w:pPr>
              <w:rPr>
                <w:rFonts w:ascii="Arial" w:hAnsi="Arial" w:cs="Arial"/>
                <w:bCs/>
                <w:szCs w:val="24"/>
              </w:rPr>
            </w:pPr>
          </w:p>
        </w:tc>
        <w:tc>
          <w:tcPr>
            <w:tcW w:w="236" w:type="dxa"/>
          </w:tcPr>
          <w:p w:rsidR="00A12344" w:rsidRPr="00EA4FD5" w:rsidRDefault="00A12344" w:rsidP="00A12344">
            <w:pPr>
              <w:tabs>
                <w:tab w:val="center" w:pos="4680"/>
              </w:tabs>
              <w:suppressAutoHyphens/>
              <w:rPr>
                <w:rFonts w:ascii="Arial" w:hAnsi="Arial" w:cs="Arial"/>
                <w:szCs w:val="24"/>
              </w:rPr>
            </w:pPr>
          </w:p>
        </w:tc>
        <w:tc>
          <w:tcPr>
            <w:tcW w:w="2312" w:type="dxa"/>
          </w:tcPr>
          <w:p w:rsidR="00A12344" w:rsidRPr="00EA4FD5" w:rsidRDefault="00A12344" w:rsidP="00A12344">
            <w:pPr>
              <w:tabs>
                <w:tab w:val="center" w:pos="4680"/>
              </w:tabs>
              <w:suppressAutoHyphens/>
              <w:rPr>
                <w:rFonts w:ascii="Arial" w:hAnsi="Arial" w:cs="Arial"/>
                <w:szCs w:val="24"/>
              </w:rPr>
            </w:pPr>
          </w:p>
        </w:tc>
        <w:tc>
          <w:tcPr>
            <w:tcW w:w="270" w:type="dxa"/>
          </w:tcPr>
          <w:p w:rsidR="00A12344" w:rsidRPr="00EA4FD5" w:rsidRDefault="00A12344" w:rsidP="00A12344">
            <w:pPr>
              <w:tabs>
                <w:tab w:val="center" w:pos="4680"/>
              </w:tabs>
              <w:suppressAutoHyphens/>
              <w:rPr>
                <w:rFonts w:ascii="Arial" w:hAnsi="Arial" w:cs="Arial"/>
                <w:szCs w:val="24"/>
              </w:rPr>
            </w:pPr>
          </w:p>
        </w:tc>
        <w:tc>
          <w:tcPr>
            <w:tcW w:w="2250" w:type="dxa"/>
          </w:tcPr>
          <w:p w:rsidR="00A12344" w:rsidRPr="00EA4FD5" w:rsidRDefault="00A12344" w:rsidP="00A12344">
            <w:pPr>
              <w:tabs>
                <w:tab w:val="center" w:pos="4680"/>
              </w:tabs>
              <w:suppressAutoHyphens/>
              <w:rPr>
                <w:rFonts w:ascii="Arial" w:hAnsi="Arial" w:cs="Arial"/>
                <w:szCs w:val="24"/>
              </w:rPr>
            </w:pPr>
          </w:p>
        </w:tc>
        <w:tc>
          <w:tcPr>
            <w:tcW w:w="270" w:type="dxa"/>
          </w:tcPr>
          <w:p w:rsidR="00A12344" w:rsidRPr="00EA4FD5" w:rsidRDefault="00A12344" w:rsidP="00A12344">
            <w:pPr>
              <w:tabs>
                <w:tab w:val="center" w:pos="4680"/>
              </w:tabs>
              <w:suppressAutoHyphens/>
              <w:rPr>
                <w:rFonts w:ascii="Arial" w:hAnsi="Arial" w:cs="Arial"/>
                <w:szCs w:val="24"/>
              </w:rPr>
            </w:pPr>
          </w:p>
        </w:tc>
        <w:tc>
          <w:tcPr>
            <w:tcW w:w="2070" w:type="dxa"/>
          </w:tcPr>
          <w:p w:rsidR="00A12344" w:rsidRPr="00EA4FD5" w:rsidRDefault="00A12344" w:rsidP="00A12344">
            <w:pPr>
              <w:tabs>
                <w:tab w:val="center" w:pos="4680"/>
              </w:tabs>
              <w:suppressAutoHyphens/>
              <w:rPr>
                <w:rFonts w:ascii="Arial" w:hAnsi="Arial" w:cs="Arial"/>
                <w:szCs w:val="24"/>
              </w:rPr>
            </w:pPr>
          </w:p>
        </w:tc>
      </w:tr>
    </w:tbl>
    <w:p w:rsidR="0024111D" w:rsidRDefault="0024111D" w:rsidP="000A4866">
      <w:pPr>
        <w:tabs>
          <w:tab w:val="left" w:pos="360"/>
          <w:tab w:val="center" w:pos="4680"/>
        </w:tabs>
        <w:suppressAutoHyphens/>
        <w:rPr>
          <w:rFonts w:ascii="Arial" w:hAnsi="Arial" w:cs="Arial"/>
          <w:szCs w:val="24"/>
        </w:rPr>
      </w:pPr>
    </w:p>
    <w:p w:rsidR="000A4866" w:rsidRPr="007A206B" w:rsidRDefault="0036491D" w:rsidP="000A4866">
      <w:pPr>
        <w:tabs>
          <w:tab w:val="left" w:pos="360"/>
          <w:tab w:val="center" w:pos="4680"/>
        </w:tabs>
        <w:suppressAutoHyphens/>
        <w:rPr>
          <w:rFonts w:ascii="Arial" w:hAnsi="Arial" w:cs="Arial"/>
          <w:szCs w:val="24"/>
        </w:rPr>
      </w:pPr>
      <w:r>
        <w:rPr>
          <w:rFonts w:ascii="Arial" w:hAnsi="Arial" w:cs="Arial"/>
          <w:szCs w:val="24"/>
        </w:rPr>
        <w:t xml:space="preserve"> * </w:t>
      </w:r>
      <w:r w:rsidR="000A4866">
        <w:rPr>
          <w:rFonts w:ascii="Arial" w:hAnsi="Arial" w:cs="Arial"/>
          <w:szCs w:val="24"/>
        </w:rPr>
        <w:t xml:space="preserve">As reported to the Commission at Docket No. </w:t>
      </w:r>
      <w:proofErr w:type="gramStart"/>
      <w:r w:rsidR="000A4866">
        <w:rPr>
          <w:rFonts w:ascii="Arial" w:hAnsi="Arial" w:cs="Arial"/>
          <w:szCs w:val="24"/>
        </w:rPr>
        <w:t>M-201</w:t>
      </w:r>
      <w:r w:rsidR="008A5A65">
        <w:rPr>
          <w:rFonts w:ascii="Arial" w:hAnsi="Arial" w:cs="Arial"/>
          <w:szCs w:val="24"/>
        </w:rPr>
        <w:t>1</w:t>
      </w:r>
      <w:r w:rsidR="000A4866">
        <w:rPr>
          <w:rFonts w:ascii="Arial" w:hAnsi="Arial" w:cs="Arial"/>
          <w:szCs w:val="24"/>
        </w:rPr>
        <w:t>-</w:t>
      </w:r>
      <w:r w:rsidR="008A5A65">
        <w:rPr>
          <w:rFonts w:ascii="Arial" w:hAnsi="Arial" w:cs="Arial"/>
          <w:szCs w:val="24"/>
        </w:rPr>
        <w:t>2276341</w:t>
      </w:r>
      <w:r w:rsidR="000A4866">
        <w:rPr>
          <w:rFonts w:ascii="Arial" w:hAnsi="Arial" w:cs="Arial"/>
          <w:szCs w:val="24"/>
        </w:rPr>
        <w:t>.</w:t>
      </w:r>
      <w:proofErr w:type="gramEnd"/>
    </w:p>
    <w:p w:rsidR="00940914" w:rsidRDefault="00940914" w:rsidP="0036491D">
      <w:pPr>
        <w:suppressAutoHyphens/>
        <w:ind w:left="270" w:hanging="270"/>
        <w:rPr>
          <w:rFonts w:ascii="Arial" w:hAnsi="Arial" w:cs="Arial"/>
          <w:szCs w:val="24"/>
        </w:rPr>
      </w:pPr>
    </w:p>
    <w:p w:rsidR="000A4866" w:rsidRDefault="0036491D" w:rsidP="0036491D">
      <w:pPr>
        <w:suppressAutoHyphens/>
        <w:ind w:left="270" w:hanging="270"/>
        <w:rPr>
          <w:rFonts w:ascii="Arial" w:hAnsi="Arial" w:cs="Arial"/>
          <w:szCs w:val="24"/>
        </w:rPr>
      </w:pPr>
      <w:r>
        <w:rPr>
          <w:rFonts w:ascii="Arial" w:hAnsi="Arial" w:cs="Arial"/>
          <w:szCs w:val="24"/>
        </w:rPr>
        <w:t xml:space="preserve">** </w:t>
      </w:r>
      <w:r w:rsidR="008A5A65" w:rsidRPr="00C47B09">
        <w:rPr>
          <w:rFonts w:ascii="Arial" w:hAnsi="Arial" w:cs="Arial"/>
          <w:szCs w:val="24"/>
        </w:rPr>
        <w:t xml:space="preserve">December data is a true up of the estimated </w:t>
      </w:r>
      <w:r w:rsidR="00E3161B">
        <w:rPr>
          <w:rFonts w:ascii="Arial" w:hAnsi="Arial" w:cs="Arial"/>
          <w:szCs w:val="24"/>
        </w:rPr>
        <w:t xml:space="preserve">December </w:t>
      </w:r>
      <w:r w:rsidR="008A5A65" w:rsidRPr="00C47B09">
        <w:rPr>
          <w:rFonts w:ascii="Arial" w:hAnsi="Arial" w:cs="Arial"/>
          <w:szCs w:val="24"/>
        </w:rPr>
        <w:t xml:space="preserve">data reported in the </w:t>
      </w:r>
      <w:r w:rsidR="005D2D3F">
        <w:rPr>
          <w:rFonts w:ascii="Arial" w:hAnsi="Arial" w:cs="Arial"/>
          <w:szCs w:val="24"/>
        </w:rPr>
        <w:t xml:space="preserve">reconciliation statement reported to the Commission at Docket No. </w:t>
      </w:r>
      <w:proofErr w:type="gramStart"/>
      <w:r w:rsidR="005D2D3F">
        <w:rPr>
          <w:rFonts w:ascii="Arial" w:hAnsi="Arial" w:cs="Arial"/>
          <w:szCs w:val="24"/>
        </w:rPr>
        <w:t>M-2010-2213701.</w:t>
      </w:r>
      <w:proofErr w:type="gramEnd"/>
      <w:r>
        <w:rPr>
          <w:rFonts w:ascii="Arial" w:hAnsi="Arial" w:cs="Arial"/>
          <w:szCs w:val="24"/>
        </w:rPr>
        <w:t xml:space="preserve">  </w:t>
      </w:r>
    </w:p>
    <w:p w:rsidR="00940914" w:rsidRDefault="00940914" w:rsidP="00940914">
      <w:pPr>
        <w:tabs>
          <w:tab w:val="center" w:pos="4680"/>
        </w:tabs>
        <w:suppressAutoHyphens/>
        <w:rPr>
          <w:rFonts w:ascii="Arial" w:hAnsi="Arial" w:cs="Arial"/>
          <w:szCs w:val="24"/>
        </w:rPr>
      </w:pPr>
    </w:p>
    <w:p w:rsidR="00940914" w:rsidRDefault="00940914" w:rsidP="00940914">
      <w:pPr>
        <w:tabs>
          <w:tab w:val="center" w:pos="4680"/>
        </w:tabs>
        <w:suppressAutoHyphens/>
        <w:rPr>
          <w:rFonts w:ascii="Arial" w:hAnsi="Arial" w:cs="Arial"/>
          <w:szCs w:val="24"/>
        </w:rPr>
      </w:pPr>
      <w:r>
        <w:rPr>
          <w:rFonts w:ascii="Arial" w:hAnsi="Arial" w:cs="Arial"/>
          <w:szCs w:val="24"/>
        </w:rPr>
        <w:t xml:space="preserve">    </w:t>
      </w:r>
      <w:r w:rsidRPr="007A206B">
        <w:rPr>
          <w:rFonts w:ascii="Arial" w:hAnsi="Arial" w:cs="Arial"/>
          <w:szCs w:val="24"/>
        </w:rPr>
        <w:t>Notes to the Financial Statements are an integral part of this report.</w:t>
      </w:r>
    </w:p>
    <w:p w:rsidR="0031644D" w:rsidRPr="00EA4FD5" w:rsidRDefault="00D9515C" w:rsidP="002A3F41">
      <w:pPr>
        <w:pStyle w:val="Heading1"/>
        <w:rPr>
          <w:rFonts w:ascii="Arial" w:hAnsi="Arial" w:cs="Arial"/>
          <w:sz w:val="26"/>
          <w:szCs w:val="26"/>
          <w:u w:val="none"/>
        </w:rPr>
      </w:pPr>
      <w:r w:rsidRPr="00EA4FD5">
        <w:rPr>
          <w:rFonts w:ascii="Arial" w:hAnsi="Arial" w:cs="Arial"/>
          <w:sz w:val="26"/>
          <w:szCs w:val="26"/>
          <w:u w:val="none"/>
        </w:rPr>
        <w:lastRenderedPageBreak/>
        <w:t>PPL Electric Utilities Corporation</w:t>
      </w:r>
    </w:p>
    <w:p w:rsidR="0031644D" w:rsidRPr="00EA4FD5" w:rsidRDefault="0031644D" w:rsidP="00245AE1">
      <w:pPr>
        <w:pStyle w:val="Heading1"/>
        <w:rPr>
          <w:rFonts w:ascii="Arial" w:hAnsi="Arial" w:cs="Arial"/>
          <w:sz w:val="26"/>
          <w:szCs w:val="26"/>
          <w:u w:val="none"/>
        </w:rPr>
      </w:pPr>
    </w:p>
    <w:p w:rsidR="005D711E" w:rsidRPr="00B86803" w:rsidRDefault="005D711E" w:rsidP="00245AE1">
      <w:pPr>
        <w:pStyle w:val="Heading1"/>
        <w:rPr>
          <w:rFonts w:ascii="Arial" w:hAnsi="Arial" w:cs="Arial"/>
          <w:sz w:val="26"/>
          <w:szCs w:val="26"/>
          <w:u w:val="none"/>
        </w:rPr>
      </w:pPr>
      <w:r w:rsidRPr="00B86803">
        <w:rPr>
          <w:rFonts w:ascii="Arial" w:hAnsi="Arial" w:cs="Arial"/>
          <w:sz w:val="26"/>
          <w:szCs w:val="26"/>
          <w:u w:val="none"/>
        </w:rPr>
        <w:t xml:space="preserve">Notes </w:t>
      </w:r>
      <w:r w:rsidR="00B86803">
        <w:rPr>
          <w:rFonts w:ascii="Arial" w:hAnsi="Arial" w:cs="Arial"/>
          <w:sz w:val="26"/>
          <w:szCs w:val="26"/>
          <w:u w:val="none"/>
        </w:rPr>
        <w:t>t</w:t>
      </w:r>
      <w:r w:rsidRPr="00B86803">
        <w:rPr>
          <w:rFonts w:ascii="Arial" w:hAnsi="Arial" w:cs="Arial"/>
          <w:sz w:val="26"/>
          <w:szCs w:val="26"/>
          <w:u w:val="none"/>
        </w:rPr>
        <w:t xml:space="preserve">o </w:t>
      </w:r>
      <w:r w:rsidR="00D84BBF">
        <w:rPr>
          <w:rFonts w:ascii="Arial" w:hAnsi="Arial" w:cs="Arial"/>
          <w:sz w:val="26"/>
          <w:szCs w:val="26"/>
          <w:u w:val="none"/>
        </w:rPr>
        <w:t>t</w:t>
      </w:r>
      <w:r w:rsidRPr="00B86803">
        <w:rPr>
          <w:rFonts w:ascii="Arial" w:hAnsi="Arial" w:cs="Arial"/>
          <w:sz w:val="26"/>
          <w:szCs w:val="26"/>
          <w:u w:val="none"/>
        </w:rPr>
        <w:t>he Financial Statements</w:t>
      </w:r>
    </w:p>
    <w:p w:rsidR="00B86803" w:rsidRDefault="00B86803" w:rsidP="00B86803">
      <w:pPr>
        <w:tabs>
          <w:tab w:val="left" w:pos="360"/>
        </w:tabs>
        <w:jc w:val="both"/>
        <w:rPr>
          <w:rFonts w:ascii="Arial" w:hAnsi="Arial" w:cs="Arial"/>
          <w:b/>
          <w:szCs w:val="24"/>
          <w:u w:val="single"/>
        </w:rPr>
      </w:pPr>
    </w:p>
    <w:p w:rsidR="00B86803" w:rsidRPr="00F51FF0" w:rsidRDefault="00B86803" w:rsidP="00B86803">
      <w:pPr>
        <w:tabs>
          <w:tab w:val="left" w:pos="360"/>
        </w:tabs>
        <w:jc w:val="both"/>
        <w:rPr>
          <w:rFonts w:ascii="Arial" w:hAnsi="Arial" w:cs="Arial"/>
          <w:b/>
          <w:szCs w:val="24"/>
          <w:u w:val="single"/>
        </w:rPr>
      </w:pPr>
      <w:r w:rsidRPr="00F51FF0">
        <w:rPr>
          <w:rFonts w:ascii="Arial" w:hAnsi="Arial" w:cs="Arial"/>
          <w:b/>
          <w:szCs w:val="24"/>
          <w:u w:val="single"/>
        </w:rPr>
        <w:t>1 -</w:t>
      </w:r>
      <w:r w:rsidRPr="00F51FF0">
        <w:rPr>
          <w:rFonts w:ascii="Arial" w:hAnsi="Arial" w:cs="Arial"/>
          <w:b/>
          <w:szCs w:val="24"/>
          <w:u w:val="single"/>
        </w:rPr>
        <w:tab/>
      </w:r>
      <w:r>
        <w:rPr>
          <w:rFonts w:ascii="Arial" w:hAnsi="Arial" w:cs="Arial"/>
          <w:b/>
          <w:szCs w:val="24"/>
          <w:u w:val="single"/>
        </w:rPr>
        <w:t>Condensed Statement</w:t>
      </w:r>
    </w:p>
    <w:p w:rsidR="00B86803" w:rsidRPr="00F51FF0" w:rsidRDefault="00B86803" w:rsidP="00B86803">
      <w:pPr>
        <w:tabs>
          <w:tab w:val="left" w:pos="360"/>
        </w:tabs>
        <w:jc w:val="both"/>
        <w:rPr>
          <w:rFonts w:ascii="Arial" w:hAnsi="Arial" w:cs="Arial"/>
          <w:b/>
          <w:szCs w:val="24"/>
          <w:u w:val="single"/>
        </w:rPr>
      </w:pPr>
    </w:p>
    <w:p w:rsidR="00B86803" w:rsidRPr="007D5DFB" w:rsidRDefault="00B86803" w:rsidP="00B86803">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Statement</w:t>
      </w:r>
      <w:r w:rsidR="00063DA1">
        <w:rPr>
          <w:rFonts w:ascii="Arial" w:hAnsi="Arial" w:cs="Arial"/>
          <w:szCs w:val="24"/>
        </w:rPr>
        <w:t xml:space="preserve">s </w:t>
      </w:r>
      <w:r>
        <w:rPr>
          <w:rFonts w:ascii="Arial" w:hAnsi="Arial" w:cs="Arial"/>
          <w:szCs w:val="24"/>
        </w:rPr>
        <w:t>o</w:t>
      </w:r>
      <w:r w:rsidRPr="00936DE2">
        <w:rPr>
          <w:rFonts w:ascii="Arial" w:hAnsi="Arial" w:cs="Arial"/>
          <w:szCs w:val="24"/>
        </w:rPr>
        <w:t xml:space="preserve">f </w:t>
      </w:r>
      <w:r w:rsidR="00063DA1">
        <w:rPr>
          <w:rFonts w:ascii="Arial" w:hAnsi="Arial" w:cs="Arial"/>
          <w:szCs w:val="24"/>
        </w:rPr>
        <w:t xml:space="preserve">Universal Service Rider </w:t>
      </w:r>
      <w:r w:rsidRPr="00936DE2">
        <w:rPr>
          <w:rFonts w:ascii="Arial" w:hAnsi="Arial" w:cs="Arial"/>
          <w:szCs w:val="24"/>
        </w:rPr>
        <w:t>Over</w:t>
      </w:r>
      <w:proofErr w:type="gramStart"/>
      <w:r w:rsidRPr="00936DE2">
        <w:rPr>
          <w:rFonts w:ascii="Arial" w:hAnsi="Arial" w:cs="Arial"/>
          <w:szCs w:val="24"/>
        </w:rPr>
        <w:t>/(</w:t>
      </w:r>
      <w:proofErr w:type="gramEnd"/>
      <w:r w:rsidRPr="00936DE2">
        <w:rPr>
          <w:rFonts w:ascii="Arial" w:hAnsi="Arial" w:cs="Arial"/>
          <w:szCs w:val="24"/>
        </w:rPr>
        <w:t>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00063DA1">
        <w:rPr>
          <w:rFonts w:ascii="Arial" w:hAnsi="Arial" w:cs="Arial"/>
          <w:szCs w:val="26"/>
        </w:rPr>
        <w:t xml:space="preserve"> report are</w:t>
      </w:r>
      <w:r w:rsidRPr="007D5DFB">
        <w:rPr>
          <w:rFonts w:ascii="Arial" w:hAnsi="Arial" w:cs="Arial"/>
          <w:szCs w:val="26"/>
        </w:rPr>
        <w:t xml:space="preserve"> condensed from the officially filed statement</w:t>
      </w:r>
      <w:r w:rsidR="00063DA1">
        <w:rPr>
          <w:rFonts w:ascii="Arial" w:hAnsi="Arial" w:cs="Arial"/>
          <w:szCs w:val="26"/>
        </w:rPr>
        <w:t>s</w:t>
      </w:r>
      <w:r w:rsidRPr="007D5DFB">
        <w:rPr>
          <w:rFonts w:ascii="Arial" w:hAnsi="Arial" w:cs="Arial"/>
          <w:szCs w:val="26"/>
        </w:rPr>
        <w:t xml:space="preserve">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4"/>
        </w:rPr>
        <w:t xml:space="preserve">PPL Electric Utilities Corporation’s (PPL or Company) </w:t>
      </w:r>
      <w:r w:rsidRPr="007D5DFB">
        <w:rPr>
          <w:rFonts w:ascii="Arial" w:hAnsi="Arial" w:cs="Arial"/>
          <w:szCs w:val="26"/>
        </w:rPr>
        <w:t xml:space="preserve">officially filed 1307(e) </w:t>
      </w:r>
      <w:r>
        <w:rPr>
          <w:rFonts w:ascii="Arial" w:hAnsi="Arial" w:cs="Arial"/>
          <w:szCs w:val="26"/>
        </w:rPr>
        <w:t>statement</w:t>
      </w:r>
      <w:r w:rsidR="00063DA1">
        <w:rPr>
          <w:rFonts w:ascii="Arial" w:hAnsi="Arial" w:cs="Arial"/>
          <w:szCs w:val="26"/>
        </w:rPr>
        <w:t>s</w:t>
      </w:r>
      <w:r>
        <w:rPr>
          <w:rFonts w:ascii="Arial" w:hAnsi="Arial" w:cs="Arial"/>
          <w:szCs w:val="26"/>
        </w:rPr>
        <w:t xml:space="preserve"> </w:t>
      </w:r>
      <w:r w:rsidRPr="007D5DFB">
        <w:rPr>
          <w:rFonts w:ascii="Arial" w:hAnsi="Arial" w:cs="Arial"/>
          <w:szCs w:val="26"/>
        </w:rPr>
        <w:t xml:space="preserve">submitted to the </w:t>
      </w:r>
      <w:r w:rsidR="003851C0">
        <w:rPr>
          <w:rFonts w:ascii="Arial" w:hAnsi="Arial" w:cs="Arial"/>
          <w:szCs w:val="26"/>
        </w:rPr>
        <w:t xml:space="preserve">Pennsylvania Public Utility </w:t>
      </w:r>
      <w:r w:rsidRPr="007D5DFB">
        <w:rPr>
          <w:rFonts w:ascii="Arial" w:hAnsi="Arial" w:cs="Arial"/>
          <w:szCs w:val="26"/>
        </w:rPr>
        <w:t>Commission</w:t>
      </w:r>
      <w:r w:rsidR="003851C0">
        <w:rPr>
          <w:rFonts w:ascii="Arial" w:hAnsi="Arial" w:cs="Arial"/>
          <w:szCs w:val="26"/>
        </w:rPr>
        <w:t xml:space="preserve"> (PUC or Commission)</w:t>
      </w:r>
      <w:r w:rsidRPr="007D5DFB">
        <w:rPr>
          <w:rFonts w:ascii="Arial" w:hAnsi="Arial" w:cs="Arial"/>
          <w:szCs w:val="26"/>
        </w:rPr>
        <w:t xml:space="preserve"> on</w:t>
      </w:r>
      <w:r>
        <w:rPr>
          <w:rFonts w:ascii="Arial" w:hAnsi="Arial" w:cs="Arial"/>
          <w:szCs w:val="26"/>
        </w:rPr>
        <w:t xml:space="preserve"> </w:t>
      </w:r>
      <w:r w:rsidR="00063DA1">
        <w:rPr>
          <w:rFonts w:ascii="Arial" w:hAnsi="Arial" w:cs="Arial"/>
          <w:szCs w:val="26"/>
        </w:rPr>
        <w:t>December 11, 2012 and December 11,</w:t>
      </w:r>
      <w:r>
        <w:rPr>
          <w:rFonts w:ascii="Arial" w:hAnsi="Arial" w:cs="Arial"/>
          <w:szCs w:val="26"/>
        </w:rPr>
        <w:t xml:space="preserve"> 201</w:t>
      </w:r>
      <w:r w:rsidR="00063DA1">
        <w:rPr>
          <w:rFonts w:ascii="Arial" w:hAnsi="Arial" w:cs="Arial"/>
          <w:szCs w:val="26"/>
        </w:rPr>
        <w:t>1</w:t>
      </w:r>
      <w:r>
        <w:rPr>
          <w:rFonts w:ascii="Arial" w:hAnsi="Arial" w:cs="Arial"/>
          <w:szCs w:val="26"/>
        </w:rPr>
        <w:t xml:space="preserve"> </w:t>
      </w:r>
      <w:r w:rsidRPr="007D5DFB">
        <w:rPr>
          <w:rFonts w:ascii="Arial" w:hAnsi="Arial" w:cs="Arial"/>
          <w:szCs w:val="26"/>
        </w:rPr>
        <w:t xml:space="preserve">and </w:t>
      </w:r>
      <w:r w:rsidR="00063DA1">
        <w:rPr>
          <w:rFonts w:ascii="Arial" w:hAnsi="Arial" w:cs="Arial"/>
          <w:szCs w:val="26"/>
        </w:rPr>
        <w:t>are</w:t>
      </w:r>
      <w:r w:rsidRPr="007D5DFB">
        <w:rPr>
          <w:rFonts w:ascii="Arial" w:hAnsi="Arial" w:cs="Arial"/>
          <w:szCs w:val="26"/>
        </w:rPr>
        <w:t xml:space="preserve"> available at Docket No</w:t>
      </w:r>
      <w:r w:rsidR="00063DA1">
        <w:rPr>
          <w:rFonts w:ascii="Arial" w:hAnsi="Arial" w:cs="Arial"/>
          <w:szCs w:val="26"/>
        </w:rPr>
        <w:t>s</w:t>
      </w:r>
      <w:r w:rsidRPr="007D5DFB">
        <w:rPr>
          <w:rFonts w:ascii="Arial" w:hAnsi="Arial" w:cs="Arial"/>
          <w:szCs w:val="26"/>
        </w:rPr>
        <w:t>. M</w:t>
      </w:r>
      <w:r>
        <w:rPr>
          <w:rFonts w:ascii="Arial" w:hAnsi="Arial" w:cs="Arial"/>
          <w:szCs w:val="26"/>
        </w:rPr>
        <w:noBreakHyphen/>
      </w:r>
      <w:r w:rsidRPr="007D5DFB">
        <w:rPr>
          <w:rFonts w:ascii="Arial" w:hAnsi="Arial" w:cs="Arial"/>
          <w:szCs w:val="26"/>
        </w:rPr>
        <w:t>20</w:t>
      </w:r>
      <w:r>
        <w:rPr>
          <w:rFonts w:ascii="Arial" w:hAnsi="Arial" w:cs="Arial"/>
          <w:szCs w:val="26"/>
        </w:rPr>
        <w:t>12</w:t>
      </w:r>
      <w:r w:rsidRPr="007D5DFB">
        <w:rPr>
          <w:rFonts w:ascii="Arial" w:hAnsi="Arial" w:cs="Arial"/>
          <w:szCs w:val="26"/>
        </w:rPr>
        <w:t>-</w:t>
      </w:r>
      <w:r w:rsidRPr="004A1323">
        <w:rPr>
          <w:rFonts w:ascii="Arial" w:hAnsi="Arial" w:cs="Arial"/>
          <w:szCs w:val="24"/>
        </w:rPr>
        <w:t>23</w:t>
      </w:r>
      <w:r w:rsidR="00063DA1">
        <w:rPr>
          <w:rFonts w:ascii="Arial" w:hAnsi="Arial" w:cs="Arial"/>
          <w:szCs w:val="24"/>
        </w:rPr>
        <w:t>37086 and M-2011-2276341,</w:t>
      </w:r>
      <w:r w:rsidR="00373558">
        <w:rPr>
          <w:rFonts w:ascii="Arial" w:hAnsi="Arial" w:cs="Arial"/>
          <w:szCs w:val="24"/>
        </w:rPr>
        <w:t xml:space="preserve"> </w:t>
      </w:r>
      <w:r w:rsidR="00063DA1">
        <w:rPr>
          <w:rFonts w:ascii="Arial" w:hAnsi="Arial" w:cs="Arial"/>
          <w:szCs w:val="24"/>
        </w:rPr>
        <w:t>respectively,</w:t>
      </w:r>
      <w:r w:rsidRPr="007D5DFB">
        <w:rPr>
          <w:rFonts w:ascii="Arial" w:hAnsi="Arial" w:cs="Arial"/>
          <w:szCs w:val="26"/>
        </w:rPr>
        <w:t xml:space="preserve"> via http://www.puc.pa.gov</w:t>
      </w:r>
      <w:r>
        <w:rPr>
          <w:rFonts w:ascii="Arial" w:hAnsi="Arial" w:cs="Arial"/>
          <w:szCs w:val="26"/>
        </w:rPr>
        <w:t>.</w:t>
      </w:r>
    </w:p>
    <w:p w:rsidR="005D711E" w:rsidRPr="00EA4FD5" w:rsidRDefault="005D711E" w:rsidP="00245AE1">
      <w:pPr>
        <w:tabs>
          <w:tab w:val="center" w:pos="4680"/>
        </w:tabs>
        <w:suppressAutoHyphens/>
        <w:outlineLvl w:val="0"/>
        <w:rPr>
          <w:rFonts w:ascii="Arial" w:hAnsi="Arial" w:cs="Arial"/>
          <w:b/>
          <w:szCs w:val="24"/>
        </w:rPr>
      </w:pPr>
    </w:p>
    <w:p w:rsidR="00C82D14" w:rsidRPr="00F901D2" w:rsidRDefault="00F901D2" w:rsidP="00C82D14">
      <w:pPr>
        <w:tabs>
          <w:tab w:val="left" w:pos="360"/>
        </w:tabs>
        <w:jc w:val="both"/>
        <w:rPr>
          <w:rFonts w:ascii="Arial" w:hAnsi="Arial" w:cs="Arial"/>
          <w:b/>
          <w:szCs w:val="24"/>
          <w:u w:val="single"/>
        </w:rPr>
      </w:pPr>
      <w:r w:rsidRPr="00F901D2">
        <w:rPr>
          <w:rFonts w:ascii="Arial" w:hAnsi="Arial" w:cs="Arial"/>
          <w:b/>
          <w:szCs w:val="24"/>
          <w:u w:val="single"/>
        </w:rPr>
        <w:t>2</w:t>
      </w:r>
      <w:r w:rsidR="00C82D14" w:rsidRPr="00F901D2">
        <w:rPr>
          <w:rFonts w:ascii="Arial" w:hAnsi="Arial" w:cs="Arial"/>
          <w:b/>
          <w:szCs w:val="24"/>
          <w:u w:val="single"/>
        </w:rPr>
        <w:t xml:space="preserve"> -</w:t>
      </w:r>
      <w:r w:rsidR="00C82D14" w:rsidRPr="00F901D2">
        <w:rPr>
          <w:rFonts w:ascii="Arial" w:hAnsi="Arial" w:cs="Arial"/>
          <w:b/>
          <w:szCs w:val="24"/>
          <w:u w:val="single"/>
        </w:rPr>
        <w:tab/>
      </w:r>
      <w:r w:rsidR="00B52A52" w:rsidRPr="00F901D2">
        <w:rPr>
          <w:rFonts w:ascii="Arial" w:hAnsi="Arial" w:cs="Arial"/>
          <w:b/>
          <w:szCs w:val="24"/>
          <w:u w:val="single"/>
        </w:rPr>
        <w:t>Distribution Revenue</w:t>
      </w:r>
      <w:r w:rsidR="003E261A">
        <w:rPr>
          <w:rFonts w:ascii="Arial" w:hAnsi="Arial" w:cs="Arial"/>
          <w:b/>
          <w:szCs w:val="24"/>
          <w:u w:val="single"/>
        </w:rPr>
        <w:t>s Available</w:t>
      </w:r>
      <w:r w:rsidR="00B52A52" w:rsidRPr="00F901D2">
        <w:rPr>
          <w:rFonts w:ascii="Arial" w:hAnsi="Arial" w:cs="Arial"/>
          <w:b/>
          <w:szCs w:val="24"/>
          <w:u w:val="single"/>
        </w:rPr>
        <w:t xml:space="preserve"> </w:t>
      </w:r>
      <w:r w:rsidR="003E261A">
        <w:rPr>
          <w:rFonts w:ascii="Arial" w:hAnsi="Arial" w:cs="Arial"/>
          <w:b/>
          <w:szCs w:val="24"/>
          <w:u w:val="single"/>
        </w:rPr>
        <w:t>for</w:t>
      </w:r>
      <w:r w:rsidR="00B52A52" w:rsidRPr="00F901D2">
        <w:rPr>
          <w:rFonts w:ascii="Arial" w:hAnsi="Arial" w:cs="Arial"/>
          <w:b/>
          <w:szCs w:val="24"/>
          <w:u w:val="single"/>
        </w:rPr>
        <w:t xml:space="preserve"> U</w:t>
      </w:r>
      <w:r w:rsidR="00454455" w:rsidRPr="00F901D2">
        <w:rPr>
          <w:rFonts w:ascii="Arial" w:hAnsi="Arial" w:cs="Arial"/>
          <w:b/>
          <w:szCs w:val="24"/>
          <w:u w:val="single"/>
        </w:rPr>
        <w:t>SR</w:t>
      </w:r>
    </w:p>
    <w:p w:rsidR="00C82D14" w:rsidRPr="007A206B" w:rsidRDefault="00C82D14" w:rsidP="00C82D14">
      <w:pPr>
        <w:tabs>
          <w:tab w:val="left" w:pos="360"/>
        </w:tabs>
        <w:jc w:val="both"/>
        <w:rPr>
          <w:rFonts w:ascii="Arial" w:hAnsi="Arial" w:cs="Arial"/>
          <w:b/>
          <w:szCs w:val="24"/>
          <w:highlight w:val="lightGray"/>
          <w:u w:val="single"/>
        </w:rPr>
      </w:pPr>
    </w:p>
    <w:p w:rsidR="00A46D64" w:rsidRDefault="00A46D64" w:rsidP="00C82D14">
      <w:pPr>
        <w:tabs>
          <w:tab w:val="left" w:pos="360"/>
        </w:tabs>
        <w:ind w:left="360"/>
        <w:rPr>
          <w:rFonts w:ascii="Arial" w:hAnsi="Arial" w:cs="Arial"/>
          <w:szCs w:val="24"/>
        </w:rPr>
      </w:pPr>
      <w:r>
        <w:rPr>
          <w:rFonts w:ascii="Arial" w:hAnsi="Arial" w:cs="Arial"/>
          <w:szCs w:val="24"/>
        </w:rPr>
        <w:t xml:space="preserve">The Distribution Revenues Available for </w:t>
      </w:r>
      <w:r w:rsidR="00C22567">
        <w:rPr>
          <w:rFonts w:ascii="Arial" w:hAnsi="Arial" w:cs="Arial"/>
          <w:szCs w:val="24"/>
        </w:rPr>
        <w:t>Universal Service Rider (</w:t>
      </w:r>
      <w:r>
        <w:rPr>
          <w:rFonts w:ascii="Arial" w:hAnsi="Arial" w:cs="Arial"/>
          <w:szCs w:val="24"/>
        </w:rPr>
        <w:t>USR</w:t>
      </w:r>
      <w:r w:rsidR="00C22567">
        <w:rPr>
          <w:rFonts w:ascii="Arial" w:hAnsi="Arial" w:cs="Arial"/>
          <w:szCs w:val="24"/>
        </w:rPr>
        <w:t>)</w:t>
      </w:r>
      <w:r>
        <w:rPr>
          <w:rFonts w:ascii="Arial" w:hAnsi="Arial" w:cs="Arial"/>
          <w:szCs w:val="24"/>
        </w:rPr>
        <w:t xml:space="preserve"> </w:t>
      </w:r>
      <w:r w:rsidRPr="007A206B">
        <w:rPr>
          <w:rFonts w:ascii="Arial" w:hAnsi="Arial" w:cs="Arial"/>
          <w:szCs w:val="24"/>
        </w:rPr>
        <w:t xml:space="preserve">are the amounts </w:t>
      </w:r>
      <w:r>
        <w:rPr>
          <w:rFonts w:ascii="Arial" w:hAnsi="Arial" w:cs="Arial"/>
          <w:szCs w:val="24"/>
        </w:rPr>
        <w:t>billed by PPL, e</w:t>
      </w:r>
      <w:r w:rsidRPr="00F51FF0">
        <w:rPr>
          <w:rFonts w:ascii="Arial" w:hAnsi="Arial" w:cs="Arial"/>
          <w:szCs w:val="24"/>
        </w:rPr>
        <w:t xml:space="preserve">xcluding </w:t>
      </w:r>
      <w:r>
        <w:rPr>
          <w:rFonts w:ascii="Arial" w:hAnsi="Arial" w:cs="Arial"/>
          <w:szCs w:val="24"/>
        </w:rPr>
        <w:t xml:space="preserve">gross receipts tax, </w:t>
      </w:r>
      <w:r w:rsidRPr="00F51FF0">
        <w:rPr>
          <w:rFonts w:ascii="Arial" w:hAnsi="Arial" w:cs="Arial"/>
          <w:szCs w:val="24"/>
        </w:rPr>
        <w:t xml:space="preserve">as a result of applying the </w:t>
      </w:r>
      <w:r>
        <w:rPr>
          <w:rFonts w:ascii="Arial" w:hAnsi="Arial" w:cs="Arial"/>
          <w:szCs w:val="24"/>
        </w:rPr>
        <w:t xml:space="preserve">approved tariff rate to each </w:t>
      </w:r>
      <w:r w:rsidRPr="00F51FF0">
        <w:rPr>
          <w:rFonts w:ascii="Arial" w:hAnsi="Arial" w:cs="Arial"/>
          <w:szCs w:val="24"/>
        </w:rPr>
        <w:t>kilowatt-hour</w:t>
      </w:r>
      <w:r>
        <w:rPr>
          <w:rFonts w:ascii="Arial" w:hAnsi="Arial" w:cs="Arial"/>
          <w:szCs w:val="24"/>
        </w:rPr>
        <w:t xml:space="preserve"> (kWh)</w:t>
      </w:r>
      <w:r w:rsidRPr="00F51FF0">
        <w:rPr>
          <w:rFonts w:ascii="Arial" w:hAnsi="Arial" w:cs="Arial"/>
          <w:szCs w:val="24"/>
        </w:rPr>
        <w:t xml:space="preserve"> </w:t>
      </w:r>
      <w:r>
        <w:rPr>
          <w:rFonts w:ascii="Arial" w:hAnsi="Arial" w:cs="Arial"/>
          <w:szCs w:val="24"/>
        </w:rPr>
        <w:t xml:space="preserve">of energy supplied </w:t>
      </w:r>
      <w:r w:rsidRPr="007A206B">
        <w:rPr>
          <w:rFonts w:ascii="Arial" w:hAnsi="Arial" w:cs="Arial"/>
          <w:szCs w:val="24"/>
        </w:rPr>
        <w:t xml:space="preserve">to </w:t>
      </w:r>
      <w:r>
        <w:rPr>
          <w:rFonts w:ascii="Arial" w:hAnsi="Arial" w:cs="Arial"/>
          <w:szCs w:val="24"/>
        </w:rPr>
        <w:t>residential customers who take distribution service.</w:t>
      </w:r>
      <w:r w:rsidRPr="007A206B">
        <w:rPr>
          <w:rFonts w:ascii="Arial" w:hAnsi="Arial" w:cs="Arial"/>
          <w:szCs w:val="24"/>
        </w:rPr>
        <w:t xml:space="preserve"> </w:t>
      </w:r>
      <w:r>
        <w:rPr>
          <w:rFonts w:ascii="Arial" w:hAnsi="Arial" w:cs="Arial"/>
          <w:szCs w:val="24"/>
        </w:rPr>
        <w:t xml:space="preserve"> </w:t>
      </w:r>
    </w:p>
    <w:p w:rsidR="00C82D14" w:rsidRPr="007A206B" w:rsidRDefault="00C82D14" w:rsidP="00C82D14">
      <w:pPr>
        <w:tabs>
          <w:tab w:val="left" w:pos="360"/>
        </w:tabs>
        <w:ind w:left="360"/>
        <w:rPr>
          <w:rFonts w:ascii="Arial" w:hAnsi="Arial" w:cs="Arial"/>
          <w:szCs w:val="24"/>
        </w:rPr>
      </w:pPr>
    </w:p>
    <w:p w:rsidR="005D711E" w:rsidRPr="00AB219A" w:rsidRDefault="00AB219A" w:rsidP="00245AE1">
      <w:pPr>
        <w:pStyle w:val="EndnoteText"/>
        <w:tabs>
          <w:tab w:val="left" w:pos="-720"/>
        </w:tabs>
        <w:suppressAutoHyphens/>
        <w:rPr>
          <w:rFonts w:ascii="Arial" w:hAnsi="Arial" w:cs="Arial"/>
          <w:b/>
          <w:szCs w:val="24"/>
          <w:u w:val="single"/>
        </w:rPr>
      </w:pPr>
      <w:r w:rsidRPr="00AB219A">
        <w:rPr>
          <w:rFonts w:ascii="Arial" w:hAnsi="Arial" w:cs="Arial"/>
          <w:b/>
          <w:szCs w:val="24"/>
          <w:u w:val="single"/>
        </w:rPr>
        <w:t>3</w:t>
      </w:r>
      <w:r w:rsidR="00B52A52" w:rsidRPr="00AB219A">
        <w:rPr>
          <w:rFonts w:ascii="Arial" w:hAnsi="Arial" w:cs="Arial"/>
          <w:b/>
          <w:szCs w:val="24"/>
          <w:u w:val="single"/>
        </w:rPr>
        <w:t xml:space="preserve"> </w:t>
      </w:r>
      <w:r w:rsidR="008A4CFC" w:rsidRPr="00AB219A">
        <w:rPr>
          <w:rFonts w:ascii="Arial" w:hAnsi="Arial" w:cs="Arial"/>
          <w:b/>
          <w:szCs w:val="24"/>
          <w:u w:val="single"/>
        </w:rPr>
        <w:t xml:space="preserve">- </w:t>
      </w:r>
      <w:proofErr w:type="spellStart"/>
      <w:r w:rsidR="00B52A52" w:rsidRPr="00AB219A">
        <w:rPr>
          <w:rFonts w:ascii="Arial" w:hAnsi="Arial" w:cs="Arial"/>
          <w:b/>
          <w:szCs w:val="24"/>
          <w:u w:val="single"/>
        </w:rPr>
        <w:t>OnTrack</w:t>
      </w:r>
      <w:proofErr w:type="spellEnd"/>
      <w:r w:rsidR="00B52A52" w:rsidRPr="00AB219A">
        <w:rPr>
          <w:rFonts w:ascii="Arial" w:hAnsi="Arial" w:cs="Arial"/>
          <w:b/>
          <w:szCs w:val="24"/>
          <w:u w:val="single"/>
        </w:rPr>
        <w:t>/WRAP Expenses</w:t>
      </w:r>
    </w:p>
    <w:p w:rsidR="00A52486" w:rsidRDefault="00A52486" w:rsidP="00245AE1">
      <w:pPr>
        <w:pStyle w:val="EndnoteText"/>
        <w:tabs>
          <w:tab w:val="left" w:pos="-720"/>
        </w:tabs>
        <w:suppressAutoHyphens/>
        <w:rPr>
          <w:rFonts w:ascii="Arial" w:hAnsi="Arial" w:cs="Arial"/>
          <w:b/>
          <w:szCs w:val="24"/>
          <w:u w:val="single"/>
        </w:rPr>
      </w:pPr>
    </w:p>
    <w:p w:rsidR="005C789F" w:rsidRDefault="00AD7F8B" w:rsidP="005C789F">
      <w:pPr>
        <w:tabs>
          <w:tab w:val="left" w:pos="360"/>
        </w:tabs>
        <w:ind w:left="360"/>
        <w:rPr>
          <w:rFonts w:ascii="Arial" w:hAnsi="Arial" w:cs="Arial"/>
          <w:szCs w:val="24"/>
        </w:rPr>
      </w:pPr>
      <w:r>
        <w:rPr>
          <w:rFonts w:ascii="Arial" w:hAnsi="Arial" w:cs="Arial"/>
          <w:szCs w:val="24"/>
        </w:rPr>
        <w:t xml:space="preserve">The </w:t>
      </w:r>
      <w:proofErr w:type="spellStart"/>
      <w:r>
        <w:rPr>
          <w:rFonts w:ascii="Arial" w:hAnsi="Arial" w:cs="Arial"/>
          <w:szCs w:val="24"/>
        </w:rPr>
        <w:t>OnTrack</w:t>
      </w:r>
      <w:proofErr w:type="spellEnd"/>
      <w:r>
        <w:rPr>
          <w:rFonts w:ascii="Arial" w:hAnsi="Arial" w:cs="Arial"/>
          <w:szCs w:val="24"/>
        </w:rPr>
        <w:t xml:space="preserve">/WRAP Expenses are the applicable charges incurred by the Company for </w:t>
      </w:r>
      <w:r w:rsidR="00F74508">
        <w:rPr>
          <w:rFonts w:ascii="Arial" w:hAnsi="Arial" w:cs="Arial"/>
          <w:szCs w:val="24"/>
        </w:rPr>
        <w:t>the recovery of the costs</w:t>
      </w:r>
      <w:r>
        <w:rPr>
          <w:rFonts w:ascii="Arial" w:hAnsi="Arial" w:cs="Arial"/>
          <w:szCs w:val="24"/>
        </w:rPr>
        <w:t xml:space="preserve"> </w:t>
      </w:r>
      <w:r w:rsidR="00F74508">
        <w:rPr>
          <w:rFonts w:ascii="Arial" w:hAnsi="Arial" w:cs="Arial"/>
          <w:szCs w:val="24"/>
        </w:rPr>
        <w:t>associated with the universal service programs</w:t>
      </w:r>
      <w:r w:rsidR="00B20C63">
        <w:rPr>
          <w:rFonts w:ascii="Arial" w:hAnsi="Arial" w:cs="Arial"/>
          <w:szCs w:val="24"/>
        </w:rPr>
        <w:t xml:space="preserve"> </w:t>
      </w:r>
      <w:r>
        <w:rPr>
          <w:rFonts w:ascii="Arial" w:hAnsi="Arial" w:cs="Arial"/>
          <w:szCs w:val="24"/>
        </w:rPr>
        <w:t xml:space="preserve">provided by the Company to residential customers.  These programs include </w:t>
      </w:r>
      <w:proofErr w:type="spellStart"/>
      <w:r w:rsidR="00B20C63">
        <w:rPr>
          <w:rFonts w:ascii="Arial" w:hAnsi="Arial" w:cs="Arial"/>
          <w:szCs w:val="24"/>
        </w:rPr>
        <w:t>OnTrack</w:t>
      </w:r>
      <w:proofErr w:type="spellEnd"/>
      <w:r w:rsidR="00B20C63">
        <w:rPr>
          <w:rFonts w:ascii="Arial" w:hAnsi="Arial" w:cs="Arial"/>
          <w:szCs w:val="24"/>
        </w:rPr>
        <w:t xml:space="preserve"> and the Winter Relief Assistance Program (WRAP)</w:t>
      </w:r>
      <w:r>
        <w:rPr>
          <w:rFonts w:ascii="Arial" w:hAnsi="Arial" w:cs="Arial"/>
          <w:szCs w:val="24"/>
        </w:rPr>
        <w:t>.</w:t>
      </w:r>
      <w:r w:rsidR="00B20C63">
        <w:rPr>
          <w:rFonts w:ascii="Arial" w:hAnsi="Arial" w:cs="Arial"/>
          <w:szCs w:val="24"/>
        </w:rPr>
        <w:t xml:space="preserve"> </w:t>
      </w:r>
      <w:r>
        <w:rPr>
          <w:rFonts w:ascii="Arial" w:hAnsi="Arial" w:cs="Arial"/>
          <w:szCs w:val="24"/>
        </w:rPr>
        <w:t xml:space="preserve"> </w:t>
      </w:r>
    </w:p>
    <w:p w:rsidR="00215791" w:rsidRPr="00EA4FD5" w:rsidRDefault="00215791" w:rsidP="00245AE1">
      <w:pPr>
        <w:pStyle w:val="EndnoteText"/>
        <w:tabs>
          <w:tab w:val="left" w:pos="-720"/>
        </w:tabs>
        <w:suppressAutoHyphens/>
        <w:rPr>
          <w:rFonts w:ascii="Arial" w:hAnsi="Arial" w:cs="Arial"/>
          <w:b/>
          <w:szCs w:val="24"/>
        </w:rPr>
      </w:pPr>
    </w:p>
    <w:p w:rsidR="00BF2068" w:rsidRPr="00AB219A" w:rsidRDefault="00AB219A" w:rsidP="00245AE1">
      <w:pPr>
        <w:pStyle w:val="EndnoteText"/>
        <w:tabs>
          <w:tab w:val="left" w:pos="-720"/>
        </w:tabs>
        <w:suppressAutoHyphens/>
        <w:rPr>
          <w:rFonts w:ascii="Arial" w:hAnsi="Arial" w:cs="Arial"/>
          <w:b/>
          <w:szCs w:val="24"/>
          <w:u w:val="single"/>
        </w:rPr>
      </w:pPr>
      <w:r w:rsidRPr="00AB219A">
        <w:rPr>
          <w:rFonts w:ascii="Arial" w:hAnsi="Arial" w:cs="Arial"/>
          <w:b/>
          <w:szCs w:val="24"/>
          <w:u w:val="single"/>
        </w:rPr>
        <w:t>4</w:t>
      </w:r>
      <w:r w:rsidR="00A2165D">
        <w:rPr>
          <w:rFonts w:ascii="Arial" w:hAnsi="Arial" w:cs="Arial"/>
          <w:b/>
          <w:szCs w:val="24"/>
          <w:u w:val="single"/>
        </w:rPr>
        <w:t xml:space="preserve"> -</w:t>
      </w:r>
      <w:r w:rsidR="00BF2068" w:rsidRPr="00AB219A">
        <w:rPr>
          <w:rFonts w:ascii="Arial" w:hAnsi="Arial" w:cs="Arial"/>
          <w:b/>
          <w:szCs w:val="24"/>
          <w:u w:val="single"/>
        </w:rPr>
        <w:t xml:space="preserve"> Over</w:t>
      </w:r>
      <w:proofErr w:type="gramStart"/>
      <w:r w:rsidR="00BF2068" w:rsidRPr="00AB219A">
        <w:rPr>
          <w:rFonts w:ascii="Arial" w:hAnsi="Arial" w:cs="Arial"/>
          <w:b/>
          <w:szCs w:val="24"/>
          <w:u w:val="single"/>
        </w:rPr>
        <w:t>/(</w:t>
      </w:r>
      <w:proofErr w:type="gramEnd"/>
      <w:r w:rsidR="00BF2068" w:rsidRPr="00AB219A">
        <w:rPr>
          <w:rFonts w:ascii="Arial" w:hAnsi="Arial" w:cs="Arial"/>
          <w:b/>
          <w:szCs w:val="24"/>
          <w:u w:val="single"/>
        </w:rPr>
        <w:t>Under) Collection</w:t>
      </w:r>
      <w:r w:rsidR="00454455" w:rsidRPr="00AB219A">
        <w:rPr>
          <w:rFonts w:ascii="Arial" w:hAnsi="Arial" w:cs="Arial"/>
          <w:b/>
          <w:szCs w:val="24"/>
          <w:u w:val="single"/>
        </w:rPr>
        <w:t>s</w:t>
      </w:r>
    </w:p>
    <w:p w:rsidR="00A52486" w:rsidRDefault="00A52486" w:rsidP="00245AE1">
      <w:pPr>
        <w:pStyle w:val="EndnoteText"/>
        <w:tabs>
          <w:tab w:val="left" w:pos="475"/>
        </w:tabs>
        <w:suppressAutoHyphens/>
        <w:ind w:left="475"/>
        <w:jc w:val="both"/>
        <w:rPr>
          <w:rFonts w:ascii="Arial" w:hAnsi="Arial" w:cs="Arial"/>
          <w:szCs w:val="24"/>
        </w:rPr>
      </w:pPr>
    </w:p>
    <w:p w:rsidR="00957D6B" w:rsidRDefault="00957D6B" w:rsidP="00957D6B">
      <w:pPr>
        <w:tabs>
          <w:tab w:val="left" w:pos="360"/>
        </w:tabs>
        <w:ind w:left="360"/>
        <w:rPr>
          <w:rFonts w:ascii="Arial" w:hAnsi="Arial" w:cs="Arial"/>
          <w:szCs w:val="24"/>
        </w:rPr>
      </w:pPr>
      <w:r w:rsidRPr="00F51FF0">
        <w:rPr>
          <w:rFonts w:ascii="Arial" w:hAnsi="Arial" w:cs="Arial"/>
          <w:szCs w:val="24"/>
        </w:rPr>
        <w:t>The Over</w:t>
      </w:r>
      <w:proofErr w:type="gramStart"/>
      <w:r w:rsidRPr="00F51FF0">
        <w:rPr>
          <w:rFonts w:ascii="Arial" w:hAnsi="Arial" w:cs="Arial"/>
          <w:szCs w:val="24"/>
        </w:rPr>
        <w:t>/(</w:t>
      </w:r>
      <w:proofErr w:type="gramEnd"/>
      <w:r w:rsidRPr="00F51FF0">
        <w:rPr>
          <w:rFonts w:ascii="Arial" w:hAnsi="Arial" w:cs="Arial"/>
          <w:szCs w:val="24"/>
        </w:rPr>
        <w:t xml:space="preserve">Under) Collections </w:t>
      </w:r>
      <w:r w:rsidR="00944D84">
        <w:rPr>
          <w:rFonts w:ascii="Arial" w:hAnsi="Arial" w:cs="Arial"/>
          <w:szCs w:val="24"/>
        </w:rPr>
        <w:t>are</w:t>
      </w:r>
      <w:r w:rsidRPr="00F51FF0">
        <w:rPr>
          <w:rFonts w:ascii="Arial" w:hAnsi="Arial" w:cs="Arial"/>
          <w:szCs w:val="24"/>
        </w:rPr>
        <w:t xml:space="preserve"> the difference between the </w:t>
      </w:r>
      <w:r>
        <w:rPr>
          <w:rFonts w:ascii="Arial" w:hAnsi="Arial" w:cs="Arial"/>
          <w:szCs w:val="24"/>
        </w:rPr>
        <w:t>USR</w:t>
      </w:r>
      <w:r w:rsidRPr="00F51FF0">
        <w:rPr>
          <w:rFonts w:ascii="Arial" w:hAnsi="Arial" w:cs="Arial"/>
          <w:szCs w:val="24"/>
        </w:rPr>
        <w:t xml:space="preserve"> </w:t>
      </w:r>
      <w:r>
        <w:rPr>
          <w:rFonts w:ascii="Arial" w:hAnsi="Arial" w:cs="Arial"/>
          <w:szCs w:val="24"/>
        </w:rPr>
        <w:t>R</w:t>
      </w:r>
      <w:r w:rsidRPr="00F51FF0">
        <w:rPr>
          <w:rFonts w:ascii="Arial" w:hAnsi="Arial" w:cs="Arial"/>
          <w:szCs w:val="24"/>
        </w:rPr>
        <w:t xml:space="preserve">evenues and </w:t>
      </w:r>
      <w:r>
        <w:rPr>
          <w:rFonts w:ascii="Arial" w:hAnsi="Arial" w:cs="Arial"/>
          <w:szCs w:val="24"/>
        </w:rPr>
        <w:t>the USR</w:t>
      </w:r>
      <w:r w:rsidRPr="00F51FF0">
        <w:rPr>
          <w:rFonts w:ascii="Arial" w:hAnsi="Arial" w:cs="Arial"/>
          <w:szCs w:val="24"/>
        </w:rPr>
        <w:t xml:space="preserve"> </w:t>
      </w:r>
      <w:r>
        <w:rPr>
          <w:rFonts w:ascii="Arial" w:hAnsi="Arial" w:cs="Arial"/>
          <w:szCs w:val="24"/>
        </w:rPr>
        <w:t>E</w:t>
      </w:r>
      <w:r w:rsidRPr="00F51FF0">
        <w:rPr>
          <w:rFonts w:ascii="Arial" w:hAnsi="Arial" w:cs="Arial"/>
          <w:szCs w:val="24"/>
        </w:rPr>
        <w:t>xpenses</w:t>
      </w:r>
      <w:r>
        <w:rPr>
          <w:rFonts w:ascii="Arial" w:hAnsi="Arial" w:cs="Arial"/>
          <w:szCs w:val="24"/>
        </w:rPr>
        <w:t>.</w:t>
      </w:r>
      <w:r w:rsidRPr="00F51FF0">
        <w:rPr>
          <w:rFonts w:ascii="Arial" w:hAnsi="Arial" w:cs="Arial"/>
          <w:szCs w:val="24"/>
        </w:rPr>
        <w:t xml:space="preserve"> </w:t>
      </w:r>
      <w:r>
        <w:rPr>
          <w:rFonts w:ascii="Arial" w:hAnsi="Arial" w:cs="Arial"/>
          <w:szCs w:val="24"/>
        </w:rPr>
        <w:t xml:space="preserve"> The resulting amounts represent the portion of USR Revenues refundable to or expenses recoverable from customers through subsequent USR filings.  Interest is applied to both over and under collections.  Differences arise for two primary reasons:</w:t>
      </w:r>
    </w:p>
    <w:p w:rsidR="00957D6B" w:rsidRDefault="00957D6B" w:rsidP="00957D6B">
      <w:pPr>
        <w:tabs>
          <w:tab w:val="left" w:pos="360"/>
        </w:tabs>
        <w:ind w:left="360"/>
        <w:rPr>
          <w:rFonts w:ascii="Arial" w:hAnsi="Arial" w:cs="Arial"/>
          <w:szCs w:val="24"/>
        </w:rPr>
      </w:pPr>
    </w:p>
    <w:p w:rsidR="00957D6B" w:rsidRPr="00810BDC" w:rsidRDefault="00957D6B" w:rsidP="00957D6B">
      <w:pPr>
        <w:pStyle w:val="ListParagraph"/>
        <w:numPr>
          <w:ilvl w:val="0"/>
          <w:numId w:val="11"/>
        </w:numPr>
        <w:ind w:left="1080"/>
        <w:contextualSpacing w:val="0"/>
        <w:rPr>
          <w:rFonts w:ascii="Arial" w:hAnsi="Arial" w:cs="Arial"/>
          <w:szCs w:val="24"/>
        </w:rPr>
      </w:pPr>
      <w:r w:rsidRPr="00810BDC">
        <w:rPr>
          <w:rFonts w:ascii="Arial" w:hAnsi="Arial" w:cs="Arial"/>
          <w:szCs w:val="24"/>
        </w:rPr>
        <w:t xml:space="preserve">Variations between the actual </w:t>
      </w:r>
      <w:r>
        <w:rPr>
          <w:rFonts w:ascii="Arial" w:hAnsi="Arial" w:cs="Arial"/>
          <w:szCs w:val="24"/>
        </w:rPr>
        <w:t xml:space="preserve">monthly </w:t>
      </w:r>
      <w:r w:rsidRPr="00810BDC">
        <w:rPr>
          <w:rFonts w:ascii="Arial" w:hAnsi="Arial" w:cs="Arial"/>
          <w:szCs w:val="24"/>
        </w:rPr>
        <w:t>volumes billed to customers and</w:t>
      </w:r>
      <w:r>
        <w:rPr>
          <w:rFonts w:ascii="Arial" w:hAnsi="Arial" w:cs="Arial"/>
          <w:szCs w:val="24"/>
        </w:rPr>
        <w:t xml:space="preserve"> the </w:t>
      </w:r>
      <w:r w:rsidRPr="00810BDC">
        <w:rPr>
          <w:rFonts w:ascii="Arial" w:hAnsi="Arial" w:cs="Arial"/>
          <w:szCs w:val="24"/>
        </w:rPr>
        <w:t>estimates</w:t>
      </w:r>
      <w:r>
        <w:rPr>
          <w:rFonts w:ascii="Arial" w:hAnsi="Arial" w:cs="Arial"/>
          <w:szCs w:val="24"/>
        </w:rPr>
        <w:t xml:space="preserve"> </w:t>
      </w:r>
      <w:r w:rsidRPr="00810BDC">
        <w:rPr>
          <w:rFonts w:ascii="Arial" w:hAnsi="Arial" w:cs="Arial"/>
          <w:szCs w:val="24"/>
        </w:rPr>
        <w:t xml:space="preserve">used to determine the </w:t>
      </w:r>
      <w:r>
        <w:rPr>
          <w:rFonts w:ascii="Arial" w:hAnsi="Arial" w:cs="Arial"/>
          <w:szCs w:val="24"/>
        </w:rPr>
        <w:t>USR</w:t>
      </w:r>
      <w:r w:rsidRPr="00810BDC">
        <w:rPr>
          <w:rFonts w:ascii="Arial" w:hAnsi="Arial" w:cs="Arial"/>
          <w:szCs w:val="24"/>
        </w:rPr>
        <w:t xml:space="preserve"> rates.</w:t>
      </w:r>
    </w:p>
    <w:p w:rsidR="00957D6B" w:rsidRDefault="00957D6B" w:rsidP="00957D6B">
      <w:pPr>
        <w:pStyle w:val="ListParagraph"/>
        <w:tabs>
          <w:tab w:val="left" w:pos="360"/>
        </w:tabs>
        <w:ind w:left="1080"/>
        <w:rPr>
          <w:rFonts w:ascii="Arial" w:hAnsi="Arial" w:cs="Arial"/>
          <w:szCs w:val="24"/>
        </w:rPr>
      </w:pPr>
    </w:p>
    <w:p w:rsidR="006D55C8" w:rsidRDefault="00957D6B" w:rsidP="00957D6B">
      <w:pPr>
        <w:pStyle w:val="ListParagraph"/>
        <w:numPr>
          <w:ilvl w:val="0"/>
          <w:numId w:val="10"/>
        </w:numPr>
        <w:contextualSpacing w:val="0"/>
        <w:rPr>
          <w:rFonts w:ascii="Arial" w:hAnsi="Arial" w:cs="Arial"/>
          <w:szCs w:val="24"/>
        </w:rPr>
        <w:sectPr w:rsidR="006D55C8" w:rsidSect="006D55C8">
          <w:headerReference w:type="even" r:id="rId24"/>
          <w:headerReference w:type="default" r:id="rId25"/>
          <w:footerReference w:type="default" r:id="rId26"/>
          <w:headerReference w:type="first" r:id="rId27"/>
          <w:endnotePr>
            <w:numFmt w:val="decimal"/>
          </w:endnotePr>
          <w:pgSz w:w="12240" w:h="15840" w:code="1"/>
          <w:pgMar w:top="1440" w:right="1440" w:bottom="1152" w:left="1440" w:header="0" w:footer="720" w:gutter="0"/>
          <w:pgNumType w:fmt="numberInDash" w:start="2"/>
          <w:cols w:space="720"/>
          <w:noEndnote/>
        </w:sectPr>
      </w:pPr>
      <w:r>
        <w:rPr>
          <w:rFonts w:ascii="Arial" w:hAnsi="Arial" w:cs="Arial"/>
          <w:szCs w:val="24"/>
        </w:rPr>
        <w:t>Variations between the actual USR expenses and the estimates used to determine the USR rates.</w:t>
      </w:r>
    </w:p>
    <w:p w:rsidR="002A5D93" w:rsidRPr="005B3234" w:rsidRDefault="002A5D93" w:rsidP="005B3234"/>
    <w:p w:rsidR="003213B5" w:rsidRDefault="003213B5" w:rsidP="003213B5">
      <w:pPr>
        <w:pStyle w:val="Heading4"/>
        <w:tabs>
          <w:tab w:val="clear" w:pos="4680"/>
        </w:tabs>
        <w:rPr>
          <w:rFonts w:ascii="Arial" w:hAnsi="Arial" w:cs="Arial"/>
          <w:sz w:val="36"/>
          <w:szCs w:val="36"/>
          <w:u w:val="none"/>
        </w:rPr>
      </w:pPr>
    </w:p>
    <w:p w:rsidR="003213B5" w:rsidRDefault="003213B5" w:rsidP="003213B5">
      <w:pPr>
        <w:pStyle w:val="Heading4"/>
        <w:tabs>
          <w:tab w:val="clear" w:pos="4680"/>
        </w:tabs>
        <w:rPr>
          <w:rFonts w:ascii="Arial" w:hAnsi="Arial" w:cs="Arial"/>
          <w:sz w:val="36"/>
          <w:szCs w:val="36"/>
          <w:u w:val="none"/>
        </w:rPr>
      </w:pPr>
    </w:p>
    <w:p w:rsidR="002A5D93" w:rsidRDefault="002A5D93" w:rsidP="005B3234"/>
    <w:p w:rsidR="002A5D93" w:rsidRDefault="002A5D93" w:rsidP="005B3234"/>
    <w:p w:rsidR="002A5D93" w:rsidRPr="005B3234" w:rsidRDefault="002A5D93" w:rsidP="005B3234"/>
    <w:p w:rsidR="003213B5" w:rsidRDefault="003213B5" w:rsidP="003213B5">
      <w:pPr>
        <w:pStyle w:val="Heading4"/>
        <w:tabs>
          <w:tab w:val="clear" w:pos="4680"/>
        </w:tabs>
        <w:rPr>
          <w:rFonts w:ascii="Arial" w:hAnsi="Arial" w:cs="Arial"/>
          <w:sz w:val="36"/>
          <w:szCs w:val="36"/>
          <w:u w:val="none"/>
        </w:rPr>
      </w:pPr>
    </w:p>
    <w:p w:rsidR="003213B5" w:rsidRDefault="003213B5" w:rsidP="003213B5">
      <w:pPr>
        <w:pStyle w:val="Heading4"/>
        <w:tabs>
          <w:tab w:val="clear" w:pos="4680"/>
        </w:tabs>
        <w:rPr>
          <w:rFonts w:ascii="Arial" w:hAnsi="Arial" w:cs="Arial"/>
          <w:sz w:val="36"/>
          <w:szCs w:val="36"/>
          <w:u w:val="none"/>
        </w:rPr>
      </w:pPr>
    </w:p>
    <w:p w:rsidR="00B347CA" w:rsidRDefault="00B347CA" w:rsidP="003213B5">
      <w:pPr>
        <w:pStyle w:val="Heading4"/>
        <w:tabs>
          <w:tab w:val="clear" w:pos="4680"/>
        </w:tabs>
        <w:rPr>
          <w:rFonts w:ascii="Arial" w:hAnsi="Arial" w:cs="Arial"/>
          <w:sz w:val="36"/>
          <w:szCs w:val="36"/>
          <w:u w:val="none"/>
        </w:rPr>
      </w:pPr>
    </w:p>
    <w:p w:rsidR="00B347CA" w:rsidRDefault="00B347CA" w:rsidP="003213B5">
      <w:pPr>
        <w:pStyle w:val="Heading4"/>
        <w:tabs>
          <w:tab w:val="clear" w:pos="4680"/>
        </w:tabs>
        <w:rPr>
          <w:rFonts w:ascii="Arial" w:hAnsi="Arial" w:cs="Arial"/>
          <w:sz w:val="36"/>
          <w:szCs w:val="36"/>
          <w:u w:val="none"/>
        </w:rPr>
      </w:pPr>
    </w:p>
    <w:p w:rsidR="00B347CA" w:rsidRDefault="00B347CA" w:rsidP="003213B5">
      <w:pPr>
        <w:pStyle w:val="Heading4"/>
        <w:tabs>
          <w:tab w:val="clear" w:pos="4680"/>
        </w:tabs>
        <w:rPr>
          <w:rFonts w:ascii="Arial" w:hAnsi="Arial" w:cs="Arial"/>
          <w:sz w:val="36"/>
          <w:szCs w:val="36"/>
          <w:u w:val="none"/>
        </w:rPr>
      </w:pPr>
    </w:p>
    <w:p w:rsidR="00B347CA" w:rsidRDefault="00B347CA" w:rsidP="003213B5">
      <w:pPr>
        <w:pStyle w:val="Heading4"/>
        <w:tabs>
          <w:tab w:val="clear" w:pos="4680"/>
        </w:tabs>
        <w:rPr>
          <w:rFonts w:ascii="Arial" w:hAnsi="Arial" w:cs="Arial"/>
          <w:sz w:val="36"/>
          <w:szCs w:val="36"/>
          <w:u w:val="none"/>
        </w:rPr>
      </w:pPr>
    </w:p>
    <w:p w:rsidR="00B347CA" w:rsidRDefault="00B347CA" w:rsidP="003213B5">
      <w:pPr>
        <w:pStyle w:val="Heading4"/>
        <w:tabs>
          <w:tab w:val="clear" w:pos="4680"/>
        </w:tabs>
        <w:rPr>
          <w:rFonts w:ascii="Arial" w:hAnsi="Arial" w:cs="Arial"/>
          <w:sz w:val="36"/>
          <w:szCs w:val="36"/>
          <w:u w:val="none"/>
        </w:rPr>
      </w:pPr>
    </w:p>
    <w:p w:rsidR="003213B5" w:rsidRPr="00FC7F94" w:rsidRDefault="003213B5" w:rsidP="003213B5">
      <w:pPr>
        <w:pStyle w:val="Heading4"/>
        <w:tabs>
          <w:tab w:val="clear" w:pos="4680"/>
        </w:tabs>
        <w:rPr>
          <w:rFonts w:ascii="Arial" w:hAnsi="Arial" w:cs="Arial"/>
          <w:sz w:val="36"/>
          <w:szCs w:val="36"/>
          <w:u w:val="none"/>
        </w:rPr>
      </w:pPr>
      <w:r>
        <w:rPr>
          <w:rFonts w:ascii="Arial" w:hAnsi="Arial" w:cs="Arial"/>
          <w:sz w:val="36"/>
          <w:szCs w:val="36"/>
          <w:u w:val="none"/>
        </w:rPr>
        <w:t>BACKGROUND</w:t>
      </w:r>
    </w:p>
    <w:p w:rsidR="003213B5" w:rsidRDefault="003213B5" w:rsidP="003213B5">
      <w:pPr>
        <w:pStyle w:val="EndnoteText"/>
        <w:tabs>
          <w:tab w:val="left" w:pos="331"/>
          <w:tab w:val="left" w:pos="4680"/>
        </w:tabs>
        <w:suppressAutoHyphens/>
        <w:jc w:val="center"/>
        <w:rPr>
          <w:rFonts w:ascii="Arial" w:hAnsi="Arial" w:cs="Arial"/>
          <w:b/>
          <w:szCs w:val="24"/>
          <w:u w:val="single"/>
        </w:rPr>
      </w:pPr>
    </w:p>
    <w:p w:rsidR="003213B5" w:rsidRDefault="003213B5" w:rsidP="003213B5">
      <w:pPr>
        <w:pStyle w:val="EndnoteText"/>
        <w:tabs>
          <w:tab w:val="left" w:pos="331"/>
          <w:tab w:val="left" w:pos="4680"/>
        </w:tabs>
        <w:suppressAutoHyphens/>
        <w:jc w:val="center"/>
        <w:rPr>
          <w:rFonts w:ascii="Arial" w:hAnsi="Arial" w:cs="Arial"/>
          <w:b/>
          <w:szCs w:val="24"/>
          <w:u w:val="single"/>
        </w:rPr>
      </w:pPr>
    </w:p>
    <w:p w:rsidR="00B347CA" w:rsidRPr="00F23244" w:rsidRDefault="00B347CA" w:rsidP="00B347CA">
      <w:pPr>
        <w:pStyle w:val="Heading4"/>
        <w:tabs>
          <w:tab w:val="clear" w:pos="4680"/>
        </w:tabs>
        <w:rPr>
          <w:rFonts w:ascii="Arial" w:hAnsi="Arial" w:cs="Arial"/>
          <w:sz w:val="36"/>
          <w:szCs w:val="36"/>
          <w:u w:val="none"/>
        </w:rPr>
      </w:pPr>
      <w:r w:rsidRPr="00F23244">
        <w:rPr>
          <w:rFonts w:ascii="Arial" w:hAnsi="Arial" w:cs="Arial"/>
          <w:sz w:val="36"/>
          <w:szCs w:val="36"/>
          <w:u w:val="none"/>
        </w:rPr>
        <w:t>AND</w:t>
      </w:r>
    </w:p>
    <w:p w:rsidR="00B347CA" w:rsidRPr="00F23244" w:rsidRDefault="00B347CA" w:rsidP="00B347CA">
      <w:pPr>
        <w:jc w:val="center"/>
        <w:rPr>
          <w:b/>
          <w:sz w:val="36"/>
          <w:szCs w:val="36"/>
        </w:rPr>
      </w:pPr>
    </w:p>
    <w:p w:rsidR="00B347CA" w:rsidRPr="00F23244" w:rsidRDefault="00B347CA" w:rsidP="00B347CA">
      <w:pPr>
        <w:pStyle w:val="Heading4"/>
        <w:tabs>
          <w:tab w:val="clear" w:pos="4680"/>
        </w:tabs>
        <w:rPr>
          <w:rFonts w:ascii="Arial" w:hAnsi="Arial" w:cs="Arial"/>
          <w:sz w:val="36"/>
          <w:u w:val="none"/>
        </w:rPr>
        <w:sectPr w:rsidR="00B347CA" w:rsidRPr="00F23244" w:rsidSect="006D55C8">
          <w:headerReference w:type="even" r:id="rId28"/>
          <w:headerReference w:type="default" r:id="rId29"/>
          <w:footerReference w:type="default" r:id="rId30"/>
          <w:headerReference w:type="first" r:id="rId31"/>
          <w:endnotePr>
            <w:numFmt w:val="decimal"/>
          </w:endnotePr>
          <w:pgSz w:w="12240" w:h="15840" w:code="1"/>
          <w:pgMar w:top="1440" w:right="1440" w:bottom="1152" w:left="1440" w:header="0" w:footer="720" w:gutter="0"/>
          <w:pgNumType w:fmt="numberInDash" w:start="2"/>
          <w:cols w:space="720"/>
          <w:noEndnote/>
        </w:sectPr>
      </w:pPr>
      <w:r w:rsidRPr="00F23244">
        <w:rPr>
          <w:rFonts w:ascii="Arial" w:hAnsi="Arial" w:cs="Arial"/>
          <w:sz w:val="36"/>
          <w:u w:val="none"/>
        </w:rPr>
        <w:t>OPERATIONAL REVIEW</w:t>
      </w:r>
    </w:p>
    <w:p w:rsidR="00524208" w:rsidRPr="00EA4FD5" w:rsidRDefault="00D9515C" w:rsidP="00524208">
      <w:pPr>
        <w:tabs>
          <w:tab w:val="center" w:pos="4680"/>
        </w:tabs>
        <w:suppressAutoHyphens/>
        <w:jc w:val="center"/>
        <w:rPr>
          <w:rFonts w:ascii="Arial" w:hAnsi="Arial" w:cs="Arial"/>
          <w:b/>
          <w:sz w:val="26"/>
          <w:szCs w:val="26"/>
        </w:rPr>
      </w:pPr>
      <w:r w:rsidRPr="00EA4FD5">
        <w:rPr>
          <w:rFonts w:ascii="Arial" w:hAnsi="Arial" w:cs="Arial"/>
          <w:b/>
          <w:sz w:val="26"/>
          <w:szCs w:val="26"/>
        </w:rPr>
        <w:lastRenderedPageBreak/>
        <w:t>PPL ELECTRIC UTILITIES CORPORATION</w:t>
      </w:r>
    </w:p>
    <w:p w:rsidR="00524208" w:rsidRPr="00EA4FD5" w:rsidRDefault="00524208" w:rsidP="00524208">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rPr>
      </w:pPr>
    </w:p>
    <w:p w:rsidR="00524208" w:rsidRPr="00EA4FD5" w:rsidRDefault="00524208" w:rsidP="00524208">
      <w:pPr>
        <w:tabs>
          <w:tab w:val="left" w:pos="-1440"/>
          <w:tab w:val="left" w:pos="-720"/>
        </w:tabs>
        <w:suppressAutoHyphens/>
        <w:jc w:val="center"/>
        <w:rPr>
          <w:rFonts w:ascii="Arial" w:hAnsi="Arial" w:cs="Arial"/>
          <w:szCs w:val="26"/>
        </w:rPr>
      </w:pPr>
      <w:r w:rsidRPr="00EA4FD5">
        <w:rPr>
          <w:rFonts w:ascii="Arial" w:hAnsi="Arial" w:cs="Arial"/>
          <w:b/>
          <w:szCs w:val="26"/>
        </w:rPr>
        <w:t>Background</w:t>
      </w:r>
    </w:p>
    <w:p w:rsidR="00524208" w:rsidRPr="00EA4FD5" w:rsidRDefault="00524208" w:rsidP="00524208">
      <w:pPr>
        <w:tabs>
          <w:tab w:val="left" w:pos="-1440"/>
          <w:tab w:val="left" w:pos="-720"/>
        </w:tabs>
        <w:suppressAutoHyphens/>
        <w:rPr>
          <w:rFonts w:ascii="Arial" w:hAnsi="Arial" w:cs="Arial"/>
          <w:szCs w:val="24"/>
        </w:rPr>
      </w:pPr>
    </w:p>
    <w:p w:rsidR="008F4C7F" w:rsidRDefault="008F4C7F" w:rsidP="006E0C50">
      <w:pPr>
        <w:pStyle w:val="p3"/>
        <w:widowControl/>
        <w:tabs>
          <w:tab w:val="clear" w:pos="204"/>
        </w:tabs>
        <w:spacing w:line="240" w:lineRule="auto"/>
        <w:ind w:firstLine="720"/>
        <w:rPr>
          <w:rFonts w:ascii="Arial" w:hAnsi="Arial" w:cs="Arial"/>
          <w:sz w:val="24"/>
        </w:rPr>
      </w:pPr>
      <w:r>
        <w:rPr>
          <w:rFonts w:ascii="Arial" w:hAnsi="Arial" w:cs="Arial"/>
          <w:color w:val="000000" w:themeColor="text1"/>
          <w:sz w:val="24"/>
        </w:rPr>
        <w:t>PPL Electric Utilities Corporation (PPL or Company) furnishes electric distribution, transmission, and default supply services to approximately 1.4 million customers throughout 29 counties in eastern and central Pennsylvania.</w:t>
      </w:r>
      <w:r w:rsidR="006E0C50">
        <w:rPr>
          <w:rFonts w:ascii="Arial" w:hAnsi="Arial" w:cs="Arial"/>
          <w:color w:val="000000" w:themeColor="text1"/>
          <w:sz w:val="24"/>
        </w:rPr>
        <w:t xml:space="preserve">  </w:t>
      </w:r>
      <w:r w:rsidR="00E4268E">
        <w:rPr>
          <w:rFonts w:ascii="Arial" w:hAnsi="Arial" w:cs="Arial"/>
          <w:color w:val="000000" w:themeColor="text1"/>
          <w:sz w:val="24"/>
        </w:rPr>
        <w:t xml:space="preserve">According </w:t>
      </w:r>
      <w:r w:rsidR="00E47F7F">
        <w:rPr>
          <w:rFonts w:ascii="Arial" w:hAnsi="Arial" w:cs="Arial"/>
          <w:color w:val="000000" w:themeColor="text1"/>
          <w:sz w:val="24"/>
        </w:rPr>
        <w:t>to PPL’s</w:t>
      </w:r>
      <w:r w:rsidR="006E0C50">
        <w:rPr>
          <w:rFonts w:ascii="Arial" w:hAnsi="Arial" w:cs="Arial"/>
          <w:color w:val="000000" w:themeColor="text1"/>
          <w:sz w:val="24"/>
        </w:rPr>
        <w:t xml:space="preserve"> </w:t>
      </w:r>
      <w:r w:rsidR="00E4268E">
        <w:rPr>
          <w:rFonts w:ascii="Arial" w:hAnsi="Arial" w:cs="Arial"/>
          <w:color w:val="000000" w:themeColor="text1"/>
          <w:sz w:val="24"/>
        </w:rPr>
        <w:t xml:space="preserve">filed PUC </w:t>
      </w:r>
      <w:r w:rsidR="006E0C50">
        <w:rPr>
          <w:rFonts w:ascii="Arial" w:hAnsi="Arial" w:cs="Arial"/>
          <w:color w:val="000000" w:themeColor="text1"/>
          <w:sz w:val="24"/>
        </w:rPr>
        <w:t>annual report</w:t>
      </w:r>
      <w:r w:rsidR="009919CE">
        <w:rPr>
          <w:rFonts w:ascii="Arial" w:hAnsi="Arial" w:cs="Arial"/>
          <w:color w:val="000000" w:themeColor="text1"/>
          <w:sz w:val="24"/>
        </w:rPr>
        <w:t>s</w:t>
      </w:r>
      <w:r w:rsidR="006E0C50">
        <w:rPr>
          <w:rFonts w:ascii="Arial" w:hAnsi="Arial" w:cs="Arial"/>
          <w:color w:val="000000" w:themeColor="text1"/>
          <w:sz w:val="24"/>
        </w:rPr>
        <w:t>, d</w:t>
      </w:r>
      <w:r w:rsidR="006E0C50" w:rsidRPr="006E0C50">
        <w:rPr>
          <w:rFonts w:ascii="Arial" w:hAnsi="Arial" w:cs="Arial"/>
          <w:sz w:val="24"/>
        </w:rPr>
        <w:t>uring 201</w:t>
      </w:r>
      <w:r w:rsidR="006E0C50">
        <w:rPr>
          <w:rFonts w:ascii="Arial" w:hAnsi="Arial" w:cs="Arial"/>
          <w:sz w:val="24"/>
        </w:rPr>
        <w:t>2 and 2011</w:t>
      </w:r>
      <w:r w:rsidR="006E0C50" w:rsidRPr="006E0C50">
        <w:rPr>
          <w:rFonts w:ascii="Arial" w:hAnsi="Arial" w:cs="Arial"/>
          <w:sz w:val="24"/>
        </w:rPr>
        <w:t>, P</w:t>
      </w:r>
      <w:r w:rsidR="006E0C50">
        <w:rPr>
          <w:rFonts w:ascii="Arial" w:hAnsi="Arial" w:cs="Arial"/>
          <w:sz w:val="24"/>
        </w:rPr>
        <w:t>PL</w:t>
      </w:r>
      <w:r w:rsidR="006E0C50" w:rsidRPr="006E0C50">
        <w:rPr>
          <w:rFonts w:ascii="Arial" w:hAnsi="Arial" w:cs="Arial"/>
          <w:sz w:val="24"/>
        </w:rPr>
        <w:t>’s total electric distribution revenues from residential, commercial and industrial customers were approximately $</w:t>
      </w:r>
      <w:r w:rsidR="006E0C50">
        <w:rPr>
          <w:rFonts w:ascii="Arial" w:hAnsi="Arial" w:cs="Arial"/>
          <w:sz w:val="24"/>
        </w:rPr>
        <w:t>1</w:t>
      </w:r>
      <w:r w:rsidR="006E0C50" w:rsidRPr="006E0C50">
        <w:rPr>
          <w:rFonts w:ascii="Arial" w:hAnsi="Arial" w:cs="Arial"/>
          <w:sz w:val="24"/>
        </w:rPr>
        <w:t>,5</w:t>
      </w:r>
      <w:r w:rsidR="006E0C50">
        <w:rPr>
          <w:rFonts w:ascii="Arial" w:hAnsi="Arial" w:cs="Arial"/>
          <w:sz w:val="24"/>
        </w:rPr>
        <w:t>63</w:t>
      </w:r>
      <w:r w:rsidR="006E0C50" w:rsidRPr="006E0C50">
        <w:rPr>
          <w:rFonts w:ascii="Arial" w:hAnsi="Arial" w:cs="Arial"/>
          <w:sz w:val="24"/>
        </w:rPr>
        <w:t xml:space="preserve"> million</w:t>
      </w:r>
      <w:r w:rsidR="006E0C50">
        <w:rPr>
          <w:rFonts w:ascii="Arial" w:hAnsi="Arial" w:cs="Arial"/>
          <w:sz w:val="24"/>
        </w:rPr>
        <w:t xml:space="preserve"> and $1,798 million, respectively.</w:t>
      </w:r>
    </w:p>
    <w:p w:rsidR="004624A7" w:rsidRDefault="004624A7" w:rsidP="006E0C50">
      <w:pPr>
        <w:pStyle w:val="p3"/>
        <w:widowControl/>
        <w:tabs>
          <w:tab w:val="clear" w:pos="204"/>
        </w:tabs>
        <w:spacing w:line="240" w:lineRule="auto"/>
        <w:ind w:firstLine="720"/>
        <w:rPr>
          <w:rFonts w:ascii="Arial" w:hAnsi="Arial" w:cs="Arial"/>
          <w:sz w:val="24"/>
        </w:rPr>
      </w:pPr>
    </w:p>
    <w:p w:rsidR="004624A7" w:rsidRDefault="004624A7" w:rsidP="004624A7">
      <w:pPr>
        <w:pStyle w:val="EndnoteText"/>
        <w:tabs>
          <w:tab w:val="left" w:pos="810"/>
          <w:tab w:val="left" w:pos="4680"/>
        </w:tabs>
        <w:suppressAutoHyphens/>
        <w:ind w:firstLine="810"/>
        <w:rPr>
          <w:rFonts w:ascii="Arial" w:hAnsi="Arial" w:cs="Arial"/>
          <w:szCs w:val="24"/>
        </w:rPr>
      </w:pPr>
      <w:r w:rsidRPr="00A873D8">
        <w:rPr>
          <w:rFonts w:ascii="Arial" w:hAnsi="Arial" w:cs="Arial"/>
          <w:szCs w:val="24"/>
        </w:rPr>
        <w:t xml:space="preserve">By Order entered </w:t>
      </w:r>
      <w:r>
        <w:rPr>
          <w:rFonts w:ascii="Arial" w:hAnsi="Arial" w:cs="Arial"/>
          <w:szCs w:val="24"/>
        </w:rPr>
        <w:t xml:space="preserve">on </w:t>
      </w:r>
      <w:r w:rsidRPr="00A873D8">
        <w:rPr>
          <w:rFonts w:ascii="Arial" w:hAnsi="Arial" w:cs="Arial"/>
          <w:szCs w:val="24"/>
        </w:rPr>
        <w:t>October 19, 2007</w:t>
      </w:r>
      <w:r w:rsidR="00932F9A">
        <w:rPr>
          <w:rFonts w:ascii="Arial" w:hAnsi="Arial" w:cs="Arial"/>
          <w:szCs w:val="24"/>
        </w:rPr>
        <w:t>,</w:t>
      </w:r>
      <w:r w:rsidRPr="00A873D8">
        <w:rPr>
          <w:rFonts w:ascii="Arial" w:hAnsi="Arial" w:cs="Arial"/>
          <w:szCs w:val="24"/>
        </w:rPr>
        <w:t xml:space="preserve"> at R-00072155, the Commission approved PPL</w:t>
      </w:r>
      <w:r>
        <w:rPr>
          <w:rFonts w:ascii="Arial" w:hAnsi="Arial" w:cs="Arial"/>
          <w:szCs w:val="24"/>
        </w:rPr>
        <w:t>’s</w:t>
      </w:r>
      <w:r w:rsidRPr="00A873D8">
        <w:rPr>
          <w:rFonts w:ascii="Arial" w:hAnsi="Arial" w:cs="Arial"/>
          <w:szCs w:val="24"/>
        </w:rPr>
        <w:t xml:space="preserve"> request to establish a Universal Service Rider (USR) Rate to become effective </w:t>
      </w:r>
      <w:r>
        <w:rPr>
          <w:rFonts w:ascii="Arial" w:hAnsi="Arial" w:cs="Arial"/>
          <w:szCs w:val="24"/>
        </w:rPr>
        <w:t xml:space="preserve">for service rendered on and after </w:t>
      </w:r>
      <w:r w:rsidRPr="00A873D8">
        <w:rPr>
          <w:rFonts w:ascii="Arial" w:hAnsi="Arial" w:cs="Arial"/>
          <w:szCs w:val="24"/>
        </w:rPr>
        <w:t xml:space="preserve">January 1, 2008.  The USR permits </w:t>
      </w:r>
      <w:r>
        <w:rPr>
          <w:rFonts w:ascii="Arial" w:hAnsi="Arial" w:cs="Arial"/>
          <w:szCs w:val="24"/>
        </w:rPr>
        <w:t xml:space="preserve">the Company </w:t>
      </w:r>
      <w:r w:rsidRPr="00A873D8">
        <w:rPr>
          <w:rFonts w:ascii="Arial" w:hAnsi="Arial" w:cs="Arial"/>
          <w:szCs w:val="24"/>
        </w:rPr>
        <w:t>to recover the costs</w:t>
      </w:r>
      <w:r>
        <w:rPr>
          <w:rFonts w:ascii="Arial" w:hAnsi="Arial" w:cs="Arial"/>
          <w:szCs w:val="24"/>
        </w:rPr>
        <w:t>, excluding internal administrative costs,</w:t>
      </w:r>
      <w:r w:rsidRPr="00A873D8">
        <w:rPr>
          <w:rFonts w:ascii="Arial" w:hAnsi="Arial" w:cs="Arial"/>
          <w:szCs w:val="24"/>
        </w:rPr>
        <w:t xml:space="preserve"> </w:t>
      </w:r>
      <w:r>
        <w:rPr>
          <w:rFonts w:ascii="Arial" w:hAnsi="Arial" w:cs="Arial"/>
          <w:szCs w:val="24"/>
        </w:rPr>
        <w:t xml:space="preserve">associated with the universal service programs provided by the Company to residential customers.  These programs include </w:t>
      </w:r>
      <w:proofErr w:type="spellStart"/>
      <w:r>
        <w:rPr>
          <w:rFonts w:ascii="Arial" w:hAnsi="Arial" w:cs="Arial"/>
          <w:szCs w:val="24"/>
        </w:rPr>
        <w:t>OnTrack</w:t>
      </w:r>
      <w:proofErr w:type="spellEnd"/>
      <w:r>
        <w:rPr>
          <w:rFonts w:ascii="Arial" w:hAnsi="Arial" w:cs="Arial"/>
          <w:szCs w:val="24"/>
        </w:rPr>
        <w:t xml:space="preserve"> and the Winter Relief Assistance Program (WRAP).  </w:t>
      </w:r>
    </w:p>
    <w:p w:rsidR="008F4C7F" w:rsidRDefault="008F4C7F" w:rsidP="00454455">
      <w:pPr>
        <w:tabs>
          <w:tab w:val="left" w:pos="-1440"/>
          <w:tab w:val="left" w:pos="-720"/>
        </w:tabs>
        <w:suppressAutoHyphens/>
        <w:ind w:firstLine="720"/>
        <w:rPr>
          <w:rFonts w:ascii="Arial" w:hAnsi="Arial" w:cs="Arial"/>
          <w:szCs w:val="24"/>
        </w:rPr>
      </w:pPr>
    </w:p>
    <w:p w:rsidR="00AC6764" w:rsidRDefault="00AC6764" w:rsidP="00AC6764">
      <w:pPr>
        <w:tabs>
          <w:tab w:val="left" w:pos="0"/>
        </w:tabs>
        <w:rPr>
          <w:rFonts w:ascii="Arial" w:hAnsi="Arial" w:cs="Arial"/>
          <w:szCs w:val="24"/>
        </w:rPr>
      </w:pPr>
      <w:r>
        <w:rPr>
          <w:rFonts w:ascii="Arial" w:hAnsi="Arial" w:cs="Arial"/>
          <w:szCs w:val="24"/>
        </w:rPr>
        <w:tab/>
      </w:r>
      <w:r w:rsidR="00606D39">
        <w:rPr>
          <w:rFonts w:ascii="Arial" w:hAnsi="Arial" w:cs="Arial"/>
          <w:szCs w:val="24"/>
        </w:rPr>
        <w:t xml:space="preserve">PPL implemented WRAP in 1984 to help reduce electric bills and improve home comfort for low income customers.  The objectives of WRAP are to reduce energy usage and </w:t>
      </w:r>
      <w:r w:rsidR="002B056B">
        <w:rPr>
          <w:rFonts w:ascii="Arial" w:hAnsi="Arial" w:cs="Arial"/>
          <w:szCs w:val="24"/>
        </w:rPr>
        <w:t xml:space="preserve">the resulting </w:t>
      </w:r>
      <w:r w:rsidR="00606D39">
        <w:rPr>
          <w:rFonts w:ascii="Arial" w:hAnsi="Arial" w:cs="Arial"/>
          <w:szCs w:val="24"/>
        </w:rPr>
        <w:t>bill</w:t>
      </w:r>
      <w:r w:rsidR="002B056B">
        <w:rPr>
          <w:rFonts w:ascii="Arial" w:hAnsi="Arial" w:cs="Arial"/>
          <w:szCs w:val="24"/>
        </w:rPr>
        <w:t xml:space="preserve"> amounts</w:t>
      </w:r>
      <w:r w:rsidR="00606D39">
        <w:rPr>
          <w:rFonts w:ascii="Arial" w:hAnsi="Arial" w:cs="Arial"/>
          <w:szCs w:val="24"/>
        </w:rPr>
        <w:t xml:space="preserve"> of low income customers and to increase </w:t>
      </w:r>
      <w:r w:rsidR="002B056B">
        <w:rPr>
          <w:rFonts w:ascii="Arial" w:hAnsi="Arial" w:cs="Arial"/>
          <w:szCs w:val="24"/>
        </w:rPr>
        <w:t>th</w:t>
      </w:r>
      <w:r w:rsidR="00E4268E">
        <w:rPr>
          <w:rFonts w:ascii="Arial" w:hAnsi="Arial" w:cs="Arial"/>
          <w:szCs w:val="24"/>
        </w:rPr>
        <w:t>eir</w:t>
      </w:r>
      <w:r w:rsidR="00606D39">
        <w:rPr>
          <w:rFonts w:ascii="Arial" w:hAnsi="Arial" w:cs="Arial"/>
          <w:szCs w:val="24"/>
        </w:rPr>
        <w:t xml:space="preserve"> abilit</w:t>
      </w:r>
      <w:r w:rsidR="00E4268E">
        <w:rPr>
          <w:rFonts w:ascii="Arial" w:hAnsi="Arial" w:cs="Arial"/>
          <w:szCs w:val="24"/>
        </w:rPr>
        <w:t>y</w:t>
      </w:r>
      <w:r w:rsidR="00606D39">
        <w:rPr>
          <w:rFonts w:ascii="Arial" w:hAnsi="Arial" w:cs="Arial"/>
          <w:szCs w:val="24"/>
        </w:rPr>
        <w:t xml:space="preserve"> to pay their electric bills</w:t>
      </w:r>
      <w:r w:rsidR="002B056B">
        <w:rPr>
          <w:rFonts w:ascii="Arial" w:hAnsi="Arial" w:cs="Arial"/>
          <w:szCs w:val="24"/>
        </w:rPr>
        <w:t>.</w:t>
      </w:r>
      <w:r>
        <w:rPr>
          <w:rFonts w:ascii="Arial" w:hAnsi="Arial" w:cs="Arial"/>
          <w:szCs w:val="24"/>
        </w:rPr>
        <w:t xml:space="preserve">  Contractors install various weatherization measures, such as insulation and efficient appliances, and provide energy education services. </w:t>
      </w:r>
    </w:p>
    <w:p w:rsidR="00606D39" w:rsidRDefault="00606D39" w:rsidP="00454455">
      <w:pPr>
        <w:tabs>
          <w:tab w:val="left" w:pos="-1440"/>
          <w:tab w:val="left" w:pos="-720"/>
        </w:tabs>
        <w:suppressAutoHyphens/>
        <w:ind w:firstLine="720"/>
        <w:rPr>
          <w:rFonts w:ascii="Arial" w:hAnsi="Arial" w:cs="Arial"/>
          <w:szCs w:val="24"/>
        </w:rPr>
      </w:pPr>
    </w:p>
    <w:p w:rsidR="00566575" w:rsidRDefault="00566575" w:rsidP="00566575">
      <w:pPr>
        <w:tabs>
          <w:tab w:val="left" w:pos="0"/>
        </w:tabs>
        <w:rPr>
          <w:rFonts w:ascii="Arial" w:hAnsi="Arial" w:cs="Arial"/>
          <w:szCs w:val="24"/>
        </w:rPr>
      </w:pPr>
      <w:r>
        <w:rPr>
          <w:rFonts w:ascii="Arial" w:hAnsi="Arial" w:cs="Arial"/>
          <w:szCs w:val="24"/>
        </w:rPr>
        <w:tab/>
      </w:r>
      <w:r w:rsidR="00454455">
        <w:rPr>
          <w:rFonts w:ascii="Arial" w:hAnsi="Arial" w:cs="Arial"/>
          <w:szCs w:val="24"/>
        </w:rPr>
        <w:t>I</w:t>
      </w:r>
      <w:r w:rsidR="00606D39">
        <w:rPr>
          <w:rFonts w:ascii="Arial" w:hAnsi="Arial" w:cs="Arial"/>
          <w:szCs w:val="24"/>
        </w:rPr>
        <w:t xml:space="preserve">n </w:t>
      </w:r>
      <w:r w:rsidR="00A33A0D">
        <w:rPr>
          <w:rFonts w:ascii="Arial" w:hAnsi="Arial" w:cs="Arial"/>
          <w:szCs w:val="24"/>
        </w:rPr>
        <w:t xml:space="preserve">July 1992, the Commission adopted a Policy Statement that established guidelines for </w:t>
      </w:r>
      <w:r w:rsidR="00A13B4F">
        <w:rPr>
          <w:rFonts w:ascii="Arial" w:hAnsi="Arial" w:cs="Arial"/>
          <w:szCs w:val="24"/>
        </w:rPr>
        <w:t>customer assistance program</w:t>
      </w:r>
      <w:r w:rsidR="000F539E">
        <w:rPr>
          <w:rFonts w:ascii="Arial" w:hAnsi="Arial" w:cs="Arial"/>
          <w:szCs w:val="24"/>
        </w:rPr>
        <w:t>s</w:t>
      </w:r>
      <w:r w:rsidR="0081715D">
        <w:rPr>
          <w:rFonts w:ascii="Arial" w:hAnsi="Arial" w:cs="Arial"/>
          <w:szCs w:val="24"/>
        </w:rPr>
        <w:t xml:space="preserve"> (CAP)</w:t>
      </w:r>
      <w:r w:rsidR="00A33A0D">
        <w:rPr>
          <w:rFonts w:ascii="Arial" w:hAnsi="Arial" w:cs="Arial"/>
          <w:szCs w:val="24"/>
        </w:rPr>
        <w:t>.  The Commission encouraged all electric and gas utilities to implement CAP pilots.</w:t>
      </w:r>
      <w:r w:rsidR="004624A7">
        <w:rPr>
          <w:rFonts w:ascii="Arial" w:hAnsi="Arial" w:cs="Arial"/>
          <w:szCs w:val="24"/>
        </w:rPr>
        <w:t xml:space="preserve">  </w:t>
      </w:r>
      <w:r w:rsidR="00A33A0D">
        <w:rPr>
          <w:rFonts w:ascii="Arial" w:hAnsi="Arial" w:cs="Arial"/>
          <w:szCs w:val="24"/>
        </w:rPr>
        <w:t>After receiving approval from the Commission for its pilot proposal, PPL Electric</w:t>
      </w:r>
      <w:r w:rsidR="00B335AD">
        <w:rPr>
          <w:rFonts w:ascii="Arial" w:hAnsi="Arial" w:cs="Arial"/>
          <w:szCs w:val="24"/>
        </w:rPr>
        <w:t xml:space="preserve"> </w:t>
      </w:r>
      <w:r w:rsidR="00A33A0D">
        <w:rPr>
          <w:rFonts w:ascii="Arial" w:hAnsi="Arial" w:cs="Arial"/>
          <w:szCs w:val="24"/>
        </w:rPr>
        <w:t xml:space="preserve">implemented </w:t>
      </w:r>
      <w:proofErr w:type="spellStart"/>
      <w:r w:rsidR="00A33A0D">
        <w:rPr>
          <w:rFonts w:ascii="Arial" w:hAnsi="Arial" w:cs="Arial"/>
          <w:szCs w:val="24"/>
        </w:rPr>
        <w:t>OnTrack</w:t>
      </w:r>
      <w:proofErr w:type="spellEnd"/>
      <w:r w:rsidR="00A33A0D">
        <w:rPr>
          <w:rFonts w:ascii="Arial" w:hAnsi="Arial" w:cs="Arial"/>
          <w:szCs w:val="24"/>
        </w:rPr>
        <w:t xml:space="preserve"> in December 1993.  </w:t>
      </w:r>
      <w:proofErr w:type="spellStart"/>
      <w:r>
        <w:rPr>
          <w:rFonts w:ascii="Arial" w:hAnsi="Arial" w:cs="Arial"/>
          <w:szCs w:val="24"/>
        </w:rPr>
        <w:t>OnTrack</w:t>
      </w:r>
      <w:proofErr w:type="spellEnd"/>
      <w:r>
        <w:rPr>
          <w:rFonts w:ascii="Arial" w:hAnsi="Arial" w:cs="Arial"/>
          <w:szCs w:val="24"/>
        </w:rPr>
        <w:t xml:space="preserve"> is PPL Electric Utilities Corporation’s Customer Assistance Program (CAP).  It is available to low-income households at or below 150 percent of the federal poverty level.  The primary features of </w:t>
      </w:r>
      <w:proofErr w:type="spellStart"/>
      <w:r>
        <w:rPr>
          <w:rFonts w:ascii="Arial" w:hAnsi="Arial" w:cs="Arial"/>
          <w:szCs w:val="24"/>
        </w:rPr>
        <w:t>OnTrack</w:t>
      </w:r>
      <w:proofErr w:type="spellEnd"/>
      <w:r>
        <w:rPr>
          <w:rFonts w:ascii="Arial" w:hAnsi="Arial" w:cs="Arial"/>
          <w:szCs w:val="24"/>
        </w:rPr>
        <w:t xml:space="preserve"> are a reduced payment arrangement and arrearage forgiveness over a specified period of time. </w:t>
      </w:r>
    </w:p>
    <w:p w:rsidR="00566575" w:rsidRDefault="00566575" w:rsidP="00454455">
      <w:pPr>
        <w:tabs>
          <w:tab w:val="left" w:pos="-1440"/>
          <w:tab w:val="left" w:pos="-720"/>
        </w:tabs>
        <w:suppressAutoHyphens/>
        <w:ind w:firstLine="720"/>
        <w:rPr>
          <w:rFonts w:ascii="Arial" w:hAnsi="Arial" w:cs="Arial"/>
          <w:szCs w:val="24"/>
        </w:rPr>
      </w:pPr>
    </w:p>
    <w:p w:rsidR="00566575" w:rsidRDefault="00566575" w:rsidP="00454455">
      <w:pPr>
        <w:tabs>
          <w:tab w:val="left" w:pos="-1440"/>
          <w:tab w:val="left" w:pos="-720"/>
        </w:tabs>
        <w:suppressAutoHyphens/>
        <w:ind w:firstLine="720"/>
        <w:rPr>
          <w:rFonts w:ascii="Arial" w:hAnsi="Arial" w:cs="Arial"/>
          <w:szCs w:val="24"/>
        </w:rPr>
      </w:pPr>
    </w:p>
    <w:p w:rsidR="0045052A" w:rsidRDefault="0045052A" w:rsidP="0045052A">
      <w:pPr>
        <w:tabs>
          <w:tab w:val="left" w:pos="-1440"/>
          <w:tab w:val="left" w:pos="-720"/>
        </w:tabs>
        <w:suppressAutoHyphens/>
        <w:jc w:val="center"/>
        <w:rPr>
          <w:rFonts w:ascii="Arial" w:hAnsi="Arial" w:cs="Arial"/>
          <w:b/>
          <w:szCs w:val="26"/>
          <w:u w:val="single"/>
        </w:rPr>
      </w:pPr>
    </w:p>
    <w:p w:rsidR="0045052A" w:rsidRDefault="0045052A" w:rsidP="0045052A">
      <w:pPr>
        <w:tabs>
          <w:tab w:val="center" w:pos="4680"/>
        </w:tabs>
        <w:suppressAutoHyphens/>
        <w:rPr>
          <w:rFonts w:ascii="Arial" w:hAnsi="Arial" w:cs="Arial"/>
          <w:szCs w:val="24"/>
        </w:rPr>
      </w:pPr>
    </w:p>
    <w:p w:rsidR="00451A89" w:rsidRDefault="00451A89">
      <w:pPr>
        <w:tabs>
          <w:tab w:val="left" w:pos="-1440"/>
          <w:tab w:val="left" w:pos="-720"/>
        </w:tabs>
        <w:suppressAutoHyphens/>
        <w:rPr>
          <w:rFonts w:ascii="Arial" w:hAnsi="Arial" w:cs="Arial"/>
          <w:szCs w:val="24"/>
        </w:rPr>
      </w:pPr>
    </w:p>
    <w:p w:rsidR="00060B3D" w:rsidRPr="00F22815" w:rsidRDefault="00060B3D" w:rsidP="00060B3D">
      <w:pPr>
        <w:tabs>
          <w:tab w:val="left" w:pos="-1440"/>
          <w:tab w:val="left" w:pos="-720"/>
        </w:tabs>
        <w:suppressAutoHyphens/>
        <w:jc w:val="center"/>
        <w:rPr>
          <w:rFonts w:ascii="Arial" w:hAnsi="Arial" w:cs="Arial"/>
          <w:szCs w:val="26"/>
        </w:rPr>
      </w:pPr>
    </w:p>
    <w:p w:rsidR="0044093D" w:rsidRDefault="0044093D" w:rsidP="00A873D8">
      <w:pPr>
        <w:pStyle w:val="EndnoteText"/>
        <w:tabs>
          <w:tab w:val="left" w:pos="0"/>
          <w:tab w:val="left" w:pos="4680"/>
        </w:tabs>
        <w:suppressAutoHyphens/>
        <w:rPr>
          <w:rFonts w:ascii="Arial" w:hAnsi="Arial" w:cs="Arial"/>
          <w:szCs w:val="24"/>
        </w:rPr>
      </w:pPr>
    </w:p>
    <w:p w:rsidR="0044093D" w:rsidRDefault="0044093D" w:rsidP="00A873D8">
      <w:pPr>
        <w:pStyle w:val="EndnoteText"/>
        <w:tabs>
          <w:tab w:val="left" w:pos="0"/>
          <w:tab w:val="left" w:pos="4680"/>
        </w:tabs>
        <w:suppressAutoHyphens/>
        <w:rPr>
          <w:rFonts w:ascii="Arial" w:hAnsi="Arial" w:cs="Arial"/>
          <w:szCs w:val="24"/>
        </w:rPr>
      </w:pPr>
    </w:p>
    <w:p w:rsidR="006D55C8" w:rsidRDefault="006D55C8">
      <w:pPr>
        <w:overflowPunct/>
        <w:autoSpaceDE/>
        <w:autoSpaceDN/>
        <w:adjustRightInd/>
        <w:textAlignment w:val="auto"/>
        <w:rPr>
          <w:rFonts w:ascii="Arial" w:hAnsi="Arial" w:cs="Arial"/>
          <w:b/>
          <w:sz w:val="26"/>
          <w:szCs w:val="26"/>
        </w:rPr>
      </w:pPr>
      <w:r>
        <w:rPr>
          <w:rFonts w:ascii="Arial" w:hAnsi="Arial" w:cs="Arial"/>
          <w:sz w:val="26"/>
          <w:szCs w:val="26"/>
        </w:rPr>
        <w:br w:type="page"/>
      </w:r>
    </w:p>
    <w:p w:rsidR="005D711E" w:rsidRPr="00EA4FD5" w:rsidRDefault="007603E9" w:rsidP="004858E3">
      <w:pPr>
        <w:pStyle w:val="Heading1"/>
        <w:rPr>
          <w:rFonts w:ascii="Arial" w:hAnsi="Arial" w:cs="Arial"/>
          <w:szCs w:val="24"/>
          <w:u w:val="none"/>
        </w:rPr>
      </w:pPr>
      <w:r w:rsidRPr="00EA4FD5">
        <w:rPr>
          <w:rFonts w:ascii="Arial" w:hAnsi="Arial" w:cs="Arial"/>
          <w:sz w:val="26"/>
          <w:szCs w:val="26"/>
          <w:u w:val="none"/>
        </w:rPr>
        <w:lastRenderedPageBreak/>
        <w:t>ACKNOWLEDGEMENTS</w:t>
      </w:r>
    </w:p>
    <w:p w:rsidR="007603E9" w:rsidRDefault="007603E9" w:rsidP="000453E2">
      <w:pPr>
        <w:rPr>
          <w:rFonts w:ascii="Arial" w:hAnsi="Arial" w:cs="Arial"/>
          <w:b/>
          <w:szCs w:val="24"/>
          <w:u w:val="single"/>
        </w:rPr>
      </w:pPr>
    </w:p>
    <w:p w:rsidR="00EB6F4D" w:rsidRPr="007A206B" w:rsidRDefault="00EB6F4D" w:rsidP="000453E2">
      <w:pPr>
        <w:rPr>
          <w:rFonts w:ascii="Arial" w:hAnsi="Arial" w:cs="Arial"/>
          <w:b/>
          <w:szCs w:val="24"/>
          <w:u w:val="single"/>
        </w:rPr>
      </w:pPr>
    </w:p>
    <w:p w:rsidR="009B24A2" w:rsidRPr="007A206B" w:rsidRDefault="007603E9" w:rsidP="009B24A2">
      <w:pPr>
        <w:rPr>
          <w:rFonts w:ascii="Arial" w:hAnsi="Arial" w:cs="Arial"/>
          <w:szCs w:val="24"/>
        </w:rPr>
      </w:pPr>
      <w:r w:rsidRPr="007A206B">
        <w:rPr>
          <w:rFonts w:ascii="Arial" w:hAnsi="Arial" w:cs="Arial"/>
          <w:szCs w:val="24"/>
        </w:rPr>
        <w:tab/>
        <w:t>We wish to express our appreciation to the officers and staff of</w:t>
      </w:r>
      <w:r w:rsidR="003750E7">
        <w:rPr>
          <w:rFonts w:ascii="Arial" w:hAnsi="Arial" w:cs="Arial"/>
          <w:szCs w:val="24"/>
        </w:rPr>
        <w:t xml:space="preserve"> </w:t>
      </w:r>
      <w:r w:rsidR="00D9515C">
        <w:rPr>
          <w:rFonts w:ascii="Arial" w:hAnsi="Arial" w:cs="Arial"/>
          <w:szCs w:val="24"/>
        </w:rPr>
        <w:t>PPL Electric Utilities Corporation</w:t>
      </w:r>
      <w:r w:rsidRPr="007A206B">
        <w:rPr>
          <w:rFonts w:ascii="Arial" w:hAnsi="Arial" w:cs="Arial"/>
          <w:szCs w:val="24"/>
        </w:rPr>
        <w:t xml:space="preserve"> </w:t>
      </w:r>
      <w:r w:rsidR="001C4178">
        <w:rPr>
          <w:rFonts w:ascii="Arial" w:hAnsi="Arial" w:cs="Arial"/>
          <w:szCs w:val="24"/>
        </w:rPr>
        <w:t xml:space="preserve">and PPL Services Corporation </w:t>
      </w:r>
      <w:r w:rsidRPr="007A206B">
        <w:rPr>
          <w:rFonts w:ascii="Arial" w:hAnsi="Arial" w:cs="Arial"/>
          <w:szCs w:val="24"/>
        </w:rPr>
        <w:t>for the cooperation and assistance given</w:t>
      </w:r>
      <w:r w:rsidR="00CF7432" w:rsidRPr="007A206B">
        <w:rPr>
          <w:rFonts w:ascii="Arial" w:hAnsi="Arial" w:cs="Arial"/>
          <w:szCs w:val="24"/>
        </w:rPr>
        <w:t xml:space="preserve"> to </w:t>
      </w:r>
      <w:r w:rsidRPr="007A206B">
        <w:rPr>
          <w:rFonts w:ascii="Arial" w:hAnsi="Arial" w:cs="Arial"/>
          <w:szCs w:val="24"/>
        </w:rPr>
        <w:t xml:space="preserve">us during the course of our examination.  </w:t>
      </w:r>
      <w:r w:rsidR="00806B37">
        <w:rPr>
          <w:rFonts w:ascii="Arial" w:hAnsi="Arial" w:cs="Arial"/>
          <w:szCs w:val="24"/>
        </w:rPr>
        <w:t xml:space="preserve">The audit was conducted by </w:t>
      </w:r>
      <w:r w:rsidR="0044093D">
        <w:rPr>
          <w:rFonts w:ascii="Arial" w:hAnsi="Arial" w:cs="Arial"/>
          <w:szCs w:val="24"/>
        </w:rPr>
        <w:t>Brian T. Shuey</w:t>
      </w:r>
      <w:r w:rsidR="000D5324">
        <w:rPr>
          <w:rFonts w:ascii="Arial" w:hAnsi="Arial" w:cs="Arial"/>
          <w:szCs w:val="24"/>
        </w:rPr>
        <w:t xml:space="preserve">, </w:t>
      </w:r>
      <w:r w:rsidR="009B24A2" w:rsidRPr="007A206B">
        <w:rPr>
          <w:rFonts w:ascii="Arial" w:hAnsi="Arial" w:cs="Arial"/>
          <w:szCs w:val="24"/>
        </w:rPr>
        <w:t xml:space="preserve">assisted by </w:t>
      </w:r>
      <w:r w:rsidR="0095225E">
        <w:rPr>
          <w:rFonts w:ascii="Arial" w:hAnsi="Arial" w:cs="Arial"/>
          <w:szCs w:val="24"/>
        </w:rPr>
        <w:t>Anthony Sciabarassi</w:t>
      </w:r>
      <w:r w:rsidR="00BB0023">
        <w:rPr>
          <w:rFonts w:ascii="Arial" w:hAnsi="Arial" w:cs="Arial"/>
          <w:szCs w:val="24"/>
        </w:rPr>
        <w:t>.</w:t>
      </w:r>
    </w:p>
    <w:p w:rsidR="00D21BB1" w:rsidRPr="007A206B" w:rsidRDefault="00D21BB1" w:rsidP="000453E2">
      <w:pPr>
        <w:rPr>
          <w:rFonts w:ascii="Arial" w:hAnsi="Arial" w:cs="Arial"/>
          <w:szCs w:val="24"/>
        </w:rPr>
      </w:pPr>
    </w:p>
    <w:sectPr w:rsidR="00D21BB1" w:rsidRPr="007A206B" w:rsidSect="006D55C8">
      <w:headerReference w:type="even" r:id="rId32"/>
      <w:headerReference w:type="default" r:id="rId33"/>
      <w:footerReference w:type="default" r:id="rId34"/>
      <w:headerReference w:type="first" r:id="rId35"/>
      <w:endnotePr>
        <w:numFmt w:val="decimal"/>
      </w:endnotePr>
      <w:pgSz w:w="12240" w:h="15840" w:code="1"/>
      <w:pgMar w:top="1440" w:right="1440" w:bottom="1152" w:left="1440" w:header="0" w:footer="720" w:gutter="0"/>
      <w:pgNumType w:fmt="numberInDash" w:start="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0D3" w:rsidRDefault="000670D3">
      <w:r>
        <w:separator/>
      </w:r>
    </w:p>
  </w:endnote>
  <w:endnote w:type="continuationSeparator" w:id="0">
    <w:p w:rsidR="000670D3" w:rsidRDefault="0006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6E4551" w:rsidP="004858E3">
    <w:pPr>
      <w:pStyle w:val="Footer"/>
      <w:framePr w:wrap="around" w:vAnchor="text" w:hAnchor="margin" w:xAlign="center" w:y="1"/>
      <w:rPr>
        <w:rStyle w:val="PageNumber"/>
      </w:rPr>
    </w:pPr>
    <w:r>
      <w:rPr>
        <w:rStyle w:val="PageNumber"/>
      </w:rPr>
      <w:fldChar w:fldCharType="begin"/>
    </w:r>
    <w:r w:rsidR="008E2E2A">
      <w:rPr>
        <w:rStyle w:val="PageNumber"/>
      </w:rPr>
      <w:instrText xml:space="preserve">PAGE  </w:instrText>
    </w:r>
    <w:r>
      <w:rPr>
        <w:rStyle w:val="PageNumber"/>
      </w:rPr>
      <w:fldChar w:fldCharType="separate"/>
    </w:r>
    <w:r w:rsidR="008E2E2A">
      <w:rPr>
        <w:rStyle w:val="PageNumber"/>
        <w:noProof/>
      </w:rPr>
      <w:t>1</w:t>
    </w:r>
    <w:r>
      <w:rPr>
        <w:rStyle w:val="PageNumber"/>
      </w:rPr>
      <w:fldChar w:fldCharType="end"/>
    </w:r>
  </w:p>
  <w:p w:rsidR="008E2E2A" w:rsidRDefault="008E2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CA" w:rsidRPr="006D55C8" w:rsidRDefault="00B347CA" w:rsidP="006D55C8">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655492"/>
      <w:docPartObj>
        <w:docPartGallery w:val="Page Numbers (Bottom of Page)"/>
        <w:docPartUnique/>
      </w:docPartObj>
    </w:sdtPr>
    <w:sdtEndPr>
      <w:rPr>
        <w:rFonts w:ascii="Arial" w:hAnsi="Arial" w:cs="Arial"/>
        <w:noProof/>
      </w:rPr>
    </w:sdtEndPr>
    <w:sdtContent>
      <w:p w:rsidR="006D55C8" w:rsidRPr="006D55C8" w:rsidRDefault="006D55C8" w:rsidP="006D55C8">
        <w:pPr>
          <w:pStyle w:val="Footer"/>
          <w:jc w:val="center"/>
          <w:rPr>
            <w:rFonts w:ascii="Arial" w:hAnsi="Arial" w:cs="Arial"/>
          </w:rPr>
        </w:pPr>
        <w:r w:rsidRPr="006D55C8">
          <w:rPr>
            <w:rFonts w:ascii="Arial" w:hAnsi="Arial" w:cs="Arial"/>
          </w:rPr>
          <w:fldChar w:fldCharType="begin"/>
        </w:r>
        <w:r w:rsidRPr="006D55C8">
          <w:rPr>
            <w:rFonts w:ascii="Arial" w:hAnsi="Arial" w:cs="Arial"/>
          </w:rPr>
          <w:instrText xml:space="preserve"> PAGE   \* MERGEFORMAT </w:instrText>
        </w:r>
        <w:r w:rsidRPr="006D55C8">
          <w:rPr>
            <w:rFonts w:ascii="Arial" w:hAnsi="Arial" w:cs="Arial"/>
          </w:rPr>
          <w:fldChar w:fldCharType="separate"/>
        </w:r>
        <w:r w:rsidR="00E04310">
          <w:rPr>
            <w:rFonts w:ascii="Arial" w:hAnsi="Arial" w:cs="Arial"/>
            <w:noProof/>
          </w:rPr>
          <w:t>- 4 -</w:t>
        </w:r>
        <w:r w:rsidRPr="006D55C8">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C8" w:rsidRPr="006D55C8" w:rsidRDefault="006D55C8" w:rsidP="006D55C8">
    <w:pPr>
      <w:pStyle w:val="Footer"/>
      <w:jc w:val="center"/>
      <w:rPr>
        <w:rFonts w:ascii="Arial" w:hAnsi="Arial" w:cs="Arial"/>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23379"/>
      <w:docPartObj>
        <w:docPartGallery w:val="Page Numbers (Bottom of Page)"/>
        <w:docPartUnique/>
      </w:docPartObj>
    </w:sdtPr>
    <w:sdtEndPr>
      <w:rPr>
        <w:rFonts w:ascii="Arial" w:hAnsi="Arial" w:cs="Arial"/>
        <w:noProof/>
      </w:rPr>
    </w:sdtEndPr>
    <w:sdtContent>
      <w:p w:rsidR="002D7921" w:rsidRPr="006D55C8" w:rsidRDefault="006D55C8" w:rsidP="006D55C8">
        <w:pPr>
          <w:pStyle w:val="Footer"/>
          <w:jc w:val="center"/>
          <w:rPr>
            <w:rFonts w:ascii="Arial" w:hAnsi="Arial" w:cs="Arial"/>
          </w:rPr>
        </w:pPr>
        <w:r w:rsidRPr="006D55C8">
          <w:rPr>
            <w:rFonts w:ascii="Arial" w:hAnsi="Arial" w:cs="Arial"/>
          </w:rPr>
          <w:fldChar w:fldCharType="begin"/>
        </w:r>
        <w:r w:rsidRPr="006D55C8">
          <w:rPr>
            <w:rFonts w:ascii="Arial" w:hAnsi="Arial" w:cs="Arial"/>
          </w:rPr>
          <w:instrText xml:space="preserve"> PAGE   \* MERGEFORMAT </w:instrText>
        </w:r>
        <w:r w:rsidRPr="006D55C8">
          <w:rPr>
            <w:rFonts w:ascii="Arial" w:hAnsi="Arial" w:cs="Arial"/>
          </w:rPr>
          <w:fldChar w:fldCharType="separate"/>
        </w:r>
        <w:r w:rsidR="00E04310">
          <w:rPr>
            <w:rFonts w:ascii="Arial" w:hAnsi="Arial" w:cs="Arial"/>
            <w:noProof/>
          </w:rPr>
          <w:t>- 6 -</w:t>
        </w:r>
        <w:r w:rsidRPr="006D55C8">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0D3" w:rsidRDefault="000670D3">
      <w:r>
        <w:separator/>
      </w:r>
    </w:p>
  </w:footnote>
  <w:footnote w:type="continuationSeparator" w:id="0">
    <w:p w:rsidR="000670D3" w:rsidRDefault="00067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FE" w:rsidRDefault="001C2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07" w:rsidRDefault="003A13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8A" w:rsidRDefault="000A03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CA" w:rsidRDefault="00B347C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CA" w:rsidRDefault="00B347C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CA" w:rsidRDefault="00B34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140651"/>
    <w:multiLevelType w:val="hybridMultilevel"/>
    <w:tmpl w:val="2BB0598E"/>
    <w:lvl w:ilvl="0" w:tplc="18F613A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EE7B3C"/>
    <w:multiLevelType w:val="hybridMultilevel"/>
    <w:tmpl w:val="40882CF6"/>
    <w:lvl w:ilvl="0" w:tplc="2A6E17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7656DD"/>
    <w:multiLevelType w:val="hybridMultilevel"/>
    <w:tmpl w:val="3ADEB582"/>
    <w:lvl w:ilvl="0" w:tplc="F10A8D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10"/>
  </w:num>
  <w:num w:numId="7">
    <w:abstractNumId w:val="9"/>
  </w:num>
  <w:num w:numId="8">
    <w:abstractNumId w:val="7"/>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0FB1"/>
    <w:rsid w:val="000058DD"/>
    <w:rsid w:val="000065D6"/>
    <w:rsid w:val="000068CE"/>
    <w:rsid w:val="00011623"/>
    <w:rsid w:val="00013201"/>
    <w:rsid w:val="00015CB1"/>
    <w:rsid w:val="000162AB"/>
    <w:rsid w:val="00020419"/>
    <w:rsid w:val="00020E5C"/>
    <w:rsid w:val="000244C4"/>
    <w:rsid w:val="0002626A"/>
    <w:rsid w:val="00031D01"/>
    <w:rsid w:val="00031DE8"/>
    <w:rsid w:val="000325BA"/>
    <w:rsid w:val="0003354D"/>
    <w:rsid w:val="00035C26"/>
    <w:rsid w:val="000419CC"/>
    <w:rsid w:val="000442F2"/>
    <w:rsid w:val="00044F2B"/>
    <w:rsid w:val="000453E2"/>
    <w:rsid w:val="0004663E"/>
    <w:rsid w:val="00046640"/>
    <w:rsid w:val="00047EF9"/>
    <w:rsid w:val="000502A5"/>
    <w:rsid w:val="00052156"/>
    <w:rsid w:val="00052968"/>
    <w:rsid w:val="00053676"/>
    <w:rsid w:val="00054EF6"/>
    <w:rsid w:val="00055FDB"/>
    <w:rsid w:val="00060885"/>
    <w:rsid w:val="00060B3D"/>
    <w:rsid w:val="00061843"/>
    <w:rsid w:val="00063DA1"/>
    <w:rsid w:val="000640DB"/>
    <w:rsid w:val="00064A95"/>
    <w:rsid w:val="00066F74"/>
    <w:rsid w:val="000670D3"/>
    <w:rsid w:val="00067A82"/>
    <w:rsid w:val="00070064"/>
    <w:rsid w:val="00070C8F"/>
    <w:rsid w:val="00073ED2"/>
    <w:rsid w:val="00082BDC"/>
    <w:rsid w:val="000830F4"/>
    <w:rsid w:val="00086D47"/>
    <w:rsid w:val="000906D5"/>
    <w:rsid w:val="0009332C"/>
    <w:rsid w:val="000935FF"/>
    <w:rsid w:val="000963D2"/>
    <w:rsid w:val="00096785"/>
    <w:rsid w:val="00097593"/>
    <w:rsid w:val="00097B77"/>
    <w:rsid w:val="000A038A"/>
    <w:rsid w:val="000A09E9"/>
    <w:rsid w:val="000A3382"/>
    <w:rsid w:val="000A47F7"/>
    <w:rsid w:val="000A4866"/>
    <w:rsid w:val="000A529C"/>
    <w:rsid w:val="000A6A87"/>
    <w:rsid w:val="000B1499"/>
    <w:rsid w:val="000B4766"/>
    <w:rsid w:val="000B5397"/>
    <w:rsid w:val="000B54F7"/>
    <w:rsid w:val="000C0673"/>
    <w:rsid w:val="000C20F2"/>
    <w:rsid w:val="000C7C23"/>
    <w:rsid w:val="000D3162"/>
    <w:rsid w:val="000D389D"/>
    <w:rsid w:val="000D404D"/>
    <w:rsid w:val="000D5324"/>
    <w:rsid w:val="000D7A5D"/>
    <w:rsid w:val="000E2BAA"/>
    <w:rsid w:val="000E3E48"/>
    <w:rsid w:val="000E6571"/>
    <w:rsid w:val="000E6A55"/>
    <w:rsid w:val="000E7FF1"/>
    <w:rsid w:val="000F11FD"/>
    <w:rsid w:val="000F2F3B"/>
    <w:rsid w:val="000F538A"/>
    <w:rsid w:val="000F539E"/>
    <w:rsid w:val="000F6CC8"/>
    <w:rsid w:val="00101D15"/>
    <w:rsid w:val="001032C8"/>
    <w:rsid w:val="0010499E"/>
    <w:rsid w:val="001062F3"/>
    <w:rsid w:val="00106A7F"/>
    <w:rsid w:val="00106ADD"/>
    <w:rsid w:val="00107CAA"/>
    <w:rsid w:val="00114448"/>
    <w:rsid w:val="0012026E"/>
    <w:rsid w:val="001231C3"/>
    <w:rsid w:val="00123B55"/>
    <w:rsid w:val="00123DA5"/>
    <w:rsid w:val="00124112"/>
    <w:rsid w:val="00126D58"/>
    <w:rsid w:val="0013081F"/>
    <w:rsid w:val="00131E66"/>
    <w:rsid w:val="00133126"/>
    <w:rsid w:val="001339AE"/>
    <w:rsid w:val="001428D7"/>
    <w:rsid w:val="0014334C"/>
    <w:rsid w:val="0014482D"/>
    <w:rsid w:val="00150332"/>
    <w:rsid w:val="00150CFD"/>
    <w:rsid w:val="00154609"/>
    <w:rsid w:val="00157380"/>
    <w:rsid w:val="00157397"/>
    <w:rsid w:val="00157BF1"/>
    <w:rsid w:val="00160BCB"/>
    <w:rsid w:val="00160FFA"/>
    <w:rsid w:val="00161B74"/>
    <w:rsid w:val="00162686"/>
    <w:rsid w:val="0016361B"/>
    <w:rsid w:val="00164754"/>
    <w:rsid w:val="001657F8"/>
    <w:rsid w:val="00167017"/>
    <w:rsid w:val="001704DD"/>
    <w:rsid w:val="0017305E"/>
    <w:rsid w:val="00173A1E"/>
    <w:rsid w:val="00173D64"/>
    <w:rsid w:val="00173F1D"/>
    <w:rsid w:val="00174F9F"/>
    <w:rsid w:val="0017608D"/>
    <w:rsid w:val="00176829"/>
    <w:rsid w:val="00177533"/>
    <w:rsid w:val="00180395"/>
    <w:rsid w:val="00181523"/>
    <w:rsid w:val="00183F7C"/>
    <w:rsid w:val="00185BD0"/>
    <w:rsid w:val="00186FF1"/>
    <w:rsid w:val="00187689"/>
    <w:rsid w:val="001877B4"/>
    <w:rsid w:val="001915D2"/>
    <w:rsid w:val="0019208C"/>
    <w:rsid w:val="00192144"/>
    <w:rsid w:val="001A1B0A"/>
    <w:rsid w:val="001A3EEE"/>
    <w:rsid w:val="001A75EA"/>
    <w:rsid w:val="001B0888"/>
    <w:rsid w:val="001B12BC"/>
    <w:rsid w:val="001B78F9"/>
    <w:rsid w:val="001C0FC4"/>
    <w:rsid w:val="001C1B3F"/>
    <w:rsid w:val="001C26EA"/>
    <w:rsid w:val="001C2BFE"/>
    <w:rsid w:val="001C347D"/>
    <w:rsid w:val="001C4178"/>
    <w:rsid w:val="001C4E9B"/>
    <w:rsid w:val="001C5737"/>
    <w:rsid w:val="001C7D51"/>
    <w:rsid w:val="001D0870"/>
    <w:rsid w:val="001D1537"/>
    <w:rsid w:val="001D52A4"/>
    <w:rsid w:val="001D5A18"/>
    <w:rsid w:val="001D60BF"/>
    <w:rsid w:val="001D6360"/>
    <w:rsid w:val="001D6F30"/>
    <w:rsid w:val="001D7B35"/>
    <w:rsid w:val="001D7FF5"/>
    <w:rsid w:val="001E0223"/>
    <w:rsid w:val="001E3A8D"/>
    <w:rsid w:val="001F176D"/>
    <w:rsid w:val="001F5D07"/>
    <w:rsid w:val="001F5E83"/>
    <w:rsid w:val="001F781E"/>
    <w:rsid w:val="00200188"/>
    <w:rsid w:val="00212D01"/>
    <w:rsid w:val="00215791"/>
    <w:rsid w:val="00216E3F"/>
    <w:rsid w:val="00217317"/>
    <w:rsid w:val="0022155A"/>
    <w:rsid w:val="002243BA"/>
    <w:rsid w:val="0023081F"/>
    <w:rsid w:val="0023522A"/>
    <w:rsid w:val="002377F4"/>
    <w:rsid w:val="00240719"/>
    <w:rsid w:val="0024111D"/>
    <w:rsid w:val="00241E6D"/>
    <w:rsid w:val="002429F0"/>
    <w:rsid w:val="0024555E"/>
    <w:rsid w:val="00245AE1"/>
    <w:rsid w:val="002500C4"/>
    <w:rsid w:val="00250177"/>
    <w:rsid w:val="0025024F"/>
    <w:rsid w:val="00252B00"/>
    <w:rsid w:val="00252B74"/>
    <w:rsid w:val="00252C04"/>
    <w:rsid w:val="00253999"/>
    <w:rsid w:val="00253B13"/>
    <w:rsid w:val="002558AF"/>
    <w:rsid w:val="002575DC"/>
    <w:rsid w:val="0025778E"/>
    <w:rsid w:val="00260F97"/>
    <w:rsid w:val="00261451"/>
    <w:rsid w:val="002675D2"/>
    <w:rsid w:val="0027021E"/>
    <w:rsid w:val="00273213"/>
    <w:rsid w:val="00273FE8"/>
    <w:rsid w:val="00275DC6"/>
    <w:rsid w:val="002763DC"/>
    <w:rsid w:val="0027690F"/>
    <w:rsid w:val="00281FDF"/>
    <w:rsid w:val="002831D2"/>
    <w:rsid w:val="00285B4A"/>
    <w:rsid w:val="002910CA"/>
    <w:rsid w:val="00291895"/>
    <w:rsid w:val="00291BD5"/>
    <w:rsid w:val="0029497C"/>
    <w:rsid w:val="00295927"/>
    <w:rsid w:val="00297D96"/>
    <w:rsid w:val="002A0E7A"/>
    <w:rsid w:val="002A168B"/>
    <w:rsid w:val="002A31D3"/>
    <w:rsid w:val="002A3361"/>
    <w:rsid w:val="002A38F4"/>
    <w:rsid w:val="002A3BE1"/>
    <w:rsid w:val="002A3F41"/>
    <w:rsid w:val="002A476C"/>
    <w:rsid w:val="002A5D45"/>
    <w:rsid w:val="002A5D93"/>
    <w:rsid w:val="002B056B"/>
    <w:rsid w:val="002B0DC9"/>
    <w:rsid w:val="002B1718"/>
    <w:rsid w:val="002B22B6"/>
    <w:rsid w:val="002B636E"/>
    <w:rsid w:val="002B751E"/>
    <w:rsid w:val="002C0039"/>
    <w:rsid w:val="002C0E2D"/>
    <w:rsid w:val="002C1FC4"/>
    <w:rsid w:val="002C6C45"/>
    <w:rsid w:val="002D15BF"/>
    <w:rsid w:val="002D27C7"/>
    <w:rsid w:val="002D3DD6"/>
    <w:rsid w:val="002D42ED"/>
    <w:rsid w:val="002D4551"/>
    <w:rsid w:val="002D7921"/>
    <w:rsid w:val="002E0448"/>
    <w:rsid w:val="002E0F06"/>
    <w:rsid w:val="002E32E8"/>
    <w:rsid w:val="002E55D4"/>
    <w:rsid w:val="002E6D73"/>
    <w:rsid w:val="002F4079"/>
    <w:rsid w:val="002F4924"/>
    <w:rsid w:val="002F5E97"/>
    <w:rsid w:val="002F7968"/>
    <w:rsid w:val="002F7AC1"/>
    <w:rsid w:val="00301D0E"/>
    <w:rsid w:val="00304C93"/>
    <w:rsid w:val="0030719A"/>
    <w:rsid w:val="00307929"/>
    <w:rsid w:val="003135D1"/>
    <w:rsid w:val="0031644D"/>
    <w:rsid w:val="00316BC6"/>
    <w:rsid w:val="00316D8B"/>
    <w:rsid w:val="003213B5"/>
    <w:rsid w:val="003262ED"/>
    <w:rsid w:val="003276AC"/>
    <w:rsid w:val="0033273B"/>
    <w:rsid w:val="00332FE8"/>
    <w:rsid w:val="003344D7"/>
    <w:rsid w:val="00341AE9"/>
    <w:rsid w:val="00342746"/>
    <w:rsid w:val="00344C6D"/>
    <w:rsid w:val="003463D1"/>
    <w:rsid w:val="0035017F"/>
    <w:rsid w:val="0035218A"/>
    <w:rsid w:val="00353835"/>
    <w:rsid w:val="00354BB7"/>
    <w:rsid w:val="00355B6F"/>
    <w:rsid w:val="00356922"/>
    <w:rsid w:val="00361CAF"/>
    <w:rsid w:val="00361D21"/>
    <w:rsid w:val="00361DBA"/>
    <w:rsid w:val="00362F3F"/>
    <w:rsid w:val="00363CAE"/>
    <w:rsid w:val="0036491D"/>
    <w:rsid w:val="00367C8F"/>
    <w:rsid w:val="00370CC2"/>
    <w:rsid w:val="003731A5"/>
    <w:rsid w:val="00373558"/>
    <w:rsid w:val="00374D40"/>
    <w:rsid w:val="003750E7"/>
    <w:rsid w:val="00376F0C"/>
    <w:rsid w:val="00377A86"/>
    <w:rsid w:val="003802FE"/>
    <w:rsid w:val="003851C0"/>
    <w:rsid w:val="00386193"/>
    <w:rsid w:val="00387064"/>
    <w:rsid w:val="0038796F"/>
    <w:rsid w:val="0039358B"/>
    <w:rsid w:val="00397A01"/>
    <w:rsid w:val="003A02FC"/>
    <w:rsid w:val="003A0344"/>
    <w:rsid w:val="003A1307"/>
    <w:rsid w:val="003A1868"/>
    <w:rsid w:val="003A4AC6"/>
    <w:rsid w:val="003A4AFE"/>
    <w:rsid w:val="003A6C20"/>
    <w:rsid w:val="003B303A"/>
    <w:rsid w:val="003B443E"/>
    <w:rsid w:val="003B7861"/>
    <w:rsid w:val="003C1098"/>
    <w:rsid w:val="003C161B"/>
    <w:rsid w:val="003C3017"/>
    <w:rsid w:val="003C3DC4"/>
    <w:rsid w:val="003C52E3"/>
    <w:rsid w:val="003D0081"/>
    <w:rsid w:val="003D176F"/>
    <w:rsid w:val="003D2564"/>
    <w:rsid w:val="003E0351"/>
    <w:rsid w:val="003E03C6"/>
    <w:rsid w:val="003E0515"/>
    <w:rsid w:val="003E261A"/>
    <w:rsid w:val="003E2E29"/>
    <w:rsid w:val="003E33E2"/>
    <w:rsid w:val="003E36D7"/>
    <w:rsid w:val="003E391F"/>
    <w:rsid w:val="003E50FE"/>
    <w:rsid w:val="003E5960"/>
    <w:rsid w:val="003E644B"/>
    <w:rsid w:val="003F3344"/>
    <w:rsid w:val="003F35F8"/>
    <w:rsid w:val="003F53D2"/>
    <w:rsid w:val="003F746B"/>
    <w:rsid w:val="0040217E"/>
    <w:rsid w:val="00403526"/>
    <w:rsid w:val="00410BE2"/>
    <w:rsid w:val="00411C7F"/>
    <w:rsid w:val="004138A7"/>
    <w:rsid w:val="00420F93"/>
    <w:rsid w:val="0042256B"/>
    <w:rsid w:val="00423EEA"/>
    <w:rsid w:val="004245EE"/>
    <w:rsid w:val="004318ED"/>
    <w:rsid w:val="00432E2B"/>
    <w:rsid w:val="00436C21"/>
    <w:rsid w:val="004377B1"/>
    <w:rsid w:val="0044093D"/>
    <w:rsid w:val="00441128"/>
    <w:rsid w:val="00442806"/>
    <w:rsid w:val="00445300"/>
    <w:rsid w:val="0044583C"/>
    <w:rsid w:val="00445D8B"/>
    <w:rsid w:val="004470AA"/>
    <w:rsid w:val="0045052A"/>
    <w:rsid w:val="00451A89"/>
    <w:rsid w:val="00454455"/>
    <w:rsid w:val="00455785"/>
    <w:rsid w:val="004564DF"/>
    <w:rsid w:val="0045739D"/>
    <w:rsid w:val="00460158"/>
    <w:rsid w:val="004602B7"/>
    <w:rsid w:val="0046123D"/>
    <w:rsid w:val="004624A7"/>
    <w:rsid w:val="00465B09"/>
    <w:rsid w:val="00465C2F"/>
    <w:rsid w:val="00471BA3"/>
    <w:rsid w:val="00472C70"/>
    <w:rsid w:val="0047509D"/>
    <w:rsid w:val="004777EE"/>
    <w:rsid w:val="00480FF5"/>
    <w:rsid w:val="0048119C"/>
    <w:rsid w:val="004849BE"/>
    <w:rsid w:val="004857D7"/>
    <w:rsid w:val="004858E3"/>
    <w:rsid w:val="0048643E"/>
    <w:rsid w:val="00486C56"/>
    <w:rsid w:val="00487733"/>
    <w:rsid w:val="004927B0"/>
    <w:rsid w:val="00492AC9"/>
    <w:rsid w:val="00495071"/>
    <w:rsid w:val="004A0144"/>
    <w:rsid w:val="004A3A3E"/>
    <w:rsid w:val="004A7300"/>
    <w:rsid w:val="004B1995"/>
    <w:rsid w:val="004B31BE"/>
    <w:rsid w:val="004B3F28"/>
    <w:rsid w:val="004B4861"/>
    <w:rsid w:val="004C386C"/>
    <w:rsid w:val="004C4136"/>
    <w:rsid w:val="004C4B10"/>
    <w:rsid w:val="004D1051"/>
    <w:rsid w:val="004D2740"/>
    <w:rsid w:val="004D69E2"/>
    <w:rsid w:val="004E072F"/>
    <w:rsid w:val="004E1A7A"/>
    <w:rsid w:val="004E6054"/>
    <w:rsid w:val="004E6B95"/>
    <w:rsid w:val="004F0882"/>
    <w:rsid w:val="004F263B"/>
    <w:rsid w:val="004F3499"/>
    <w:rsid w:val="004F371A"/>
    <w:rsid w:val="004F79E7"/>
    <w:rsid w:val="00500349"/>
    <w:rsid w:val="005005F5"/>
    <w:rsid w:val="00500E36"/>
    <w:rsid w:val="00501A6C"/>
    <w:rsid w:val="00504692"/>
    <w:rsid w:val="00507EFF"/>
    <w:rsid w:val="00510A2C"/>
    <w:rsid w:val="00512E12"/>
    <w:rsid w:val="005173A0"/>
    <w:rsid w:val="00520E00"/>
    <w:rsid w:val="005234BE"/>
    <w:rsid w:val="00523567"/>
    <w:rsid w:val="00524208"/>
    <w:rsid w:val="00525BF4"/>
    <w:rsid w:val="00531263"/>
    <w:rsid w:val="00532849"/>
    <w:rsid w:val="00535AD0"/>
    <w:rsid w:val="005374DD"/>
    <w:rsid w:val="00537A1F"/>
    <w:rsid w:val="005407AE"/>
    <w:rsid w:val="005421EE"/>
    <w:rsid w:val="005446D7"/>
    <w:rsid w:val="005447BA"/>
    <w:rsid w:val="00544883"/>
    <w:rsid w:val="0054539C"/>
    <w:rsid w:val="00546C02"/>
    <w:rsid w:val="00552C84"/>
    <w:rsid w:val="00552D68"/>
    <w:rsid w:val="00554B9B"/>
    <w:rsid w:val="00555001"/>
    <w:rsid w:val="00555F8F"/>
    <w:rsid w:val="00561001"/>
    <w:rsid w:val="005614D4"/>
    <w:rsid w:val="0056219C"/>
    <w:rsid w:val="00566575"/>
    <w:rsid w:val="00566C8A"/>
    <w:rsid w:val="00571BD8"/>
    <w:rsid w:val="00574F4B"/>
    <w:rsid w:val="005769D3"/>
    <w:rsid w:val="00576E48"/>
    <w:rsid w:val="00580B56"/>
    <w:rsid w:val="005818DF"/>
    <w:rsid w:val="00582AE6"/>
    <w:rsid w:val="0058323E"/>
    <w:rsid w:val="00583FDA"/>
    <w:rsid w:val="00585989"/>
    <w:rsid w:val="00586E0F"/>
    <w:rsid w:val="005871D3"/>
    <w:rsid w:val="00590BA2"/>
    <w:rsid w:val="00591BA5"/>
    <w:rsid w:val="00592663"/>
    <w:rsid w:val="00592F8D"/>
    <w:rsid w:val="00596AA5"/>
    <w:rsid w:val="005A1973"/>
    <w:rsid w:val="005B0702"/>
    <w:rsid w:val="005B113F"/>
    <w:rsid w:val="005B3234"/>
    <w:rsid w:val="005B3330"/>
    <w:rsid w:val="005B35E4"/>
    <w:rsid w:val="005B54A8"/>
    <w:rsid w:val="005C0FBD"/>
    <w:rsid w:val="005C1AEC"/>
    <w:rsid w:val="005C33C4"/>
    <w:rsid w:val="005C3A56"/>
    <w:rsid w:val="005C5771"/>
    <w:rsid w:val="005C6620"/>
    <w:rsid w:val="005C66F7"/>
    <w:rsid w:val="005C748D"/>
    <w:rsid w:val="005C789F"/>
    <w:rsid w:val="005D0648"/>
    <w:rsid w:val="005D2D3F"/>
    <w:rsid w:val="005D52DB"/>
    <w:rsid w:val="005D711E"/>
    <w:rsid w:val="005E1292"/>
    <w:rsid w:val="005E1F17"/>
    <w:rsid w:val="005E4A26"/>
    <w:rsid w:val="005E5817"/>
    <w:rsid w:val="005E5F65"/>
    <w:rsid w:val="005E7842"/>
    <w:rsid w:val="005F18B4"/>
    <w:rsid w:val="005F3659"/>
    <w:rsid w:val="005F64E9"/>
    <w:rsid w:val="00600004"/>
    <w:rsid w:val="0060027E"/>
    <w:rsid w:val="00602A78"/>
    <w:rsid w:val="0060335E"/>
    <w:rsid w:val="00605269"/>
    <w:rsid w:val="00605511"/>
    <w:rsid w:val="00606D39"/>
    <w:rsid w:val="0061371D"/>
    <w:rsid w:val="0061471D"/>
    <w:rsid w:val="00615083"/>
    <w:rsid w:val="00621867"/>
    <w:rsid w:val="00623D9E"/>
    <w:rsid w:val="00624BD8"/>
    <w:rsid w:val="00625359"/>
    <w:rsid w:val="00625F07"/>
    <w:rsid w:val="00626C70"/>
    <w:rsid w:val="00630251"/>
    <w:rsid w:val="0063521D"/>
    <w:rsid w:val="006355A7"/>
    <w:rsid w:val="006412E2"/>
    <w:rsid w:val="00641A33"/>
    <w:rsid w:val="00643356"/>
    <w:rsid w:val="0065070F"/>
    <w:rsid w:val="00654254"/>
    <w:rsid w:val="006545F0"/>
    <w:rsid w:val="00654751"/>
    <w:rsid w:val="00654F7C"/>
    <w:rsid w:val="00655DB5"/>
    <w:rsid w:val="00662297"/>
    <w:rsid w:val="00662A08"/>
    <w:rsid w:val="00664314"/>
    <w:rsid w:val="0066596A"/>
    <w:rsid w:val="00665AF5"/>
    <w:rsid w:val="00671777"/>
    <w:rsid w:val="00673004"/>
    <w:rsid w:val="0067371F"/>
    <w:rsid w:val="00673E1B"/>
    <w:rsid w:val="00674574"/>
    <w:rsid w:val="006753BD"/>
    <w:rsid w:val="00684737"/>
    <w:rsid w:val="006867DB"/>
    <w:rsid w:val="00687C41"/>
    <w:rsid w:val="00691323"/>
    <w:rsid w:val="00691DAF"/>
    <w:rsid w:val="0069313C"/>
    <w:rsid w:val="0069704B"/>
    <w:rsid w:val="006A0815"/>
    <w:rsid w:val="006A0CD9"/>
    <w:rsid w:val="006A32F2"/>
    <w:rsid w:val="006A41BF"/>
    <w:rsid w:val="006B0A81"/>
    <w:rsid w:val="006B2E63"/>
    <w:rsid w:val="006B3E0C"/>
    <w:rsid w:val="006B424B"/>
    <w:rsid w:val="006B62BE"/>
    <w:rsid w:val="006C166D"/>
    <w:rsid w:val="006C2439"/>
    <w:rsid w:val="006C3541"/>
    <w:rsid w:val="006C6B97"/>
    <w:rsid w:val="006D0AB8"/>
    <w:rsid w:val="006D1F5A"/>
    <w:rsid w:val="006D2784"/>
    <w:rsid w:val="006D2A3F"/>
    <w:rsid w:val="006D3F92"/>
    <w:rsid w:val="006D4292"/>
    <w:rsid w:val="006D55C8"/>
    <w:rsid w:val="006D78BE"/>
    <w:rsid w:val="006E0C50"/>
    <w:rsid w:val="006E1E8D"/>
    <w:rsid w:val="006E2CE6"/>
    <w:rsid w:val="006E4551"/>
    <w:rsid w:val="006E4A8B"/>
    <w:rsid w:val="006E62CD"/>
    <w:rsid w:val="006F3515"/>
    <w:rsid w:val="006F4759"/>
    <w:rsid w:val="006F61BC"/>
    <w:rsid w:val="006F6F81"/>
    <w:rsid w:val="007007F2"/>
    <w:rsid w:val="00700C83"/>
    <w:rsid w:val="0070132F"/>
    <w:rsid w:val="007015D2"/>
    <w:rsid w:val="007025CC"/>
    <w:rsid w:val="00703E69"/>
    <w:rsid w:val="00705008"/>
    <w:rsid w:val="0071208D"/>
    <w:rsid w:val="00712A0F"/>
    <w:rsid w:val="00716960"/>
    <w:rsid w:val="0071759B"/>
    <w:rsid w:val="00723477"/>
    <w:rsid w:val="0072512E"/>
    <w:rsid w:val="0072553E"/>
    <w:rsid w:val="00730482"/>
    <w:rsid w:val="00730A92"/>
    <w:rsid w:val="00731AF2"/>
    <w:rsid w:val="00732CB7"/>
    <w:rsid w:val="0073359D"/>
    <w:rsid w:val="00735C95"/>
    <w:rsid w:val="007366D9"/>
    <w:rsid w:val="00740C7A"/>
    <w:rsid w:val="00742A08"/>
    <w:rsid w:val="007505D7"/>
    <w:rsid w:val="00750DBA"/>
    <w:rsid w:val="00753A79"/>
    <w:rsid w:val="007541A8"/>
    <w:rsid w:val="007579F5"/>
    <w:rsid w:val="00757D2E"/>
    <w:rsid w:val="007603E9"/>
    <w:rsid w:val="007604ED"/>
    <w:rsid w:val="00764203"/>
    <w:rsid w:val="00765AFD"/>
    <w:rsid w:val="00767729"/>
    <w:rsid w:val="00767C68"/>
    <w:rsid w:val="007715E0"/>
    <w:rsid w:val="00772053"/>
    <w:rsid w:val="00775F5F"/>
    <w:rsid w:val="0077606C"/>
    <w:rsid w:val="007763C0"/>
    <w:rsid w:val="00777B58"/>
    <w:rsid w:val="007806A6"/>
    <w:rsid w:val="007834DA"/>
    <w:rsid w:val="007879DD"/>
    <w:rsid w:val="00792451"/>
    <w:rsid w:val="007931ED"/>
    <w:rsid w:val="00794D80"/>
    <w:rsid w:val="007A06B9"/>
    <w:rsid w:val="007A160D"/>
    <w:rsid w:val="007A206B"/>
    <w:rsid w:val="007A24AB"/>
    <w:rsid w:val="007A4B16"/>
    <w:rsid w:val="007A50AF"/>
    <w:rsid w:val="007A5A37"/>
    <w:rsid w:val="007A67BC"/>
    <w:rsid w:val="007B004B"/>
    <w:rsid w:val="007B01FE"/>
    <w:rsid w:val="007B2F04"/>
    <w:rsid w:val="007B3F93"/>
    <w:rsid w:val="007B5353"/>
    <w:rsid w:val="007B77B9"/>
    <w:rsid w:val="007C3408"/>
    <w:rsid w:val="007C5192"/>
    <w:rsid w:val="007C59F8"/>
    <w:rsid w:val="007D1B26"/>
    <w:rsid w:val="007D3802"/>
    <w:rsid w:val="007D7CA5"/>
    <w:rsid w:val="007D7F02"/>
    <w:rsid w:val="007E092B"/>
    <w:rsid w:val="007E676E"/>
    <w:rsid w:val="007F0B25"/>
    <w:rsid w:val="007F0B64"/>
    <w:rsid w:val="007F19DE"/>
    <w:rsid w:val="007F2D73"/>
    <w:rsid w:val="007F5D10"/>
    <w:rsid w:val="007F65D9"/>
    <w:rsid w:val="007F73D3"/>
    <w:rsid w:val="00800D95"/>
    <w:rsid w:val="00801743"/>
    <w:rsid w:val="008028F4"/>
    <w:rsid w:val="008044F5"/>
    <w:rsid w:val="00804F95"/>
    <w:rsid w:val="00805024"/>
    <w:rsid w:val="00806B37"/>
    <w:rsid w:val="008074D5"/>
    <w:rsid w:val="00813F37"/>
    <w:rsid w:val="008150DF"/>
    <w:rsid w:val="00816EBC"/>
    <w:rsid w:val="00816F02"/>
    <w:rsid w:val="0081700E"/>
    <w:rsid w:val="0081715D"/>
    <w:rsid w:val="008209D8"/>
    <w:rsid w:val="00821BDE"/>
    <w:rsid w:val="00822ADF"/>
    <w:rsid w:val="00823F05"/>
    <w:rsid w:val="0082601A"/>
    <w:rsid w:val="00835C89"/>
    <w:rsid w:val="0084376D"/>
    <w:rsid w:val="00845343"/>
    <w:rsid w:val="008461BF"/>
    <w:rsid w:val="008531DF"/>
    <w:rsid w:val="00854102"/>
    <w:rsid w:val="00854316"/>
    <w:rsid w:val="00855B52"/>
    <w:rsid w:val="00855CF7"/>
    <w:rsid w:val="0085746F"/>
    <w:rsid w:val="00857E43"/>
    <w:rsid w:val="008705B1"/>
    <w:rsid w:val="00872000"/>
    <w:rsid w:val="00872343"/>
    <w:rsid w:val="008735C8"/>
    <w:rsid w:val="00874BC6"/>
    <w:rsid w:val="00874DA9"/>
    <w:rsid w:val="00876BA5"/>
    <w:rsid w:val="008866BE"/>
    <w:rsid w:val="00887D4B"/>
    <w:rsid w:val="00891368"/>
    <w:rsid w:val="008913DB"/>
    <w:rsid w:val="00892454"/>
    <w:rsid w:val="00892639"/>
    <w:rsid w:val="0089271B"/>
    <w:rsid w:val="008974FE"/>
    <w:rsid w:val="008A00F3"/>
    <w:rsid w:val="008A14FF"/>
    <w:rsid w:val="008A2423"/>
    <w:rsid w:val="008A409C"/>
    <w:rsid w:val="008A4646"/>
    <w:rsid w:val="008A4CFC"/>
    <w:rsid w:val="008A5A65"/>
    <w:rsid w:val="008A7B02"/>
    <w:rsid w:val="008B1253"/>
    <w:rsid w:val="008B2A09"/>
    <w:rsid w:val="008B36EA"/>
    <w:rsid w:val="008B72FD"/>
    <w:rsid w:val="008C1241"/>
    <w:rsid w:val="008C25A7"/>
    <w:rsid w:val="008C3229"/>
    <w:rsid w:val="008C5213"/>
    <w:rsid w:val="008C5757"/>
    <w:rsid w:val="008C7BF6"/>
    <w:rsid w:val="008D0408"/>
    <w:rsid w:val="008D078A"/>
    <w:rsid w:val="008D14D4"/>
    <w:rsid w:val="008D1FB8"/>
    <w:rsid w:val="008D2253"/>
    <w:rsid w:val="008D5474"/>
    <w:rsid w:val="008D6BA7"/>
    <w:rsid w:val="008D70B5"/>
    <w:rsid w:val="008D7534"/>
    <w:rsid w:val="008D7927"/>
    <w:rsid w:val="008E2C9F"/>
    <w:rsid w:val="008E2E2A"/>
    <w:rsid w:val="008E6056"/>
    <w:rsid w:val="008E662D"/>
    <w:rsid w:val="008E7347"/>
    <w:rsid w:val="008F4C7F"/>
    <w:rsid w:val="008F666E"/>
    <w:rsid w:val="008F66C5"/>
    <w:rsid w:val="00901A3F"/>
    <w:rsid w:val="00902770"/>
    <w:rsid w:val="0090279A"/>
    <w:rsid w:val="00904907"/>
    <w:rsid w:val="0090493D"/>
    <w:rsid w:val="00907289"/>
    <w:rsid w:val="009075E7"/>
    <w:rsid w:val="009112B6"/>
    <w:rsid w:val="009114C4"/>
    <w:rsid w:val="009122BA"/>
    <w:rsid w:val="00914AB5"/>
    <w:rsid w:val="0091544C"/>
    <w:rsid w:val="0091649F"/>
    <w:rsid w:val="0091691E"/>
    <w:rsid w:val="009257D0"/>
    <w:rsid w:val="00926789"/>
    <w:rsid w:val="0092798C"/>
    <w:rsid w:val="00932214"/>
    <w:rsid w:val="00932ECB"/>
    <w:rsid w:val="00932F9A"/>
    <w:rsid w:val="0093461C"/>
    <w:rsid w:val="00936392"/>
    <w:rsid w:val="00937F1C"/>
    <w:rsid w:val="00940914"/>
    <w:rsid w:val="009429D2"/>
    <w:rsid w:val="00944D84"/>
    <w:rsid w:val="00947F96"/>
    <w:rsid w:val="00950B59"/>
    <w:rsid w:val="0095225E"/>
    <w:rsid w:val="00952A48"/>
    <w:rsid w:val="00953A95"/>
    <w:rsid w:val="0095798D"/>
    <w:rsid w:val="00957D6B"/>
    <w:rsid w:val="0096435A"/>
    <w:rsid w:val="00966F11"/>
    <w:rsid w:val="0096766A"/>
    <w:rsid w:val="00970C54"/>
    <w:rsid w:val="00970F02"/>
    <w:rsid w:val="00970FEF"/>
    <w:rsid w:val="00971C4C"/>
    <w:rsid w:val="00973B32"/>
    <w:rsid w:val="00973D31"/>
    <w:rsid w:val="00973ECE"/>
    <w:rsid w:val="009747BE"/>
    <w:rsid w:val="0097630B"/>
    <w:rsid w:val="00977476"/>
    <w:rsid w:val="00982B42"/>
    <w:rsid w:val="00984CD8"/>
    <w:rsid w:val="009850FD"/>
    <w:rsid w:val="0098587E"/>
    <w:rsid w:val="009906FD"/>
    <w:rsid w:val="009919CE"/>
    <w:rsid w:val="009919F5"/>
    <w:rsid w:val="00995400"/>
    <w:rsid w:val="00997736"/>
    <w:rsid w:val="009A09E2"/>
    <w:rsid w:val="009A1009"/>
    <w:rsid w:val="009A22FF"/>
    <w:rsid w:val="009A43BF"/>
    <w:rsid w:val="009A6AFD"/>
    <w:rsid w:val="009A7234"/>
    <w:rsid w:val="009A7D8C"/>
    <w:rsid w:val="009B0770"/>
    <w:rsid w:val="009B0F62"/>
    <w:rsid w:val="009B24A2"/>
    <w:rsid w:val="009B5259"/>
    <w:rsid w:val="009B5AD2"/>
    <w:rsid w:val="009B7A49"/>
    <w:rsid w:val="009C05E4"/>
    <w:rsid w:val="009C0A77"/>
    <w:rsid w:val="009C62A4"/>
    <w:rsid w:val="009D1319"/>
    <w:rsid w:val="009D2E47"/>
    <w:rsid w:val="009D5AB4"/>
    <w:rsid w:val="009E1499"/>
    <w:rsid w:val="009E14B7"/>
    <w:rsid w:val="009E3032"/>
    <w:rsid w:val="009E32C6"/>
    <w:rsid w:val="009E6A2D"/>
    <w:rsid w:val="009E7B26"/>
    <w:rsid w:val="009F253A"/>
    <w:rsid w:val="009F2A30"/>
    <w:rsid w:val="009F33F0"/>
    <w:rsid w:val="009F4AF1"/>
    <w:rsid w:val="009F536A"/>
    <w:rsid w:val="009F6861"/>
    <w:rsid w:val="00A00D16"/>
    <w:rsid w:val="00A0439C"/>
    <w:rsid w:val="00A05988"/>
    <w:rsid w:val="00A11529"/>
    <w:rsid w:val="00A12344"/>
    <w:rsid w:val="00A13B4F"/>
    <w:rsid w:val="00A16145"/>
    <w:rsid w:val="00A204B9"/>
    <w:rsid w:val="00A21075"/>
    <w:rsid w:val="00A2165D"/>
    <w:rsid w:val="00A22B2D"/>
    <w:rsid w:val="00A260E6"/>
    <w:rsid w:val="00A27F48"/>
    <w:rsid w:val="00A339F3"/>
    <w:rsid w:val="00A33A0D"/>
    <w:rsid w:val="00A357AE"/>
    <w:rsid w:val="00A36A73"/>
    <w:rsid w:val="00A46D64"/>
    <w:rsid w:val="00A46FBE"/>
    <w:rsid w:val="00A47EAF"/>
    <w:rsid w:val="00A50D11"/>
    <w:rsid w:val="00A5128A"/>
    <w:rsid w:val="00A52486"/>
    <w:rsid w:val="00A564C8"/>
    <w:rsid w:val="00A64342"/>
    <w:rsid w:val="00A65C17"/>
    <w:rsid w:val="00A72630"/>
    <w:rsid w:val="00A74669"/>
    <w:rsid w:val="00A75438"/>
    <w:rsid w:val="00A755B0"/>
    <w:rsid w:val="00A8202D"/>
    <w:rsid w:val="00A843FC"/>
    <w:rsid w:val="00A873D8"/>
    <w:rsid w:val="00A87FC2"/>
    <w:rsid w:val="00A909BC"/>
    <w:rsid w:val="00A914D1"/>
    <w:rsid w:val="00A92289"/>
    <w:rsid w:val="00A928F4"/>
    <w:rsid w:val="00A93E54"/>
    <w:rsid w:val="00A9474F"/>
    <w:rsid w:val="00A96B4E"/>
    <w:rsid w:val="00A978C4"/>
    <w:rsid w:val="00AA6A63"/>
    <w:rsid w:val="00AA6B3F"/>
    <w:rsid w:val="00AB1283"/>
    <w:rsid w:val="00AB1FC0"/>
    <w:rsid w:val="00AB219A"/>
    <w:rsid w:val="00AB257B"/>
    <w:rsid w:val="00AB3645"/>
    <w:rsid w:val="00AB3B4D"/>
    <w:rsid w:val="00AB3E64"/>
    <w:rsid w:val="00AB4F28"/>
    <w:rsid w:val="00AC1E23"/>
    <w:rsid w:val="00AC54CE"/>
    <w:rsid w:val="00AC6764"/>
    <w:rsid w:val="00AC7708"/>
    <w:rsid w:val="00AC7E00"/>
    <w:rsid w:val="00AC7F46"/>
    <w:rsid w:val="00AD0D6B"/>
    <w:rsid w:val="00AD1CC6"/>
    <w:rsid w:val="00AD70D0"/>
    <w:rsid w:val="00AD7C85"/>
    <w:rsid w:val="00AD7F8B"/>
    <w:rsid w:val="00AE0C38"/>
    <w:rsid w:val="00AE4091"/>
    <w:rsid w:val="00AE5C4B"/>
    <w:rsid w:val="00AF0CD9"/>
    <w:rsid w:val="00AF25D1"/>
    <w:rsid w:val="00AF2A71"/>
    <w:rsid w:val="00AF2A97"/>
    <w:rsid w:val="00AF5405"/>
    <w:rsid w:val="00B00091"/>
    <w:rsid w:val="00B0101F"/>
    <w:rsid w:val="00B01029"/>
    <w:rsid w:val="00B029A5"/>
    <w:rsid w:val="00B06446"/>
    <w:rsid w:val="00B12713"/>
    <w:rsid w:val="00B16550"/>
    <w:rsid w:val="00B176AF"/>
    <w:rsid w:val="00B202B2"/>
    <w:rsid w:val="00B2033F"/>
    <w:rsid w:val="00B20C63"/>
    <w:rsid w:val="00B21E1C"/>
    <w:rsid w:val="00B2231D"/>
    <w:rsid w:val="00B231D9"/>
    <w:rsid w:val="00B23308"/>
    <w:rsid w:val="00B24DF7"/>
    <w:rsid w:val="00B25D07"/>
    <w:rsid w:val="00B30D33"/>
    <w:rsid w:val="00B335AD"/>
    <w:rsid w:val="00B33C1E"/>
    <w:rsid w:val="00B347CA"/>
    <w:rsid w:val="00B36665"/>
    <w:rsid w:val="00B406EF"/>
    <w:rsid w:val="00B40964"/>
    <w:rsid w:val="00B40A2B"/>
    <w:rsid w:val="00B40F27"/>
    <w:rsid w:val="00B42C90"/>
    <w:rsid w:val="00B43023"/>
    <w:rsid w:val="00B46D06"/>
    <w:rsid w:val="00B52A52"/>
    <w:rsid w:val="00B5683C"/>
    <w:rsid w:val="00B57893"/>
    <w:rsid w:val="00B62271"/>
    <w:rsid w:val="00B626CE"/>
    <w:rsid w:val="00B62FEE"/>
    <w:rsid w:val="00B632A0"/>
    <w:rsid w:val="00B66F39"/>
    <w:rsid w:val="00B6715F"/>
    <w:rsid w:val="00B67B15"/>
    <w:rsid w:val="00B75762"/>
    <w:rsid w:val="00B75F17"/>
    <w:rsid w:val="00B7669E"/>
    <w:rsid w:val="00B80AC5"/>
    <w:rsid w:val="00B82555"/>
    <w:rsid w:val="00B82ABD"/>
    <w:rsid w:val="00B8416D"/>
    <w:rsid w:val="00B852ED"/>
    <w:rsid w:val="00B86803"/>
    <w:rsid w:val="00B87B2F"/>
    <w:rsid w:val="00B918FB"/>
    <w:rsid w:val="00B92825"/>
    <w:rsid w:val="00B94F97"/>
    <w:rsid w:val="00B958D6"/>
    <w:rsid w:val="00BA064A"/>
    <w:rsid w:val="00BA0B6E"/>
    <w:rsid w:val="00BA0E6D"/>
    <w:rsid w:val="00BA1E23"/>
    <w:rsid w:val="00BA2497"/>
    <w:rsid w:val="00BB0023"/>
    <w:rsid w:val="00BB133D"/>
    <w:rsid w:val="00BB1555"/>
    <w:rsid w:val="00BB35EE"/>
    <w:rsid w:val="00BB54C4"/>
    <w:rsid w:val="00BB597C"/>
    <w:rsid w:val="00BC271B"/>
    <w:rsid w:val="00BC2B50"/>
    <w:rsid w:val="00BC304C"/>
    <w:rsid w:val="00BC5D3F"/>
    <w:rsid w:val="00BC7C6B"/>
    <w:rsid w:val="00BD0DC7"/>
    <w:rsid w:val="00BD354A"/>
    <w:rsid w:val="00BD37B9"/>
    <w:rsid w:val="00BD410C"/>
    <w:rsid w:val="00BD4A9E"/>
    <w:rsid w:val="00BD4DCF"/>
    <w:rsid w:val="00BD69A8"/>
    <w:rsid w:val="00BD72EB"/>
    <w:rsid w:val="00BE0337"/>
    <w:rsid w:val="00BE3E1B"/>
    <w:rsid w:val="00BE65CC"/>
    <w:rsid w:val="00BE74C6"/>
    <w:rsid w:val="00BF128D"/>
    <w:rsid w:val="00BF14CF"/>
    <w:rsid w:val="00BF1742"/>
    <w:rsid w:val="00BF2068"/>
    <w:rsid w:val="00BF3573"/>
    <w:rsid w:val="00BF37FD"/>
    <w:rsid w:val="00BF3BC1"/>
    <w:rsid w:val="00BF708C"/>
    <w:rsid w:val="00BF7CE0"/>
    <w:rsid w:val="00C01BC1"/>
    <w:rsid w:val="00C02622"/>
    <w:rsid w:val="00C030F7"/>
    <w:rsid w:val="00C044AD"/>
    <w:rsid w:val="00C052B2"/>
    <w:rsid w:val="00C06521"/>
    <w:rsid w:val="00C0762F"/>
    <w:rsid w:val="00C07D99"/>
    <w:rsid w:val="00C1047D"/>
    <w:rsid w:val="00C10484"/>
    <w:rsid w:val="00C16D48"/>
    <w:rsid w:val="00C176F5"/>
    <w:rsid w:val="00C208DE"/>
    <w:rsid w:val="00C22567"/>
    <w:rsid w:val="00C26D6D"/>
    <w:rsid w:val="00C31399"/>
    <w:rsid w:val="00C3535A"/>
    <w:rsid w:val="00C354B5"/>
    <w:rsid w:val="00C3560D"/>
    <w:rsid w:val="00C368BE"/>
    <w:rsid w:val="00C429BC"/>
    <w:rsid w:val="00C46B81"/>
    <w:rsid w:val="00C47B09"/>
    <w:rsid w:val="00C5159E"/>
    <w:rsid w:val="00C559CB"/>
    <w:rsid w:val="00C5677C"/>
    <w:rsid w:val="00C5785A"/>
    <w:rsid w:val="00C6244A"/>
    <w:rsid w:val="00C62486"/>
    <w:rsid w:val="00C63626"/>
    <w:rsid w:val="00C63D15"/>
    <w:rsid w:val="00C63F91"/>
    <w:rsid w:val="00C64838"/>
    <w:rsid w:val="00C67FAA"/>
    <w:rsid w:val="00C703F1"/>
    <w:rsid w:val="00C71115"/>
    <w:rsid w:val="00C747A6"/>
    <w:rsid w:val="00C823AA"/>
    <w:rsid w:val="00C82D14"/>
    <w:rsid w:val="00C87DDC"/>
    <w:rsid w:val="00C90E17"/>
    <w:rsid w:val="00C91090"/>
    <w:rsid w:val="00C92F5D"/>
    <w:rsid w:val="00C9327D"/>
    <w:rsid w:val="00C9523D"/>
    <w:rsid w:val="00CA086C"/>
    <w:rsid w:val="00CA539B"/>
    <w:rsid w:val="00CB1A75"/>
    <w:rsid w:val="00CB3751"/>
    <w:rsid w:val="00CB389D"/>
    <w:rsid w:val="00CB4E18"/>
    <w:rsid w:val="00CB6ED5"/>
    <w:rsid w:val="00CC0219"/>
    <w:rsid w:val="00CC0CCC"/>
    <w:rsid w:val="00CC1D99"/>
    <w:rsid w:val="00CC2558"/>
    <w:rsid w:val="00CC55E7"/>
    <w:rsid w:val="00CC58BC"/>
    <w:rsid w:val="00CC5CB9"/>
    <w:rsid w:val="00CC67ED"/>
    <w:rsid w:val="00CC702A"/>
    <w:rsid w:val="00CC781F"/>
    <w:rsid w:val="00CD23B3"/>
    <w:rsid w:val="00CD3B02"/>
    <w:rsid w:val="00CE0F32"/>
    <w:rsid w:val="00CE204A"/>
    <w:rsid w:val="00CE24EC"/>
    <w:rsid w:val="00CE3997"/>
    <w:rsid w:val="00CE4605"/>
    <w:rsid w:val="00CF2AC5"/>
    <w:rsid w:val="00CF2CE4"/>
    <w:rsid w:val="00CF2F5B"/>
    <w:rsid w:val="00CF5BE2"/>
    <w:rsid w:val="00CF7432"/>
    <w:rsid w:val="00D0110A"/>
    <w:rsid w:val="00D03410"/>
    <w:rsid w:val="00D04FAC"/>
    <w:rsid w:val="00D06F3D"/>
    <w:rsid w:val="00D07F38"/>
    <w:rsid w:val="00D107D0"/>
    <w:rsid w:val="00D14717"/>
    <w:rsid w:val="00D14815"/>
    <w:rsid w:val="00D170D5"/>
    <w:rsid w:val="00D21BB1"/>
    <w:rsid w:val="00D21E7D"/>
    <w:rsid w:val="00D22128"/>
    <w:rsid w:val="00D226A6"/>
    <w:rsid w:val="00D261F6"/>
    <w:rsid w:val="00D26F1B"/>
    <w:rsid w:val="00D308D9"/>
    <w:rsid w:val="00D3147B"/>
    <w:rsid w:val="00D33092"/>
    <w:rsid w:val="00D33E95"/>
    <w:rsid w:val="00D34249"/>
    <w:rsid w:val="00D342A5"/>
    <w:rsid w:val="00D359DA"/>
    <w:rsid w:val="00D4262B"/>
    <w:rsid w:val="00D46B08"/>
    <w:rsid w:val="00D5240D"/>
    <w:rsid w:val="00D55489"/>
    <w:rsid w:val="00D605BF"/>
    <w:rsid w:val="00D6163A"/>
    <w:rsid w:val="00D62A5C"/>
    <w:rsid w:val="00D63C79"/>
    <w:rsid w:val="00D6412C"/>
    <w:rsid w:val="00D658FB"/>
    <w:rsid w:val="00D6645C"/>
    <w:rsid w:val="00D666B1"/>
    <w:rsid w:val="00D727AE"/>
    <w:rsid w:val="00D728B8"/>
    <w:rsid w:val="00D75032"/>
    <w:rsid w:val="00D77A99"/>
    <w:rsid w:val="00D80B41"/>
    <w:rsid w:val="00D81EE9"/>
    <w:rsid w:val="00D8215F"/>
    <w:rsid w:val="00D82645"/>
    <w:rsid w:val="00D826E4"/>
    <w:rsid w:val="00D84896"/>
    <w:rsid w:val="00D84BBF"/>
    <w:rsid w:val="00D84CF7"/>
    <w:rsid w:val="00D85805"/>
    <w:rsid w:val="00D8719C"/>
    <w:rsid w:val="00D9062F"/>
    <w:rsid w:val="00D9515C"/>
    <w:rsid w:val="00D959F0"/>
    <w:rsid w:val="00DA217B"/>
    <w:rsid w:val="00DA4B8F"/>
    <w:rsid w:val="00DA557C"/>
    <w:rsid w:val="00DA5A6B"/>
    <w:rsid w:val="00DA6976"/>
    <w:rsid w:val="00DA69FD"/>
    <w:rsid w:val="00DA770C"/>
    <w:rsid w:val="00DB309B"/>
    <w:rsid w:val="00DB33B5"/>
    <w:rsid w:val="00DB3F01"/>
    <w:rsid w:val="00DB5CE8"/>
    <w:rsid w:val="00DB5E50"/>
    <w:rsid w:val="00DB6E98"/>
    <w:rsid w:val="00DC1E5A"/>
    <w:rsid w:val="00DC411C"/>
    <w:rsid w:val="00DC511E"/>
    <w:rsid w:val="00DC6EBD"/>
    <w:rsid w:val="00DC739A"/>
    <w:rsid w:val="00DD06D2"/>
    <w:rsid w:val="00DD1E89"/>
    <w:rsid w:val="00DD3129"/>
    <w:rsid w:val="00DD45FD"/>
    <w:rsid w:val="00DD4E67"/>
    <w:rsid w:val="00DD5181"/>
    <w:rsid w:val="00DD5191"/>
    <w:rsid w:val="00DD5D89"/>
    <w:rsid w:val="00DD69F0"/>
    <w:rsid w:val="00DE14E0"/>
    <w:rsid w:val="00DE1FD5"/>
    <w:rsid w:val="00DE2493"/>
    <w:rsid w:val="00DE56BB"/>
    <w:rsid w:val="00DE6B96"/>
    <w:rsid w:val="00DF071D"/>
    <w:rsid w:val="00DF4D27"/>
    <w:rsid w:val="00DF4EFA"/>
    <w:rsid w:val="00E011E8"/>
    <w:rsid w:val="00E022D2"/>
    <w:rsid w:val="00E03782"/>
    <w:rsid w:val="00E04310"/>
    <w:rsid w:val="00E045AA"/>
    <w:rsid w:val="00E06C23"/>
    <w:rsid w:val="00E1389A"/>
    <w:rsid w:val="00E139AD"/>
    <w:rsid w:val="00E2029D"/>
    <w:rsid w:val="00E21FC2"/>
    <w:rsid w:val="00E22EC4"/>
    <w:rsid w:val="00E3161B"/>
    <w:rsid w:val="00E3642B"/>
    <w:rsid w:val="00E372F7"/>
    <w:rsid w:val="00E4268E"/>
    <w:rsid w:val="00E42FEF"/>
    <w:rsid w:val="00E43AFC"/>
    <w:rsid w:val="00E47F7F"/>
    <w:rsid w:val="00E50BDE"/>
    <w:rsid w:val="00E51462"/>
    <w:rsid w:val="00E5265E"/>
    <w:rsid w:val="00E55749"/>
    <w:rsid w:val="00E63726"/>
    <w:rsid w:val="00E64F4E"/>
    <w:rsid w:val="00E7451E"/>
    <w:rsid w:val="00E83460"/>
    <w:rsid w:val="00E85C89"/>
    <w:rsid w:val="00E94B67"/>
    <w:rsid w:val="00E97A3F"/>
    <w:rsid w:val="00EA19B2"/>
    <w:rsid w:val="00EA268F"/>
    <w:rsid w:val="00EA49E5"/>
    <w:rsid w:val="00EA4FD5"/>
    <w:rsid w:val="00EB4347"/>
    <w:rsid w:val="00EB6F4D"/>
    <w:rsid w:val="00EB7A5C"/>
    <w:rsid w:val="00EB7AEA"/>
    <w:rsid w:val="00EB7B39"/>
    <w:rsid w:val="00EC268F"/>
    <w:rsid w:val="00EC6E80"/>
    <w:rsid w:val="00EC7690"/>
    <w:rsid w:val="00ED741E"/>
    <w:rsid w:val="00ED79DB"/>
    <w:rsid w:val="00EE6437"/>
    <w:rsid w:val="00EE7057"/>
    <w:rsid w:val="00EF0761"/>
    <w:rsid w:val="00EF1A16"/>
    <w:rsid w:val="00EF3E2A"/>
    <w:rsid w:val="00EF4396"/>
    <w:rsid w:val="00F01268"/>
    <w:rsid w:val="00F024E1"/>
    <w:rsid w:val="00F07978"/>
    <w:rsid w:val="00F117B3"/>
    <w:rsid w:val="00F11EB0"/>
    <w:rsid w:val="00F156D7"/>
    <w:rsid w:val="00F16CD7"/>
    <w:rsid w:val="00F211A1"/>
    <w:rsid w:val="00F21C72"/>
    <w:rsid w:val="00F22815"/>
    <w:rsid w:val="00F268F2"/>
    <w:rsid w:val="00F27DDA"/>
    <w:rsid w:val="00F308CB"/>
    <w:rsid w:val="00F30BAB"/>
    <w:rsid w:val="00F35179"/>
    <w:rsid w:val="00F379CC"/>
    <w:rsid w:val="00F41B88"/>
    <w:rsid w:val="00F41C6C"/>
    <w:rsid w:val="00F42CA5"/>
    <w:rsid w:val="00F44605"/>
    <w:rsid w:val="00F45DAA"/>
    <w:rsid w:val="00F45F0B"/>
    <w:rsid w:val="00F47DED"/>
    <w:rsid w:val="00F47E59"/>
    <w:rsid w:val="00F542D7"/>
    <w:rsid w:val="00F5721A"/>
    <w:rsid w:val="00F57F28"/>
    <w:rsid w:val="00F60FCB"/>
    <w:rsid w:val="00F61145"/>
    <w:rsid w:val="00F61925"/>
    <w:rsid w:val="00F62ED8"/>
    <w:rsid w:val="00F66D09"/>
    <w:rsid w:val="00F70523"/>
    <w:rsid w:val="00F72F3E"/>
    <w:rsid w:val="00F74508"/>
    <w:rsid w:val="00F75615"/>
    <w:rsid w:val="00F821B5"/>
    <w:rsid w:val="00F85DCD"/>
    <w:rsid w:val="00F87417"/>
    <w:rsid w:val="00F901D2"/>
    <w:rsid w:val="00F926B8"/>
    <w:rsid w:val="00F95475"/>
    <w:rsid w:val="00F954BD"/>
    <w:rsid w:val="00FA05DA"/>
    <w:rsid w:val="00FA1E47"/>
    <w:rsid w:val="00FB1D8B"/>
    <w:rsid w:val="00FB6456"/>
    <w:rsid w:val="00FB78B0"/>
    <w:rsid w:val="00FC08D6"/>
    <w:rsid w:val="00FC2082"/>
    <w:rsid w:val="00FC5333"/>
    <w:rsid w:val="00FC6E36"/>
    <w:rsid w:val="00FC7657"/>
    <w:rsid w:val="00FC78F0"/>
    <w:rsid w:val="00FD2112"/>
    <w:rsid w:val="00FD3DED"/>
    <w:rsid w:val="00FD5080"/>
    <w:rsid w:val="00FD53E0"/>
    <w:rsid w:val="00FD75D3"/>
    <w:rsid w:val="00FE3621"/>
    <w:rsid w:val="00FE3DCA"/>
    <w:rsid w:val="00FE473A"/>
    <w:rsid w:val="00FE5F9D"/>
    <w:rsid w:val="00FE7054"/>
    <w:rsid w:val="00FF094A"/>
    <w:rsid w:val="00FF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link w:val="EndnoteTextChar"/>
    <w:semiHidden/>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link w:val="HeaderChar"/>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281FDF"/>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 w:type="character" w:customStyle="1" w:styleId="EndnoteTextChar">
    <w:name w:val="Endnote Text Char"/>
    <w:basedOn w:val="DefaultParagraphFont"/>
    <w:link w:val="EndnoteText"/>
    <w:semiHidden/>
    <w:rsid w:val="00B86803"/>
    <w:rPr>
      <w:rFonts w:ascii="Book Antiqua" w:hAnsi="Book Antiqua"/>
      <w:sz w:val="24"/>
    </w:rPr>
  </w:style>
  <w:style w:type="character" w:customStyle="1" w:styleId="HeaderChar">
    <w:name w:val="Header Char"/>
    <w:basedOn w:val="DefaultParagraphFont"/>
    <w:link w:val="Header"/>
    <w:rsid w:val="00B347CA"/>
    <w:rPr>
      <w:rFonts w:ascii="Book Antiqua" w:hAnsi="Book Antiqua"/>
      <w:sz w:val="24"/>
    </w:rPr>
  </w:style>
  <w:style w:type="paragraph" w:customStyle="1" w:styleId="p3">
    <w:name w:val="p3"/>
    <w:basedOn w:val="Normal"/>
    <w:rsid w:val="008F4C7F"/>
    <w:pPr>
      <w:widowControl w:val="0"/>
      <w:tabs>
        <w:tab w:val="left" w:pos="204"/>
      </w:tabs>
      <w:overflowPunct/>
      <w:spacing w:line="360" w:lineRule="auto"/>
      <w:ind w:firstLine="1440"/>
      <w:textAlignment w:val="auto"/>
    </w:pPr>
    <w:rPr>
      <w:rFonts w:ascii="Times New Roman" w:hAnsi="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link w:val="EndnoteTextChar"/>
    <w:semiHidden/>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link w:val="HeaderChar"/>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281FDF"/>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 w:type="character" w:customStyle="1" w:styleId="EndnoteTextChar">
    <w:name w:val="Endnote Text Char"/>
    <w:basedOn w:val="DefaultParagraphFont"/>
    <w:link w:val="EndnoteText"/>
    <w:semiHidden/>
    <w:rsid w:val="00B86803"/>
    <w:rPr>
      <w:rFonts w:ascii="Book Antiqua" w:hAnsi="Book Antiqua"/>
      <w:sz w:val="24"/>
    </w:rPr>
  </w:style>
  <w:style w:type="character" w:customStyle="1" w:styleId="HeaderChar">
    <w:name w:val="Header Char"/>
    <w:basedOn w:val="DefaultParagraphFont"/>
    <w:link w:val="Header"/>
    <w:rsid w:val="00B347CA"/>
    <w:rPr>
      <w:rFonts w:ascii="Book Antiqua" w:hAnsi="Book Antiqua"/>
      <w:sz w:val="24"/>
    </w:rPr>
  </w:style>
  <w:style w:type="paragraph" w:customStyle="1" w:styleId="p3">
    <w:name w:val="p3"/>
    <w:basedOn w:val="Normal"/>
    <w:rsid w:val="008F4C7F"/>
    <w:pPr>
      <w:widowControl w:val="0"/>
      <w:tabs>
        <w:tab w:val="left" w:pos="204"/>
      </w:tabs>
      <w:overflowPunct/>
      <w:spacing w:line="360" w:lineRule="auto"/>
      <w:ind w:firstLine="1440"/>
      <w:textAlignment w:val="auto"/>
    </w:pPr>
    <w:rPr>
      <w:rFonts w:ascii="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413A0-6554-40E9-9396-4F2D59E3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10</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Administrator</cp:lastModifiedBy>
  <cp:revision>121</cp:revision>
  <cp:lastPrinted>2014-01-24T16:20:00Z</cp:lastPrinted>
  <dcterms:created xsi:type="dcterms:W3CDTF">2012-10-18T13:19:00Z</dcterms:created>
  <dcterms:modified xsi:type="dcterms:W3CDTF">2014-02-11T20:45:00Z</dcterms:modified>
</cp:coreProperties>
</file>