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AD0" w:rsidRDefault="00455AD0" w:rsidP="00193863">
      <w:pPr>
        <w:tabs>
          <w:tab w:val="center" w:pos="4680"/>
        </w:tabs>
        <w:suppressAutoHyphens/>
        <w:jc w:val="center"/>
        <w:rPr>
          <w:b/>
          <w:sz w:val="26"/>
          <w:szCs w:val="26"/>
        </w:rPr>
      </w:pPr>
      <w:r>
        <w:rPr>
          <w:b/>
          <w:sz w:val="26"/>
          <w:szCs w:val="26"/>
        </w:rPr>
        <w:t>PENNSYLVANIA</w:t>
      </w:r>
    </w:p>
    <w:p w:rsidR="00455AD0" w:rsidRDefault="00455AD0" w:rsidP="00193863">
      <w:pPr>
        <w:tabs>
          <w:tab w:val="center" w:pos="4680"/>
        </w:tabs>
        <w:suppressAutoHyphens/>
        <w:jc w:val="center"/>
        <w:rPr>
          <w:sz w:val="26"/>
          <w:szCs w:val="26"/>
        </w:rPr>
      </w:pPr>
      <w:r>
        <w:rPr>
          <w:b/>
          <w:sz w:val="26"/>
          <w:szCs w:val="26"/>
        </w:rPr>
        <w:t>PUBLIC UTILITY COMMISSION</w:t>
      </w:r>
    </w:p>
    <w:p w:rsidR="00455AD0" w:rsidRDefault="00455AD0" w:rsidP="00193863">
      <w:pPr>
        <w:tabs>
          <w:tab w:val="center" w:pos="4680"/>
        </w:tabs>
        <w:suppressAutoHyphens/>
        <w:jc w:val="center"/>
        <w:rPr>
          <w:sz w:val="26"/>
          <w:szCs w:val="26"/>
        </w:rPr>
      </w:pPr>
      <w:r>
        <w:rPr>
          <w:b/>
          <w:sz w:val="26"/>
          <w:szCs w:val="26"/>
        </w:rPr>
        <w:t>Harrisburg, PA 17105-3265</w:t>
      </w:r>
    </w:p>
    <w:p w:rsidR="00455AD0" w:rsidRDefault="00455AD0" w:rsidP="00193863">
      <w:pPr>
        <w:tabs>
          <w:tab w:val="left" w:pos="-720"/>
        </w:tabs>
        <w:suppressAutoHyphens/>
        <w:rPr>
          <w:sz w:val="26"/>
          <w:szCs w:val="26"/>
        </w:rPr>
      </w:pPr>
    </w:p>
    <w:p w:rsidR="00455AD0" w:rsidRDefault="00455AD0" w:rsidP="00193863">
      <w:pPr>
        <w:ind w:right="-18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455AD0" w:rsidTr="00455AD0">
        <w:tc>
          <w:tcPr>
            <w:tcW w:w="5058" w:type="dxa"/>
          </w:tcPr>
          <w:p w:rsidR="00455AD0" w:rsidRDefault="00455AD0" w:rsidP="00193863">
            <w:pPr>
              <w:rPr>
                <w:sz w:val="26"/>
                <w:szCs w:val="26"/>
              </w:rPr>
            </w:pPr>
          </w:p>
        </w:tc>
        <w:tc>
          <w:tcPr>
            <w:tcW w:w="4428" w:type="dxa"/>
          </w:tcPr>
          <w:p w:rsidR="00455AD0" w:rsidRDefault="00277475" w:rsidP="00193863">
            <w:pPr>
              <w:ind w:right="-90"/>
              <w:jc w:val="right"/>
              <w:rPr>
                <w:sz w:val="26"/>
                <w:szCs w:val="26"/>
              </w:rPr>
            </w:pPr>
            <w:r>
              <w:rPr>
                <w:sz w:val="26"/>
                <w:szCs w:val="26"/>
              </w:rPr>
              <w:t xml:space="preserve">Public Meeting held March </w:t>
            </w:r>
            <w:r w:rsidR="00A2634E">
              <w:rPr>
                <w:sz w:val="26"/>
                <w:szCs w:val="26"/>
              </w:rPr>
              <w:t>6</w:t>
            </w:r>
            <w:r>
              <w:rPr>
                <w:sz w:val="26"/>
                <w:szCs w:val="26"/>
              </w:rPr>
              <w:t>, 2014</w:t>
            </w:r>
          </w:p>
          <w:p w:rsidR="00455AD0" w:rsidRDefault="00455AD0" w:rsidP="00193863">
            <w:pPr>
              <w:jc w:val="right"/>
              <w:rPr>
                <w:sz w:val="26"/>
                <w:szCs w:val="26"/>
              </w:rPr>
            </w:pPr>
          </w:p>
          <w:p w:rsidR="00455AD0" w:rsidRDefault="00455AD0" w:rsidP="00193863">
            <w:pPr>
              <w:jc w:val="right"/>
              <w:rPr>
                <w:sz w:val="26"/>
                <w:szCs w:val="26"/>
              </w:rPr>
            </w:pPr>
          </w:p>
        </w:tc>
      </w:tr>
      <w:tr w:rsidR="00455AD0" w:rsidTr="00455AD0">
        <w:tc>
          <w:tcPr>
            <w:tcW w:w="5058" w:type="dxa"/>
          </w:tcPr>
          <w:p w:rsidR="00455AD0" w:rsidRDefault="00455AD0" w:rsidP="00193863">
            <w:pPr>
              <w:rPr>
                <w:sz w:val="26"/>
                <w:szCs w:val="26"/>
              </w:rPr>
            </w:pPr>
            <w:r>
              <w:rPr>
                <w:sz w:val="26"/>
                <w:szCs w:val="26"/>
              </w:rPr>
              <w:t>Commissioners Present:</w:t>
            </w:r>
          </w:p>
          <w:p w:rsidR="00455AD0" w:rsidRDefault="00455AD0" w:rsidP="00193863">
            <w:pPr>
              <w:rPr>
                <w:sz w:val="26"/>
                <w:szCs w:val="26"/>
              </w:rPr>
            </w:pPr>
          </w:p>
          <w:p w:rsidR="00455AD0" w:rsidRDefault="00455AD0" w:rsidP="00193863">
            <w:pPr>
              <w:tabs>
                <w:tab w:val="left" w:pos="705"/>
              </w:tabs>
              <w:ind w:firstLine="720"/>
              <w:rPr>
                <w:sz w:val="26"/>
                <w:szCs w:val="26"/>
              </w:rPr>
            </w:pPr>
            <w:r>
              <w:rPr>
                <w:sz w:val="26"/>
                <w:szCs w:val="26"/>
              </w:rPr>
              <w:t>Robert F. Powelson, Chairman</w:t>
            </w:r>
          </w:p>
          <w:p w:rsidR="00455AD0" w:rsidRDefault="00455AD0" w:rsidP="00193863">
            <w:pPr>
              <w:tabs>
                <w:tab w:val="left" w:pos="705"/>
              </w:tabs>
              <w:ind w:firstLine="720"/>
              <w:rPr>
                <w:sz w:val="26"/>
                <w:szCs w:val="26"/>
              </w:rPr>
            </w:pPr>
            <w:r>
              <w:rPr>
                <w:sz w:val="26"/>
                <w:szCs w:val="26"/>
              </w:rPr>
              <w:t>John F. Coleman, Jr., Vice Chairman</w:t>
            </w:r>
          </w:p>
          <w:p w:rsidR="00455AD0" w:rsidRDefault="00455AD0" w:rsidP="00193863">
            <w:pPr>
              <w:tabs>
                <w:tab w:val="left" w:pos="705"/>
              </w:tabs>
              <w:ind w:firstLine="720"/>
              <w:rPr>
                <w:sz w:val="26"/>
                <w:szCs w:val="26"/>
              </w:rPr>
            </w:pPr>
            <w:r>
              <w:rPr>
                <w:sz w:val="26"/>
                <w:szCs w:val="26"/>
              </w:rPr>
              <w:t>James H. Cawley</w:t>
            </w:r>
          </w:p>
          <w:p w:rsidR="00455AD0" w:rsidRDefault="00455AD0" w:rsidP="00193863">
            <w:pPr>
              <w:tabs>
                <w:tab w:val="left" w:pos="705"/>
              </w:tabs>
              <w:ind w:firstLine="720"/>
              <w:rPr>
                <w:sz w:val="26"/>
                <w:szCs w:val="26"/>
              </w:rPr>
            </w:pPr>
            <w:r>
              <w:rPr>
                <w:sz w:val="26"/>
                <w:szCs w:val="26"/>
              </w:rPr>
              <w:t>Pamela A. Witmer</w:t>
            </w:r>
          </w:p>
          <w:p w:rsidR="00455AD0" w:rsidRDefault="00455AD0" w:rsidP="00193863">
            <w:pPr>
              <w:tabs>
                <w:tab w:val="left" w:pos="705"/>
              </w:tabs>
              <w:ind w:firstLine="720"/>
              <w:rPr>
                <w:sz w:val="26"/>
                <w:szCs w:val="26"/>
              </w:rPr>
            </w:pPr>
            <w:r>
              <w:rPr>
                <w:sz w:val="26"/>
                <w:szCs w:val="26"/>
              </w:rPr>
              <w:t>Gladys M. Brown</w:t>
            </w:r>
          </w:p>
          <w:p w:rsidR="00455AD0" w:rsidRDefault="00455AD0" w:rsidP="00193863">
            <w:pPr>
              <w:rPr>
                <w:sz w:val="26"/>
                <w:szCs w:val="26"/>
              </w:rPr>
            </w:pPr>
          </w:p>
          <w:p w:rsidR="00455AD0" w:rsidRDefault="00455AD0" w:rsidP="00193863">
            <w:pPr>
              <w:rPr>
                <w:sz w:val="26"/>
                <w:szCs w:val="26"/>
              </w:rPr>
            </w:pPr>
          </w:p>
        </w:tc>
        <w:tc>
          <w:tcPr>
            <w:tcW w:w="4428" w:type="dxa"/>
          </w:tcPr>
          <w:p w:rsidR="00455AD0" w:rsidRDefault="00455AD0" w:rsidP="00193863">
            <w:pPr>
              <w:jc w:val="right"/>
              <w:rPr>
                <w:sz w:val="26"/>
                <w:szCs w:val="26"/>
              </w:rPr>
            </w:pPr>
          </w:p>
          <w:p w:rsidR="00455AD0" w:rsidRDefault="00455AD0" w:rsidP="00193863">
            <w:pPr>
              <w:jc w:val="right"/>
              <w:rPr>
                <w:sz w:val="26"/>
                <w:szCs w:val="26"/>
              </w:rPr>
            </w:pPr>
          </w:p>
        </w:tc>
      </w:tr>
      <w:tr w:rsidR="00455AD0" w:rsidTr="00455AD0">
        <w:tc>
          <w:tcPr>
            <w:tcW w:w="5058" w:type="dxa"/>
          </w:tcPr>
          <w:p w:rsidR="00455AD0" w:rsidRDefault="00455AD0" w:rsidP="00193863">
            <w:pPr>
              <w:rPr>
                <w:sz w:val="26"/>
                <w:szCs w:val="26"/>
              </w:rPr>
            </w:pPr>
            <w:r>
              <w:rPr>
                <w:sz w:val="26"/>
                <w:szCs w:val="26"/>
              </w:rPr>
              <w:t xml:space="preserve">Pennsylvania Public Utility Commission, Bureau of Investigation </w:t>
            </w:r>
            <w:r w:rsidR="0070043C">
              <w:rPr>
                <w:sz w:val="26"/>
                <w:szCs w:val="26"/>
              </w:rPr>
              <w:t>and</w:t>
            </w:r>
            <w:r>
              <w:rPr>
                <w:sz w:val="26"/>
                <w:szCs w:val="26"/>
              </w:rPr>
              <w:t xml:space="preserve"> Enforcement</w:t>
            </w:r>
          </w:p>
          <w:p w:rsidR="00455AD0" w:rsidRDefault="00455AD0" w:rsidP="00193863">
            <w:pPr>
              <w:rPr>
                <w:sz w:val="26"/>
                <w:szCs w:val="26"/>
              </w:rPr>
            </w:pPr>
          </w:p>
        </w:tc>
        <w:tc>
          <w:tcPr>
            <w:tcW w:w="4428" w:type="dxa"/>
            <w:hideMark/>
          </w:tcPr>
          <w:p w:rsidR="00455AD0" w:rsidRDefault="00A944FE" w:rsidP="00A944FE">
            <w:pPr>
              <w:jc w:val="right"/>
              <w:rPr>
                <w:sz w:val="26"/>
                <w:szCs w:val="26"/>
              </w:rPr>
            </w:pPr>
            <w:r>
              <w:rPr>
                <w:sz w:val="26"/>
                <w:szCs w:val="26"/>
              </w:rPr>
              <w:t>C-2013-2371641</w:t>
            </w:r>
          </w:p>
        </w:tc>
      </w:tr>
      <w:tr w:rsidR="00455AD0" w:rsidTr="00455AD0">
        <w:tc>
          <w:tcPr>
            <w:tcW w:w="5058" w:type="dxa"/>
          </w:tcPr>
          <w:p w:rsidR="00455AD0" w:rsidRDefault="00455AD0" w:rsidP="00193863">
            <w:pPr>
              <w:ind w:firstLine="1440"/>
              <w:rPr>
                <w:sz w:val="26"/>
                <w:szCs w:val="26"/>
              </w:rPr>
            </w:pPr>
            <w:r>
              <w:rPr>
                <w:sz w:val="26"/>
                <w:szCs w:val="26"/>
              </w:rPr>
              <w:t>v.</w:t>
            </w:r>
          </w:p>
          <w:p w:rsidR="00455AD0" w:rsidRDefault="00455AD0" w:rsidP="00193863">
            <w:pPr>
              <w:ind w:firstLine="1440"/>
              <w:rPr>
                <w:sz w:val="26"/>
                <w:szCs w:val="26"/>
              </w:rPr>
            </w:pPr>
          </w:p>
        </w:tc>
        <w:tc>
          <w:tcPr>
            <w:tcW w:w="4428" w:type="dxa"/>
          </w:tcPr>
          <w:p w:rsidR="00455AD0" w:rsidRDefault="00455AD0" w:rsidP="00193863">
            <w:pPr>
              <w:rPr>
                <w:sz w:val="26"/>
                <w:szCs w:val="26"/>
              </w:rPr>
            </w:pPr>
          </w:p>
        </w:tc>
      </w:tr>
      <w:tr w:rsidR="00455AD0" w:rsidTr="00455AD0">
        <w:tc>
          <w:tcPr>
            <w:tcW w:w="5058" w:type="dxa"/>
            <w:hideMark/>
          </w:tcPr>
          <w:p w:rsidR="00455AD0" w:rsidRDefault="00E53C85" w:rsidP="00193863">
            <w:pPr>
              <w:rPr>
                <w:sz w:val="26"/>
                <w:szCs w:val="26"/>
              </w:rPr>
            </w:pPr>
            <w:r>
              <w:rPr>
                <w:sz w:val="26"/>
                <w:szCs w:val="26"/>
              </w:rPr>
              <w:t>903 Rentals</w:t>
            </w:r>
            <w:r w:rsidR="00455AD0">
              <w:rPr>
                <w:sz w:val="26"/>
                <w:szCs w:val="26"/>
              </w:rPr>
              <w:t>, Inc.</w:t>
            </w:r>
          </w:p>
        </w:tc>
        <w:tc>
          <w:tcPr>
            <w:tcW w:w="4428" w:type="dxa"/>
          </w:tcPr>
          <w:p w:rsidR="00455AD0" w:rsidRDefault="00455AD0" w:rsidP="00193863">
            <w:pPr>
              <w:rPr>
                <w:sz w:val="26"/>
                <w:szCs w:val="26"/>
              </w:rPr>
            </w:pPr>
          </w:p>
        </w:tc>
      </w:tr>
    </w:tbl>
    <w:p w:rsidR="00455AD0" w:rsidRDefault="00455AD0" w:rsidP="00193863">
      <w:pPr>
        <w:rPr>
          <w:sz w:val="26"/>
          <w:szCs w:val="26"/>
        </w:rPr>
      </w:pPr>
    </w:p>
    <w:p w:rsidR="00455AD0" w:rsidRDefault="00455AD0" w:rsidP="00193863">
      <w:pPr>
        <w:rPr>
          <w:sz w:val="26"/>
          <w:szCs w:val="26"/>
        </w:rPr>
      </w:pPr>
    </w:p>
    <w:p w:rsidR="00455AD0" w:rsidRDefault="00455AD0" w:rsidP="00193863">
      <w:pPr>
        <w:jc w:val="center"/>
        <w:rPr>
          <w:b/>
          <w:sz w:val="26"/>
          <w:szCs w:val="26"/>
        </w:rPr>
      </w:pPr>
      <w:r>
        <w:rPr>
          <w:b/>
          <w:sz w:val="26"/>
          <w:szCs w:val="26"/>
        </w:rPr>
        <w:t>OPINION AND ORDER</w:t>
      </w:r>
    </w:p>
    <w:p w:rsidR="00455AD0" w:rsidRDefault="00455AD0" w:rsidP="00193863">
      <w:pPr>
        <w:jc w:val="center"/>
        <w:rPr>
          <w:b/>
          <w:sz w:val="26"/>
          <w:szCs w:val="26"/>
        </w:rPr>
      </w:pPr>
    </w:p>
    <w:p w:rsidR="00455AD0" w:rsidRDefault="00455AD0" w:rsidP="00193863">
      <w:pPr>
        <w:jc w:val="center"/>
        <w:rPr>
          <w:b/>
          <w:sz w:val="26"/>
          <w:szCs w:val="26"/>
        </w:rPr>
      </w:pPr>
    </w:p>
    <w:p w:rsidR="00455AD0" w:rsidRDefault="00455AD0" w:rsidP="00193863">
      <w:pPr>
        <w:rPr>
          <w:b/>
          <w:sz w:val="26"/>
          <w:szCs w:val="26"/>
        </w:rPr>
      </w:pPr>
      <w:r>
        <w:rPr>
          <w:b/>
          <w:sz w:val="26"/>
          <w:szCs w:val="26"/>
        </w:rPr>
        <w:t>BY THE COMMISSION:</w:t>
      </w:r>
    </w:p>
    <w:p w:rsidR="00455AD0" w:rsidRDefault="00455AD0" w:rsidP="00193863">
      <w:pPr>
        <w:rPr>
          <w:sz w:val="26"/>
          <w:szCs w:val="26"/>
        </w:rPr>
      </w:pPr>
    </w:p>
    <w:p w:rsidR="00455AD0" w:rsidRDefault="00455AD0" w:rsidP="00193863"/>
    <w:p w:rsidR="00455AD0" w:rsidRDefault="00455AD0" w:rsidP="00193863">
      <w:pPr>
        <w:tabs>
          <w:tab w:val="left" w:pos="-720"/>
        </w:tabs>
        <w:suppressAutoHyphens/>
        <w:spacing w:line="360" w:lineRule="auto"/>
        <w:rPr>
          <w:sz w:val="26"/>
          <w:szCs w:val="26"/>
        </w:rPr>
      </w:pPr>
      <w:r>
        <w:rPr>
          <w:sz w:val="26"/>
          <w:szCs w:val="26"/>
        </w:rPr>
        <w:tab/>
      </w:r>
      <w:r>
        <w:rPr>
          <w:sz w:val="26"/>
          <w:szCs w:val="26"/>
        </w:rPr>
        <w:tab/>
        <w:t>Before the Pennsylvania Public Utility Commission (Commission) for consideration and disposition is the Settlement Agreeme</w:t>
      </w:r>
      <w:r w:rsidR="00E254BB">
        <w:rPr>
          <w:sz w:val="26"/>
          <w:szCs w:val="26"/>
        </w:rPr>
        <w:t>nt (Settlement) filed on January</w:t>
      </w:r>
      <w:r w:rsidR="001C12B6">
        <w:rPr>
          <w:sz w:val="26"/>
          <w:szCs w:val="26"/>
        </w:rPr>
        <w:t> </w:t>
      </w:r>
      <w:r>
        <w:rPr>
          <w:sz w:val="26"/>
          <w:szCs w:val="26"/>
        </w:rPr>
        <w:t>1</w:t>
      </w:r>
      <w:r w:rsidR="00E254BB">
        <w:rPr>
          <w:sz w:val="26"/>
          <w:szCs w:val="26"/>
        </w:rPr>
        <w:t>3, 2014</w:t>
      </w:r>
      <w:r>
        <w:rPr>
          <w:sz w:val="26"/>
          <w:szCs w:val="26"/>
        </w:rPr>
        <w:t xml:space="preserve">, by the Commission’s Bureau of Investigation </w:t>
      </w:r>
      <w:r w:rsidR="0070043C">
        <w:rPr>
          <w:sz w:val="26"/>
          <w:szCs w:val="26"/>
        </w:rPr>
        <w:t>and</w:t>
      </w:r>
      <w:r>
        <w:rPr>
          <w:sz w:val="26"/>
          <w:szCs w:val="26"/>
        </w:rPr>
        <w:t xml:space="preserve"> Enfo</w:t>
      </w:r>
      <w:r w:rsidR="00E254BB">
        <w:rPr>
          <w:sz w:val="26"/>
          <w:szCs w:val="26"/>
        </w:rPr>
        <w:t>rcement (I&amp;E) an</w:t>
      </w:r>
      <w:r w:rsidR="00953BE6">
        <w:rPr>
          <w:sz w:val="26"/>
          <w:szCs w:val="26"/>
        </w:rPr>
        <w:t>d 903 Rentals, Inc. (Respondent</w:t>
      </w:r>
      <w:r>
        <w:rPr>
          <w:sz w:val="26"/>
          <w:szCs w:val="26"/>
        </w:rPr>
        <w:t xml:space="preserve">) (together, Parties).  </w:t>
      </w:r>
      <w:r w:rsidR="00E254BB">
        <w:rPr>
          <w:sz w:val="26"/>
          <w:szCs w:val="26"/>
        </w:rPr>
        <w:t>The Pa</w:t>
      </w:r>
      <w:r w:rsidR="0076289D">
        <w:rPr>
          <w:sz w:val="26"/>
          <w:szCs w:val="26"/>
        </w:rPr>
        <w:t>rties</w:t>
      </w:r>
      <w:r w:rsidR="00AC17FC">
        <w:rPr>
          <w:sz w:val="26"/>
          <w:szCs w:val="26"/>
        </w:rPr>
        <w:t xml:space="preserve"> included</w:t>
      </w:r>
      <w:r>
        <w:rPr>
          <w:sz w:val="26"/>
          <w:szCs w:val="26"/>
        </w:rPr>
        <w:t xml:space="preserve"> a Joint Statement in Support of the Settlement</w:t>
      </w:r>
      <w:r w:rsidR="00AC17FC">
        <w:rPr>
          <w:sz w:val="26"/>
          <w:szCs w:val="26"/>
        </w:rPr>
        <w:t xml:space="preserve"> within the Settlement</w:t>
      </w:r>
      <w:r>
        <w:rPr>
          <w:sz w:val="26"/>
          <w:szCs w:val="26"/>
        </w:rPr>
        <w:t>.  The Parties subm</w:t>
      </w:r>
      <w:r w:rsidR="00BD482B">
        <w:rPr>
          <w:sz w:val="26"/>
          <w:szCs w:val="26"/>
        </w:rPr>
        <w:t xml:space="preserve">it that the proposed Settlement </w:t>
      </w:r>
      <w:r>
        <w:rPr>
          <w:sz w:val="26"/>
          <w:szCs w:val="26"/>
        </w:rPr>
        <w:t xml:space="preserve">is consistent with the Commission’s Policy Statement at 52 Pa. Code § 69.1201, </w:t>
      </w:r>
      <w:r>
        <w:rPr>
          <w:i/>
          <w:sz w:val="26"/>
          <w:szCs w:val="26"/>
        </w:rPr>
        <w:t xml:space="preserve">Factors and standards for evaluating litigated and settled proceedings </w:t>
      </w:r>
      <w:r>
        <w:rPr>
          <w:i/>
          <w:sz w:val="26"/>
          <w:szCs w:val="26"/>
        </w:rPr>
        <w:lastRenderedPageBreak/>
        <w:t>involving violations of the Public Utility Code and Commission regulations—statement of policy</w:t>
      </w:r>
      <w:r>
        <w:rPr>
          <w:sz w:val="26"/>
          <w:szCs w:val="26"/>
        </w:rPr>
        <w:t xml:space="preserve"> (Policy Stateme</w:t>
      </w:r>
      <w:r w:rsidR="00BD482B">
        <w:rPr>
          <w:sz w:val="26"/>
          <w:szCs w:val="26"/>
        </w:rPr>
        <w:t>nt).  Settlement at 3</w:t>
      </w:r>
      <w:r>
        <w:rPr>
          <w:sz w:val="26"/>
          <w:szCs w:val="26"/>
        </w:rPr>
        <w:t xml:space="preserve">.  </w:t>
      </w:r>
    </w:p>
    <w:p w:rsidR="00455AD0" w:rsidRDefault="00455AD0" w:rsidP="00193863">
      <w:pPr>
        <w:spacing w:line="360" w:lineRule="auto"/>
        <w:ind w:firstLine="1440"/>
        <w:rPr>
          <w:sz w:val="26"/>
          <w:szCs w:val="26"/>
        </w:rPr>
      </w:pPr>
    </w:p>
    <w:p w:rsidR="00455AD0" w:rsidRDefault="00455AD0" w:rsidP="00F53D83">
      <w:pPr>
        <w:spacing w:line="360" w:lineRule="auto"/>
        <w:jc w:val="center"/>
        <w:rPr>
          <w:b/>
          <w:sz w:val="26"/>
          <w:szCs w:val="26"/>
        </w:rPr>
      </w:pPr>
      <w:r>
        <w:rPr>
          <w:b/>
          <w:sz w:val="26"/>
          <w:szCs w:val="26"/>
        </w:rPr>
        <w:t>History of the Proceeding</w:t>
      </w:r>
    </w:p>
    <w:p w:rsidR="00F53D83" w:rsidRPr="00F53D83" w:rsidRDefault="00F53D83" w:rsidP="00F53D83">
      <w:pPr>
        <w:spacing w:line="360" w:lineRule="auto"/>
        <w:jc w:val="center"/>
        <w:rPr>
          <w:b/>
          <w:sz w:val="26"/>
          <w:szCs w:val="26"/>
        </w:rPr>
      </w:pPr>
    </w:p>
    <w:p w:rsidR="00D26CB1" w:rsidRDefault="00455AD0" w:rsidP="00873FB1">
      <w:pPr>
        <w:autoSpaceDE w:val="0"/>
        <w:autoSpaceDN w:val="0"/>
        <w:adjustRightInd w:val="0"/>
        <w:spacing w:line="360" w:lineRule="auto"/>
        <w:ind w:firstLine="1440"/>
        <w:rPr>
          <w:sz w:val="26"/>
          <w:szCs w:val="26"/>
        </w:rPr>
      </w:pPr>
      <w:r>
        <w:rPr>
          <w:rFonts w:eastAsiaTheme="minorHAnsi"/>
          <w:sz w:val="26"/>
          <w:szCs w:val="26"/>
        </w:rPr>
        <w:t xml:space="preserve">The </w:t>
      </w:r>
      <w:r w:rsidR="0000510D">
        <w:rPr>
          <w:rFonts w:eastAsiaTheme="minorHAnsi"/>
          <w:sz w:val="26"/>
          <w:szCs w:val="26"/>
        </w:rPr>
        <w:t xml:space="preserve">Commission </w:t>
      </w:r>
      <w:r w:rsidR="00CD1C84">
        <w:rPr>
          <w:rFonts w:eastAsiaTheme="minorHAnsi"/>
          <w:sz w:val="26"/>
          <w:szCs w:val="26"/>
        </w:rPr>
        <w:t xml:space="preserve">first </w:t>
      </w:r>
      <w:r w:rsidR="00953BE6">
        <w:rPr>
          <w:rFonts w:eastAsiaTheme="minorHAnsi"/>
          <w:sz w:val="26"/>
          <w:szCs w:val="26"/>
        </w:rPr>
        <w:t>issued the Respondent</w:t>
      </w:r>
      <w:r>
        <w:rPr>
          <w:rFonts w:eastAsiaTheme="minorHAnsi"/>
          <w:sz w:val="26"/>
          <w:szCs w:val="26"/>
        </w:rPr>
        <w:t xml:space="preserve"> a Certificate </w:t>
      </w:r>
      <w:r w:rsidR="0009597C">
        <w:rPr>
          <w:rFonts w:eastAsiaTheme="minorHAnsi"/>
          <w:sz w:val="26"/>
          <w:szCs w:val="26"/>
        </w:rPr>
        <w:t>of P</w:t>
      </w:r>
      <w:r w:rsidR="00CD1C84">
        <w:rPr>
          <w:rFonts w:eastAsiaTheme="minorHAnsi"/>
          <w:sz w:val="26"/>
          <w:szCs w:val="26"/>
        </w:rPr>
        <w:t xml:space="preserve">ublic Convenience on </w:t>
      </w:r>
      <w:r w:rsidR="005E73FF">
        <w:rPr>
          <w:rFonts w:eastAsiaTheme="minorHAnsi"/>
          <w:sz w:val="26"/>
          <w:szCs w:val="26"/>
        </w:rPr>
        <w:t>May</w:t>
      </w:r>
      <w:r w:rsidR="00CD1C84">
        <w:rPr>
          <w:rFonts w:eastAsiaTheme="minorHAnsi"/>
          <w:sz w:val="26"/>
          <w:szCs w:val="26"/>
        </w:rPr>
        <w:t xml:space="preserve"> 17</w:t>
      </w:r>
      <w:r w:rsidR="0000510D">
        <w:rPr>
          <w:rFonts w:eastAsiaTheme="minorHAnsi"/>
          <w:sz w:val="26"/>
          <w:szCs w:val="26"/>
        </w:rPr>
        <w:t>, 2007, at Docket No. A-00123351</w:t>
      </w:r>
      <w:r>
        <w:rPr>
          <w:rFonts w:eastAsiaTheme="minorHAnsi"/>
          <w:sz w:val="26"/>
          <w:szCs w:val="26"/>
        </w:rPr>
        <w:t>.</w:t>
      </w:r>
      <w:r w:rsidR="00CD1C84">
        <w:rPr>
          <w:rFonts w:eastAsiaTheme="minorHAnsi"/>
          <w:sz w:val="26"/>
          <w:szCs w:val="26"/>
        </w:rPr>
        <w:t xml:space="preserve">  </w:t>
      </w:r>
      <w:r w:rsidR="005E73FF">
        <w:rPr>
          <w:rFonts w:eastAsiaTheme="minorHAnsi"/>
          <w:sz w:val="26"/>
          <w:szCs w:val="26"/>
        </w:rPr>
        <w:t xml:space="preserve">The Company is certificated for limousine, taxi, group, and airport transport services. </w:t>
      </w:r>
      <w:r w:rsidR="00873FB1">
        <w:rPr>
          <w:sz w:val="26"/>
          <w:szCs w:val="26"/>
        </w:rPr>
        <w:t xml:space="preserve"> </w:t>
      </w:r>
      <w:r w:rsidR="00D26CB1">
        <w:rPr>
          <w:sz w:val="26"/>
          <w:szCs w:val="26"/>
        </w:rPr>
        <w:t xml:space="preserve">On July 1, 2013, </w:t>
      </w:r>
      <w:r w:rsidR="00DF63EF">
        <w:rPr>
          <w:sz w:val="26"/>
          <w:szCs w:val="26"/>
        </w:rPr>
        <w:t>I&amp;E</w:t>
      </w:r>
      <w:r w:rsidR="008B6053">
        <w:rPr>
          <w:sz w:val="26"/>
          <w:szCs w:val="26"/>
        </w:rPr>
        <w:t>’s</w:t>
      </w:r>
      <w:r w:rsidR="00D26CB1">
        <w:rPr>
          <w:sz w:val="26"/>
          <w:szCs w:val="26"/>
        </w:rPr>
        <w:t xml:space="preserve"> Motor Carrier Enforcement division conducted an annual taxi carrier vehicle inspection on </w:t>
      </w:r>
      <w:r w:rsidR="00953BE6">
        <w:rPr>
          <w:sz w:val="26"/>
          <w:szCs w:val="26"/>
        </w:rPr>
        <w:t>the Respondent’s</w:t>
      </w:r>
      <w:r w:rsidR="00D26CB1">
        <w:rPr>
          <w:sz w:val="26"/>
          <w:szCs w:val="26"/>
        </w:rPr>
        <w:t xml:space="preserve"> vehicles.  During the inspection, the </w:t>
      </w:r>
      <w:r w:rsidR="00470BD9">
        <w:rPr>
          <w:sz w:val="26"/>
          <w:szCs w:val="26"/>
        </w:rPr>
        <w:t xml:space="preserve">inspecting officer noted that </w:t>
      </w:r>
      <w:r w:rsidR="00D26CB1">
        <w:rPr>
          <w:sz w:val="26"/>
          <w:szCs w:val="26"/>
        </w:rPr>
        <w:t>con</w:t>
      </w:r>
      <w:r w:rsidR="00470BD9">
        <w:rPr>
          <w:sz w:val="26"/>
          <w:szCs w:val="26"/>
        </w:rPr>
        <w:t xml:space="preserve">sumer information decals were absent from one </w:t>
      </w:r>
      <w:r w:rsidR="00D26CB1">
        <w:rPr>
          <w:sz w:val="26"/>
          <w:szCs w:val="26"/>
        </w:rPr>
        <w:t>vehicle and that no criminal record h</w:t>
      </w:r>
      <w:r w:rsidR="00470BD9">
        <w:rPr>
          <w:sz w:val="26"/>
          <w:szCs w:val="26"/>
        </w:rPr>
        <w:t>ad been obtained for one driver</w:t>
      </w:r>
      <w:r w:rsidR="008B6053">
        <w:rPr>
          <w:sz w:val="26"/>
          <w:szCs w:val="26"/>
        </w:rPr>
        <w:t>,</w:t>
      </w:r>
      <w:r w:rsidR="00F10664">
        <w:rPr>
          <w:sz w:val="26"/>
          <w:szCs w:val="26"/>
        </w:rPr>
        <w:t xml:space="preserve"> </w:t>
      </w:r>
      <w:r w:rsidR="008B6053">
        <w:rPr>
          <w:sz w:val="26"/>
          <w:szCs w:val="26"/>
        </w:rPr>
        <w:t xml:space="preserve">both </w:t>
      </w:r>
      <w:r w:rsidR="00F10664">
        <w:rPr>
          <w:sz w:val="26"/>
          <w:szCs w:val="26"/>
        </w:rPr>
        <w:t>in contravention of Commission Regulations.</w:t>
      </w:r>
      <w:r w:rsidR="00D26CB1">
        <w:rPr>
          <w:sz w:val="26"/>
          <w:szCs w:val="26"/>
        </w:rPr>
        <w:t xml:space="preserve">  </w:t>
      </w:r>
      <w:r w:rsidR="001C12B6">
        <w:rPr>
          <w:sz w:val="26"/>
          <w:szCs w:val="26"/>
        </w:rPr>
        <w:t>On August </w:t>
      </w:r>
      <w:r w:rsidR="004F238B">
        <w:rPr>
          <w:sz w:val="26"/>
          <w:szCs w:val="26"/>
        </w:rPr>
        <w:t>1</w:t>
      </w:r>
      <w:r w:rsidR="008B6053">
        <w:rPr>
          <w:sz w:val="26"/>
          <w:szCs w:val="26"/>
        </w:rPr>
        <w:t>4</w:t>
      </w:r>
      <w:r w:rsidR="004F238B">
        <w:rPr>
          <w:sz w:val="26"/>
          <w:szCs w:val="26"/>
        </w:rPr>
        <w:t>, 2013, t</w:t>
      </w:r>
      <w:r w:rsidR="000C20A8">
        <w:rPr>
          <w:sz w:val="26"/>
          <w:szCs w:val="26"/>
        </w:rPr>
        <w:t>he Commission served the Respondent</w:t>
      </w:r>
      <w:r w:rsidR="004F238B">
        <w:rPr>
          <w:sz w:val="26"/>
          <w:szCs w:val="26"/>
        </w:rPr>
        <w:t xml:space="preserve"> with</w:t>
      </w:r>
      <w:r w:rsidR="00F53D83">
        <w:rPr>
          <w:sz w:val="26"/>
          <w:szCs w:val="26"/>
        </w:rPr>
        <w:t xml:space="preserve"> a Complaint</w:t>
      </w:r>
      <w:r w:rsidR="00873FB1">
        <w:rPr>
          <w:sz w:val="26"/>
          <w:szCs w:val="26"/>
        </w:rPr>
        <w:t>, prepared by I&amp;E,</w:t>
      </w:r>
      <w:r w:rsidR="00F53D83">
        <w:rPr>
          <w:sz w:val="26"/>
          <w:szCs w:val="26"/>
        </w:rPr>
        <w:t xml:space="preserve"> which recommended</w:t>
      </w:r>
      <w:r w:rsidR="005D1EDB">
        <w:rPr>
          <w:sz w:val="26"/>
          <w:szCs w:val="26"/>
        </w:rPr>
        <w:t xml:space="preserve"> a $300 fine.  O</w:t>
      </w:r>
      <w:r w:rsidR="000C20A8">
        <w:rPr>
          <w:sz w:val="26"/>
          <w:szCs w:val="26"/>
        </w:rPr>
        <w:t>n September 3, 2013, the Respondent</w:t>
      </w:r>
      <w:r w:rsidR="005D1EDB">
        <w:rPr>
          <w:sz w:val="26"/>
          <w:szCs w:val="26"/>
        </w:rPr>
        <w:t xml:space="preserve"> filed an Answer</w:t>
      </w:r>
      <w:r w:rsidR="008B6053">
        <w:rPr>
          <w:sz w:val="26"/>
          <w:szCs w:val="26"/>
        </w:rPr>
        <w:t>,</w:t>
      </w:r>
      <w:r w:rsidR="005D1EDB">
        <w:rPr>
          <w:sz w:val="26"/>
          <w:szCs w:val="26"/>
        </w:rPr>
        <w:t xml:space="preserve"> </w:t>
      </w:r>
      <w:r w:rsidR="00F53D83">
        <w:rPr>
          <w:sz w:val="26"/>
          <w:szCs w:val="26"/>
        </w:rPr>
        <w:t xml:space="preserve">which </w:t>
      </w:r>
      <w:r w:rsidR="00AB219F">
        <w:rPr>
          <w:sz w:val="26"/>
          <w:szCs w:val="26"/>
        </w:rPr>
        <w:t xml:space="preserve">requested that either a written warning be issued or a lesser fine be imposed.  </w:t>
      </w:r>
    </w:p>
    <w:p w:rsidR="00455AD0" w:rsidRDefault="00455AD0" w:rsidP="00193863">
      <w:pPr>
        <w:spacing w:line="360" w:lineRule="auto"/>
        <w:ind w:firstLine="1440"/>
        <w:rPr>
          <w:sz w:val="26"/>
          <w:szCs w:val="26"/>
        </w:rPr>
      </w:pPr>
    </w:p>
    <w:p w:rsidR="00455AD0" w:rsidRDefault="00455AD0" w:rsidP="00193863">
      <w:pPr>
        <w:spacing w:line="360" w:lineRule="auto"/>
        <w:ind w:firstLine="1440"/>
        <w:rPr>
          <w:sz w:val="26"/>
          <w:szCs w:val="26"/>
        </w:rPr>
      </w:pPr>
      <w:r>
        <w:rPr>
          <w:sz w:val="26"/>
          <w:szCs w:val="26"/>
        </w:rPr>
        <w:t xml:space="preserve">The Parties entered into negotiations and agreed to resolve </w:t>
      </w:r>
      <w:r w:rsidR="009E7C25">
        <w:rPr>
          <w:sz w:val="26"/>
          <w:szCs w:val="26"/>
        </w:rPr>
        <w:t xml:space="preserve">the Complaint </w:t>
      </w:r>
      <w:r>
        <w:rPr>
          <w:sz w:val="26"/>
          <w:szCs w:val="26"/>
        </w:rPr>
        <w:t>in accordance with the Commission’s policy to promote settlements at 52 Pa. Code § 5.231.  The Parties filed t</w:t>
      </w:r>
      <w:r w:rsidR="008040EB">
        <w:rPr>
          <w:sz w:val="26"/>
          <w:szCs w:val="26"/>
        </w:rPr>
        <w:t>he instant Settlement on January</w:t>
      </w:r>
      <w:r>
        <w:rPr>
          <w:sz w:val="26"/>
          <w:szCs w:val="26"/>
        </w:rPr>
        <w:t xml:space="preserve"> 1</w:t>
      </w:r>
      <w:r w:rsidR="008040EB">
        <w:rPr>
          <w:sz w:val="26"/>
          <w:szCs w:val="26"/>
        </w:rPr>
        <w:t>3, 2014</w:t>
      </w:r>
      <w:r>
        <w:rPr>
          <w:sz w:val="26"/>
          <w:szCs w:val="26"/>
        </w:rPr>
        <w:t>.</w:t>
      </w:r>
      <w:r w:rsidR="0072380A" w:rsidRPr="0072380A">
        <w:rPr>
          <w:rStyle w:val="FootnoteReference"/>
          <w:sz w:val="26"/>
          <w:szCs w:val="26"/>
        </w:rPr>
        <w:t xml:space="preserve"> </w:t>
      </w:r>
    </w:p>
    <w:p w:rsidR="00455AD0" w:rsidRDefault="00455AD0" w:rsidP="00193863">
      <w:pPr>
        <w:spacing w:line="360" w:lineRule="auto"/>
        <w:ind w:firstLine="1440"/>
        <w:rPr>
          <w:sz w:val="26"/>
          <w:szCs w:val="26"/>
        </w:rPr>
      </w:pPr>
    </w:p>
    <w:p w:rsidR="00455AD0" w:rsidRDefault="00455AD0" w:rsidP="00193863">
      <w:pPr>
        <w:spacing w:line="360" w:lineRule="auto"/>
        <w:jc w:val="center"/>
        <w:rPr>
          <w:b/>
          <w:sz w:val="26"/>
          <w:szCs w:val="26"/>
        </w:rPr>
      </w:pPr>
      <w:r>
        <w:rPr>
          <w:b/>
          <w:sz w:val="26"/>
          <w:szCs w:val="26"/>
        </w:rPr>
        <w:t>Background</w:t>
      </w:r>
    </w:p>
    <w:p w:rsidR="00455AD0" w:rsidRDefault="00455AD0" w:rsidP="00193863">
      <w:pPr>
        <w:spacing w:line="360" w:lineRule="auto"/>
        <w:ind w:firstLine="1440"/>
        <w:rPr>
          <w:sz w:val="26"/>
          <w:szCs w:val="26"/>
        </w:rPr>
      </w:pPr>
    </w:p>
    <w:p w:rsidR="00455AD0" w:rsidRDefault="00DA01DC" w:rsidP="00193863">
      <w:pPr>
        <w:spacing w:line="360" w:lineRule="auto"/>
        <w:ind w:firstLine="1440"/>
        <w:rPr>
          <w:sz w:val="26"/>
          <w:szCs w:val="26"/>
        </w:rPr>
      </w:pPr>
      <w:r>
        <w:rPr>
          <w:sz w:val="26"/>
          <w:szCs w:val="26"/>
        </w:rPr>
        <w:t xml:space="preserve">Pursuant to 52 Pa. Code § 29.318, taxicabs must display a Commission issued complaint decal on the inside of the right rear window of the vehicle.  Additionally, pursuant to 52 Pa. Code § 29.505(a), </w:t>
      </w:r>
      <w:r w:rsidR="009A1AE5">
        <w:rPr>
          <w:sz w:val="26"/>
          <w:szCs w:val="26"/>
        </w:rPr>
        <w:t xml:space="preserve">a </w:t>
      </w:r>
      <w:r>
        <w:rPr>
          <w:sz w:val="26"/>
          <w:szCs w:val="26"/>
        </w:rPr>
        <w:t>common carrier must obtain and review a criminal history record for its drivers before permitting them to operate a vehicle.  Based on its inspection,</w:t>
      </w:r>
      <w:r w:rsidR="004402B0">
        <w:rPr>
          <w:sz w:val="26"/>
          <w:szCs w:val="26"/>
        </w:rPr>
        <w:t xml:space="preserve"> I&amp;E determined that the Respondent</w:t>
      </w:r>
      <w:r>
        <w:rPr>
          <w:sz w:val="26"/>
          <w:szCs w:val="26"/>
        </w:rPr>
        <w:t xml:space="preserve"> had vi</w:t>
      </w:r>
      <w:r w:rsidR="001C12B6">
        <w:rPr>
          <w:sz w:val="26"/>
          <w:szCs w:val="26"/>
        </w:rPr>
        <w:t>olated these two provisions.</w:t>
      </w:r>
      <w:r w:rsidR="00455AD0">
        <w:rPr>
          <w:sz w:val="26"/>
          <w:szCs w:val="26"/>
        </w:rPr>
        <w:t xml:space="preserve"> </w:t>
      </w:r>
    </w:p>
    <w:p w:rsidR="00455AD0" w:rsidRDefault="00455AD0" w:rsidP="00193863">
      <w:pPr>
        <w:spacing w:line="360" w:lineRule="auto"/>
        <w:ind w:firstLine="1440"/>
        <w:rPr>
          <w:sz w:val="26"/>
          <w:szCs w:val="26"/>
        </w:rPr>
      </w:pPr>
      <w:r>
        <w:rPr>
          <w:sz w:val="26"/>
          <w:szCs w:val="26"/>
        </w:rPr>
        <w:lastRenderedPageBreak/>
        <w:t xml:space="preserve">Had the matter been litigated, I&amp;E would </w:t>
      </w:r>
      <w:r w:rsidR="004402B0">
        <w:rPr>
          <w:sz w:val="26"/>
          <w:szCs w:val="26"/>
        </w:rPr>
        <w:t>have alleged that the Respondent</w:t>
      </w:r>
      <w:r>
        <w:rPr>
          <w:sz w:val="26"/>
          <w:szCs w:val="26"/>
        </w:rPr>
        <w:t xml:space="preserve"> vi</w:t>
      </w:r>
      <w:r w:rsidR="00F143FE">
        <w:rPr>
          <w:sz w:val="26"/>
          <w:szCs w:val="26"/>
        </w:rPr>
        <w:t xml:space="preserve">olated 52 Pa. Code §§ 29.318 </w:t>
      </w:r>
      <w:r w:rsidR="00332D42">
        <w:rPr>
          <w:sz w:val="26"/>
          <w:szCs w:val="26"/>
        </w:rPr>
        <w:t>and 29.505(a) by failing to obtain</w:t>
      </w:r>
      <w:r w:rsidR="00F143FE">
        <w:rPr>
          <w:sz w:val="26"/>
          <w:szCs w:val="26"/>
        </w:rPr>
        <w:t xml:space="preserve"> the required crim</w:t>
      </w:r>
      <w:r w:rsidR="00332D42">
        <w:rPr>
          <w:sz w:val="26"/>
          <w:szCs w:val="26"/>
        </w:rPr>
        <w:t>inal record and by failing to display the required</w:t>
      </w:r>
      <w:r w:rsidR="00F143FE">
        <w:rPr>
          <w:sz w:val="26"/>
          <w:szCs w:val="26"/>
        </w:rPr>
        <w:t xml:space="preserve"> decal</w:t>
      </w:r>
      <w:r>
        <w:rPr>
          <w:sz w:val="26"/>
          <w:szCs w:val="26"/>
        </w:rPr>
        <w:t xml:space="preserve">.  </w:t>
      </w:r>
      <w:r w:rsidR="009A1AE5">
        <w:rPr>
          <w:sz w:val="26"/>
          <w:szCs w:val="26"/>
        </w:rPr>
        <w:t xml:space="preserve">The Respondent does not admit to any of the allegations.  </w:t>
      </w:r>
      <w:r>
        <w:rPr>
          <w:sz w:val="26"/>
          <w:szCs w:val="26"/>
        </w:rPr>
        <w:t>Whil</w:t>
      </w:r>
      <w:r w:rsidR="00332D42">
        <w:rPr>
          <w:sz w:val="26"/>
          <w:szCs w:val="26"/>
        </w:rPr>
        <w:t>e I&amp;E has conducted an</w:t>
      </w:r>
      <w:r>
        <w:rPr>
          <w:sz w:val="26"/>
          <w:szCs w:val="26"/>
        </w:rPr>
        <w:t xml:space="preserve"> investigation, there has been no evidentiary hearing before any tribunal and no sworn </w:t>
      </w:r>
      <w:r w:rsidR="004402B0">
        <w:rPr>
          <w:sz w:val="26"/>
          <w:szCs w:val="26"/>
        </w:rPr>
        <w:t>testimony</w:t>
      </w:r>
      <w:r w:rsidR="000D2082">
        <w:rPr>
          <w:sz w:val="26"/>
          <w:szCs w:val="26"/>
        </w:rPr>
        <w:t xml:space="preserve"> has been</w:t>
      </w:r>
      <w:r w:rsidR="004402B0">
        <w:rPr>
          <w:sz w:val="26"/>
          <w:szCs w:val="26"/>
        </w:rPr>
        <w:t xml:space="preserve"> taken.  </w:t>
      </w:r>
      <w:r w:rsidR="00F143FE">
        <w:rPr>
          <w:sz w:val="26"/>
          <w:szCs w:val="26"/>
        </w:rPr>
        <w:t>Settlement at 7</w:t>
      </w:r>
      <w:r>
        <w:rPr>
          <w:sz w:val="26"/>
          <w:szCs w:val="26"/>
        </w:rPr>
        <w:t xml:space="preserve">.  </w:t>
      </w:r>
    </w:p>
    <w:p w:rsidR="00455AD0" w:rsidRDefault="00455AD0" w:rsidP="00193863">
      <w:pPr>
        <w:spacing w:line="360" w:lineRule="auto"/>
        <w:ind w:firstLine="1440"/>
        <w:rPr>
          <w:sz w:val="26"/>
          <w:szCs w:val="26"/>
        </w:rPr>
      </w:pPr>
    </w:p>
    <w:p w:rsidR="00455AD0" w:rsidRDefault="00455AD0" w:rsidP="00193863">
      <w:pPr>
        <w:keepNext/>
        <w:tabs>
          <w:tab w:val="center" w:pos="0"/>
        </w:tabs>
        <w:suppressAutoHyphens/>
        <w:spacing w:line="360" w:lineRule="auto"/>
        <w:jc w:val="center"/>
        <w:rPr>
          <w:sz w:val="26"/>
          <w:szCs w:val="26"/>
        </w:rPr>
      </w:pPr>
      <w:r w:rsidRPr="007E7F48">
        <w:rPr>
          <w:b/>
          <w:sz w:val="26"/>
          <w:szCs w:val="26"/>
        </w:rPr>
        <w:t>Terms of the Settlement</w:t>
      </w:r>
    </w:p>
    <w:p w:rsidR="00455AD0" w:rsidRDefault="00455AD0" w:rsidP="00193863">
      <w:pPr>
        <w:spacing w:line="360" w:lineRule="auto"/>
        <w:ind w:firstLine="1440"/>
        <w:rPr>
          <w:sz w:val="26"/>
          <w:szCs w:val="26"/>
        </w:rPr>
      </w:pPr>
    </w:p>
    <w:p w:rsidR="00ED0D61" w:rsidRDefault="00455AD0" w:rsidP="00193863">
      <w:pPr>
        <w:spacing w:line="360" w:lineRule="auto"/>
        <w:ind w:firstLine="1440"/>
        <w:rPr>
          <w:sz w:val="26"/>
          <w:szCs w:val="26"/>
        </w:rPr>
      </w:pPr>
      <w:r>
        <w:rPr>
          <w:sz w:val="26"/>
          <w:szCs w:val="26"/>
        </w:rPr>
        <w:t xml:space="preserve">Pursuant to the proposed Settlement, </w:t>
      </w:r>
      <w:r w:rsidR="00ED0D61">
        <w:rPr>
          <w:sz w:val="26"/>
          <w:szCs w:val="26"/>
        </w:rPr>
        <w:t>I&amp;E will withdraw its allegation regarding t</w:t>
      </w:r>
      <w:r w:rsidR="00C4686F">
        <w:rPr>
          <w:sz w:val="26"/>
          <w:szCs w:val="26"/>
        </w:rPr>
        <w:t>he missing decal and the Respondent</w:t>
      </w:r>
      <w:r w:rsidR="00ED0D61">
        <w:rPr>
          <w:sz w:val="26"/>
          <w:szCs w:val="26"/>
        </w:rPr>
        <w:t xml:space="preserve"> will pay a civil penalty in the amount of $150 for failure to conduct a criminal background check. </w:t>
      </w:r>
      <w:r w:rsidR="00C4686F">
        <w:rPr>
          <w:sz w:val="26"/>
          <w:szCs w:val="26"/>
        </w:rPr>
        <w:t xml:space="preserve"> The Respondent</w:t>
      </w:r>
      <w:r w:rsidR="009A5E76">
        <w:rPr>
          <w:sz w:val="26"/>
          <w:szCs w:val="26"/>
        </w:rPr>
        <w:t xml:space="preserve"> also agrees to comply with the Public Utility Code and the Commission’s Regulations and </w:t>
      </w:r>
      <w:r w:rsidR="00451B7A">
        <w:rPr>
          <w:sz w:val="26"/>
          <w:szCs w:val="26"/>
        </w:rPr>
        <w:t>O</w:t>
      </w:r>
      <w:r w:rsidR="009A5E76">
        <w:rPr>
          <w:sz w:val="26"/>
          <w:szCs w:val="26"/>
        </w:rPr>
        <w:t xml:space="preserve">rders in the future.  Settlement at 2-3.  </w:t>
      </w:r>
    </w:p>
    <w:p w:rsidR="00ED0D61" w:rsidRDefault="00ED0D61" w:rsidP="00193863">
      <w:pPr>
        <w:spacing w:line="360" w:lineRule="auto"/>
        <w:ind w:firstLine="1440"/>
        <w:rPr>
          <w:sz w:val="26"/>
          <w:szCs w:val="26"/>
        </w:rPr>
      </w:pPr>
    </w:p>
    <w:p w:rsidR="00455AD0" w:rsidRDefault="00451B7A" w:rsidP="00193863">
      <w:pPr>
        <w:spacing w:line="360" w:lineRule="auto"/>
        <w:ind w:firstLine="1440"/>
        <w:rPr>
          <w:sz w:val="26"/>
          <w:szCs w:val="26"/>
        </w:rPr>
      </w:pPr>
      <w:r w:rsidRPr="00451B7A">
        <w:rPr>
          <w:sz w:val="26"/>
          <w:szCs w:val="26"/>
        </w:rPr>
        <w:t xml:space="preserve">In the Settlement, the Parties aver that the alleged violations were not willful but rather, were oversights by the Company.  Both violations were remedied by the Respondent immediately.  Settlement at 4-5. </w:t>
      </w:r>
      <w:r>
        <w:rPr>
          <w:sz w:val="26"/>
          <w:szCs w:val="26"/>
        </w:rPr>
        <w:t xml:space="preserve"> </w:t>
      </w:r>
      <w:r w:rsidR="00FA4103">
        <w:rPr>
          <w:sz w:val="26"/>
          <w:szCs w:val="26"/>
        </w:rPr>
        <w:t xml:space="preserve">The Parties submit that the </w:t>
      </w:r>
      <w:r w:rsidR="00C902A0">
        <w:rPr>
          <w:sz w:val="26"/>
          <w:szCs w:val="26"/>
        </w:rPr>
        <w:t xml:space="preserve">Settlement is equitable and that the </w:t>
      </w:r>
      <w:r w:rsidR="00FA4103">
        <w:rPr>
          <w:sz w:val="26"/>
          <w:szCs w:val="26"/>
        </w:rPr>
        <w:t>agreed upon</w:t>
      </w:r>
      <w:r w:rsidR="00455AD0">
        <w:rPr>
          <w:sz w:val="26"/>
          <w:szCs w:val="26"/>
        </w:rPr>
        <w:t xml:space="preserve"> civil penalty is su</w:t>
      </w:r>
      <w:r w:rsidR="006B1068">
        <w:rPr>
          <w:sz w:val="26"/>
          <w:szCs w:val="26"/>
        </w:rPr>
        <w:t>fficient to deter the Respondent</w:t>
      </w:r>
      <w:r w:rsidR="00455AD0">
        <w:rPr>
          <w:sz w:val="26"/>
          <w:szCs w:val="26"/>
        </w:rPr>
        <w:t xml:space="preserve"> from future violations.  </w:t>
      </w:r>
      <w:r w:rsidR="00FA4103" w:rsidRPr="00FA4103">
        <w:rPr>
          <w:i/>
          <w:sz w:val="26"/>
          <w:szCs w:val="26"/>
        </w:rPr>
        <w:t>Id</w:t>
      </w:r>
      <w:r w:rsidR="00FA4103">
        <w:rPr>
          <w:sz w:val="26"/>
          <w:szCs w:val="26"/>
        </w:rPr>
        <w:t xml:space="preserve">. at 6.  </w:t>
      </w:r>
      <w:r w:rsidR="00455AD0">
        <w:rPr>
          <w:sz w:val="26"/>
          <w:szCs w:val="26"/>
        </w:rPr>
        <w:t xml:space="preserve">I&amp;E agrees to forbear from prosecuting any formal complaint relating to the allegations that are the subject of the proposed Settlement.  </w:t>
      </w:r>
      <w:r w:rsidR="007E7F48" w:rsidRPr="007E7F48">
        <w:rPr>
          <w:i/>
          <w:sz w:val="26"/>
          <w:szCs w:val="26"/>
        </w:rPr>
        <w:t>Id.</w:t>
      </w:r>
      <w:r w:rsidR="007E7F48">
        <w:rPr>
          <w:sz w:val="26"/>
          <w:szCs w:val="26"/>
        </w:rPr>
        <w:t xml:space="preserve"> at 3.  </w:t>
      </w:r>
      <w:r w:rsidR="00455AD0">
        <w:rPr>
          <w:sz w:val="26"/>
          <w:szCs w:val="26"/>
        </w:rPr>
        <w:t>The proposed Settlement</w:t>
      </w:r>
      <w:r w:rsidR="006E0F36">
        <w:rPr>
          <w:sz w:val="26"/>
          <w:szCs w:val="26"/>
        </w:rPr>
        <w:t xml:space="preserve"> resolves the asserted claims without prejudice to any position which any party may adopt during any subsequent proceeding of whatever nature.</w:t>
      </w:r>
      <w:r w:rsidR="00455AD0">
        <w:rPr>
          <w:sz w:val="26"/>
          <w:szCs w:val="26"/>
        </w:rPr>
        <w:t xml:space="preserve">  The Settlement is conditioned </w:t>
      </w:r>
      <w:r w:rsidR="00915061">
        <w:rPr>
          <w:sz w:val="26"/>
          <w:szCs w:val="26"/>
        </w:rPr>
        <w:t>up</w:t>
      </w:r>
      <w:r w:rsidR="00455AD0">
        <w:rPr>
          <w:sz w:val="26"/>
          <w:szCs w:val="26"/>
        </w:rPr>
        <w:t xml:space="preserve">on the Commission’s approval without modification of any of the terms or conditions.  If the Commission does not approve the proposed Settlement, or if it makes any modifications, either Party may elect to withdraw.  </w:t>
      </w:r>
      <w:r w:rsidR="00455AD0">
        <w:rPr>
          <w:i/>
          <w:sz w:val="26"/>
          <w:szCs w:val="26"/>
        </w:rPr>
        <w:t>Id</w:t>
      </w:r>
      <w:r w:rsidR="006E0F36">
        <w:rPr>
          <w:sz w:val="26"/>
          <w:szCs w:val="26"/>
        </w:rPr>
        <w:t>. at 7-8</w:t>
      </w:r>
      <w:r w:rsidR="00455AD0">
        <w:rPr>
          <w:sz w:val="26"/>
          <w:szCs w:val="26"/>
        </w:rPr>
        <w:t>.</w:t>
      </w:r>
    </w:p>
    <w:p w:rsidR="00455AD0" w:rsidRDefault="00455AD0" w:rsidP="00193863">
      <w:pPr>
        <w:spacing w:line="360" w:lineRule="auto"/>
        <w:ind w:firstLine="1440"/>
        <w:rPr>
          <w:sz w:val="26"/>
          <w:szCs w:val="26"/>
        </w:rPr>
      </w:pPr>
    </w:p>
    <w:p w:rsidR="000D2082" w:rsidRDefault="000D2082">
      <w:pPr>
        <w:spacing w:after="200" w:line="276" w:lineRule="auto"/>
        <w:rPr>
          <w:b/>
          <w:sz w:val="26"/>
          <w:szCs w:val="26"/>
        </w:rPr>
      </w:pPr>
      <w:r>
        <w:rPr>
          <w:b/>
          <w:sz w:val="26"/>
          <w:szCs w:val="26"/>
        </w:rPr>
        <w:br w:type="page"/>
      </w:r>
    </w:p>
    <w:p w:rsidR="00455AD0" w:rsidRDefault="00455AD0" w:rsidP="00193863">
      <w:pPr>
        <w:spacing w:line="360" w:lineRule="auto"/>
        <w:jc w:val="center"/>
        <w:rPr>
          <w:b/>
          <w:sz w:val="26"/>
          <w:szCs w:val="26"/>
        </w:rPr>
      </w:pPr>
      <w:r>
        <w:rPr>
          <w:b/>
          <w:sz w:val="26"/>
          <w:szCs w:val="26"/>
        </w:rPr>
        <w:lastRenderedPageBreak/>
        <w:t>Discussion</w:t>
      </w:r>
    </w:p>
    <w:p w:rsidR="006F58B7" w:rsidRDefault="006F58B7" w:rsidP="006F58B7">
      <w:pPr>
        <w:spacing w:line="360" w:lineRule="auto"/>
        <w:ind w:firstLine="1440"/>
        <w:rPr>
          <w:sz w:val="26"/>
          <w:szCs w:val="26"/>
        </w:rPr>
      </w:pPr>
    </w:p>
    <w:p w:rsidR="006F58B7" w:rsidRDefault="006F58B7" w:rsidP="006F58B7">
      <w:pPr>
        <w:spacing w:line="360" w:lineRule="auto"/>
        <w:ind w:firstLine="1440"/>
        <w:rPr>
          <w:sz w:val="26"/>
          <w:szCs w:val="26"/>
        </w:rPr>
      </w:pPr>
      <w:r w:rsidRPr="00FF22AE">
        <w:rPr>
          <w:sz w:val="26"/>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 w:val="26"/>
          <w:szCs w:val="26"/>
        </w:rPr>
        <w:t>Pa. PUC v. Philadelphia Gas Works</w:t>
      </w:r>
      <w:r w:rsidRPr="00FF22AE">
        <w:rPr>
          <w:sz w:val="26"/>
          <w:szCs w:val="26"/>
        </w:rPr>
        <w:t>, Docket No. M-00031768 (Order entered January 7, 2004).</w:t>
      </w:r>
    </w:p>
    <w:p w:rsidR="006F58B7" w:rsidRDefault="006F58B7" w:rsidP="006F58B7">
      <w:pPr>
        <w:spacing w:line="360" w:lineRule="auto"/>
        <w:ind w:firstLine="1440"/>
        <w:rPr>
          <w:sz w:val="26"/>
          <w:szCs w:val="26"/>
        </w:rPr>
      </w:pPr>
    </w:p>
    <w:p w:rsidR="000B3EC6" w:rsidRDefault="000B3EC6" w:rsidP="009B1F7E">
      <w:pPr>
        <w:pStyle w:val="FootnoteText"/>
        <w:spacing w:line="360" w:lineRule="auto"/>
        <w:ind w:firstLine="1440"/>
        <w:rPr>
          <w:sz w:val="26"/>
          <w:szCs w:val="26"/>
        </w:rPr>
      </w:pPr>
      <w:r w:rsidRPr="005F1008">
        <w:rPr>
          <w:sz w:val="26"/>
          <w:szCs w:val="26"/>
        </w:rPr>
        <w:t>W</w:t>
      </w:r>
      <w:r>
        <w:rPr>
          <w:sz w:val="26"/>
          <w:szCs w:val="26"/>
        </w:rPr>
        <w:t xml:space="preserve">e </w:t>
      </w:r>
      <w:r w:rsidR="00653602">
        <w:rPr>
          <w:sz w:val="26"/>
          <w:szCs w:val="26"/>
        </w:rPr>
        <w:t>begin by noting</w:t>
      </w:r>
      <w:r>
        <w:rPr>
          <w:sz w:val="26"/>
          <w:szCs w:val="26"/>
        </w:rPr>
        <w:t xml:space="preserve"> that</w:t>
      </w:r>
      <w:r w:rsidRPr="005F1008">
        <w:rPr>
          <w:sz w:val="26"/>
          <w:szCs w:val="26"/>
        </w:rPr>
        <w:t xml:space="preserve"> the Settlement was </w:t>
      </w:r>
      <w:r w:rsidR="00653602">
        <w:rPr>
          <w:sz w:val="26"/>
          <w:szCs w:val="26"/>
        </w:rPr>
        <w:t xml:space="preserve">signed by the Vice President of the Respondent; no attorney has entered an appearance on behalf of the Respondent.  We find the Settlement was </w:t>
      </w:r>
      <w:r w:rsidRPr="005F1008">
        <w:rPr>
          <w:sz w:val="26"/>
          <w:szCs w:val="26"/>
        </w:rPr>
        <w:t xml:space="preserve">properly executed by an officer of the </w:t>
      </w:r>
      <w:r>
        <w:rPr>
          <w:sz w:val="26"/>
          <w:szCs w:val="26"/>
        </w:rPr>
        <w:t>Respondent</w:t>
      </w:r>
      <w:r w:rsidRPr="005F1008">
        <w:rPr>
          <w:sz w:val="26"/>
          <w:szCs w:val="26"/>
        </w:rPr>
        <w:t xml:space="preserve">.  </w:t>
      </w:r>
      <w:r>
        <w:rPr>
          <w:sz w:val="26"/>
          <w:szCs w:val="26"/>
        </w:rPr>
        <w:t>O</w:t>
      </w:r>
      <w:r w:rsidRPr="005F1008">
        <w:rPr>
          <w:sz w:val="26"/>
          <w:szCs w:val="26"/>
        </w:rPr>
        <w:t xml:space="preserve">ur Regulations provide that a pleading, submittal, or other document filed with the Commission must be signed by an authorized attorney or, if the entity is a corporation, by an officer of the corporation.  52 Pa. Code § 1.35(b).  </w:t>
      </w:r>
      <w:r w:rsidRPr="0072380A">
        <w:rPr>
          <w:i/>
          <w:sz w:val="26"/>
          <w:szCs w:val="26"/>
        </w:rPr>
        <w:t>See also, Pa. PUC v. Harrisburg City Cab, Inc.,</w:t>
      </w:r>
      <w:r>
        <w:rPr>
          <w:sz w:val="26"/>
          <w:szCs w:val="26"/>
        </w:rPr>
        <w:t xml:space="preserve"> Docket No. </w:t>
      </w:r>
      <w:r w:rsidRPr="0072380A">
        <w:rPr>
          <w:sz w:val="26"/>
          <w:szCs w:val="26"/>
        </w:rPr>
        <w:t>C-2010-2140062</w:t>
      </w:r>
      <w:r>
        <w:rPr>
          <w:sz w:val="26"/>
          <w:szCs w:val="26"/>
        </w:rPr>
        <w:t xml:space="preserve"> (Order Entered August 23, 2010)</w:t>
      </w:r>
      <w:r w:rsidR="00653602">
        <w:rPr>
          <w:sz w:val="26"/>
          <w:szCs w:val="26"/>
        </w:rPr>
        <w:t xml:space="preserve">.  </w:t>
      </w:r>
    </w:p>
    <w:p w:rsidR="009B5160" w:rsidRPr="005F1008" w:rsidRDefault="009B5160" w:rsidP="009B1F7E">
      <w:pPr>
        <w:pStyle w:val="FootnoteText"/>
        <w:spacing w:line="360" w:lineRule="auto"/>
        <w:ind w:firstLine="1440"/>
        <w:rPr>
          <w:sz w:val="26"/>
          <w:szCs w:val="26"/>
        </w:rPr>
      </w:pPr>
    </w:p>
    <w:p w:rsidR="00782445" w:rsidRDefault="00653602" w:rsidP="00782445">
      <w:pPr>
        <w:pStyle w:val="BodyText"/>
        <w:ind w:firstLine="1440"/>
        <w:jc w:val="left"/>
        <w:rPr>
          <w:szCs w:val="26"/>
        </w:rPr>
      </w:pPr>
      <w:r>
        <w:rPr>
          <w:szCs w:val="26"/>
        </w:rPr>
        <w:t>We next address the question of whether there has been a violation of our Regulations requiring a corporation to be represented by counsel in an adversarial proceeding.</w:t>
      </w:r>
      <w:r w:rsidR="000D6A62">
        <w:rPr>
          <w:rStyle w:val="FootnoteReference"/>
          <w:szCs w:val="26"/>
        </w:rPr>
        <w:footnoteReference w:id="1"/>
      </w:r>
      <w:r>
        <w:rPr>
          <w:szCs w:val="26"/>
        </w:rPr>
        <w:t xml:space="preserve">  52 Pa. Code §§ 1.21 through 1.23.  </w:t>
      </w:r>
      <w:r w:rsidR="00782445">
        <w:rPr>
          <w:szCs w:val="26"/>
        </w:rPr>
        <w:t>The record does not indicate who drafted the Settlement; it is possible that the instrument was drafted by the attorney from</w:t>
      </w:r>
      <w:r w:rsidR="009B1F7E">
        <w:rPr>
          <w:szCs w:val="26"/>
        </w:rPr>
        <w:t xml:space="preserve"> </w:t>
      </w:r>
      <w:r w:rsidR="009B1F7E" w:rsidRPr="00F45DB9">
        <w:rPr>
          <w:szCs w:val="26"/>
        </w:rPr>
        <w:t>I&amp;E</w:t>
      </w:r>
      <w:r w:rsidR="00782445" w:rsidRPr="00F45DB9">
        <w:rPr>
          <w:szCs w:val="26"/>
        </w:rPr>
        <w:t>.</w:t>
      </w:r>
      <w:r w:rsidR="00782445">
        <w:rPr>
          <w:szCs w:val="26"/>
        </w:rPr>
        <w:t xml:space="preserve">  Understanding the Settlement does not require specialized knowledge of the law.  It would be easily comprehended by a layperson, particularly a layperson familiar with the taxicab business.  The Settlement was submitted to the Commission by the attorney for </w:t>
      </w:r>
      <w:r w:rsidR="009B1F7E" w:rsidRPr="00F45DB9">
        <w:rPr>
          <w:szCs w:val="26"/>
        </w:rPr>
        <w:t>I&amp;E</w:t>
      </w:r>
      <w:r w:rsidR="00782445" w:rsidRPr="00F45DB9">
        <w:rPr>
          <w:szCs w:val="26"/>
        </w:rPr>
        <w:t>.</w:t>
      </w:r>
      <w:r w:rsidR="00782445">
        <w:rPr>
          <w:szCs w:val="26"/>
        </w:rPr>
        <w:t xml:space="preserve">  </w:t>
      </w:r>
    </w:p>
    <w:p w:rsidR="00782445" w:rsidRDefault="00782445" w:rsidP="00782445">
      <w:pPr>
        <w:pStyle w:val="BodyText"/>
        <w:ind w:firstLine="1440"/>
        <w:rPr>
          <w:szCs w:val="26"/>
        </w:rPr>
      </w:pPr>
    </w:p>
    <w:p w:rsidR="00782445" w:rsidRPr="00C62DF6" w:rsidRDefault="00782445" w:rsidP="00782445">
      <w:pPr>
        <w:spacing w:line="360" w:lineRule="auto"/>
        <w:ind w:firstLine="1440"/>
        <w:rPr>
          <w:sz w:val="26"/>
          <w:szCs w:val="26"/>
        </w:rPr>
      </w:pPr>
      <w:r w:rsidRPr="009B1F7E">
        <w:rPr>
          <w:sz w:val="26"/>
          <w:szCs w:val="26"/>
        </w:rPr>
        <w:t xml:space="preserve">These facts distinguish this case from cases such as </w:t>
      </w:r>
      <w:r w:rsidR="009F5BE4" w:rsidRPr="009B1F7E">
        <w:rPr>
          <w:i/>
          <w:sz w:val="26"/>
          <w:szCs w:val="26"/>
        </w:rPr>
        <w:t>New Fizon Catering, Inc. v. PECO Energy Company</w:t>
      </w:r>
      <w:r w:rsidR="009F5BE4" w:rsidRPr="009B1F7E">
        <w:rPr>
          <w:sz w:val="26"/>
          <w:szCs w:val="26"/>
        </w:rPr>
        <w:t xml:space="preserve">, Docket Nos. C-2008-2065498 and C-2008-2079076 </w:t>
      </w:r>
      <w:r w:rsidR="009F5BE4" w:rsidRPr="009B1F7E">
        <w:rPr>
          <w:sz w:val="26"/>
          <w:szCs w:val="26"/>
        </w:rPr>
        <w:lastRenderedPageBreak/>
        <w:t>(Order entered June 24, 2009)</w:t>
      </w:r>
      <w:r w:rsidR="009F5BE4" w:rsidRPr="00C62DF6">
        <w:rPr>
          <w:i/>
          <w:sz w:val="26"/>
          <w:szCs w:val="26"/>
        </w:rPr>
        <w:t>,</w:t>
      </w:r>
      <w:r w:rsidRPr="009B1F7E">
        <w:rPr>
          <w:sz w:val="26"/>
          <w:szCs w:val="26"/>
        </w:rPr>
        <w:t xml:space="preserve"> and </w:t>
      </w:r>
      <w:r w:rsidRPr="009B1F7E">
        <w:rPr>
          <w:i/>
          <w:sz w:val="26"/>
          <w:szCs w:val="26"/>
        </w:rPr>
        <w:t>LeStat Corp. v. Pennsylvania Power and Light Co</w:t>
      </w:r>
      <w:r w:rsidRPr="009B1F7E">
        <w:rPr>
          <w:sz w:val="26"/>
          <w:szCs w:val="26"/>
        </w:rPr>
        <w:t xml:space="preserve">., Docket No. C-00946284 (Order entered August 30, 1995), in which a corporate officer attempted to represent the corporation in a hearing.  Similarly, these facts distinguish this case from cases such as </w:t>
      </w:r>
      <w:r w:rsidRPr="009B1F7E">
        <w:rPr>
          <w:i/>
          <w:sz w:val="26"/>
          <w:szCs w:val="26"/>
        </w:rPr>
        <w:t>Cars R Us c/o Holman Copeland v. Philadelphia Gas Works</w:t>
      </w:r>
      <w:r w:rsidRPr="009B1F7E">
        <w:rPr>
          <w:sz w:val="26"/>
          <w:szCs w:val="26"/>
        </w:rPr>
        <w:t>, Docket No. C-2008-2033437 (Order entered February 4, 2010), in which a corporate officer attempted to file Exceptions in a Commission proceeding on behalf of the corporation.  Based on the record in this case, we see no reason to conclude that the Respondent violated our Regulations requiring attorney representation of a corporation in adversarial Commission proceedings.</w:t>
      </w:r>
      <w:r w:rsidR="009F5BE4" w:rsidRPr="00C62DF6">
        <w:rPr>
          <w:sz w:val="26"/>
          <w:szCs w:val="26"/>
        </w:rPr>
        <w:t xml:space="preserve"> </w:t>
      </w:r>
      <w:r w:rsidRPr="009B1F7E">
        <w:rPr>
          <w:sz w:val="26"/>
          <w:szCs w:val="26"/>
        </w:rPr>
        <w:t xml:space="preserve">  </w:t>
      </w:r>
    </w:p>
    <w:p w:rsidR="006F58B7" w:rsidRDefault="006F58B7" w:rsidP="006F58B7">
      <w:pPr>
        <w:spacing w:line="360" w:lineRule="auto"/>
        <w:ind w:firstLine="1440"/>
        <w:rPr>
          <w:sz w:val="26"/>
          <w:szCs w:val="26"/>
        </w:rPr>
      </w:pPr>
    </w:p>
    <w:p w:rsidR="001E2B17" w:rsidRPr="009B1F7E" w:rsidRDefault="006F58B7" w:rsidP="009B1F7E">
      <w:pPr>
        <w:spacing w:line="360" w:lineRule="auto"/>
        <w:ind w:firstLine="1440"/>
        <w:rPr>
          <w:szCs w:val="26"/>
          <w:u w:color="000000"/>
        </w:rPr>
      </w:pPr>
      <w:r>
        <w:rPr>
          <w:sz w:val="26"/>
          <w:szCs w:val="26"/>
        </w:rPr>
        <w:t>After a review of the t</w:t>
      </w:r>
      <w:r w:rsidR="004C19BC">
        <w:rPr>
          <w:sz w:val="26"/>
          <w:szCs w:val="26"/>
        </w:rPr>
        <w:t>erms of the Settlement</w:t>
      </w:r>
      <w:r>
        <w:rPr>
          <w:sz w:val="26"/>
          <w:szCs w:val="26"/>
        </w:rPr>
        <w:t xml:space="preserve">, we find that the </w:t>
      </w:r>
      <w:r w:rsidR="004C19BC">
        <w:rPr>
          <w:sz w:val="26"/>
          <w:szCs w:val="26"/>
        </w:rPr>
        <w:t>Settlement is</w:t>
      </w:r>
      <w:r>
        <w:rPr>
          <w:sz w:val="26"/>
          <w:szCs w:val="26"/>
        </w:rPr>
        <w:t xml:space="preserve"> in the public interest.  </w:t>
      </w:r>
      <w:r w:rsidRPr="007147F9">
        <w:rPr>
          <w:sz w:val="26"/>
          <w:szCs w:val="26"/>
        </w:rPr>
        <w:t xml:space="preserve">The Commission has promulgated a Policy Statement at 52 Pa. Code § 69.1201 that sets forth ten factors that we may consider in evaluating whether a fine for violating a Commission order, regulation or statute is appropriate, as well as if a proposed settlement for a violation is reasonable and approval of the settlement agreement is in the public interest.  The Policy Statement </w:t>
      </w:r>
      <w:r>
        <w:rPr>
          <w:sz w:val="26"/>
          <w:szCs w:val="26"/>
        </w:rPr>
        <w:t>sets forth the guidelines we use when determining whether, and to what extent, a civil penalty is warranted.  In this case, application of these guidel</w:t>
      </w:r>
      <w:r w:rsidR="004C19BC">
        <w:rPr>
          <w:sz w:val="26"/>
          <w:szCs w:val="26"/>
        </w:rPr>
        <w:t>ines supports</w:t>
      </w:r>
      <w:r>
        <w:rPr>
          <w:sz w:val="26"/>
          <w:szCs w:val="26"/>
        </w:rPr>
        <w:t xml:space="preserve"> appro</w:t>
      </w:r>
      <w:r w:rsidR="004C19BC">
        <w:rPr>
          <w:sz w:val="26"/>
          <w:szCs w:val="26"/>
        </w:rPr>
        <w:t xml:space="preserve">val of the Settlement </w:t>
      </w:r>
      <w:r>
        <w:rPr>
          <w:sz w:val="26"/>
          <w:szCs w:val="26"/>
        </w:rPr>
        <w:t>as filed.</w:t>
      </w:r>
    </w:p>
    <w:p w:rsidR="003D4B8B" w:rsidRDefault="003D4B8B" w:rsidP="009B1F7E">
      <w:pPr>
        <w:suppressAutoHyphens/>
        <w:autoSpaceDE w:val="0"/>
        <w:autoSpaceDN w:val="0"/>
        <w:spacing w:line="360" w:lineRule="auto"/>
        <w:ind w:left="1440" w:right="1440"/>
        <w:rPr>
          <w:sz w:val="26"/>
        </w:rPr>
      </w:pPr>
    </w:p>
    <w:p w:rsidR="00CA5A44" w:rsidRDefault="00CA5A44" w:rsidP="00193863">
      <w:pPr>
        <w:spacing w:line="360" w:lineRule="auto"/>
        <w:ind w:firstLine="1440"/>
        <w:rPr>
          <w:sz w:val="26"/>
        </w:rPr>
      </w:pPr>
      <w:r w:rsidRPr="00CA5A44">
        <w:rPr>
          <w:sz w:val="26"/>
        </w:rPr>
        <w:t xml:space="preserve">The </w:t>
      </w:r>
      <w:r>
        <w:rPr>
          <w:sz w:val="26"/>
        </w:rPr>
        <w:t>first factor</w:t>
      </w:r>
      <w:r w:rsidRPr="00CA5A44">
        <w:rPr>
          <w:sz w:val="26"/>
        </w:rPr>
        <w:t xml:space="preserve"> to consider is whether the </w:t>
      </w:r>
      <w:r>
        <w:rPr>
          <w:sz w:val="26"/>
        </w:rPr>
        <w:t xml:space="preserve">alleged </w:t>
      </w:r>
      <w:r w:rsidRPr="00CA5A44">
        <w:rPr>
          <w:sz w:val="26"/>
        </w:rPr>
        <w:t>violation</w:t>
      </w:r>
      <w:r>
        <w:rPr>
          <w:sz w:val="26"/>
        </w:rPr>
        <w:t>s</w:t>
      </w:r>
      <w:r w:rsidRPr="00CA5A44">
        <w:rPr>
          <w:sz w:val="26"/>
        </w:rPr>
        <w:t xml:space="preserve"> were of a se</w:t>
      </w:r>
      <w:r>
        <w:rPr>
          <w:sz w:val="26"/>
        </w:rPr>
        <w:t>rious nature or whether they</w:t>
      </w:r>
      <w:r w:rsidRPr="00CA5A44">
        <w:rPr>
          <w:sz w:val="26"/>
        </w:rPr>
        <w:t xml:space="preserve"> were</w:t>
      </w:r>
      <w:r w:rsidR="00A66656">
        <w:rPr>
          <w:sz w:val="26"/>
        </w:rPr>
        <w:t xml:space="preserve"> less egregious, such as </w:t>
      </w:r>
      <w:r w:rsidRPr="00CA5A44">
        <w:rPr>
          <w:sz w:val="26"/>
        </w:rPr>
        <w:t>administrative or technical error</w:t>
      </w:r>
      <w:r w:rsidR="00A66656">
        <w:rPr>
          <w:sz w:val="26"/>
        </w:rPr>
        <w:t>s</w:t>
      </w:r>
      <w:r w:rsidRPr="00CA5A44">
        <w:rPr>
          <w:sz w:val="26"/>
        </w:rPr>
        <w:t>.</w:t>
      </w:r>
      <w:r>
        <w:rPr>
          <w:sz w:val="26"/>
        </w:rPr>
        <w:t xml:space="preserve">  </w:t>
      </w:r>
      <w:r w:rsidR="00AA6488">
        <w:rPr>
          <w:sz w:val="26"/>
        </w:rPr>
        <w:t xml:space="preserve">Here, the alleged violations </w:t>
      </w:r>
      <w:r w:rsidR="00A66656">
        <w:rPr>
          <w:sz w:val="26"/>
        </w:rPr>
        <w:t>involved</w:t>
      </w:r>
      <w:r w:rsidR="00AA6488">
        <w:rPr>
          <w:sz w:val="26"/>
        </w:rPr>
        <w:t xml:space="preserve"> a missing decal and</w:t>
      </w:r>
      <w:r w:rsidR="00A66656">
        <w:rPr>
          <w:sz w:val="26"/>
        </w:rPr>
        <w:t xml:space="preserve"> the</w:t>
      </w:r>
      <w:r w:rsidR="00AA6488">
        <w:rPr>
          <w:sz w:val="26"/>
        </w:rPr>
        <w:t xml:space="preserve"> failure to obtain a criminal background check on a driver.  Both alleged violations were </w:t>
      </w:r>
      <w:r w:rsidR="006B1068">
        <w:rPr>
          <w:sz w:val="26"/>
        </w:rPr>
        <w:t>remedied promptly by the Respondent</w:t>
      </w:r>
      <w:r w:rsidR="00AA6488">
        <w:rPr>
          <w:sz w:val="26"/>
        </w:rPr>
        <w:t xml:space="preserve"> and the Parties represent that the actions appeared to be technical oversights; not willful fraud or misrepresentation.  Settlement at 5.  </w:t>
      </w:r>
      <w:r w:rsidR="003D4B8B">
        <w:rPr>
          <w:sz w:val="26"/>
        </w:rPr>
        <w:t>We agree that th</w:t>
      </w:r>
      <w:r w:rsidR="00EB536D">
        <w:rPr>
          <w:sz w:val="26"/>
        </w:rPr>
        <w:t>e alleged violations were</w:t>
      </w:r>
      <w:r w:rsidR="003D4B8B">
        <w:rPr>
          <w:sz w:val="26"/>
        </w:rPr>
        <w:t xml:space="preserve"> </w:t>
      </w:r>
      <w:r w:rsidR="00543CBE">
        <w:rPr>
          <w:sz w:val="26"/>
        </w:rPr>
        <w:t>not of a serious nature</w:t>
      </w:r>
      <w:r w:rsidR="003D4B8B">
        <w:rPr>
          <w:sz w:val="26"/>
        </w:rPr>
        <w:t>.</w:t>
      </w:r>
    </w:p>
    <w:p w:rsidR="003D4B8B" w:rsidRDefault="003D4B8B" w:rsidP="00193863">
      <w:pPr>
        <w:spacing w:line="360" w:lineRule="auto"/>
        <w:ind w:firstLine="1440"/>
        <w:rPr>
          <w:sz w:val="26"/>
        </w:rPr>
      </w:pPr>
    </w:p>
    <w:p w:rsidR="003D4B8B" w:rsidRDefault="003D4B8B" w:rsidP="00193863">
      <w:pPr>
        <w:spacing w:line="360" w:lineRule="auto"/>
        <w:ind w:firstLine="1440"/>
        <w:rPr>
          <w:sz w:val="26"/>
        </w:rPr>
      </w:pPr>
      <w:r>
        <w:rPr>
          <w:sz w:val="26"/>
        </w:rPr>
        <w:t>The second factor</w:t>
      </w:r>
      <w:r w:rsidRPr="003D4B8B">
        <w:rPr>
          <w:sz w:val="26"/>
        </w:rPr>
        <w:t xml:space="preserve"> is whether the resulting consequences of the conduct were of a serious nature, such as personal injury or property damage.</w:t>
      </w:r>
      <w:r>
        <w:rPr>
          <w:sz w:val="26"/>
        </w:rPr>
        <w:t xml:space="preserve">  There is no </w:t>
      </w:r>
      <w:r>
        <w:rPr>
          <w:sz w:val="26"/>
        </w:rPr>
        <w:lastRenderedPageBreak/>
        <w:t xml:space="preserve">indication that any serious consequences resulted from </w:t>
      </w:r>
      <w:r w:rsidR="006B1068">
        <w:rPr>
          <w:sz w:val="26"/>
        </w:rPr>
        <w:t>the Respondent</w:t>
      </w:r>
      <w:r>
        <w:rPr>
          <w:sz w:val="26"/>
        </w:rPr>
        <w:t xml:space="preserve">’s conduct and both </w:t>
      </w:r>
      <w:r w:rsidR="0015236E">
        <w:rPr>
          <w:sz w:val="26"/>
        </w:rPr>
        <w:t xml:space="preserve">alleged violations </w:t>
      </w:r>
      <w:r>
        <w:rPr>
          <w:sz w:val="26"/>
        </w:rPr>
        <w:t>were promptly remedied.</w:t>
      </w:r>
    </w:p>
    <w:p w:rsidR="003D4B8B" w:rsidRDefault="003D4B8B" w:rsidP="00193863">
      <w:pPr>
        <w:spacing w:line="360" w:lineRule="auto"/>
        <w:ind w:firstLine="1440"/>
        <w:rPr>
          <w:sz w:val="26"/>
        </w:rPr>
      </w:pPr>
    </w:p>
    <w:p w:rsidR="003D4B8B" w:rsidRDefault="00A66656" w:rsidP="00193863">
      <w:pPr>
        <w:spacing w:line="360" w:lineRule="auto"/>
        <w:ind w:firstLine="1440"/>
        <w:rPr>
          <w:sz w:val="26"/>
        </w:rPr>
      </w:pPr>
      <w:r>
        <w:rPr>
          <w:sz w:val="26"/>
        </w:rPr>
        <w:t>The third factor</w:t>
      </w:r>
      <w:r w:rsidR="003D4B8B" w:rsidRPr="003D4B8B">
        <w:rPr>
          <w:sz w:val="26"/>
        </w:rPr>
        <w:t xml:space="preserve"> is whether the conduct at issue was deemed intentional or negligent.</w:t>
      </w:r>
      <w:r w:rsidR="003D4B8B">
        <w:rPr>
          <w:sz w:val="26"/>
        </w:rPr>
        <w:t xml:space="preserve"> </w:t>
      </w:r>
      <w:r w:rsidR="00605DC6">
        <w:rPr>
          <w:sz w:val="26"/>
        </w:rPr>
        <w:t>This factor</w:t>
      </w:r>
      <w:r w:rsidR="003D4B8B">
        <w:rPr>
          <w:sz w:val="26"/>
        </w:rPr>
        <w:t xml:space="preserve"> </w:t>
      </w:r>
      <w:r w:rsidR="00605DC6" w:rsidRPr="00605DC6">
        <w:rPr>
          <w:sz w:val="26"/>
        </w:rPr>
        <w:t>does not a</w:t>
      </w:r>
      <w:r w:rsidR="00605DC6">
        <w:rPr>
          <w:sz w:val="26"/>
        </w:rPr>
        <w:t>pply to the present case as</w:t>
      </w:r>
      <w:r w:rsidR="00605DC6" w:rsidRPr="00605DC6">
        <w:rPr>
          <w:sz w:val="26"/>
        </w:rPr>
        <w:t xml:space="preserve"> this proceeding is a settled matter.</w:t>
      </w:r>
    </w:p>
    <w:p w:rsidR="00953BE6" w:rsidRDefault="00953BE6" w:rsidP="00193863">
      <w:pPr>
        <w:spacing w:line="360" w:lineRule="auto"/>
        <w:ind w:firstLine="1440"/>
        <w:rPr>
          <w:sz w:val="26"/>
        </w:rPr>
      </w:pPr>
    </w:p>
    <w:p w:rsidR="00953BE6" w:rsidRDefault="00A66656" w:rsidP="00193863">
      <w:pPr>
        <w:spacing w:line="360" w:lineRule="auto"/>
        <w:ind w:firstLine="1440"/>
        <w:rPr>
          <w:sz w:val="26"/>
        </w:rPr>
      </w:pPr>
      <w:r>
        <w:rPr>
          <w:sz w:val="26"/>
        </w:rPr>
        <w:t>The fourth factor</w:t>
      </w:r>
      <w:r w:rsidR="00953BE6" w:rsidRPr="00953BE6">
        <w:rPr>
          <w:sz w:val="26"/>
        </w:rPr>
        <w:t xml:space="preserve"> is whether the utility made efforts to modify internal practices and procedures to address the conduct and prevent similar conduct, and the amount of time it took for the implementation of these measures.</w:t>
      </w:r>
      <w:r w:rsidR="00953BE6">
        <w:rPr>
          <w:sz w:val="26"/>
        </w:rPr>
        <w:t xml:space="preserve">  </w:t>
      </w:r>
      <w:r w:rsidR="00681AE3">
        <w:rPr>
          <w:sz w:val="26"/>
        </w:rPr>
        <w:t xml:space="preserve">Here, the Respondent promptly took appropriate corrective action and there is no indication that similar conduct will occur in the future. </w:t>
      </w:r>
      <w:r w:rsidR="008C41FB">
        <w:rPr>
          <w:sz w:val="26"/>
        </w:rPr>
        <w:t xml:space="preserve">Settlement at 5.  </w:t>
      </w:r>
    </w:p>
    <w:p w:rsidR="008E12A8" w:rsidRDefault="008E12A8" w:rsidP="00193863">
      <w:pPr>
        <w:spacing w:line="360" w:lineRule="auto"/>
        <w:ind w:firstLine="1440"/>
        <w:rPr>
          <w:sz w:val="26"/>
        </w:rPr>
      </w:pPr>
    </w:p>
    <w:p w:rsidR="008E12A8" w:rsidRDefault="008E12A8" w:rsidP="00193863">
      <w:pPr>
        <w:spacing w:line="360" w:lineRule="auto"/>
        <w:ind w:firstLine="1440"/>
        <w:rPr>
          <w:sz w:val="26"/>
        </w:rPr>
      </w:pPr>
      <w:r>
        <w:rPr>
          <w:sz w:val="26"/>
        </w:rPr>
        <w:t>The fifth factor</w:t>
      </w:r>
      <w:r w:rsidRPr="008E12A8">
        <w:rPr>
          <w:sz w:val="26"/>
        </w:rPr>
        <w:t xml:space="preserve"> is the number of customers affected</w:t>
      </w:r>
      <w:r w:rsidR="0024143B">
        <w:rPr>
          <w:sz w:val="26"/>
        </w:rPr>
        <w:t>.  A</w:t>
      </w:r>
      <w:r w:rsidRPr="008E12A8">
        <w:rPr>
          <w:sz w:val="26"/>
        </w:rPr>
        <w:t>ccording to</w:t>
      </w:r>
      <w:r>
        <w:rPr>
          <w:sz w:val="26"/>
        </w:rPr>
        <w:t xml:space="preserve"> the Parties, no customers were affected.  Settlement at 5. </w:t>
      </w:r>
    </w:p>
    <w:p w:rsidR="00C74244" w:rsidRDefault="00C74244" w:rsidP="00193863">
      <w:pPr>
        <w:spacing w:line="360" w:lineRule="auto"/>
        <w:ind w:firstLine="1440"/>
        <w:rPr>
          <w:sz w:val="26"/>
        </w:rPr>
      </w:pPr>
    </w:p>
    <w:p w:rsidR="00C74244" w:rsidRDefault="00C74244" w:rsidP="00193863">
      <w:pPr>
        <w:spacing w:line="360" w:lineRule="auto"/>
        <w:ind w:firstLine="1440"/>
        <w:rPr>
          <w:sz w:val="26"/>
        </w:rPr>
      </w:pPr>
      <w:r>
        <w:rPr>
          <w:sz w:val="26"/>
        </w:rPr>
        <w:t>The sixth factor</w:t>
      </w:r>
      <w:r w:rsidRPr="00C74244">
        <w:rPr>
          <w:sz w:val="26"/>
        </w:rPr>
        <w:t xml:space="preserve"> is a consideration of the compliance history of</w:t>
      </w:r>
      <w:r>
        <w:rPr>
          <w:sz w:val="26"/>
        </w:rPr>
        <w:t xml:space="preserve"> the Respondent</w:t>
      </w:r>
      <w:r w:rsidRPr="00A300FF">
        <w:rPr>
          <w:sz w:val="26"/>
        </w:rPr>
        <w:t>.  The Respondent was fined $100 in May 2010</w:t>
      </w:r>
      <w:r w:rsidR="005C40A1" w:rsidRPr="00A300FF">
        <w:rPr>
          <w:sz w:val="26"/>
        </w:rPr>
        <w:t xml:space="preserve"> </w:t>
      </w:r>
      <w:r w:rsidRPr="00A300FF">
        <w:rPr>
          <w:sz w:val="26"/>
        </w:rPr>
        <w:t>because its driver was not in possession of a valid medical card, and again in February 2013for failure to display its Certificate of Public Convenience number on each side of one of its vehicles.</w:t>
      </w:r>
      <w:r w:rsidR="005C40A1" w:rsidRPr="00A300FF">
        <w:rPr>
          <w:rStyle w:val="FootnoteReference"/>
          <w:sz w:val="26"/>
        </w:rPr>
        <w:t xml:space="preserve"> </w:t>
      </w:r>
      <w:r w:rsidR="005C40A1" w:rsidRPr="00A300FF">
        <w:rPr>
          <w:rStyle w:val="FootnoteReference"/>
          <w:sz w:val="26"/>
        </w:rPr>
        <w:footnoteReference w:id="2"/>
      </w:r>
      <w:r>
        <w:rPr>
          <w:sz w:val="26"/>
        </w:rPr>
        <w:t xml:space="preserve">  </w:t>
      </w:r>
      <w:r w:rsidR="0027724F">
        <w:rPr>
          <w:sz w:val="26"/>
        </w:rPr>
        <w:t xml:space="preserve">Noting that the Respondent has only been twice fined for minor violations, I&amp;E considers the company’s compliance history to be very good.  Settlement at 6.  </w:t>
      </w:r>
      <w:r w:rsidR="00C62DF6">
        <w:rPr>
          <w:sz w:val="26"/>
        </w:rPr>
        <w:t>We agree that this compliance history does not warrant a serious penalty in the instant proceeding.</w:t>
      </w:r>
    </w:p>
    <w:p w:rsidR="0027724F" w:rsidRDefault="0027724F" w:rsidP="00193863">
      <w:pPr>
        <w:spacing w:line="360" w:lineRule="auto"/>
        <w:ind w:firstLine="1440"/>
        <w:rPr>
          <w:sz w:val="26"/>
        </w:rPr>
      </w:pPr>
    </w:p>
    <w:p w:rsidR="0027724F" w:rsidRDefault="00A66656" w:rsidP="00193863">
      <w:pPr>
        <w:spacing w:line="360" w:lineRule="auto"/>
        <w:ind w:firstLine="1440"/>
        <w:rPr>
          <w:sz w:val="26"/>
        </w:rPr>
      </w:pPr>
      <w:r>
        <w:rPr>
          <w:sz w:val="26"/>
        </w:rPr>
        <w:lastRenderedPageBreak/>
        <w:t>The seventh factor</w:t>
      </w:r>
      <w:r w:rsidR="00FD3B5B" w:rsidRPr="00FD3B5B">
        <w:rPr>
          <w:sz w:val="26"/>
        </w:rPr>
        <w:t xml:space="preserve"> is whether the regulated entity cooperated with the Commission’s investigation.</w:t>
      </w:r>
      <w:r w:rsidR="00FD3B5B">
        <w:rPr>
          <w:sz w:val="26"/>
        </w:rPr>
        <w:t xml:space="preserve">  Here, the Respondent has cooperated throughout all phases of the proceeding.  Settlement at 6.</w:t>
      </w:r>
    </w:p>
    <w:p w:rsidR="00FD3B5B" w:rsidRDefault="00FD3B5B" w:rsidP="00193863">
      <w:pPr>
        <w:spacing w:line="360" w:lineRule="auto"/>
        <w:ind w:firstLine="1440"/>
        <w:rPr>
          <w:sz w:val="26"/>
        </w:rPr>
      </w:pPr>
    </w:p>
    <w:p w:rsidR="00FD3B5B" w:rsidRDefault="00A66656" w:rsidP="00193863">
      <w:pPr>
        <w:spacing w:line="360" w:lineRule="auto"/>
        <w:ind w:firstLine="1440"/>
        <w:rPr>
          <w:sz w:val="26"/>
        </w:rPr>
      </w:pPr>
      <w:r>
        <w:rPr>
          <w:sz w:val="26"/>
        </w:rPr>
        <w:t>The eighth factor</w:t>
      </w:r>
      <w:r w:rsidR="00FD3B5B" w:rsidRPr="00FD3B5B">
        <w:rPr>
          <w:sz w:val="26"/>
        </w:rPr>
        <w:t xml:space="preserve"> is the amount of the civil penalty necessary to deter future violations, with consideration of the size of the utility.</w:t>
      </w:r>
      <w:r w:rsidR="00FD3B5B">
        <w:rPr>
          <w:sz w:val="26"/>
        </w:rPr>
        <w:t xml:space="preserve">  The Parties submit that a civil penalty in the amount of $150 is sufficient to deter violations in the future.  Sett</w:t>
      </w:r>
      <w:r w:rsidR="001C12B6">
        <w:rPr>
          <w:sz w:val="26"/>
        </w:rPr>
        <w:t>lement at </w:t>
      </w:r>
      <w:r w:rsidR="00FD3B5B">
        <w:rPr>
          <w:sz w:val="26"/>
        </w:rPr>
        <w:t xml:space="preserve">6.  We agree that, on the record before us, </w:t>
      </w:r>
      <w:r w:rsidR="00FD3B5B" w:rsidRPr="00FD3B5B">
        <w:rPr>
          <w:sz w:val="26"/>
        </w:rPr>
        <w:t xml:space="preserve">a </w:t>
      </w:r>
      <w:r w:rsidR="00FD3B5B">
        <w:rPr>
          <w:sz w:val="26"/>
        </w:rPr>
        <w:t>civil penalty of $1</w:t>
      </w:r>
      <w:r w:rsidR="00FD3B5B" w:rsidRPr="00FD3B5B">
        <w:rPr>
          <w:sz w:val="26"/>
        </w:rPr>
        <w:t>50 is a</w:t>
      </w:r>
      <w:r w:rsidR="00FD3B5B">
        <w:rPr>
          <w:sz w:val="26"/>
        </w:rPr>
        <w:t>n</w:t>
      </w:r>
      <w:r w:rsidR="00FD3B5B" w:rsidRPr="00FD3B5B">
        <w:rPr>
          <w:sz w:val="26"/>
        </w:rPr>
        <w:t xml:space="preserve"> appropriate amount to deter future violations.</w:t>
      </w:r>
    </w:p>
    <w:p w:rsidR="00F263AB" w:rsidRDefault="00F263AB" w:rsidP="00193863">
      <w:pPr>
        <w:spacing w:line="360" w:lineRule="auto"/>
        <w:ind w:firstLine="1440"/>
        <w:rPr>
          <w:sz w:val="26"/>
        </w:rPr>
      </w:pPr>
    </w:p>
    <w:p w:rsidR="00F263AB" w:rsidRDefault="00F263AB" w:rsidP="00193863">
      <w:pPr>
        <w:spacing w:line="360" w:lineRule="auto"/>
        <w:ind w:firstLine="1440"/>
        <w:rPr>
          <w:sz w:val="26"/>
        </w:rPr>
      </w:pPr>
      <w:r w:rsidRPr="00F263AB">
        <w:rPr>
          <w:sz w:val="26"/>
        </w:rPr>
        <w:t xml:space="preserve">The ninth </w:t>
      </w:r>
      <w:r>
        <w:rPr>
          <w:bCs/>
          <w:sz w:val="26"/>
        </w:rPr>
        <w:t>factor</w:t>
      </w:r>
      <w:r>
        <w:rPr>
          <w:sz w:val="26"/>
        </w:rPr>
        <w:t xml:space="preserve"> is a consideration of</w:t>
      </w:r>
      <w:r w:rsidRPr="00F263AB">
        <w:rPr>
          <w:sz w:val="26"/>
        </w:rPr>
        <w:t xml:space="preserve"> past Commission decisions in similar situations.</w:t>
      </w:r>
      <w:r>
        <w:rPr>
          <w:sz w:val="26"/>
        </w:rPr>
        <w:t xml:space="preserve">  </w:t>
      </w:r>
      <w:r w:rsidRPr="00F263AB">
        <w:rPr>
          <w:sz w:val="26"/>
        </w:rPr>
        <w:t xml:space="preserve">We agree with the Parties that, when all relevant factors are taken into consideration, this </w:t>
      </w:r>
      <w:r w:rsidRPr="00F263AB">
        <w:rPr>
          <w:bCs/>
          <w:sz w:val="26"/>
        </w:rPr>
        <w:t>Settlement</w:t>
      </w:r>
      <w:r w:rsidRPr="00F263AB">
        <w:rPr>
          <w:sz w:val="26"/>
        </w:rPr>
        <w:t xml:space="preserve"> is consistent with past Commission actions.</w:t>
      </w:r>
    </w:p>
    <w:p w:rsidR="00F22FBE" w:rsidRDefault="00F22FBE" w:rsidP="00193863">
      <w:pPr>
        <w:spacing w:line="360" w:lineRule="auto"/>
        <w:ind w:firstLine="1440"/>
        <w:rPr>
          <w:sz w:val="26"/>
        </w:rPr>
      </w:pPr>
    </w:p>
    <w:p w:rsidR="00F22FBE" w:rsidRDefault="00F22FBE" w:rsidP="00193863">
      <w:pPr>
        <w:spacing w:line="360" w:lineRule="auto"/>
        <w:ind w:firstLine="1440"/>
        <w:rPr>
          <w:sz w:val="26"/>
        </w:rPr>
      </w:pPr>
      <w:r w:rsidRPr="00F22FBE">
        <w:rPr>
          <w:sz w:val="26"/>
        </w:rPr>
        <w:t xml:space="preserve">Finally, the tenth </w:t>
      </w:r>
      <w:r>
        <w:rPr>
          <w:bCs/>
          <w:sz w:val="26"/>
        </w:rPr>
        <w:t>factor</w:t>
      </w:r>
      <w:r>
        <w:rPr>
          <w:sz w:val="26"/>
        </w:rPr>
        <w:t xml:space="preserve"> </w:t>
      </w:r>
      <w:r w:rsidRPr="00F22FBE">
        <w:rPr>
          <w:sz w:val="26"/>
        </w:rPr>
        <w:t xml:space="preserve">is other relevant factors. </w:t>
      </w:r>
      <w:r>
        <w:rPr>
          <w:sz w:val="26"/>
        </w:rPr>
        <w:t xml:space="preserve"> </w:t>
      </w:r>
      <w:r w:rsidRPr="00F22FBE">
        <w:rPr>
          <w:sz w:val="26"/>
        </w:rPr>
        <w:t>In this case, we are not aware of any other relevant factors.</w:t>
      </w:r>
    </w:p>
    <w:p w:rsidR="00455AD0" w:rsidRDefault="00455AD0" w:rsidP="00193863">
      <w:pPr>
        <w:spacing w:line="360" w:lineRule="auto"/>
        <w:ind w:firstLine="1440"/>
        <w:rPr>
          <w:sz w:val="26"/>
          <w:szCs w:val="26"/>
        </w:rPr>
      </w:pPr>
    </w:p>
    <w:p w:rsidR="00455AD0" w:rsidRDefault="00455AD0" w:rsidP="00193863">
      <w:pPr>
        <w:spacing w:line="360" w:lineRule="auto"/>
        <w:jc w:val="center"/>
        <w:rPr>
          <w:b/>
          <w:sz w:val="26"/>
          <w:szCs w:val="26"/>
        </w:rPr>
      </w:pPr>
      <w:r>
        <w:rPr>
          <w:b/>
          <w:sz w:val="26"/>
          <w:szCs w:val="26"/>
        </w:rPr>
        <w:t>Conclusion</w:t>
      </w:r>
    </w:p>
    <w:p w:rsidR="00455AD0" w:rsidRDefault="00455AD0" w:rsidP="00193863">
      <w:pPr>
        <w:spacing w:line="360" w:lineRule="auto"/>
        <w:ind w:firstLine="1440"/>
        <w:rPr>
          <w:sz w:val="26"/>
          <w:szCs w:val="26"/>
        </w:rPr>
      </w:pPr>
    </w:p>
    <w:p w:rsidR="00455AD0" w:rsidRDefault="00F45221" w:rsidP="00F45221">
      <w:pPr>
        <w:tabs>
          <w:tab w:val="left" w:pos="-720"/>
        </w:tabs>
        <w:suppressAutoHyphens/>
        <w:spacing w:line="360" w:lineRule="auto"/>
        <w:rPr>
          <w:b/>
          <w:bCs/>
          <w:sz w:val="26"/>
          <w:szCs w:val="26"/>
        </w:rPr>
      </w:pPr>
      <w:r>
        <w:rPr>
          <w:sz w:val="26"/>
          <w:szCs w:val="26"/>
        </w:rPr>
        <w:tab/>
      </w:r>
      <w:r>
        <w:rPr>
          <w:sz w:val="26"/>
          <w:szCs w:val="26"/>
        </w:rPr>
        <w:tab/>
      </w:r>
      <w:r w:rsidRPr="00F45221">
        <w:rPr>
          <w:sz w:val="26"/>
          <w:szCs w:val="26"/>
        </w:rPr>
        <w:t xml:space="preserve">It is the Commission's </w:t>
      </w:r>
      <w:r w:rsidRPr="00F45221">
        <w:rPr>
          <w:bCs/>
          <w:sz w:val="26"/>
          <w:szCs w:val="26"/>
        </w:rPr>
        <w:t>policy</w:t>
      </w:r>
      <w:r w:rsidRPr="00F45221">
        <w:rPr>
          <w:sz w:val="26"/>
          <w:szCs w:val="26"/>
        </w:rPr>
        <w:t xml:space="preserve"> to promote </w:t>
      </w:r>
      <w:r w:rsidRPr="00F45221">
        <w:rPr>
          <w:bCs/>
          <w:sz w:val="26"/>
          <w:szCs w:val="26"/>
        </w:rPr>
        <w:t>settlements.</w:t>
      </w:r>
      <w:r w:rsidRPr="00F45221">
        <w:rPr>
          <w:sz w:val="26"/>
          <w:szCs w:val="26"/>
        </w:rPr>
        <w:t xml:space="preserve"> </w:t>
      </w:r>
      <w:r>
        <w:rPr>
          <w:sz w:val="26"/>
          <w:szCs w:val="26"/>
        </w:rPr>
        <w:t xml:space="preserve"> </w:t>
      </w:r>
      <w:r w:rsidRPr="00F45221">
        <w:rPr>
          <w:sz w:val="26"/>
          <w:szCs w:val="26"/>
        </w:rPr>
        <w:t xml:space="preserve">52 Pa. Code § 5.231. The Parties herein have provided the Commission with sufficient information upon which to consider thoroughly the terms of the instant </w:t>
      </w:r>
      <w:r w:rsidRPr="00F45221">
        <w:rPr>
          <w:bCs/>
          <w:sz w:val="26"/>
          <w:szCs w:val="26"/>
        </w:rPr>
        <w:t xml:space="preserve">Settlement. </w:t>
      </w:r>
      <w:r w:rsidR="001C12B6">
        <w:rPr>
          <w:bCs/>
          <w:sz w:val="26"/>
          <w:szCs w:val="26"/>
        </w:rPr>
        <w:t xml:space="preserve"> </w:t>
      </w:r>
      <w:r w:rsidRPr="00F45221">
        <w:rPr>
          <w:bCs/>
          <w:sz w:val="26"/>
          <w:szCs w:val="26"/>
        </w:rPr>
        <w:t>The Settlement</w:t>
      </w:r>
      <w:r w:rsidRPr="00F45221">
        <w:rPr>
          <w:sz w:val="26"/>
          <w:szCs w:val="26"/>
        </w:rPr>
        <w:t xml:space="preserve"> effectively addresses the issues which arose during the course of this proceeding and avoids the expense of litigation and the possibility of appeals. </w:t>
      </w:r>
      <w:r w:rsidR="001C12B6">
        <w:rPr>
          <w:sz w:val="26"/>
          <w:szCs w:val="26"/>
        </w:rPr>
        <w:t xml:space="preserve"> </w:t>
      </w:r>
      <w:r w:rsidRPr="00F45221">
        <w:rPr>
          <w:sz w:val="26"/>
          <w:szCs w:val="26"/>
        </w:rPr>
        <w:t xml:space="preserve">Accordingly, we find that the proposed </w:t>
      </w:r>
      <w:r w:rsidRPr="00F45221">
        <w:rPr>
          <w:bCs/>
          <w:sz w:val="26"/>
          <w:szCs w:val="26"/>
        </w:rPr>
        <w:t>Settlement</w:t>
      </w:r>
      <w:r w:rsidRPr="00F45221">
        <w:rPr>
          <w:sz w:val="26"/>
          <w:szCs w:val="26"/>
        </w:rPr>
        <w:t xml:space="preserve"> entered into</w:t>
      </w:r>
      <w:r>
        <w:rPr>
          <w:sz w:val="26"/>
          <w:szCs w:val="26"/>
        </w:rPr>
        <w:t xml:space="preserve"> between I&amp;E </w:t>
      </w:r>
      <w:r w:rsidRPr="00F45221">
        <w:rPr>
          <w:sz w:val="26"/>
          <w:szCs w:val="26"/>
        </w:rPr>
        <w:t xml:space="preserve">and the Respondent is in the public interest, complies with our </w:t>
      </w:r>
      <w:r w:rsidRPr="00F45221">
        <w:rPr>
          <w:bCs/>
          <w:i/>
          <w:iCs/>
          <w:sz w:val="26"/>
          <w:szCs w:val="26"/>
        </w:rPr>
        <w:t>Policy Statement</w:t>
      </w:r>
      <w:r w:rsidR="00A66656">
        <w:rPr>
          <w:bCs/>
          <w:i/>
          <w:iCs/>
          <w:sz w:val="26"/>
          <w:szCs w:val="26"/>
        </w:rPr>
        <w:t>,</w:t>
      </w:r>
      <w:r w:rsidRPr="00F45221">
        <w:rPr>
          <w:sz w:val="26"/>
          <w:szCs w:val="26"/>
        </w:rPr>
        <w:t xml:space="preserve"> and merits approval; </w:t>
      </w:r>
      <w:r w:rsidRPr="00F45221">
        <w:rPr>
          <w:b/>
          <w:bCs/>
          <w:sz w:val="26"/>
          <w:szCs w:val="26"/>
        </w:rPr>
        <w:t>THEREFORE,</w:t>
      </w:r>
    </w:p>
    <w:p w:rsidR="00F45221" w:rsidRDefault="00F45221" w:rsidP="00193863">
      <w:pPr>
        <w:tabs>
          <w:tab w:val="left" w:pos="-720"/>
        </w:tabs>
        <w:suppressAutoHyphens/>
        <w:spacing w:line="360" w:lineRule="auto"/>
        <w:rPr>
          <w:sz w:val="26"/>
          <w:szCs w:val="26"/>
        </w:rPr>
      </w:pPr>
    </w:p>
    <w:p w:rsidR="00455AD0" w:rsidRDefault="00455AD0" w:rsidP="001C12B6">
      <w:pPr>
        <w:keepNext/>
        <w:spacing w:line="360" w:lineRule="auto"/>
        <w:rPr>
          <w:b/>
          <w:sz w:val="26"/>
          <w:szCs w:val="26"/>
        </w:rPr>
      </w:pPr>
      <w:r>
        <w:rPr>
          <w:sz w:val="26"/>
          <w:szCs w:val="26"/>
        </w:rPr>
        <w:lastRenderedPageBreak/>
        <w:tab/>
      </w:r>
      <w:r>
        <w:rPr>
          <w:sz w:val="26"/>
          <w:szCs w:val="26"/>
        </w:rPr>
        <w:tab/>
      </w:r>
      <w:r>
        <w:rPr>
          <w:b/>
          <w:sz w:val="26"/>
          <w:szCs w:val="26"/>
        </w:rPr>
        <w:t>IT IS ORDERED:</w:t>
      </w:r>
    </w:p>
    <w:p w:rsidR="00455AD0" w:rsidRDefault="00455AD0" w:rsidP="001C12B6">
      <w:pPr>
        <w:keepNext/>
        <w:spacing w:line="360" w:lineRule="auto"/>
        <w:rPr>
          <w:sz w:val="26"/>
          <w:szCs w:val="26"/>
        </w:rPr>
      </w:pPr>
    </w:p>
    <w:p w:rsidR="00455AD0" w:rsidRDefault="00455AD0" w:rsidP="00193863">
      <w:pPr>
        <w:spacing w:line="360" w:lineRule="auto"/>
        <w:rPr>
          <w:sz w:val="26"/>
          <w:szCs w:val="26"/>
        </w:rPr>
      </w:pPr>
      <w:r>
        <w:rPr>
          <w:sz w:val="26"/>
          <w:szCs w:val="26"/>
        </w:rPr>
        <w:tab/>
      </w:r>
      <w:r>
        <w:rPr>
          <w:sz w:val="26"/>
          <w:szCs w:val="26"/>
        </w:rPr>
        <w:tab/>
        <w:t>1.</w:t>
      </w:r>
      <w:r>
        <w:rPr>
          <w:sz w:val="26"/>
          <w:szCs w:val="26"/>
        </w:rPr>
        <w:tab/>
      </w:r>
      <w:r w:rsidR="00F45221" w:rsidRPr="00F45221">
        <w:rPr>
          <w:sz w:val="26"/>
          <w:szCs w:val="26"/>
        </w:rPr>
        <w:t xml:space="preserve">That the </w:t>
      </w:r>
      <w:r w:rsidR="00F45221" w:rsidRPr="00F45221">
        <w:rPr>
          <w:bCs/>
          <w:sz w:val="26"/>
          <w:szCs w:val="26"/>
        </w:rPr>
        <w:t>Settlement</w:t>
      </w:r>
      <w:r w:rsidR="00F45221" w:rsidRPr="00F45221">
        <w:rPr>
          <w:sz w:val="26"/>
          <w:szCs w:val="26"/>
        </w:rPr>
        <w:t xml:space="preserve"> Agreement entered into between the Commission’s Bureau</w:t>
      </w:r>
      <w:r w:rsidR="00F45221">
        <w:rPr>
          <w:sz w:val="26"/>
          <w:szCs w:val="26"/>
        </w:rPr>
        <w:t xml:space="preserve"> of Investigation and Enforcement and 903 Rentals, Inc.</w:t>
      </w:r>
      <w:r w:rsidR="00A66656">
        <w:rPr>
          <w:sz w:val="26"/>
          <w:szCs w:val="26"/>
        </w:rPr>
        <w:t>,</w:t>
      </w:r>
      <w:r w:rsidR="00F45221">
        <w:rPr>
          <w:sz w:val="26"/>
          <w:szCs w:val="26"/>
        </w:rPr>
        <w:t xml:space="preserve"> filed on January 13, 2014</w:t>
      </w:r>
      <w:r w:rsidR="00F45221" w:rsidRPr="00F45221">
        <w:rPr>
          <w:sz w:val="26"/>
          <w:szCs w:val="26"/>
        </w:rPr>
        <w:t>, which resolves the above-captioned Complaint, is approved.</w:t>
      </w:r>
    </w:p>
    <w:p w:rsidR="00455AD0" w:rsidRDefault="00455AD0" w:rsidP="00193863"/>
    <w:p w:rsidR="00F45221" w:rsidRDefault="00455AD0" w:rsidP="009B1F7E">
      <w:pPr>
        <w:spacing w:line="360" w:lineRule="auto"/>
        <w:rPr>
          <w:sz w:val="26"/>
          <w:szCs w:val="26"/>
        </w:rPr>
      </w:pPr>
      <w:r>
        <w:rPr>
          <w:sz w:val="26"/>
          <w:szCs w:val="26"/>
        </w:rPr>
        <w:tab/>
      </w:r>
      <w:r>
        <w:rPr>
          <w:sz w:val="26"/>
          <w:szCs w:val="26"/>
        </w:rPr>
        <w:tab/>
        <w:t>2.</w:t>
      </w:r>
      <w:r>
        <w:rPr>
          <w:sz w:val="26"/>
          <w:szCs w:val="26"/>
        </w:rPr>
        <w:tab/>
      </w:r>
      <w:r w:rsidR="00F45221">
        <w:rPr>
          <w:sz w:val="26"/>
          <w:szCs w:val="26"/>
        </w:rPr>
        <w:t>That 903 Rental</w:t>
      </w:r>
      <w:r w:rsidR="00EB2A4C">
        <w:rPr>
          <w:sz w:val="26"/>
          <w:szCs w:val="26"/>
        </w:rPr>
        <w:t>s</w:t>
      </w:r>
      <w:r w:rsidR="00F45221">
        <w:rPr>
          <w:sz w:val="26"/>
          <w:szCs w:val="26"/>
        </w:rPr>
        <w:t>, Inc.</w:t>
      </w:r>
      <w:r w:rsidR="00F45221" w:rsidRPr="00F45221">
        <w:rPr>
          <w:sz w:val="26"/>
          <w:szCs w:val="26"/>
        </w:rPr>
        <w:t xml:space="preserve"> </w:t>
      </w:r>
      <w:r w:rsidR="00F45221">
        <w:rPr>
          <w:sz w:val="26"/>
          <w:szCs w:val="26"/>
        </w:rPr>
        <w:t>shall pay a civil penalty of $1</w:t>
      </w:r>
      <w:r w:rsidR="00F45221" w:rsidRPr="00F45221">
        <w:rPr>
          <w:sz w:val="26"/>
          <w:szCs w:val="26"/>
        </w:rPr>
        <w:t>50</w:t>
      </w:r>
      <w:r w:rsidR="00A237A6">
        <w:rPr>
          <w:sz w:val="26"/>
          <w:szCs w:val="26"/>
        </w:rPr>
        <w:t>,</w:t>
      </w:r>
      <w:r w:rsidR="00F45221" w:rsidRPr="00F45221">
        <w:rPr>
          <w:sz w:val="26"/>
          <w:szCs w:val="26"/>
        </w:rPr>
        <w:t xml:space="preserve"> </w:t>
      </w:r>
      <w:r w:rsidR="00A237A6">
        <w:rPr>
          <w:sz w:val="26"/>
          <w:szCs w:val="26"/>
        </w:rPr>
        <w:t>within twenty</w:t>
      </w:r>
      <w:r w:rsidR="00A237A6" w:rsidRPr="00F45221">
        <w:rPr>
          <w:sz w:val="26"/>
          <w:szCs w:val="26"/>
        </w:rPr>
        <w:t xml:space="preserve"> days from the entry date of this Opinion and Order</w:t>
      </w:r>
      <w:r w:rsidR="00A237A6">
        <w:rPr>
          <w:sz w:val="26"/>
          <w:szCs w:val="26"/>
        </w:rPr>
        <w:t>,</w:t>
      </w:r>
      <w:r w:rsidR="00A237A6" w:rsidRPr="00F45221">
        <w:rPr>
          <w:sz w:val="26"/>
          <w:szCs w:val="26"/>
        </w:rPr>
        <w:t xml:space="preserve"> </w:t>
      </w:r>
      <w:r w:rsidR="00F45221" w:rsidRPr="00F45221">
        <w:rPr>
          <w:sz w:val="26"/>
          <w:szCs w:val="26"/>
        </w:rPr>
        <w:t xml:space="preserve">by sending a certified check or money order payable to </w:t>
      </w:r>
      <w:r w:rsidR="00A237A6">
        <w:rPr>
          <w:sz w:val="26"/>
          <w:szCs w:val="26"/>
        </w:rPr>
        <w:t xml:space="preserve">“Commonwealth of </w:t>
      </w:r>
      <w:r w:rsidR="00F45221" w:rsidRPr="00F45221">
        <w:rPr>
          <w:sz w:val="26"/>
          <w:szCs w:val="26"/>
        </w:rPr>
        <w:t>Pennsylvania</w:t>
      </w:r>
      <w:r w:rsidR="00A237A6">
        <w:rPr>
          <w:sz w:val="26"/>
          <w:szCs w:val="26"/>
        </w:rPr>
        <w:t>”</w:t>
      </w:r>
      <w:r w:rsidR="00F45221">
        <w:rPr>
          <w:sz w:val="26"/>
          <w:szCs w:val="26"/>
        </w:rPr>
        <w:t xml:space="preserve"> </w:t>
      </w:r>
      <w:r w:rsidR="00F45221" w:rsidRPr="00F45221">
        <w:rPr>
          <w:sz w:val="26"/>
          <w:szCs w:val="26"/>
        </w:rPr>
        <w:t xml:space="preserve">to: </w:t>
      </w:r>
    </w:p>
    <w:p w:rsidR="00F45221" w:rsidRPr="00F45221" w:rsidRDefault="00F45221" w:rsidP="00F45221">
      <w:pPr>
        <w:spacing w:line="360" w:lineRule="auto"/>
        <w:ind w:firstLine="1440"/>
        <w:rPr>
          <w:sz w:val="26"/>
          <w:szCs w:val="26"/>
        </w:rPr>
      </w:pPr>
    </w:p>
    <w:p w:rsidR="00D97B7F" w:rsidRDefault="00D97B7F" w:rsidP="00F45221">
      <w:pPr>
        <w:ind w:firstLine="1440"/>
        <w:rPr>
          <w:sz w:val="26"/>
          <w:szCs w:val="26"/>
        </w:rPr>
      </w:pPr>
      <w:r>
        <w:rPr>
          <w:sz w:val="26"/>
          <w:szCs w:val="26"/>
        </w:rPr>
        <w:t>Secretary</w:t>
      </w:r>
    </w:p>
    <w:p w:rsidR="00F45221" w:rsidRPr="00F45221" w:rsidRDefault="00F45221" w:rsidP="00F45221">
      <w:pPr>
        <w:ind w:firstLine="1440"/>
        <w:rPr>
          <w:sz w:val="26"/>
          <w:szCs w:val="26"/>
        </w:rPr>
      </w:pPr>
      <w:r w:rsidRPr="00F45221">
        <w:rPr>
          <w:sz w:val="26"/>
          <w:szCs w:val="26"/>
        </w:rPr>
        <w:t>Pennsylvania Public Utility Commission</w:t>
      </w:r>
      <w:r w:rsidRPr="00F45221">
        <w:rPr>
          <w:sz w:val="26"/>
          <w:szCs w:val="26"/>
        </w:rPr>
        <w:br/>
      </w:r>
      <w:r>
        <w:rPr>
          <w:sz w:val="26"/>
          <w:szCs w:val="26"/>
        </w:rPr>
        <w:tab/>
      </w:r>
      <w:r>
        <w:rPr>
          <w:sz w:val="26"/>
          <w:szCs w:val="26"/>
        </w:rPr>
        <w:tab/>
      </w:r>
      <w:r w:rsidRPr="00F45221">
        <w:rPr>
          <w:sz w:val="26"/>
          <w:szCs w:val="26"/>
        </w:rPr>
        <w:t>P.O. Box 3265</w:t>
      </w:r>
      <w:r w:rsidRPr="00F45221">
        <w:rPr>
          <w:sz w:val="26"/>
          <w:szCs w:val="26"/>
        </w:rPr>
        <w:br/>
      </w:r>
      <w:r>
        <w:rPr>
          <w:sz w:val="26"/>
          <w:szCs w:val="26"/>
        </w:rPr>
        <w:tab/>
      </w:r>
      <w:r>
        <w:rPr>
          <w:sz w:val="26"/>
          <w:szCs w:val="26"/>
        </w:rPr>
        <w:tab/>
      </w:r>
      <w:r w:rsidRPr="00F45221">
        <w:rPr>
          <w:sz w:val="26"/>
          <w:szCs w:val="26"/>
        </w:rPr>
        <w:t>Harrisburg, PA 17105-3265</w:t>
      </w:r>
    </w:p>
    <w:p w:rsidR="00D5614A" w:rsidRDefault="00D5614A" w:rsidP="00193863">
      <w:pPr>
        <w:spacing w:after="200" w:line="276" w:lineRule="auto"/>
        <w:rPr>
          <w:sz w:val="26"/>
          <w:szCs w:val="26"/>
        </w:rPr>
      </w:pPr>
    </w:p>
    <w:p w:rsidR="00455AD0" w:rsidRDefault="00D97B7F" w:rsidP="00193863">
      <w:pPr>
        <w:spacing w:line="360" w:lineRule="auto"/>
        <w:ind w:firstLine="1440"/>
        <w:rPr>
          <w:sz w:val="26"/>
          <w:szCs w:val="26"/>
        </w:rPr>
      </w:pPr>
      <w:r>
        <w:rPr>
          <w:sz w:val="26"/>
          <w:szCs w:val="26"/>
        </w:rPr>
        <w:t>3</w:t>
      </w:r>
      <w:r w:rsidR="00455AD0">
        <w:rPr>
          <w:sz w:val="26"/>
          <w:szCs w:val="26"/>
        </w:rPr>
        <w:t>.</w:t>
      </w:r>
      <w:r w:rsidR="00455AD0">
        <w:rPr>
          <w:sz w:val="26"/>
          <w:szCs w:val="26"/>
        </w:rPr>
        <w:tab/>
      </w:r>
      <w:r w:rsidR="00EB2A4C">
        <w:rPr>
          <w:sz w:val="26"/>
          <w:szCs w:val="26"/>
        </w:rPr>
        <w:t>That 903 Rentals, Inc.</w:t>
      </w:r>
      <w:r w:rsidR="00EB2A4C" w:rsidRPr="00EB2A4C">
        <w:rPr>
          <w:sz w:val="26"/>
          <w:szCs w:val="26"/>
        </w:rPr>
        <w:t xml:space="preserve"> shall cease and desist from any further violations of the Public Utility Code, 66 Pa. C.S. §§ 101, </w:t>
      </w:r>
      <w:r w:rsidR="00EB2A4C" w:rsidRPr="00EB2A4C">
        <w:rPr>
          <w:i/>
          <w:iCs/>
          <w:sz w:val="26"/>
          <w:szCs w:val="26"/>
        </w:rPr>
        <w:t>et seq.</w:t>
      </w:r>
      <w:r w:rsidR="00EB2A4C" w:rsidRPr="00EB2A4C">
        <w:rPr>
          <w:sz w:val="26"/>
          <w:szCs w:val="26"/>
        </w:rPr>
        <w:t xml:space="preserve">, or this Commission's Regulations, 52 Pa. Code §§ 1.1, </w:t>
      </w:r>
      <w:r w:rsidR="00EB2A4C" w:rsidRPr="00EB2A4C">
        <w:rPr>
          <w:i/>
          <w:iCs/>
          <w:sz w:val="26"/>
          <w:szCs w:val="26"/>
        </w:rPr>
        <w:t>et seq.</w:t>
      </w:r>
      <w:r>
        <w:rPr>
          <w:i/>
          <w:iCs/>
          <w:sz w:val="26"/>
          <w:szCs w:val="26"/>
        </w:rPr>
        <w:t>,</w:t>
      </w:r>
      <w:r w:rsidR="00EB2A4C" w:rsidRPr="00EB2A4C">
        <w:rPr>
          <w:sz w:val="26"/>
          <w:szCs w:val="26"/>
        </w:rPr>
        <w:t xml:space="preserve"> or Orders.</w:t>
      </w:r>
    </w:p>
    <w:p w:rsidR="007308D6" w:rsidRDefault="007308D6" w:rsidP="00193863">
      <w:pPr>
        <w:spacing w:line="360" w:lineRule="auto"/>
        <w:ind w:firstLine="1440"/>
        <w:rPr>
          <w:sz w:val="26"/>
          <w:szCs w:val="26"/>
        </w:rPr>
      </w:pPr>
    </w:p>
    <w:p w:rsidR="007308D6" w:rsidRDefault="00D97B7F" w:rsidP="00193863">
      <w:pPr>
        <w:spacing w:line="360" w:lineRule="auto"/>
        <w:ind w:firstLine="1440"/>
        <w:rPr>
          <w:sz w:val="26"/>
          <w:szCs w:val="26"/>
        </w:rPr>
      </w:pPr>
      <w:r>
        <w:rPr>
          <w:sz w:val="26"/>
          <w:szCs w:val="26"/>
        </w:rPr>
        <w:t>4</w:t>
      </w:r>
      <w:r w:rsidR="007308D6">
        <w:rPr>
          <w:sz w:val="26"/>
          <w:szCs w:val="26"/>
        </w:rPr>
        <w:t>.</w:t>
      </w:r>
      <w:r w:rsidR="007308D6">
        <w:rPr>
          <w:sz w:val="26"/>
          <w:szCs w:val="26"/>
        </w:rPr>
        <w:tab/>
      </w:r>
      <w:r w:rsidR="007308D6" w:rsidRPr="007308D6">
        <w:rPr>
          <w:sz w:val="26"/>
          <w:szCs w:val="26"/>
        </w:rPr>
        <w:t>That a copy of this Opinion and Order shall be served on the Bur</w:t>
      </w:r>
      <w:r w:rsidR="007308D6">
        <w:rPr>
          <w:sz w:val="26"/>
          <w:szCs w:val="26"/>
        </w:rPr>
        <w:t>eau of Technical Utility Services</w:t>
      </w:r>
      <w:r w:rsidR="00A66656">
        <w:rPr>
          <w:sz w:val="26"/>
          <w:szCs w:val="26"/>
        </w:rPr>
        <w:t>, motor carrier enforcement division,</w:t>
      </w:r>
      <w:r w:rsidR="007308D6" w:rsidRPr="007308D6">
        <w:rPr>
          <w:sz w:val="26"/>
          <w:szCs w:val="26"/>
        </w:rPr>
        <w:t xml:space="preserve"> to monitor compliance with the provisions set forth above.</w:t>
      </w:r>
    </w:p>
    <w:p w:rsidR="007308D6" w:rsidRDefault="007308D6" w:rsidP="00193863">
      <w:pPr>
        <w:spacing w:line="360" w:lineRule="auto"/>
        <w:ind w:firstLine="1440"/>
        <w:rPr>
          <w:sz w:val="26"/>
          <w:szCs w:val="26"/>
        </w:rPr>
      </w:pPr>
    </w:p>
    <w:p w:rsidR="007308D6" w:rsidRDefault="00D97B7F" w:rsidP="00193863">
      <w:pPr>
        <w:spacing w:line="360" w:lineRule="auto"/>
        <w:ind w:firstLine="1440"/>
        <w:rPr>
          <w:sz w:val="26"/>
          <w:szCs w:val="26"/>
        </w:rPr>
      </w:pPr>
      <w:r>
        <w:rPr>
          <w:sz w:val="26"/>
          <w:szCs w:val="26"/>
        </w:rPr>
        <w:t>5</w:t>
      </w:r>
      <w:r w:rsidR="007308D6">
        <w:rPr>
          <w:sz w:val="26"/>
          <w:szCs w:val="26"/>
        </w:rPr>
        <w:t>.</w:t>
      </w:r>
      <w:r w:rsidR="007308D6">
        <w:rPr>
          <w:sz w:val="26"/>
          <w:szCs w:val="26"/>
        </w:rPr>
        <w:tab/>
      </w:r>
      <w:r w:rsidR="007308D6" w:rsidRPr="007308D6">
        <w:rPr>
          <w:sz w:val="26"/>
          <w:szCs w:val="26"/>
        </w:rPr>
        <w:t>That a copy of this Opinion and Order shall be served on the Office of Administrative Services, Financial and Assessment Section.</w:t>
      </w:r>
    </w:p>
    <w:p w:rsidR="007308D6" w:rsidRDefault="007308D6" w:rsidP="00193863">
      <w:pPr>
        <w:spacing w:line="360" w:lineRule="auto"/>
        <w:ind w:firstLine="1440"/>
        <w:rPr>
          <w:sz w:val="26"/>
          <w:szCs w:val="26"/>
        </w:rPr>
      </w:pPr>
    </w:p>
    <w:p w:rsidR="007308D6" w:rsidRDefault="00D97B7F" w:rsidP="001C12B6">
      <w:pPr>
        <w:keepNext/>
        <w:spacing w:line="360" w:lineRule="auto"/>
        <w:ind w:firstLine="1440"/>
        <w:rPr>
          <w:sz w:val="26"/>
          <w:szCs w:val="26"/>
        </w:rPr>
      </w:pPr>
      <w:r>
        <w:rPr>
          <w:sz w:val="26"/>
          <w:szCs w:val="26"/>
        </w:rPr>
        <w:lastRenderedPageBreak/>
        <w:t>6</w:t>
      </w:r>
      <w:r w:rsidR="007308D6">
        <w:rPr>
          <w:sz w:val="26"/>
          <w:szCs w:val="26"/>
        </w:rPr>
        <w:t>.</w:t>
      </w:r>
      <w:r w:rsidR="007308D6">
        <w:rPr>
          <w:sz w:val="26"/>
          <w:szCs w:val="26"/>
        </w:rPr>
        <w:tab/>
      </w:r>
      <w:r w:rsidR="007308D6" w:rsidRPr="007308D6">
        <w:rPr>
          <w:sz w:val="26"/>
          <w:szCs w:val="26"/>
        </w:rPr>
        <w:t>That upon payment of the civil penalty assessed herein, the Secretary shall mark this docket as closed.</w:t>
      </w:r>
    </w:p>
    <w:p w:rsidR="00455AD0" w:rsidRDefault="003A02EB" w:rsidP="001C12B6">
      <w:pPr>
        <w:keepNext/>
        <w:spacing w:line="360" w:lineRule="auto"/>
        <w:ind w:firstLine="1440"/>
        <w:rPr>
          <w:b/>
          <w:sz w:val="26"/>
          <w:szCs w:val="26"/>
        </w:rPr>
      </w:pPr>
      <w:r>
        <w:rPr>
          <w:noProof/>
        </w:rPr>
        <w:drawing>
          <wp:anchor distT="0" distB="0" distL="114300" distR="114300" simplePos="0" relativeHeight="251658240" behindDoc="1" locked="0" layoutInCell="1" allowOverlap="1" wp14:anchorId="470401AA" wp14:editId="7FC0BBC2">
            <wp:simplePos x="0" y="0"/>
            <wp:positionH relativeFrom="column">
              <wp:posOffset>2971800</wp:posOffset>
            </wp:positionH>
            <wp:positionV relativeFrom="paragraph">
              <wp:posOffset>198755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55AD0" w:rsidRDefault="00455AD0" w:rsidP="001C12B6">
      <w:pPr>
        <w:keepNext/>
        <w:tabs>
          <w:tab w:val="left" w:pos="-720"/>
        </w:tabs>
        <w:suppressAutoHyphens/>
        <w:ind w:firstLine="5040"/>
        <w:rPr>
          <w:sz w:val="26"/>
        </w:rPr>
      </w:pPr>
      <w:r>
        <w:rPr>
          <w:b/>
          <w:sz w:val="26"/>
        </w:rPr>
        <w:t>BY THE COMMISSION,</w:t>
      </w:r>
    </w:p>
    <w:p w:rsidR="00455AD0" w:rsidRDefault="00455AD0" w:rsidP="001C12B6">
      <w:pPr>
        <w:keepNext/>
        <w:tabs>
          <w:tab w:val="left" w:pos="-720"/>
        </w:tabs>
        <w:suppressAutoHyphens/>
        <w:ind w:firstLine="5040"/>
        <w:rPr>
          <w:sz w:val="26"/>
        </w:rPr>
      </w:pPr>
    </w:p>
    <w:p w:rsidR="00455AD0" w:rsidRDefault="00455AD0" w:rsidP="00193863">
      <w:pPr>
        <w:tabs>
          <w:tab w:val="left" w:pos="-720"/>
        </w:tabs>
        <w:suppressAutoHyphens/>
        <w:ind w:firstLine="5040"/>
        <w:rPr>
          <w:sz w:val="26"/>
        </w:rPr>
      </w:pPr>
    </w:p>
    <w:p w:rsidR="00455AD0" w:rsidRDefault="00455AD0" w:rsidP="00193863">
      <w:pPr>
        <w:tabs>
          <w:tab w:val="left" w:pos="-720"/>
        </w:tabs>
        <w:suppressAutoHyphens/>
        <w:ind w:firstLine="5040"/>
        <w:rPr>
          <w:sz w:val="26"/>
        </w:rPr>
      </w:pPr>
    </w:p>
    <w:p w:rsidR="00455AD0" w:rsidRDefault="00455AD0" w:rsidP="00193863">
      <w:pPr>
        <w:tabs>
          <w:tab w:val="left" w:pos="-720"/>
        </w:tabs>
        <w:suppressAutoHyphens/>
        <w:ind w:firstLine="5040"/>
        <w:rPr>
          <w:sz w:val="26"/>
        </w:rPr>
      </w:pPr>
      <w:r>
        <w:rPr>
          <w:sz w:val="26"/>
        </w:rPr>
        <w:t>Rosemary Chiavetta</w:t>
      </w:r>
    </w:p>
    <w:p w:rsidR="00455AD0" w:rsidRDefault="00455AD0" w:rsidP="00193863">
      <w:pPr>
        <w:tabs>
          <w:tab w:val="left" w:pos="-720"/>
        </w:tabs>
        <w:suppressAutoHyphens/>
        <w:ind w:firstLine="5040"/>
        <w:rPr>
          <w:sz w:val="26"/>
        </w:rPr>
      </w:pPr>
      <w:r>
        <w:rPr>
          <w:sz w:val="26"/>
        </w:rPr>
        <w:t>Secretary</w:t>
      </w:r>
    </w:p>
    <w:p w:rsidR="00455AD0" w:rsidRDefault="00455AD0" w:rsidP="00193863">
      <w:pPr>
        <w:tabs>
          <w:tab w:val="left" w:pos="-720"/>
        </w:tabs>
        <w:suppressAutoHyphens/>
        <w:rPr>
          <w:sz w:val="26"/>
        </w:rPr>
      </w:pPr>
    </w:p>
    <w:p w:rsidR="00455AD0" w:rsidRDefault="00455AD0" w:rsidP="00193863">
      <w:pPr>
        <w:tabs>
          <w:tab w:val="left" w:pos="-720"/>
        </w:tabs>
        <w:suppressAutoHyphens/>
        <w:rPr>
          <w:sz w:val="26"/>
        </w:rPr>
      </w:pPr>
      <w:r>
        <w:rPr>
          <w:sz w:val="26"/>
        </w:rPr>
        <w:t>(SEAL)</w:t>
      </w:r>
    </w:p>
    <w:p w:rsidR="00455AD0" w:rsidRDefault="00455AD0" w:rsidP="00193863">
      <w:pPr>
        <w:tabs>
          <w:tab w:val="left" w:pos="-720"/>
        </w:tabs>
        <w:suppressAutoHyphens/>
        <w:rPr>
          <w:sz w:val="26"/>
        </w:rPr>
      </w:pPr>
      <w:r>
        <w:rPr>
          <w:sz w:val="26"/>
        </w:rPr>
        <w:t xml:space="preserve">ORDER </w:t>
      </w:r>
      <w:r w:rsidR="00D5614A">
        <w:rPr>
          <w:sz w:val="26"/>
        </w:rPr>
        <w:t xml:space="preserve">ADOPTED:  March </w:t>
      </w:r>
      <w:r w:rsidR="00A2634E">
        <w:rPr>
          <w:sz w:val="26"/>
        </w:rPr>
        <w:t>6</w:t>
      </w:r>
      <w:r w:rsidR="00D5614A">
        <w:rPr>
          <w:sz w:val="26"/>
        </w:rPr>
        <w:t>, 2014</w:t>
      </w:r>
    </w:p>
    <w:p w:rsidR="001C12B6" w:rsidRDefault="001C12B6" w:rsidP="00193863">
      <w:pPr>
        <w:rPr>
          <w:sz w:val="26"/>
        </w:rPr>
      </w:pPr>
    </w:p>
    <w:p w:rsidR="00525418" w:rsidRDefault="00455AD0" w:rsidP="00193863">
      <w:r>
        <w:rPr>
          <w:sz w:val="26"/>
        </w:rPr>
        <w:t>ORDER ENTERED:</w:t>
      </w:r>
      <w:r>
        <w:rPr>
          <w:rFonts w:eastAsiaTheme="minorHAnsi"/>
        </w:rPr>
        <w:t xml:space="preserve"> </w:t>
      </w:r>
      <w:r w:rsidR="003A02EB">
        <w:rPr>
          <w:rFonts w:eastAsiaTheme="minorHAnsi"/>
        </w:rPr>
        <w:t>March 6, 2014</w:t>
      </w:r>
      <w:bookmarkStart w:id="0" w:name="_GoBack"/>
      <w:bookmarkEnd w:id="0"/>
    </w:p>
    <w:sectPr w:rsidR="00525418" w:rsidSect="006B625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5F" w:rsidRDefault="00913C5F" w:rsidP="00455AD0">
      <w:r>
        <w:separator/>
      </w:r>
    </w:p>
  </w:endnote>
  <w:endnote w:type="continuationSeparator" w:id="0">
    <w:p w:rsidR="00913C5F" w:rsidRDefault="00913C5F" w:rsidP="0045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66381"/>
      <w:docPartObj>
        <w:docPartGallery w:val="Page Numbers (Bottom of Page)"/>
        <w:docPartUnique/>
      </w:docPartObj>
    </w:sdtPr>
    <w:sdtEndPr>
      <w:rPr>
        <w:noProof/>
      </w:rPr>
    </w:sdtEndPr>
    <w:sdtContent>
      <w:p w:rsidR="006B6253" w:rsidRDefault="006B6253" w:rsidP="001C12B6">
        <w:pPr>
          <w:pStyle w:val="Footer"/>
          <w:jc w:val="center"/>
        </w:pPr>
        <w:r>
          <w:fldChar w:fldCharType="begin"/>
        </w:r>
        <w:r>
          <w:instrText xml:space="preserve"> PAGE   \* MERGEFORMAT </w:instrText>
        </w:r>
        <w:r>
          <w:fldChar w:fldCharType="separate"/>
        </w:r>
        <w:r w:rsidR="003A02EB">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5F" w:rsidRDefault="00913C5F" w:rsidP="00455AD0">
      <w:r>
        <w:separator/>
      </w:r>
    </w:p>
  </w:footnote>
  <w:footnote w:type="continuationSeparator" w:id="0">
    <w:p w:rsidR="00913C5F" w:rsidRDefault="00913C5F" w:rsidP="00455AD0">
      <w:r>
        <w:continuationSeparator/>
      </w:r>
    </w:p>
  </w:footnote>
  <w:footnote w:id="1">
    <w:p w:rsidR="000D6A62" w:rsidRPr="009B1F7E" w:rsidRDefault="000D6A62">
      <w:pPr>
        <w:pStyle w:val="FootnoteText"/>
        <w:rPr>
          <w:sz w:val="26"/>
          <w:szCs w:val="26"/>
        </w:rPr>
      </w:pPr>
      <w:r w:rsidRPr="009B1F7E">
        <w:rPr>
          <w:sz w:val="26"/>
          <w:szCs w:val="26"/>
        </w:rPr>
        <w:tab/>
      </w:r>
      <w:r w:rsidRPr="009B1F7E">
        <w:rPr>
          <w:rStyle w:val="FootnoteReference"/>
          <w:sz w:val="26"/>
          <w:szCs w:val="26"/>
        </w:rPr>
        <w:footnoteRef/>
      </w:r>
      <w:r w:rsidRPr="009B1F7E">
        <w:rPr>
          <w:sz w:val="26"/>
          <w:szCs w:val="26"/>
        </w:rPr>
        <w:t xml:space="preserve"> </w:t>
      </w:r>
      <w:r w:rsidRPr="009B1F7E">
        <w:rPr>
          <w:sz w:val="26"/>
          <w:szCs w:val="26"/>
        </w:rPr>
        <w:tab/>
        <w:t>We have previously held that a proceeding does n</w:t>
      </w:r>
      <w:r w:rsidRPr="00C62DF6">
        <w:rPr>
          <w:sz w:val="26"/>
          <w:szCs w:val="26"/>
        </w:rPr>
        <w:t xml:space="preserve">ot become adversarial until an </w:t>
      </w:r>
      <w:r>
        <w:rPr>
          <w:sz w:val="26"/>
          <w:szCs w:val="26"/>
        </w:rPr>
        <w:t>A</w:t>
      </w:r>
      <w:r w:rsidRPr="009B1F7E">
        <w:rPr>
          <w:sz w:val="26"/>
          <w:szCs w:val="26"/>
        </w:rPr>
        <w:t xml:space="preserve">nswer is filed.  </w:t>
      </w:r>
      <w:r w:rsidRPr="009B1F7E">
        <w:rPr>
          <w:i/>
          <w:sz w:val="26"/>
          <w:szCs w:val="26"/>
        </w:rPr>
        <w:t>James and Judith Simon v. Franklin Water Company</w:t>
      </w:r>
      <w:r w:rsidRPr="009B1F7E">
        <w:rPr>
          <w:sz w:val="26"/>
          <w:szCs w:val="26"/>
        </w:rPr>
        <w:t>, Docket No. C-00956589 (Order entered January 29, 1996).</w:t>
      </w:r>
    </w:p>
  </w:footnote>
  <w:footnote w:id="2">
    <w:p w:rsidR="005C40A1" w:rsidRPr="00404DF7" w:rsidRDefault="005C40A1" w:rsidP="005C40A1">
      <w:pPr>
        <w:pStyle w:val="FootnoteText"/>
        <w:rPr>
          <w:sz w:val="26"/>
          <w:szCs w:val="26"/>
        </w:rPr>
      </w:pPr>
      <w:r>
        <w:tab/>
      </w:r>
      <w:r w:rsidRPr="00404DF7">
        <w:rPr>
          <w:rStyle w:val="FootnoteReference"/>
          <w:sz w:val="26"/>
          <w:szCs w:val="26"/>
        </w:rPr>
        <w:footnoteRef/>
      </w:r>
      <w:r w:rsidRPr="00404DF7">
        <w:rPr>
          <w:sz w:val="26"/>
          <w:szCs w:val="26"/>
        </w:rPr>
        <w:t xml:space="preserve"> </w:t>
      </w:r>
      <w:r w:rsidRPr="00404DF7">
        <w:rPr>
          <w:sz w:val="26"/>
          <w:szCs w:val="26"/>
        </w:rPr>
        <w:tab/>
      </w:r>
      <w:r>
        <w:rPr>
          <w:sz w:val="26"/>
          <w:szCs w:val="26"/>
        </w:rPr>
        <w:t>In both instances, the Commission’s prosecutory staff filed complaints which were not contested.  903 Rentals paid the requested fine</w:t>
      </w:r>
      <w:r w:rsidR="00197F16">
        <w:rPr>
          <w:sz w:val="26"/>
          <w:szCs w:val="26"/>
        </w:rPr>
        <w:t>s</w:t>
      </w:r>
      <w:r>
        <w:rPr>
          <w:sz w:val="26"/>
          <w:szCs w:val="26"/>
        </w:rPr>
        <w:t xml:space="preserve"> in May 2010, at docket number </w:t>
      </w:r>
      <w:r w:rsidRPr="00404DF7">
        <w:rPr>
          <w:sz w:val="26"/>
          <w:szCs w:val="26"/>
        </w:rPr>
        <w:t>C</w:t>
      </w:r>
      <w:r w:rsidRPr="00404DF7">
        <w:rPr>
          <w:sz w:val="26"/>
          <w:szCs w:val="26"/>
        </w:rPr>
        <w:noBreakHyphen/>
        <w:t>2010-2144477</w:t>
      </w:r>
      <w:r>
        <w:rPr>
          <w:sz w:val="26"/>
          <w:szCs w:val="26"/>
        </w:rPr>
        <w:t>,</w:t>
      </w:r>
      <w:r w:rsidRPr="00404DF7">
        <w:rPr>
          <w:sz w:val="26"/>
          <w:szCs w:val="26"/>
        </w:rPr>
        <w:t xml:space="preserve"> and </w:t>
      </w:r>
      <w:r>
        <w:rPr>
          <w:sz w:val="26"/>
          <w:szCs w:val="26"/>
        </w:rPr>
        <w:t xml:space="preserve">in February 2013, at docket number </w:t>
      </w:r>
      <w:r w:rsidRPr="005C40A1">
        <w:rPr>
          <w:sz w:val="26"/>
          <w:szCs w:val="26"/>
        </w:rPr>
        <w:t>C-2013-2342748</w:t>
      </w:r>
      <w:r>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AD0"/>
    <w:rsid w:val="0000510D"/>
    <w:rsid w:val="0009597C"/>
    <w:rsid w:val="000B3EC6"/>
    <w:rsid w:val="000C20A8"/>
    <w:rsid w:val="000D2082"/>
    <w:rsid w:val="000D6A62"/>
    <w:rsid w:val="000E1CF7"/>
    <w:rsid w:val="001326B0"/>
    <w:rsid w:val="0015236E"/>
    <w:rsid w:val="00173C80"/>
    <w:rsid w:val="00193863"/>
    <w:rsid w:val="00197F16"/>
    <w:rsid w:val="001C12B6"/>
    <w:rsid w:val="001E2B17"/>
    <w:rsid w:val="001F2263"/>
    <w:rsid w:val="00202A5B"/>
    <w:rsid w:val="0024143B"/>
    <w:rsid w:val="002661BB"/>
    <w:rsid w:val="0027724F"/>
    <w:rsid w:val="00277475"/>
    <w:rsid w:val="002C6852"/>
    <w:rsid w:val="002E3750"/>
    <w:rsid w:val="00314E0F"/>
    <w:rsid w:val="00332D42"/>
    <w:rsid w:val="00333FB4"/>
    <w:rsid w:val="00351613"/>
    <w:rsid w:val="003A02EB"/>
    <w:rsid w:val="003D4B8B"/>
    <w:rsid w:val="003F6B73"/>
    <w:rsid w:val="0040441C"/>
    <w:rsid w:val="00404DF7"/>
    <w:rsid w:val="00421228"/>
    <w:rsid w:val="004402B0"/>
    <w:rsid w:val="00451B7A"/>
    <w:rsid w:val="00455AD0"/>
    <w:rsid w:val="00460356"/>
    <w:rsid w:val="00470BD9"/>
    <w:rsid w:val="004C19BC"/>
    <w:rsid w:val="004D5AB4"/>
    <w:rsid w:val="004F238B"/>
    <w:rsid w:val="00525418"/>
    <w:rsid w:val="005267A6"/>
    <w:rsid w:val="00543CBE"/>
    <w:rsid w:val="00547304"/>
    <w:rsid w:val="00583842"/>
    <w:rsid w:val="005C40A1"/>
    <w:rsid w:val="005D1EDB"/>
    <w:rsid w:val="005E73FF"/>
    <w:rsid w:val="005F1008"/>
    <w:rsid w:val="00605DC6"/>
    <w:rsid w:val="00653602"/>
    <w:rsid w:val="00681AE3"/>
    <w:rsid w:val="006B1068"/>
    <w:rsid w:val="006B6253"/>
    <w:rsid w:val="006C328F"/>
    <w:rsid w:val="006E0F36"/>
    <w:rsid w:val="006F58B7"/>
    <w:rsid w:val="0070043C"/>
    <w:rsid w:val="00721110"/>
    <w:rsid w:val="0072380A"/>
    <w:rsid w:val="007308D6"/>
    <w:rsid w:val="0076289D"/>
    <w:rsid w:val="00782445"/>
    <w:rsid w:val="007E7F48"/>
    <w:rsid w:val="0080225C"/>
    <w:rsid w:val="008040EB"/>
    <w:rsid w:val="00815DF7"/>
    <w:rsid w:val="00864042"/>
    <w:rsid w:val="00873FB1"/>
    <w:rsid w:val="008B6053"/>
    <w:rsid w:val="008B730D"/>
    <w:rsid w:val="008C41FB"/>
    <w:rsid w:val="008E12A8"/>
    <w:rsid w:val="00913C5F"/>
    <w:rsid w:val="00915061"/>
    <w:rsid w:val="009219A6"/>
    <w:rsid w:val="0094020E"/>
    <w:rsid w:val="00953BE6"/>
    <w:rsid w:val="009A1AE5"/>
    <w:rsid w:val="009A5E76"/>
    <w:rsid w:val="009B1F7E"/>
    <w:rsid w:val="009B5160"/>
    <w:rsid w:val="009E7C25"/>
    <w:rsid w:val="009F5BE4"/>
    <w:rsid w:val="00A11B04"/>
    <w:rsid w:val="00A237A6"/>
    <w:rsid w:val="00A2634E"/>
    <w:rsid w:val="00A300FF"/>
    <w:rsid w:val="00A66656"/>
    <w:rsid w:val="00A93FCA"/>
    <w:rsid w:val="00A944FE"/>
    <w:rsid w:val="00AA1011"/>
    <w:rsid w:val="00AA6488"/>
    <w:rsid w:val="00AB219F"/>
    <w:rsid w:val="00AC17FC"/>
    <w:rsid w:val="00B233AC"/>
    <w:rsid w:val="00B636B8"/>
    <w:rsid w:val="00BA43C1"/>
    <w:rsid w:val="00BB125B"/>
    <w:rsid w:val="00BD482B"/>
    <w:rsid w:val="00C137EE"/>
    <w:rsid w:val="00C4686F"/>
    <w:rsid w:val="00C62DF6"/>
    <w:rsid w:val="00C74244"/>
    <w:rsid w:val="00C902A0"/>
    <w:rsid w:val="00CA5A44"/>
    <w:rsid w:val="00CD1C84"/>
    <w:rsid w:val="00D13D8A"/>
    <w:rsid w:val="00D26CB1"/>
    <w:rsid w:val="00D5614A"/>
    <w:rsid w:val="00D97B7F"/>
    <w:rsid w:val="00DA01DC"/>
    <w:rsid w:val="00DB68D4"/>
    <w:rsid w:val="00DD0D1D"/>
    <w:rsid w:val="00DE736D"/>
    <w:rsid w:val="00DF63EF"/>
    <w:rsid w:val="00E254BB"/>
    <w:rsid w:val="00E53C85"/>
    <w:rsid w:val="00E62BEB"/>
    <w:rsid w:val="00E82572"/>
    <w:rsid w:val="00EB2A4C"/>
    <w:rsid w:val="00EB536D"/>
    <w:rsid w:val="00ED0D61"/>
    <w:rsid w:val="00F10664"/>
    <w:rsid w:val="00F143FE"/>
    <w:rsid w:val="00F22FBE"/>
    <w:rsid w:val="00F263AB"/>
    <w:rsid w:val="00F353E4"/>
    <w:rsid w:val="00F45221"/>
    <w:rsid w:val="00F45DB9"/>
    <w:rsid w:val="00F53D83"/>
    <w:rsid w:val="00F6771D"/>
    <w:rsid w:val="00FA12E3"/>
    <w:rsid w:val="00FA3C64"/>
    <w:rsid w:val="00FA4103"/>
    <w:rsid w:val="00FD3B5B"/>
    <w:rsid w:val="00FE2814"/>
    <w:rsid w:val="00FE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5AD0"/>
    <w:rPr>
      <w:sz w:val="20"/>
      <w:szCs w:val="20"/>
    </w:rPr>
  </w:style>
  <w:style w:type="character" w:customStyle="1" w:styleId="FootnoteTextChar">
    <w:name w:val="Footnote Text Char"/>
    <w:basedOn w:val="DefaultParagraphFont"/>
    <w:link w:val="FootnoteText"/>
    <w:uiPriority w:val="99"/>
    <w:semiHidden/>
    <w:rsid w:val="00455AD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5AD0"/>
    <w:rPr>
      <w:vertAlign w:val="superscript"/>
    </w:rPr>
  </w:style>
  <w:style w:type="table" w:styleId="TableGrid">
    <w:name w:val="Table Grid"/>
    <w:basedOn w:val="TableNormal"/>
    <w:uiPriority w:val="59"/>
    <w:rsid w:val="00455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6253"/>
    <w:pPr>
      <w:tabs>
        <w:tab w:val="center" w:pos="4680"/>
        <w:tab w:val="right" w:pos="9360"/>
      </w:tabs>
    </w:pPr>
  </w:style>
  <w:style w:type="character" w:customStyle="1" w:styleId="HeaderChar">
    <w:name w:val="Header Char"/>
    <w:basedOn w:val="DefaultParagraphFont"/>
    <w:link w:val="Header"/>
    <w:uiPriority w:val="99"/>
    <w:rsid w:val="006B62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253"/>
    <w:pPr>
      <w:tabs>
        <w:tab w:val="center" w:pos="4680"/>
        <w:tab w:val="right" w:pos="9360"/>
      </w:tabs>
    </w:pPr>
  </w:style>
  <w:style w:type="character" w:customStyle="1" w:styleId="FooterChar">
    <w:name w:val="Footer Char"/>
    <w:basedOn w:val="DefaultParagraphFont"/>
    <w:link w:val="Footer"/>
    <w:uiPriority w:val="99"/>
    <w:rsid w:val="006B62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FBE"/>
    <w:rPr>
      <w:color w:val="0000FF" w:themeColor="hyperlink"/>
      <w:u w:val="single"/>
    </w:rPr>
  </w:style>
  <w:style w:type="paragraph" w:styleId="BalloonText">
    <w:name w:val="Balloon Text"/>
    <w:basedOn w:val="Normal"/>
    <w:link w:val="BalloonTextChar"/>
    <w:uiPriority w:val="99"/>
    <w:semiHidden/>
    <w:unhideWhenUsed/>
    <w:rsid w:val="00915061"/>
    <w:rPr>
      <w:rFonts w:ascii="Tahoma" w:hAnsi="Tahoma" w:cs="Tahoma"/>
      <w:sz w:val="16"/>
      <w:szCs w:val="16"/>
    </w:rPr>
  </w:style>
  <w:style w:type="character" w:customStyle="1" w:styleId="BalloonTextChar">
    <w:name w:val="Balloon Text Char"/>
    <w:basedOn w:val="DefaultParagraphFont"/>
    <w:link w:val="BalloonText"/>
    <w:uiPriority w:val="99"/>
    <w:semiHidden/>
    <w:rsid w:val="00915061"/>
    <w:rPr>
      <w:rFonts w:ascii="Tahoma" w:eastAsia="Times New Roman" w:hAnsi="Tahoma" w:cs="Tahoma"/>
      <w:sz w:val="16"/>
      <w:szCs w:val="16"/>
    </w:rPr>
  </w:style>
  <w:style w:type="paragraph" w:styleId="BodyText">
    <w:name w:val="Body Text"/>
    <w:basedOn w:val="Normal"/>
    <w:link w:val="BodyTextChar"/>
    <w:semiHidden/>
    <w:unhideWhenUsed/>
    <w:rsid w:val="00DE736D"/>
    <w:pPr>
      <w:spacing w:line="360" w:lineRule="auto"/>
      <w:jc w:val="both"/>
    </w:pPr>
    <w:rPr>
      <w:rFonts w:eastAsia="SimSun"/>
      <w:sz w:val="26"/>
      <w:szCs w:val="20"/>
    </w:rPr>
  </w:style>
  <w:style w:type="character" w:customStyle="1" w:styleId="BodyTextChar">
    <w:name w:val="Body Text Char"/>
    <w:basedOn w:val="DefaultParagraphFont"/>
    <w:link w:val="BodyText"/>
    <w:semiHidden/>
    <w:rsid w:val="00DE736D"/>
    <w:rPr>
      <w:rFonts w:ascii="Times New Roman" w:eastAsia="SimSun" w:hAnsi="Times New Roman" w:cs="Times New Roman"/>
      <w:sz w:val="26"/>
      <w:szCs w:val="20"/>
    </w:rPr>
  </w:style>
  <w:style w:type="character" w:styleId="CommentReference">
    <w:name w:val="annotation reference"/>
    <w:basedOn w:val="DefaultParagraphFont"/>
    <w:uiPriority w:val="99"/>
    <w:semiHidden/>
    <w:unhideWhenUsed/>
    <w:rsid w:val="00C62DF6"/>
    <w:rPr>
      <w:sz w:val="16"/>
      <w:szCs w:val="16"/>
    </w:rPr>
  </w:style>
  <w:style w:type="paragraph" w:styleId="CommentText">
    <w:name w:val="annotation text"/>
    <w:basedOn w:val="Normal"/>
    <w:link w:val="CommentTextChar"/>
    <w:uiPriority w:val="99"/>
    <w:semiHidden/>
    <w:unhideWhenUsed/>
    <w:rsid w:val="00C62DF6"/>
    <w:rPr>
      <w:sz w:val="20"/>
      <w:szCs w:val="20"/>
    </w:rPr>
  </w:style>
  <w:style w:type="character" w:customStyle="1" w:styleId="CommentTextChar">
    <w:name w:val="Comment Text Char"/>
    <w:basedOn w:val="DefaultParagraphFont"/>
    <w:link w:val="CommentText"/>
    <w:uiPriority w:val="99"/>
    <w:semiHidden/>
    <w:rsid w:val="00C62D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DF6"/>
    <w:rPr>
      <w:b/>
      <w:bCs/>
    </w:rPr>
  </w:style>
  <w:style w:type="character" w:customStyle="1" w:styleId="CommentSubjectChar">
    <w:name w:val="Comment Subject Char"/>
    <w:basedOn w:val="CommentTextChar"/>
    <w:link w:val="CommentSubject"/>
    <w:uiPriority w:val="99"/>
    <w:semiHidden/>
    <w:rsid w:val="00C62DF6"/>
    <w:rPr>
      <w:rFonts w:ascii="Times New Roman" w:eastAsia="Times New Roman" w:hAnsi="Times New Roman" w:cs="Times New Roman"/>
      <w:b/>
      <w:bCs/>
      <w:sz w:val="20"/>
      <w:szCs w:val="20"/>
    </w:rPr>
  </w:style>
  <w:style w:type="paragraph" w:styleId="Revision">
    <w:name w:val="Revision"/>
    <w:hidden/>
    <w:uiPriority w:val="99"/>
    <w:semiHidden/>
    <w:rsid w:val="00C62DF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5AD0"/>
    <w:rPr>
      <w:sz w:val="20"/>
      <w:szCs w:val="20"/>
    </w:rPr>
  </w:style>
  <w:style w:type="character" w:customStyle="1" w:styleId="FootnoteTextChar">
    <w:name w:val="Footnote Text Char"/>
    <w:basedOn w:val="DefaultParagraphFont"/>
    <w:link w:val="FootnoteText"/>
    <w:uiPriority w:val="99"/>
    <w:semiHidden/>
    <w:rsid w:val="00455AD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5AD0"/>
    <w:rPr>
      <w:vertAlign w:val="superscript"/>
    </w:rPr>
  </w:style>
  <w:style w:type="table" w:styleId="TableGrid">
    <w:name w:val="Table Grid"/>
    <w:basedOn w:val="TableNormal"/>
    <w:uiPriority w:val="59"/>
    <w:rsid w:val="00455A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6253"/>
    <w:pPr>
      <w:tabs>
        <w:tab w:val="center" w:pos="4680"/>
        <w:tab w:val="right" w:pos="9360"/>
      </w:tabs>
    </w:pPr>
  </w:style>
  <w:style w:type="character" w:customStyle="1" w:styleId="HeaderChar">
    <w:name w:val="Header Char"/>
    <w:basedOn w:val="DefaultParagraphFont"/>
    <w:link w:val="Header"/>
    <w:uiPriority w:val="99"/>
    <w:rsid w:val="006B62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6253"/>
    <w:pPr>
      <w:tabs>
        <w:tab w:val="center" w:pos="4680"/>
        <w:tab w:val="right" w:pos="9360"/>
      </w:tabs>
    </w:pPr>
  </w:style>
  <w:style w:type="character" w:customStyle="1" w:styleId="FooterChar">
    <w:name w:val="Footer Char"/>
    <w:basedOn w:val="DefaultParagraphFont"/>
    <w:link w:val="Footer"/>
    <w:uiPriority w:val="99"/>
    <w:rsid w:val="006B62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FBE"/>
    <w:rPr>
      <w:color w:val="0000FF" w:themeColor="hyperlink"/>
      <w:u w:val="single"/>
    </w:rPr>
  </w:style>
  <w:style w:type="paragraph" w:styleId="BalloonText">
    <w:name w:val="Balloon Text"/>
    <w:basedOn w:val="Normal"/>
    <w:link w:val="BalloonTextChar"/>
    <w:uiPriority w:val="99"/>
    <w:semiHidden/>
    <w:unhideWhenUsed/>
    <w:rsid w:val="00915061"/>
    <w:rPr>
      <w:rFonts w:ascii="Tahoma" w:hAnsi="Tahoma" w:cs="Tahoma"/>
      <w:sz w:val="16"/>
      <w:szCs w:val="16"/>
    </w:rPr>
  </w:style>
  <w:style w:type="character" w:customStyle="1" w:styleId="BalloonTextChar">
    <w:name w:val="Balloon Text Char"/>
    <w:basedOn w:val="DefaultParagraphFont"/>
    <w:link w:val="BalloonText"/>
    <w:uiPriority w:val="99"/>
    <w:semiHidden/>
    <w:rsid w:val="00915061"/>
    <w:rPr>
      <w:rFonts w:ascii="Tahoma" w:eastAsia="Times New Roman" w:hAnsi="Tahoma" w:cs="Tahoma"/>
      <w:sz w:val="16"/>
      <w:szCs w:val="16"/>
    </w:rPr>
  </w:style>
  <w:style w:type="paragraph" w:styleId="BodyText">
    <w:name w:val="Body Text"/>
    <w:basedOn w:val="Normal"/>
    <w:link w:val="BodyTextChar"/>
    <w:semiHidden/>
    <w:unhideWhenUsed/>
    <w:rsid w:val="00DE736D"/>
    <w:pPr>
      <w:spacing w:line="360" w:lineRule="auto"/>
      <w:jc w:val="both"/>
    </w:pPr>
    <w:rPr>
      <w:rFonts w:eastAsia="SimSun"/>
      <w:sz w:val="26"/>
      <w:szCs w:val="20"/>
    </w:rPr>
  </w:style>
  <w:style w:type="character" w:customStyle="1" w:styleId="BodyTextChar">
    <w:name w:val="Body Text Char"/>
    <w:basedOn w:val="DefaultParagraphFont"/>
    <w:link w:val="BodyText"/>
    <w:semiHidden/>
    <w:rsid w:val="00DE736D"/>
    <w:rPr>
      <w:rFonts w:ascii="Times New Roman" w:eastAsia="SimSun" w:hAnsi="Times New Roman" w:cs="Times New Roman"/>
      <w:sz w:val="26"/>
      <w:szCs w:val="20"/>
    </w:rPr>
  </w:style>
  <w:style w:type="character" w:styleId="CommentReference">
    <w:name w:val="annotation reference"/>
    <w:basedOn w:val="DefaultParagraphFont"/>
    <w:uiPriority w:val="99"/>
    <w:semiHidden/>
    <w:unhideWhenUsed/>
    <w:rsid w:val="00C62DF6"/>
    <w:rPr>
      <w:sz w:val="16"/>
      <w:szCs w:val="16"/>
    </w:rPr>
  </w:style>
  <w:style w:type="paragraph" w:styleId="CommentText">
    <w:name w:val="annotation text"/>
    <w:basedOn w:val="Normal"/>
    <w:link w:val="CommentTextChar"/>
    <w:uiPriority w:val="99"/>
    <w:semiHidden/>
    <w:unhideWhenUsed/>
    <w:rsid w:val="00C62DF6"/>
    <w:rPr>
      <w:sz w:val="20"/>
      <w:szCs w:val="20"/>
    </w:rPr>
  </w:style>
  <w:style w:type="character" w:customStyle="1" w:styleId="CommentTextChar">
    <w:name w:val="Comment Text Char"/>
    <w:basedOn w:val="DefaultParagraphFont"/>
    <w:link w:val="CommentText"/>
    <w:uiPriority w:val="99"/>
    <w:semiHidden/>
    <w:rsid w:val="00C62D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DF6"/>
    <w:rPr>
      <w:b/>
      <w:bCs/>
    </w:rPr>
  </w:style>
  <w:style w:type="character" w:customStyle="1" w:styleId="CommentSubjectChar">
    <w:name w:val="Comment Subject Char"/>
    <w:basedOn w:val="CommentTextChar"/>
    <w:link w:val="CommentSubject"/>
    <w:uiPriority w:val="99"/>
    <w:semiHidden/>
    <w:rsid w:val="00C62DF6"/>
    <w:rPr>
      <w:rFonts w:ascii="Times New Roman" w:eastAsia="Times New Roman" w:hAnsi="Times New Roman" w:cs="Times New Roman"/>
      <w:b/>
      <w:bCs/>
      <w:sz w:val="20"/>
      <w:szCs w:val="20"/>
    </w:rPr>
  </w:style>
  <w:style w:type="paragraph" w:styleId="Revision">
    <w:name w:val="Revision"/>
    <w:hidden/>
    <w:uiPriority w:val="99"/>
    <w:semiHidden/>
    <w:rsid w:val="00C62D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0048">
      <w:bodyDiv w:val="1"/>
      <w:marLeft w:val="0"/>
      <w:marRight w:val="0"/>
      <w:marTop w:val="0"/>
      <w:marBottom w:val="0"/>
      <w:divBdr>
        <w:top w:val="none" w:sz="0" w:space="0" w:color="auto"/>
        <w:left w:val="none" w:sz="0" w:space="0" w:color="auto"/>
        <w:bottom w:val="none" w:sz="0" w:space="0" w:color="auto"/>
        <w:right w:val="none" w:sz="0" w:space="0" w:color="auto"/>
      </w:divBdr>
    </w:div>
    <w:div w:id="213546592">
      <w:bodyDiv w:val="1"/>
      <w:marLeft w:val="0"/>
      <w:marRight w:val="0"/>
      <w:marTop w:val="0"/>
      <w:marBottom w:val="0"/>
      <w:divBdr>
        <w:top w:val="none" w:sz="0" w:space="0" w:color="auto"/>
        <w:left w:val="none" w:sz="0" w:space="0" w:color="auto"/>
        <w:bottom w:val="none" w:sz="0" w:space="0" w:color="auto"/>
        <w:right w:val="none" w:sz="0" w:space="0" w:color="auto"/>
      </w:divBdr>
      <w:divsChild>
        <w:div w:id="983316928">
          <w:marLeft w:val="0"/>
          <w:marRight w:val="0"/>
          <w:marTop w:val="0"/>
          <w:marBottom w:val="0"/>
          <w:divBdr>
            <w:top w:val="none" w:sz="0" w:space="0" w:color="auto"/>
            <w:left w:val="none" w:sz="0" w:space="0" w:color="auto"/>
            <w:bottom w:val="none" w:sz="0" w:space="0" w:color="auto"/>
            <w:right w:val="none" w:sz="0" w:space="0" w:color="auto"/>
          </w:divBdr>
          <w:divsChild>
            <w:div w:id="990475987">
              <w:marLeft w:val="0"/>
              <w:marRight w:val="0"/>
              <w:marTop w:val="0"/>
              <w:marBottom w:val="0"/>
              <w:divBdr>
                <w:top w:val="none" w:sz="0" w:space="0" w:color="auto"/>
                <w:left w:val="none" w:sz="0" w:space="0" w:color="auto"/>
                <w:bottom w:val="none" w:sz="0" w:space="0" w:color="auto"/>
                <w:right w:val="none" w:sz="0" w:space="0" w:color="auto"/>
              </w:divBdr>
              <w:divsChild>
                <w:div w:id="662391391">
                  <w:marLeft w:val="0"/>
                  <w:marRight w:val="0"/>
                  <w:marTop w:val="0"/>
                  <w:marBottom w:val="0"/>
                  <w:divBdr>
                    <w:top w:val="none" w:sz="0" w:space="0" w:color="auto"/>
                    <w:left w:val="none" w:sz="0" w:space="0" w:color="auto"/>
                    <w:bottom w:val="none" w:sz="0" w:space="0" w:color="auto"/>
                    <w:right w:val="none" w:sz="0" w:space="0" w:color="auto"/>
                  </w:divBdr>
                  <w:divsChild>
                    <w:div w:id="12056779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3866">
      <w:bodyDiv w:val="1"/>
      <w:marLeft w:val="0"/>
      <w:marRight w:val="0"/>
      <w:marTop w:val="0"/>
      <w:marBottom w:val="0"/>
      <w:divBdr>
        <w:top w:val="none" w:sz="0" w:space="0" w:color="auto"/>
        <w:left w:val="none" w:sz="0" w:space="0" w:color="auto"/>
        <w:bottom w:val="none" w:sz="0" w:space="0" w:color="auto"/>
        <w:right w:val="none" w:sz="0" w:space="0" w:color="auto"/>
      </w:divBdr>
      <w:divsChild>
        <w:div w:id="1585995442">
          <w:marLeft w:val="0"/>
          <w:marRight w:val="0"/>
          <w:marTop w:val="0"/>
          <w:marBottom w:val="0"/>
          <w:divBdr>
            <w:top w:val="none" w:sz="0" w:space="0" w:color="auto"/>
            <w:left w:val="none" w:sz="0" w:space="0" w:color="auto"/>
            <w:bottom w:val="none" w:sz="0" w:space="0" w:color="auto"/>
            <w:right w:val="none" w:sz="0" w:space="0" w:color="auto"/>
          </w:divBdr>
          <w:divsChild>
            <w:div w:id="458887355">
              <w:marLeft w:val="0"/>
              <w:marRight w:val="0"/>
              <w:marTop w:val="0"/>
              <w:marBottom w:val="0"/>
              <w:divBdr>
                <w:top w:val="none" w:sz="0" w:space="0" w:color="auto"/>
                <w:left w:val="none" w:sz="0" w:space="0" w:color="auto"/>
                <w:bottom w:val="none" w:sz="0" w:space="0" w:color="auto"/>
                <w:right w:val="none" w:sz="0" w:space="0" w:color="auto"/>
              </w:divBdr>
              <w:divsChild>
                <w:div w:id="856970153">
                  <w:marLeft w:val="0"/>
                  <w:marRight w:val="0"/>
                  <w:marTop w:val="0"/>
                  <w:marBottom w:val="0"/>
                  <w:divBdr>
                    <w:top w:val="none" w:sz="0" w:space="0" w:color="auto"/>
                    <w:left w:val="none" w:sz="0" w:space="0" w:color="auto"/>
                    <w:bottom w:val="none" w:sz="0" w:space="0" w:color="auto"/>
                    <w:right w:val="none" w:sz="0" w:space="0" w:color="auto"/>
                  </w:divBdr>
                  <w:divsChild>
                    <w:div w:id="188417694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9D4DF-FA6D-478D-9F05-889970F5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Rebecca</dc:creator>
  <cp:lastModifiedBy>Hinds, Margaret</cp:lastModifiedBy>
  <cp:revision>10</cp:revision>
  <cp:lastPrinted>2014-03-06T14:13:00Z</cp:lastPrinted>
  <dcterms:created xsi:type="dcterms:W3CDTF">2014-02-24T15:06:00Z</dcterms:created>
  <dcterms:modified xsi:type="dcterms:W3CDTF">2014-03-06T14:13:00Z</dcterms:modified>
</cp:coreProperties>
</file>