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B0" w:rsidRPr="00957E3F" w:rsidRDefault="001248B0" w:rsidP="00957E3F">
      <w:pPr>
        <w:spacing w:line="240" w:lineRule="auto"/>
        <w:jc w:val="center"/>
        <w:rPr>
          <w:b/>
          <w:sz w:val="24"/>
          <w:szCs w:val="24"/>
        </w:rPr>
      </w:pPr>
      <w:r w:rsidRPr="00957E3F">
        <w:rPr>
          <w:b/>
          <w:sz w:val="24"/>
          <w:szCs w:val="24"/>
        </w:rPr>
        <w:t>BEFORE THE</w:t>
      </w:r>
    </w:p>
    <w:p w:rsidR="001248B0" w:rsidRPr="00957E3F" w:rsidRDefault="001248B0" w:rsidP="00957E3F">
      <w:pPr>
        <w:spacing w:line="240" w:lineRule="auto"/>
        <w:jc w:val="center"/>
        <w:rPr>
          <w:b/>
          <w:sz w:val="24"/>
          <w:szCs w:val="24"/>
        </w:rPr>
      </w:pPr>
      <w:r w:rsidRPr="00957E3F">
        <w:rPr>
          <w:b/>
          <w:sz w:val="24"/>
          <w:szCs w:val="24"/>
        </w:rPr>
        <w:t>PENNSYLVANIA PUBLIC UTILITY COMMISSION</w:t>
      </w:r>
    </w:p>
    <w:p w:rsidR="001248B0" w:rsidRPr="00957E3F" w:rsidRDefault="001248B0" w:rsidP="00957E3F">
      <w:pPr>
        <w:spacing w:line="240" w:lineRule="auto"/>
        <w:jc w:val="center"/>
        <w:rPr>
          <w:b/>
          <w:sz w:val="24"/>
          <w:szCs w:val="24"/>
        </w:rPr>
      </w:pPr>
    </w:p>
    <w:p w:rsidR="001248B0" w:rsidRPr="00957E3F" w:rsidRDefault="001248B0" w:rsidP="00957E3F">
      <w:pPr>
        <w:spacing w:line="240" w:lineRule="auto"/>
        <w:rPr>
          <w:sz w:val="24"/>
          <w:szCs w:val="24"/>
        </w:rPr>
      </w:pPr>
    </w:p>
    <w:p w:rsidR="00957E3F" w:rsidRDefault="00957E3F" w:rsidP="00957E3F">
      <w:pPr>
        <w:spacing w:line="240" w:lineRule="auto"/>
        <w:rPr>
          <w:sz w:val="24"/>
          <w:szCs w:val="24"/>
        </w:rPr>
      </w:pPr>
    </w:p>
    <w:p w:rsidR="001248B0" w:rsidRPr="00957E3F" w:rsidRDefault="001248B0" w:rsidP="00957E3F">
      <w:pPr>
        <w:spacing w:line="240" w:lineRule="auto"/>
        <w:rPr>
          <w:sz w:val="24"/>
          <w:szCs w:val="24"/>
        </w:rPr>
      </w:pPr>
      <w:r w:rsidRPr="00957E3F">
        <w:rPr>
          <w:sz w:val="24"/>
          <w:szCs w:val="24"/>
        </w:rPr>
        <w:t>David M. Williams</w:t>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t>:</w:t>
      </w:r>
    </w:p>
    <w:p w:rsidR="001248B0" w:rsidRPr="00957E3F" w:rsidRDefault="001248B0" w:rsidP="00957E3F">
      <w:pPr>
        <w:spacing w:line="240" w:lineRule="auto"/>
        <w:rPr>
          <w:sz w:val="24"/>
          <w:szCs w:val="24"/>
        </w:rPr>
      </w:pP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t>:</w:t>
      </w:r>
    </w:p>
    <w:p w:rsidR="001248B0" w:rsidRPr="00957E3F" w:rsidRDefault="001248B0" w:rsidP="00957E3F">
      <w:pPr>
        <w:spacing w:line="240" w:lineRule="auto"/>
        <w:rPr>
          <w:sz w:val="24"/>
          <w:szCs w:val="24"/>
        </w:rPr>
      </w:pPr>
      <w:r w:rsidRPr="00957E3F">
        <w:rPr>
          <w:sz w:val="24"/>
          <w:szCs w:val="24"/>
        </w:rPr>
        <w:tab/>
        <w:t>v.</w:t>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t>:</w:t>
      </w:r>
      <w:r w:rsidRPr="00957E3F">
        <w:rPr>
          <w:sz w:val="24"/>
          <w:szCs w:val="24"/>
        </w:rPr>
        <w:tab/>
      </w:r>
      <w:r w:rsidR="00957E3F">
        <w:rPr>
          <w:sz w:val="24"/>
          <w:szCs w:val="24"/>
        </w:rPr>
        <w:tab/>
      </w:r>
      <w:r w:rsidR="002F3045">
        <w:rPr>
          <w:sz w:val="24"/>
          <w:szCs w:val="24"/>
        </w:rPr>
        <w:t>C</w:t>
      </w:r>
      <w:r w:rsidRPr="00957E3F">
        <w:rPr>
          <w:sz w:val="24"/>
          <w:szCs w:val="24"/>
        </w:rPr>
        <w:t>-2013-2345879</w:t>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t>:</w:t>
      </w:r>
    </w:p>
    <w:p w:rsidR="001248B0" w:rsidRPr="00957E3F" w:rsidRDefault="001248B0" w:rsidP="00957E3F">
      <w:pPr>
        <w:spacing w:line="240" w:lineRule="auto"/>
        <w:rPr>
          <w:sz w:val="24"/>
          <w:szCs w:val="24"/>
        </w:rPr>
      </w:pPr>
      <w:r w:rsidRPr="00957E3F">
        <w:rPr>
          <w:sz w:val="24"/>
          <w:szCs w:val="24"/>
        </w:rPr>
        <w:t>West Penn Power Company</w:t>
      </w:r>
      <w:r w:rsidRPr="00957E3F">
        <w:rPr>
          <w:sz w:val="24"/>
          <w:szCs w:val="24"/>
        </w:rPr>
        <w:tab/>
      </w:r>
      <w:r w:rsidRPr="00957E3F">
        <w:rPr>
          <w:sz w:val="24"/>
          <w:szCs w:val="24"/>
        </w:rPr>
        <w:tab/>
      </w:r>
      <w:r w:rsidRPr="00957E3F">
        <w:rPr>
          <w:sz w:val="24"/>
          <w:szCs w:val="24"/>
        </w:rPr>
        <w:tab/>
      </w:r>
      <w:r w:rsidR="00957E3F">
        <w:rPr>
          <w:sz w:val="24"/>
          <w:szCs w:val="24"/>
        </w:rPr>
        <w:tab/>
      </w:r>
      <w:r w:rsidRPr="00957E3F">
        <w:rPr>
          <w:sz w:val="24"/>
          <w:szCs w:val="24"/>
        </w:rPr>
        <w:t>:</w:t>
      </w:r>
    </w:p>
    <w:p w:rsidR="001248B0" w:rsidRPr="00957E3F" w:rsidRDefault="001248B0" w:rsidP="00957E3F">
      <w:pPr>
        <w:spacing w:line="240" w:lineRule="auto"/>
        <w:jc w:val="center"/>
        <w:rPr>
          <w:b/>
          <w:sz w:val="24"/>
          <w:szCs w:val="24"/>
        </w:rPr>
      </w:pPr>
    </w:p>
    <w:p w:rsidR="001248B0" w:rsidRPr="00957E3F" w:rsidRDefault="001248B0" w:rsidP="00957E3F">
      <w:pPr>
        <w:spacing w:line="240" w:lineRule="auto"/>
        <w:rPr>
          <w:sz w:val="24"/>
          <w:szCs w:val="24"/>
        </w:rPr>
      </w:pPr>
    </w:p>
    <w:p w:rsidR="00957E3F" w:rsidRDefault="00957E3F" w:rsidP="00957E3F">
      <w:pPr>
        <w:pStyle w:val="Heading1"/>
        <w:rPr>
          <w:b/>
          <w:caps/>
          <w:sz w:val="24"/>
          <w:szCs w:val="24"/>
        </w:rPr>
      </w:pPr>
    </w:p>
    <w:p w:rsidR="001248B0" w:rsidRPr="00957E3F" w:rsidRDefault="001248B0" w:rsidP="00957E3F">
      <w:pPr>
        <w:pStyle w:val="Heading1"/>
        <w:rPr>
          <w:b/>
          <w:caps/>
          <w:sz w:val="24"/>
          <w:szCs w:val="24"/>
        </w:rPr>
      </w:pPr>
      <w:r w:rsidRPr="00957E3F">
        <w:rPr>
          <w:b/>
          <w:caps/>
          <w:sz w:val="24"/>
          <w:szCs w:val="24"/>
        </w:rPr>
        <w:t>Initial Decision</w:t>
      </w:r>
    </w:p>
    <w:p w:rsidR="001248B0" w:rsidRPr="00957E3F" w:rsidRDefault="001248B0" w:rsidP="00957E3F">
      <w:pPr>
        <w:spacing w:line="240" w:lineRule="auto"/>
        <w:jc w:val="center"/>
        <w:rPr>
          <w:sz w:val="24"/>
          <w:szCs w:val="24"/>
          <w:u w:val="single"/>
        </w:rPr>
      </w:pPr>
    </w:p>
    <w:p w:rsidR="001248B0" w:rsidRPr="00957E3F" w:rsidRDefault="001248B0" w:rsidP="00957E3F">
      <w:pPr>
        <w:spacing w:line="240" w:lineRule="auto"/>
        <w:jc w:val="center"/>
        <w:rPr>
          <w:sz w:val="24"/>
          <w:szCs w:val="24"/>
          <w:u w:val="single"/>
        </w:rPr>
      </w:pPr>
    </w:p>
    <w:p w:rsidR="001248B0" w:rsidRPr="00957E3F" w:rsidRDefault="001248B0" w:rsidP="00957E3F">
      <w:pPr>
        <w:spacing w:line="240" w:lineRule="auto"/>
        <w:jc w:val="center"/>
        <w:rPr>
          <w:sz w:val="24"/>
          <w:szCs w:val="24"/>
        </w:rPr>
      </w:pPr>
      <w:r w:rsidRPr="00957E3F">
        <w:rPr>
          <w:sz w:val="24"/>
          <w:szCs w:val="24"/>
        </w:rPr>
        <w:t>Before</w:t>
      </w:r>
    </w:p>
    <w:p w:rsidR="001248B0" w:rsidRPr="00957E3F" w:rsidRDefault="001248B0" w:rsidP="00957E3F">
      <w:pPr>
        <w:spacing w:line="240" w:lineRule="auto"/>
        <w:jc w:val="center"/>
        <w:rPr>
          <w:sz w:val="24"/>
          <w:szCs w:val="24"/>
        </w:rPr>
      </w:pPr>
      <w:r w:rsidRPr="00957E3F">
        <w:rPr>
          <w:sz w:val="24"/>
          <w:szCs w:val="24"/>
        </w:rPr>
        <w:t>Jeffrey A. Watson</w:t>
      </w:r>
    </w:p>
    <w:p w:rsidR="001248B0" w:rsidRPr="00957E3F" w:rsidRDefault="001248B0" w:rsidP="00957E3F">
      <w:pPr>
        <w:spacing w:line="240" w:lineRule="auto"/>
        <w:jc w:val="center"/>
        <w:rPr>
          <w:sz w:val="24"/>
          <w:szCs w:val="24"/>
        </w:rPr>
      </w:pPr>
      <w:r w:rsidRPr="00957E3F">
        <w:rPr>
          <w:sz w:val="24"/>
          <w:szCs w:val="24"/>
        </w:rPr>
        <w:t>Administrative Law Judge</w:t>
      </w:r>
    </w:p>
    <w:p w:rsidR="001248B0" w:rsidRPr="00957E3F" w:rsidRDefault="001248B0" w:rsidP="00957E3F">
      <w:pPr>
        <w:spacing w:line="240" w:lineRule="auto"/>
        <w:jc w:val="center"/>
        <w:rPr>
          <w:sz w:val="24"/>
          <w:szCs w:val="24"/>
        </w:rPr>
      </w:pPr>
    </w:p>
    <w:p w:rsidR="001248B0" w:rsidRPr="00957E3F" w:rsidRDefault="001248B0" w:rsidP="00957E3F">
      <w:pPr>
        <w:spacing w:line="240" w:lineRule="auto"/>
        <w:jc w:val="center"/>
        <w:rPr>
          <w:sz w:val="24"/>
          <w:szCs w:val="24"/>
        </w:rPr>
      </w:pPr>
    </w:p>
    <w:p w:rsidR="001248B0" w:rsidRPr="00957E3F" w:rsidRDefault="001248B0" w:rsidP="00957E3F">
      <w:pPr>
        <w:rPr>
          <w:sz w:val="24"/>
          <w:szCs w:val="24"/>
        </w:rPr>
      </w:pPr>
      <w:r w:rsidRPr="00957E3F">
        <w:rPr>
          <w:sz w:val="24"/>
          <w:szCs w:val="24"/>
        </w:rPr>
        <w:tab/>
      </w:r>
      <w:r w:rsidRPr="00957E3F">
        <w:rPr>
          <w:sz w:val="24"/>
          <w:szCs w:val="24"/>
        </w:rPr>
        <w:tab/>
        <w:t>David M. Williams (“Complainant” or “Mr. Williams”) filed a formal complaint (“Complaint”) against West Penn Power Company (“West Penn”, “Company” or “Res</w:t>
      </w:r>
      <w:r w:rsidR="009617A6">
        <w:rPr>
          <w:sz w:val="24"/>
          <w:szCs w:val="24"/>
        </w:rPr>
        <w:t xml:space="preserve">pondent”) alleging that his air </w:t>
      </w:r>
      <w:r w:rsidRPr="00957E3F">
        <w:rPr>
          <w:sz w:val="24"/>
          <w:szCs w:val="24"/>
        </w:rPr>
        <w:t xml:space="preserve">conditioning unit </w:t>
      </w:r>
      <w:r w:rsidR="00282CE8" w:rsidRPr="00957E3F">
        <w:rPr>
          <w:sz w:val="24"/>
          <w:szCs w:val="24"/>
        </w:rPr>
        <w:t xml:space="preserve">was damaged </w:t>
      </w:r>
      <w:r w:rsidRPr="00957E3F">
        <w:rPr>
          <w:sz w:val="24"/>
          <w:szCs w:val="24"/>
        </w:rPr>
        <w:t xml:space="preserve">as a result of </w:t>
      </w:r>
      <w:r w:rsidR="00537F5B">
        <w:rPr>
          <w:sz w:val="24"/>
          <w:szCs w:val="24"/>
        </w:rPr>
        <w:t xml:space="preserve">electric </w:t>
      </w:r>
      <w:r w:rsidRPr="00957E3F">
        <w:rPr>
          <w:sz w:val="24"/>
          <w:szCs w:val="24"/>
        </w:rPr>
        <w:t>supplied by West Penn</w:t>
      </w:r>
      <w:r w:rsidR="00537F5B">
        <w:rPr>
          <w:sz w:val="24"/>
          <w:szCs w:val="24"/>
        </w:rPr>
        <w:t xml:space="preserve"> at a voltage level below acceptable levels</w:t>
      </w:r>
      <w:r w:rsidRPr="00957E3F">
        <w:rPr>
          <w:sz w:val="24"/>
          <w:szCs w:val="24"/>
        </w:rPr>
        <w:t xml:space="preserve">.  This initial decision dismisses the </w:t>
      </w:r>
      <w:r w:rsidR="00282CE8" w:rsidRPr="00957E3F">
        <w:rPr>
          <w:sz w:val="24"/>
          <w:szCs w:val="24"/>
        </w:rPr>
        <w:t xml:space="preserve">formal </w:t>
      </w:r>
      <w:r w:rsidRPr="00957E3F">
        <w:rPr>
          <w:sz w:val="24"/>
          <w:szCs w:val="24"/>
        </w:rPr>
        <w:t xml:space="preserve">complaint for </w:t>
      </w:r>
      <w:r w:rsidR="00335E91" w:rsidRPr="00957E3F">
        <w:rPr>
          <w:sz w:val="24"/>
          <w:szCs w:val="24"/>
        </w:rPr>
        <w:t xml:space="preserve">the </w:t>
      </w:r>
      <w:r w:rsidRPr="00957E3F">
        <w:rPr>
          <w:sz w:val="24"/>
          <w:szCs w:val="24"/>
        </w:rPr>
        <w:t>failure</w:t>
      </w:r>
      <w:r w:rsidR="00335E91" w:rsidRPr="00957E3F">
        <w:rPr>
          <w:sz w:val="24"/>
          <w:szCs w:val="24"/>
        </w:rPr>
        <w:t xml:space="preserve"> of Mr. Williams</w:t>
      </w:r>
      <w:r w:rsidRPr="00957E3F">
        <w:rPr>
          <w:sz w:val="24"/>
          <w:szCs w:val="24"/>
        </w:rPr>
        <w:t xml:space="preserve"> to meet his burden of proof.</w:t>
      </w:r>
    </w:p>
    <w:p w:rsidR="001248B0" w:rsidRPr="00957E3F" w:rsidRDefault="001248B0" w:rsidP="00957E3F">
      <w:pPr>
        <w:rPr>
          <w:sz w:val="24"/>
          <w:szCs w:val="24"/>
        </w:rPr>
      </w:pPr>
    </w:p>
    <w:p w:rsidR="001248B0" w:rsidRPr="00957E3F" w:rsidRDefault="001248B0" w:rsidP="00957E3F">
      <w:pPr>
        <w:pStyle w:val="Heading1"/>
        <w:spacing w:line="360" w:lineRule="auto"/>
        <w:rPr>
          <w:sz w:val="24"/>
          <w:szCs w:val="24"/>
          <w:u w:val="none"/>
        </w:rPr>
      </w:pPr>
      <w:r w:rsidRPr="00957E3F">
        <w:rPr>
          <w:sz w:val="24"/>
          <w:szCs w:val="24"/>
        </w:rPr>
        <w:t>HISTORY OF THE PROCEEDING</w:t>
      </w:r>
    </w:p>
    <w:p w:rsidR="001248B0" w:rsidRPr="00957E3F" w:rsidRDefault="001248B0" w:rsidP="00957E3F">
      <w:pPr>
        <w:ind w:firstLine="1440"/>
        <w:rPr>
          <w:sz w:val="24"/>
          <w:szCs w:val="24"/>
        </w:rPr>
      </w:pPr>
    </w:p>
    <w:p w:rsidR="001248B0" w:rsidRDefault="001248B0" w:rsidP="00537F5B">
      <w:pPr>
        <w:ind w:firstLine="1440"/>
        <w:rPr>
          <w:sz w:val="24"/>
          <w:szCs w:val="24"/>
        </w:rPr>
      </w:pPr>
      <w:r w:rsidRPr="00957E3F">
        <w:rPr>
          <w:sz w:val="24"/>
          <w:szCs w:val="24"/>
        </w:rPr>
        <w:t>On January 25, 2013, Mr. Williams</w:t>
      </w:r>
      <w:r w:rsidR="00282CE8" w:rsidRPr="00957E3F">
        <w:rPr>
          <w:sz w:val="24"/>
          <w:szCs w:val="24"/>
        </w:rPr>
        <w:t xml:space="preserve"> </w:t>
      </w:r>
      <w:r w:rsidRPr="00957E3F">
        <w:rPr>
          <w:sz w:val="24"/>
          <w:szCs w:val="24"/>
        </w:rPr>
        <w:t>filed a formal complaint before the Pennsylvania Public Utility Commission (</w:t>
      </w:r>
      <w:r w:rsidR="00282CE8" w:rsidRPr="00957E3F">
        <w:rPr>
          <w:sz w:val="24"/>
          <w:szCs w:val="24"/>
        </w:rPr>
        <w:t>“</w:t>
      </w:r>
      <w:r w:rsidRPr="00957E3F">
        <w:rPr>
          <w:sz w:val="24"/>
          <w:szCs w:val="24"/>
        </w:rPr>
        <w:t>Commission</w:t>
      </w:r>
      <w:r w:rsidR="00282CE8" w:rsidRPr="00957E3F">
        <w:rPr>
          <w:sz w:val="24"/>
          <w:szCs w:val="24"/>
        </w:rPr>
        <w:t>”</w:t>
      </w:r>
      <w:r w:rsidRPr="00957E3F">
        <w:rPr>
          <w:sz w:val="24"/>
          <w:szCs w:val="24"/>
        </w:rPr>
        <w:t xml:space="preserve">) against West Penn Power </w:t>
      </w:r>
      <w:r w:rsidR="00162B1D" w:rsidRPr="00957E3F">
        <w:rPr>
          <w:sz w:val="24"/>
          <w:szCs w:val="24"/>
        </w:rPr>
        <w:t>Company alleging</w:t>
      </w:r>
      <w:r w:rsidR="009617A6">
        <w:rPr>
          <w:sz w:val="24"/>
          <w:szCs w:val="24"/>
        </w:rPr>
        <w:t xml:space="preserve"> that his air </w:t>
      </w:r>
      <w:r w:rsidRPr="00957E3F">
        <w:rPr>
          <w:sz w:val="24"/>
          <w:szCs w:val="24"/>
        </w:rPr>
        <w:t xml:space="preserve">conditioning unit </w:t>
      </w:r>
      <w:r w:rsidR="00282CE8" w:rsidRPr="00957E3F">
        <w:rPr>
          <w:sz w:val="24"/>
          <w:szCs w:val="24"/>
        </w:rPr>
        <w:t xml:space="preserve">was damaged </w:t>
      </w:r>
      <w:r w:rsidRPr="00957E3F">
        <w:rPr>
          <w:sz w:val="24"/>
          <w:szCs w:val="24"/>
        </w:rPr>
        <w:t xml:space="preserve">as a result of </w:t>
      </w:r>
      <w:r w:rsidR="00537F5B">
        <w:rPr>
          <w:sz w:val="24"/>
          <w:szCs w:val="24"/>
        </w:rPr>
        <w:t>elec</w:t>
      </w:r>
      <w:r w:rsidRPr="00957E3F">
        <w:rPr>
          <w:sz w:val="24"/>
          <w:szCs w:val="24"/>
        </w:rPr>
        <w:t>tric supplied by West Penn</w:t>
      </w:r>
      <w:r w:rsidR="00537F5B">
        <w:rPr>
          <w:sz w:val="24"/>
          <w:szCs w:val="24"/>
        </w:rPr>
        <w:t xml:space="preserve"> at a voltage level below acceptable levels</w:t>
      </w:r>
      <w:r w:rsidRPr="00957E3F">
        <w:rPr>
          <w:sz w:val="24"/>
          <w:szCs w:val="24"/>
        </w:rPr>
        <w:t xml:space="preserve">.  As relief, Complainant requested that West Penn be ordered to modify their equipment to ensure that the voltage provided by Respondent </w:t>
      </w:r>
      <w:r w:rsidR="00827B05" w:rsidRPr="00957E3F">
        <w:rPr>
          <w:sz w:val="24"/>
          <w:szCs w:val="24"/>
        </w:rPr>
        <w:t>i</w:t>
      </w:r>
      <w:r w:rsidRPr="00957E3F">
        <w:rPr>
          <w:sz w:val="24"/>
          <w:szCs w:val="24"/>
        </w:rPr>
        <w:t>s within the standard deviation range and to order Respondent to pay f</w:t>
      </w:r>
      <w:r w:rsidR="009617A6">
        <w:rPr>
          <w:sz w:val="24"/>
          <w:szCs w:val="24"/>
        </w:rPr>
        <w:t xml:space="preserve">or the damage caused to his air </w:t>
      </w:r>
      <w:r w:rsidRPr="00957E3F">
        <w:rPr>
          <w:sz w:val="24"/>
          <w:szCs w:val="24"/>
        </w:rPr>
        <w:t>condition</w:t>
      </w:r>
      <w:r w:rsidR="00282CE8" w:rsidRPr="00957E3F">
        <w:rPr>
          <w:sz w:val="24"/>
          <w:szCs w:val="24"/>
        </w:rPr>
        <w:t>ing unit.</w:t>
      </w:r>
      <w:r w:rsidRPr="00957E3F">
        <w:rPr>
          <w:sz w:val="24"/>
          <w:szCs w:val="24"/>
        </w:rPr>
        <w:t xml:space="preserve">  </w:t>
      </w:r>
    </w:p>
    <w:p w:rsidR="00957E3F" w:rsidRPr="00957E3F" w:rsidRDefault="00957E3F" w:rsidP="00957E3F">
      <w:pPr>
        <w:ind w:firstLine="720"/>
        <w:rPr>
          <w:sz w:val="24"/>
          <w:szCs w:val="24"/>
        </w:rPr>
      </w:pPr>
    </w:p>
    <w:p w:rsidR="00957E3F" w:rsidRDefault="001248B0" w:rsidP="00957E3F">
      <w:pPr>
        <w:rPr>
          <w:sz w:val="24"/>
          <w:szCs w:val="24"/>
        </w:rPr>
      </w:pPr>
      <w:r w:rsidRPr="00957E3F">
        <w:rPr>
          <w:sz w:val="24"/>
          <w:szCs w:val="24"/>
        </w:rPr>
        <w:lastRenderedPageBreak/>
        <w:tab/>
      </w:r>
      <w:r w:rsidRPr="00957E3F">
        <w:rPr>
          <w:sz w:val="24"/>
          <w:szCs w:val="24"/>
        </w:rPr>
        <w:tab/>
        <w:t xml:space="preserve">Respondent filed its answer on February 21, 2013.  In its answer, Respondent averred </w:t>
      </w:r>
      <w:r w:rsidR="00282CE8" w:rsidRPr="00957E3F">
        <w:rPr>
          <w:sz w:val="24"/>
          <w:szCs w:val="24"/>
        </w:rPr>
        <w:t xml:space="preserve">it </w:t>
      </w:r>
      <w:r w:rsidRPr="00957E3F">
        <w:rPr>
          <w:sz w:val="24"/>
          <w:szCs w:val="24"/>
        </w:rPr>
        <w:t xml:space="preserve">did not find any specific problems with the circuit </w:t>
      </w:r>
      <w:r w:rsidR="00282CE8" w:rsidRPr="00957E3F">
        <w:rPr>
          <w:sz w:val="24"/>
          <w:szCs w:val="24"/>
        </w:rPr>
        <w:t xml:space="preserve">providing </w:t>
      </w:r>
      <w:r w:rsidR="00827B05" w:rsidRPr="00957E3F">
        <w:rPr>
          <w:sz w:val="24"/>
          <w:szCs w:val="24"/>
        </w:rPr>
        <w:t xml:space="preserve">electricity </w:t>
      </w:r>
      <w:r w:rsidR="00282CE8" w:rsidRPr="00957E3F">
        <w:rPr>
          <w:sz w:val="24"/>
          <w:szCs w:val="24"/>
        </w:rPr>
        <w:t xml:space="preserve">to the service address </w:t>
      </w:r>
      <w:r w:rsidRPr="00957E3F">
        <w:rPr>
          <w:sz w:val="24"/>
          <w:szCs w:val="24"/>
        </w:rPr>
        <w:t xml:space="preserve">and that the cause of Complainant’s equipment failure was unknown.  </w:t>
      </w:r>
    </w:p>
    <w:p w:rsidR="001248B0" w:rsidRPr="00957E3F" w:rsidRDefault="001248B0" w:rsidP="00957E3F">
      <w:pPr>
        <w:rPr>
          <w:sz w:val="24"/>
          <w:szCs w:val="24"/>
        </w:rPr>
      </w:pPr>
      <w:r w:rsidRPr="00957E3F">
        <w:rPr>
          <w:sz w:val="24"/>
          <w:szCs w:val="24"/>
        </w:rPr>
        <w:t xml:space="preserve">  </w:t>
      </w:r>
    </w:p>
    <w:p w:rsidR="001248B0" w:rsidRDefault="00537F5B" w:rsidP="00957E3F">
      <w:pPr>
        <w:rPr>
          <w:sz w:val="24"/>
          <w:szCs w:val="24"/>
        </w:rPr>
      </w:pPr>
      <w:r>
        <w:rPr>
          <w:sz w:val="24"/>
          <w:szCs w:val="24"/>
        </w:rPr>
        <w:tab/>
      </w:r>
      <w:r>
        <w:rPr>
          <w:sz w:val="24"/>
          <w:szCs w:val="24"/>
        </w:rPr>
        <w:tab/>
      </w:r>
      <w:r w:rsidR="001248B0" w:rsidRPr="00957E3F">
        <w:rPr>
          <w:sz w:val="24"/>
          <w:szCs w:val="24"/>
        </w:rPr>
        <w:t>On February 26, 2013</w:t>
      </w:r>
      <w:r w:rsidR="002F3045">
        <w:rPr>
          <w:sz w:val="24"/>
          <w:szCs w:val="24"/>
        </w:rPr>
        <w:t>,</w:t>
      </w:r>
      <w:r w:rsidR="001248B0" w:rsidRPr="00957E3F">
        <w:rPr>
          <w:sz w:val="24"/>
          <w:szCs w:val="24"/>
        </w:rPr>
        <w:t xml:space="preserve"> an Interim Order Setting Resolution Conference was issued, requiring the parties to participate in a settlement conference.  The parties wer</w:t>
      </w:r>
      <w:r w:rsidR="005F3354">
        <w:rPr>
          <w:sz w:val="24"/>
          <w:szCs w:val="24"/>
        </w:rPr>
        <w:t>e unable to resolve this matter through mediation.</w:t>
      </w:r>
    </w:p>
    <w:p w:rsidR="00957E3F" w:rsidRPr="00957E3F" w:rsidRDefault="00957E3F" w:rsidP="00957E3F">
      <w:pPr>
        <w:rPr>
          <w:sz w:val="24"/>
          <w:szCs w:val="24"/>
        </w:rPr>
      </w:pPr>
    </w:p>
    <w:p w:rsidR="00957E3F" w:rsidRDefault="001248B0" w:rsidP="00957E3F">
      <w:pPr>
        <w:rPr>
          <w:sz w:val="24"/>
          <w:szCs w:val="24"/>
        </w:rPr>
      </w:pPr>
      <w:r w:rsidRPr="00957E3F">
        <w:rPr>
          <w:sz w:val="24"/>
          <w:szCs w:val="24"/>
        </w:rPr>
        <w:t xml:space="preserve">  </w:t>
      </w:r>
      <w:r w:rsidRPr="00957E3F">
        <w:rPr>
          <w:sz w:val="24"/>
          <w:szCs w:val="24"/>
        </w:rPr>
        <w:tab/>
      </w:r>
      <w:r w:rsidRPr="00957E3F">
        <w:rPr>
          <w:sz w:val="24"/>
          <w:szCs w:val="24"/>
        </w:rPr>
        <w:tab/>
        <w:t>On October 18, 2013</w:t>
      </w:r>
      <w:r w:rsidR="002F3045">
        <w:rPr>
          <w:sz w:val="24"/>
          <w:szCs w:val="24"/>
        </w:rPr>
        <w:t>,</w:t>
      </w:r>
      <w:r w:rsidRPr="00957E3F">
        <w:rPr>
          <w:sz w:val="24"/>
          <w:szCs w:val="24"/>
        </w:rPr>
        <w:t xml:space="preserve"> a hearing notice was issued which scheduled the initial telephonic hearing for Thursday, December 5, 2013 at 10:00 a.m.  On October 24, 2013, the undersigned presiding officer issued a prehearing order, which set forth the procedural requirements for a formal hearing before the Commission. </w:t>
      </w:r>
    </w:p>
    <w:p w:rsidR="001248B0" w:rsidRPr="00957E3F" w:rsidRDefault="001248B0" w:rsidP="00957E3F">
      <w:pPr>
        <w:rPr>
          <w:sz w:val="24"/>
          <w:szCs w:val="24"/>
        </w:rPr>
      </w:pPr>
      <w:r w:rsidRPr="00957E3F">
        <w:rPr>
          <w:sz w:val="24"/>
          <w:szCs w:val="24"/>
        </w:rPr>
        <w:t xml:space="preserve"> </w:t>
      </w:r>
      <w:r w:rsidRPr="00957E3F">
        <w:rPr>
          <w:sz w:val="24"/>
          <w:szCs w:val="24"/>
        </w:rPr>
        <w:tab/>
      </w:r>
      <w:r w:rsidRPr="00957E3F">
        <w:rPr>
          <w:sz w:val="24"/>
          <w:szCs w:val="24"/>
        </w:rPr>
        <w:tab/>
      </w:r>
    </w:p>
    <w:p w:rsidR="001248B0" w:rsidRDefault="001248B0" w:rsidP="00957E3F">
      <w:pPr>
        <w:tabs>
          <w:tab w:val="left" w:pos="2160"/>
        </w:tabs>
        <w:ind w:firstLine="1440"/>
        <w:rPr>
          <w:bCs/>
          <w:spacing w:val="-3"/>
          <w:sz w:val="24"/>
          <w:szCs w:val="24"/>
        </w:rPr>
      </w:pPr>
      <w:r w:rsidRPr="00957E3F">
        <w:rPr>
          <w:sz w:val="24"/>
          <w:szCs w:val="24"/>
        </w:rPr>
        <w:t>On December 5, 2013</w:t>
      </w:r>
      <w:r w:rsidR="002F3045">
        <w:rPr>
          <w:sz w:val="24"/>
          <w:szCs w:val="24"/>
        </w:rPr>
        <w:t>,</w:t>
      </w:r>
      <w:r w:rsidRPr="00957E3F">
        <w:rPr>
          <w:sz w:val="24"/>
          <w:szCs w:val="24"/>
        </w:rPr>
        <w:t xml:space="preserve"> the undersigned presiding officer convened the initial telephonic hearing as scheduled.  Complainant appeared </w:t>
      </w:r>
      <w:r w:rsidRPr="00957E3F">
        <w:rPr>
          <w:i/>
          <w:sz w:val="24"/>
          <w:szCs w:val="24"/>
        </w:rPr>
        <w:t>pro se</w:t>
      </w:r>
      <w:r w:rsidRPr="00957E3F">
        <w:rPr>
          <w:sz w:val="24"/>
          <w:szCs w:val="24"/>
        </w:rPr>
        <w:t xml:space="preserve"> and testified on his own behalf.  Respondent was represented by John L. Munsch, Esquire.  Attorney Munsch presented the testimony of four witnesses and offered one exhibit</w:t>
      </w:r>
      <w:r w:rsidR="00827B05" w:rsidRPr="00957E3F">
        <w:rPr>
          <w:sz w:val="24"/>
          <w:szCs w:val="24"/>
        </w:rPr>
        <w:t xml:space="preserve">, </w:t>
      </w:r>
      <w:r w:rsidRPr="00957E3F">
        <w:rPr>
          <w:sz w:val="24"/>
          <w:szCs w:val="24"/>
        </w:rPr>
        <w:t>marked as Respondent Exhibit 1, which was admitted into evidence.  In addition, Respondent was given permission to submit late-filed exhibits within ten days of the hearing and Complainant was permitted to file objections to the late-filed exhibits within ten days of receipt of the proposed exhibits.</w:t>
      </w:r>
      <w:r w:rsidRPr="00957E3F">
        <w:rPr>
          <w:bCs/>
          <w:spacing w:val="-3"/>
          <w:sz w:val="24"/>
          <w:szCs w:val="24"/>
        </w:rPr>
        <w:t xml:space="preserve">  On December 10, 2013, Respondent timely submitted one document which the undersigned received on December 11, 2013.  Respondent’s late-filed exhibit included </w:t>
      </w:r>
      <w:r w:rsidRPr="00957E3F">
        <w:rPr>
          <w:sz w:val="24"/>
          <w:szCs w:val="24"/>
        </w:rPr>
        <w:t>a one-page letter dated December 10, 2013 and a three-page document entitled “West Penn Power Company Tariff” which</w:t>
      </w:r>
      <w:r w:rsidR="00282CE8" w:rsidRPr="00957E3F">
        <w:rPr>
          <w:sz w:val="24"/>
          <w:szCs w:val="24"/>
        </w:rPr>
        <w:t xml:space="preserve"> was </w:t>
      </w:r>
      <w:r w:rsidRPr="00957E3F">
        <w:rPr>
          <w:sz w:val="24"/>
          <w:szCs w:val="24"/>
        </w:rPr>
        <w:t xml:space="preserve">marked as Respondent Exhibit 2.  Respondent’s correspondence dated December 10, 2013 indicated that a copy of the proposed exhibit was provided to Complainant.  No objection was filed by Complainant and </w:t>
      </w:r>
      <w:r w:rsidRPr="00957E3F">
        <w:rPr>
          <w:bCs/>
          <w:spacing w:val="-3"/>
          <w:sz w:val="24"/>
          <w:szCs w:val="24"/>
        </w:rPr>
        <w:t xml:space="preserve">Respondent Exhibit 2 was admitted into evidence by interim order dated January 13, 2014.  </w:t>
      </w:r>
    </w:p>
    <w:p w:rsidR="00957E3F" w:rsidRPr="00957E3F" w:rsidRDefault="00957E3F" w:rsidP="00957E3F">
      <w:pPr>
        <w:tabs>
          <w:tab w:val="left" w:pos="2160"/>
        </w:tabs>
        <w:ind w:firstLine="1440"/>
        <w:rPr>
          <w:bCs/>
          <w:spacing w:val="-3"/>
          <w:sz w:val="24"/>
          <w:szCs w:val="24"/>
        </w:rPr>
      </w:pPr>
    </w:p>
    <w:p w:rsidR="001248B0" w:rsidRPr="00957E3F" w:rsidRDefault="001248B0" w:rsidP="00957E3F">
      <w:pPr>
        <w:tabs>
          <w:tab w:val="left" w:pos="2160"/>
        </w:tabs>
        <w:ind w:firstLine="1440"/>
        <w:rPr>
          <w:bCs/>
          <w:spacing w:val="-3"/>
          <w:sz w:val="24"/>
          <w:szCs w:val="24"/>
        </w:rPr>
      </w:pPr>
      <w:r w:rsidRPr="00957E3F">
        <w:rPr>
          <w:bCs/>
          <w:spacing w:val="-3"/>
          <w:sz w:val="24"/>
          <w:szCs w:val="24"/>
        </w:rPr>
        <w:t>The transcript of the hearing contains 68 pages and was received by the undersigned presiding officer on December 19, 2013.</w:t>
      </w:r>
    </w:p>
    <w:p w:rsidR="001248B0" w:rsidRPr="00957E3F" w:rsidRDefault="001248B0" w:rsidP="00957E3F">
      <w:pPr>
        <w:tabs>
          <w:tab w:val="left" w:pos="2160"/>
        </w:tabs>
        <w:ind w:firstLine="1440"/>
        <w:rPr>
          <w:sz w:val="24"/>
          <w:szCs w:val="24"/>
        </w:rPr>
      </w:pPr>
    </w:p>
    <w:p w:rsidR="001248B0" w:rsidRPr="00957E3F" w:rsidRDefault="001248B0" w:rsidP="00957E3F">
      <w:pPr>
        <w:ind w:firstLine="1440"/>
        <w:rPr>
          <w:sz w:val="24"/>
          <w:szCs w:val="24"/>
        </w:rPr>
      </w:pPr>
      <w:r w:rsidRPr="00957E3F">
        <w:rPr>
          <w:sz w:val="24"/>
          <w:szCs w:val="24"/>
        </w:rPr>
        <w:lastRenderedPageBreak/>
        <w:t>On February 28, 2014, the undersigned presiding officer closed the hearing record by Interim Order.</w:t>
      </w:r>
    </w:p>
    <w:p w:rsidR="001248B0" w:rsidRPr="00957E3F" w:rsidRDefault="001248B0" w:rsidP="00957E3F">
      <w:pPr>
        <w:tabs>
          <w:tab w:val="left" w:pos="2160"/>
        </w:tabs>
        <w:ind w:firstLine="1440"/>
        <w:rPr>
          <w:sz w:val="24"/>
          <w:szCs w:val="24"/>
        </w:rPr>
      </w:pPr>
    </w:p>
    <w:p w:rsidR="001248B0" w:rsidRPr="00957E3F" w:rsidRDefault="001248B0" w:rsidP="00957E3F">
      <w:pPr>
        <w:tabs>
          <w:tab w:val="left" w:pos="2160"/>
        </w:tabs>
        <w:jc w:val="center"/>
        <w:rPr>
          <w:sz w:val="24"/>
          <w:szCs w:val="24"/>
          <w:u w:val="single"/>
        </w:rPr>
      </w:pPr>
      <w:r w:rsidRPr="00957E3F">
        <w:rPr>
          <w:sz w:val="24"/>
          <w:szCs w:val="24"/>
          <w:u w:val="single"/>
        </w:rPr>
        <w:t>FINDINGS OF FACT</w:t>
      </w:r>
    </w:p>
    <w:p w:rsidR="001248B0" w:rsidRPr="00957E3F" w:rsidRDefault="001248B0" w:rsidP="00957E3F">
      <w:pPr>
        <w:tabs>
          <w:tab w:val="left" w:pos="2160"/>
        </w:tabs>
        <w:rPr>
          <w:sz w:val="24"/>
          <w:szCs w:val="24"/>
          <w:u w:val="single"/>
        </w:rPr>
      </w:pPr>
    </w:p>
    <w:p w:rsidR="001248B0" w:rsidRPr="00957E3F" w:rsidRDefault="001248B0" w:rsidP="00957E3F">
      <w:pPr>
        <w:tabs>
          <w:tab w:val="left" w:pos="2160"/>
        </w:tabs>
        <w:ind w:firstLine="1440"/>
        <w:rPr>
          <w:sz w:val="24"/>
          <w:szCs w:val="24"/>
        </w:rPr>
      </w:pPr>
      <w:r w:rsidRPr="00957E3F">
        <w:rPr>
          <w:sz w:val="24"/>
          <w:szCs w:val="24"/>
        </w:rPr>
        <w:t>1.</w:t>
      </w:r>
      <w:r w:rsidRPr="00957E3F">
        <w:rPr>
          <w:sz w:val="24"/>
          <w:szCs w:val="24"/>
        </w:rPr>
        <w:tab/>
        <w:t>Complainant</w:t>
      </w:r>
      <w:r w:rsidR="00282CE8" w:rsidRPr="00957E3F">
        <w:rPr>
          <w:sz w:val="24"/>
          <w:szCs w:val="24"/>
        </w:rPr>
        <w:t>,</w:t>
      </w:r>
      <w:r w:rsidRPr="00957E3F">
        <w:rPr>
          <w:sz w:val="24"/>
          <w:szCs w:val="24"/>
        </w:rPr>
        <w:t xml:space="preserve"> </w:t>
      </w:r>
      <w:r w:rsidR="00DB1C67" w:rsidRPr="00957E3F">
        <w:rPr>
          <w:sz w:val="24"/>
          <w:szCs w:val="24"/>
        </w:rPr>
        <w:t>David M. Williams</w:t>
      </w:r>
      <w:r w:rsidRPr="00957E3F">
        <w:rPr>
          <w:sz w:val="24"/>
          <w:szCs w:val="24"/>
        </w:rPr>
        <w:t xml:space="preserve"> resides </w:t>
      </w:r>
      <w:r w:rsidR="00DB1C67" w:rsidRPr="00957E3F">
        <w:rPr>
          <w:sz w:val="24"/>
          <w:szCs w:val="24"/>
        </w:rPr>
        <w:t>at 51 Ryburn Road, Washington</w:t>
      </w:r>
      <w:r w:rsidRPr="00957E3F">
        <w:rPr>
          <w:sz w:val="24"/>
          <w:szCs w:val="24"/>
        </w:rPr>
        <w:t>, Pennsylvania</w:t>
      </w:r>
      <w:r w:rsidR="00DB1C67" w:rsidRPr="00957E3F">
        <w:rPr>
          <w:sz w:val="24"/>
          <w:szCs w:val="24"/>
        </w:rPr>
        <w:t xml:space="preserve"> (</w:t>
      </w:r>
      <w:r w:rsidR="00282CE8" w:rsidRPr="00957E3F">
        <w:rPr>
          <w:sz w:val="24"/>
          <w:szCs w:val="24"/>
        </w:rPr>
        <w:t>“</w:t>
      </w:r>
      <w:r w:rsidR="00DB1C67" w:rsidRPr="00957E3F">
        <w:rPr>
          <w:sz w:val="24"/>
          <w:szCs w:val="24"/>
        </w:rPr>
        <w:t>Service Address</w:t>
      </w:r>
      <w:r w:rsidR="00282CE8" w:rsidRPr="00957E3F">
        <w:rPr>
          <w:sz w:val="24"/>
          <w:szCs w:val="24"/>
        </w:rPr>
        <w:t>”</w:t>
      </w:r>
      <w:r w:rsidR="00DB1C67" w:rsidRPr="00957E3F">
        <w:rPr>
          <w:sz w:val="24"/>
          <w:szCs w:val="24"/>
        </w:rPr>
        <w:t xml:space="preserve"> or </w:t>
      </w:r>
      <w:r w:rsidR="00282CE8" w:rsidRPr="00957E3F">
        <w:rPr>
          <w:sz w:val="24"/>
          <w:szCs w:val="24"/>
        </w:rPr>
        <w:t>“</w:t>
      </w:r>
      <w:r w:rsidR="00DB1C67" w:rsidRPr="00957E3F">
        <w:rPr>
          <w:sz w:val="24"/>
          <w:szCs w:val="24"/>
        </w:rPr>
        <w:t>Service Location</w:t>
      </w:r>
      <w:r w:rsidR="00282CE8" w:rsidRPr="00957E3F">
        <w:rPr>
          <w:sz w:val="24"/>
          <w:szCs w:val="24"/>
        </w:rPr>
        <w:t>”</w:t>
      </w:r>
      <w:r w:rsidR="00DB1C67" w:rsidRPr="00957E3F">
        <w:rPr>
          <w:sz w:val="24"/>
          <w:szCs w:val="24"/>
        </w:rPr>
        <w:t>)</w:t>
      </w:r>
      <w:r w:rsidRPr="00957E3F">
        <w:rPr>
          <w:sz w:val="24"/>
          <w:szCs w:val="24"/>
        </w:rPr>
        <w:t xml:space="preserve">.  (Tr. </w:t>
      </w:r>
      <w:r w:rsidR="00DB1C67" w:rsidRPr="00957E3F">
        <w:rPr>
          <w:sz w:val="24"/>
          <w:szCs w:val="24"/>
        </w:rPr>
        <w:t>9</w:t>
      </w:r>
      <w:r w:rsidRPr="00957E3F">
        <w:rPr>
          <w:sz w:val="24"/>
          <w:szCs w:val="24"/>
        </w:rPr>
        <w:t xml:space="preserve">). </w:t>
      </w:r>
    </w:p>
    <w:p w:rsidR="001248B0" w:rsidRPr="00957E3F" w:rsidRDefault="001248B0" w:rsidP="00957E3F">
      <w:pPr>
        <w:tabs>
          <w:tab w:val="left" w:pos="2160"/>
        </w:tabs>
        <w:ind w:firstLine="1440"/>
        <w:rPr>
          <w:sz w:val="24"/>
          <w:szCs w:val="24"/>
        </w:rPr>
      </w:pPr>
    </w:p>
    <w:p w:rsidR="001248B0" w:rsidRPr="00957E3F" w:rsidRDefault="001248B0" w:rsidP="00957E3F">
      <w:pPr>
        <w:tabs>
          <w:tab w:val="left" w:pos="2160"/>
        </w:tabs>
        <w:ind w:firstLine="1440"/>
        <w:rPr>
          <w:sz w:val="24"/>
          <w:szCs w:val="24"/>
        </w:rPr>
      </w:pPr>
      <w:r w:rsidRPr="00957E3F">
        <w:rPr>
          <w:sz w:val="24"/>
          <w:szCs w:val="24"/>
        </w:rPr>
        <w:t>2.</w:t>
      </w:r>
      <w:r w:rsidRPr="00957E3F">
        <w:rPr>
          <w:sz w:val="24"/>
          <w:szCs w:val="24"/>
        </w:rPr>
        <w:tab/>
        <w:t>Respondent</w:t>
      </w:r>
      <w:r w:rsidR="005F3354">
        <w:rPr>
          <w:sz w:val="24"/>
          <w:szCs w:val="24"/>
        </w:rPr>
        <w:t xml:space="preserve"> West Penn Power </w:t>
      </w:r>
      <w:r w:rsidRPr="00957E3F">
        <w:rPr>
          <w:sz w:val="24"/>
          <w:szCs w:val="24"/>
        </w:rPr>
        <w:t>is the electric distribution company and supplier for the service address.  (Tr. </w:t>
      </w:r>
      <w:r w:rsidR="00DB1C67" w:rsidRPr="00957E3F">
        <w:rPr>
          <w:sz w:val="24"/>
          <w:szCs w:val="24"/>
        </w:rPr>
        <w:t>9-10; Formal Complaint Paragraph 2</w:t>
      </w:r>
      <w:r w:rsidRPr="00957E3F">
        <w:rPr>
          <w:sz w:val="24"/>
          <w:szCs w:val="24"/>
        </w:rPr>
        <w:t>).</w:t>
      </w:r>
    </w:p>
    <w:p w:rsidR="001248B0" w:rsidRPr="00957E3F" w:rsidRDefault="001248B0" w:rsidP="00957E3F">
      <w:pPr>
        <w:tabs>
          <w:tab w:val="left" w:pos="2160"/>
        </w:tabs>
        <w:ind w:firstLine="1440"/>
        <w:rPr>
          <w:sz w:val="24"/>
          <w:szCs w:val="24"/>
        </w:rPr>
      </w:pPr>
    </w:p>
    <w:p w:rsidR="001248B0" w:rsidRPr="00957E3F" w:rsidRDefault="00DB1C67" w:rsidP="00537F5B">
      <w:pPr>
        <w:pStyle w:val="BodyText"/>
        <w:ind w:firstLine="1440"/>
        <w:jc w:val="left"/>
        <w:rPr>
          <w:sz w:val="24"/>
          <w:szCs w:val="24"/>
        </w:rPr>
      </w:pPr>
      <w:r w:rsidRPr="00957E3F">
        <w:rPr>
          <w:sz w:val="24"/>
          <w:szCs w:val="24"/>
        </w:rPr>
        <w:t>3</w:t>
      </w:r>
      <w:r w:rsidR="001248B0" w:rsidRPr="00957E3F">
        <w:rPr>
          <w:sz w:val="24"/>
          <w:szCs w:val="24"/>
        </w:rPr>
        <w:t>.</w:t>
      </w:r>
      <w:r w:rsidR="001248B0" w:rsidRPr="00957E3F">
        <w:rPr>
          <w:sz w:val="24"/>
          <w:szCs w:val="24"/>
        </w:rPr>
        <w:tab/>
      </w:r>
      <w:r w:rsidR="00282CE8" w:rsidRPr="00957E3F">
        <w:rPr>
          <w:sz w:val="24"/>
          <w:szCs w:val="24"/>
        </w:rPr>
        <w:t xml:space="preserve">In July of 2012, Complainant sustained damage to </w:t>
      </w:r>
      <w:r w:rsidR="00827B05" w:rsidRPr="00957E3F">
        <w:rPr>
          <w:sz w:val="24"/>
          <w:szCs w:val="24"/>
        </w:rPr>
        <w:t xml:space="preserve">his </w:t>
      </w:r>
      <w:r w:rsidR="00282CE8" w:rsidRPr="00957E3F">
        <w:rPr>
          <w:sz w:val="24"/>
          <w:szCs w:val="24"/>
        </w:rPr>
        <w:t>whole house air</w:t>
      </w:r>
      <w:r w:rsidR="009617A6">
        <w:rPr>
          <w:sz w:val="24"/>
          <w:szCs w:val="24"/>
        </w:rPr>
        <w:t xml:space="preserve"> </w:t>
      </w:r>
      <w:r w:rsidR="00282CE8" w:rsidRPr="00957E3F">
        <w:rPr>
          <w:sz w:val="24"/>
          <w:szCs w:val="24"/>
        </w:rPr>
        <w:t xml:space="preserve">conditioning unit </w:t>
      </w:r>
      <w:r w:rsidR="00827B05" w:rsidRPr="00957E3F">
        <w:rPr>
          <w:sz w:val="24"/>
          <w:szCs w:val="24"/>
        </w:rPr>
        <w:t xml:space="preserve">located </w:t>
      </w:r>
      <w:r w:rsidR="00282CE8" w:rsidRPr="00957E3F">
        <w:rPr>
          <w:sz w:val="24"/>
          <w:szCs w:val="24"/>
        </w:rPr>
        <w:t xml:space="preserve">at the service address.  During this time period, Complainant </w:t>
      </w:r>
      <w:r w:rsidRPr="00957E3F">
        <w:rPr>
          <w:sz w:val="24"/>
          <w:szCs w:val="24"/>
        </w:rPr>
        <w:t xml:space="preserve">measured </w:t>
      </w:r>
      <w:r w:rsidR="00DB799A" w:rsidRPr="00957E3F">
        <w:rPr>
          <w:sz w:val="24"/>
          <w:szCs w:val="24"/>
        </w:rPr>
        <w:t xml:space="preserve">his electric voltage </w:t>
      </w:r>
      <w:r w:rsidR="00282CE8" w:rsidRPr="00957E3F">
        <w:rPr>
          <w:sz w:val="24"/>
          <w:szCs w:val="24"/>
        </w:rPr>
        <w:t xml:space="preserve">to the service address </w:t>
      </w:r>
      <w:r w:rsidR="00DB799A" w:rsidRPr="00957E3F">
        <w:rPr>
          <w:sz w:val="24"/>
          <w:szCs w:val="24"/>
        </w:rPr>
        <w:t>at 104 volt</w:t>
      </w:r>
      <w:r w:rsidR="002845F6" w:rsidRPr="00957E3F">
        <w:rPr>
          <w:sz w:val="24"/>
          <w:szCs w:val="24"/>
        </w:rPr>
        <w:t>s</w:t>
      </w:r>
      <w:r w:rsidR="00DB799A" w:rsidRPr="00957E3F">
        <w:rPr>
          <w:sz w:val="24"/>
          <w:szCs w:val="24"/>
        </w:rPr>
        <w:t>.  (</w:t>
      </w:r>
      <w:r w:rsidR="002845F6" w:rsidRPr="00957E3F">
        <w:rPr>
          <w:sz w:val="24"/>
          <w:szCs w:val="24"/>
        </w:rPr>
        <w:t>Tr. 10</w:t>
      </w:r>
      <w:r w:rsidR="00282CE8" w:rsidRPr="00957E3F">
        <w:rPr>
          <w:sz w:val="24"/>
          <w:szCs w:val="24"/>
        </w:rPr>
        <w:t>, 12</w:t>
      </w:r>
      <w:r w:rsidR="00DB799A" w:rsidRPr="00957E3F">
        <w:rPr>
          <w:sz w:val="24"/>
          <w:szCs w:val="24"/>
        </w:rPr>
        <w:t>).</w:t>
      </w:r>
    </w:p>
    <w:p w:rsidR="001248B0" w:rsidRPr="00957E3F" w:rsidRDefault="001248B0" w:rsidP="00957E3F">
      <w:pPr>
        <w:tabs>
          <w:tab w:val="left" w:pos="2160"/>
        </w:tabs>
        <w:ind w:firstLine="1440"/>
        <w:rPr>
          <w:sz w:val="24"/>
          <w:szCs w:val="24"/>
        </w:rPr>
      </w:pPr>
    </w:p>
    <w:p w:rsidR="001248B0" w:rsidRPr="00957E3F" w:rsidRDefault="00DB799A" w:rsidP="00957E3F">
      <w:pPr>
        <w:tabs>
          <w:tab w:val="left" w:pos="2160"/>
        </w:tabs>
        <w:ind w:firstLine="1440"/>
        <w:rPr>
          <w:sz w:val="24"/>
          <w:szCs w:val="24"/>
        </w:rPr>
      </w:pPr>
      <w:r w:rsidRPr="00957E3F">
        <w:rPr>
          <w:sz w:val="24"/>
          <w:szCs w:val="24"/>
        </w:rPr>
        <w:t>4</w:t>
      </w:r>
      <w:r w:rsidR="001248B0" w:rsidRPr="00957E3F">
        <w:rPr>
          <w:sz w:val="24"/>
          <w:szCs w:val="24"/>
        </w:rPr>
        <w:t>.</w:t>
      </w:r>
      <w:r w:rsidR="001248B0" w:rsidRPr="00957E3F">
        <w:rPr>
          <w:sz w:val="24"/>
          <w:szCs w:val="24"/>
        </w:rPr>
        <w:tab/>
      </w:r>
      <w:r w:rsidRPr="00957E3F">
        <w:rPr>
          <w:sz w:val="24"/>
          <w:szCs w:val="24"/>
        </w:rPr>
        <w:t>Complainant typically checks his voltage when he notices that things in his home are not operating properly.  (Tr. 10).</w:t>
      </w:r>
      <w:r w:rsidR="001248B0" w:rsidRPr="00957E3F">
        <w:rPr>
          <w:sz w:val="24"/>
          <w:szCs w:val="24"/>
        </w:rPr>
        <w:t xml:space="preserve">  </w:t>
      </w:r>
    </w:p>
    <w:p w:rsidR="001248B0" w:rsidRPr="00957E3F" w:rsidRDefault="001248B0" w:rsidP="00957E3F">
      <w:pPr>
        <w:tabs>
          <w:tab w:val="left" w:pos="2160"/>
        </w:tabs>
        <w:ind w:firstLine="1440"/>
        <w:rPr>
          <w:sz w:val="24"/>
          <w:szCs w:val="24"/>
        </w:rPr>
      </w:pPr>
    </w:p>
    <w:p w:rsidR="001248B0" w:rsidRPr="00957E3F" w:rsidRDefault="00DB799A" w:rsidP="00957E3F">
      <w:pPr>
        <w:tabs>
          <w:tab w:val="left" w:pos="2160"/>
        </w:tabs>
        <w:ind w:firstLine="1440"/>
        <w:rPr>
          <w:sz w:val="24"/>
          <w:szCs w:val="24"/>
        </w:rPr>
      </w:pPr>
      <w:r w:rsidRPr="00957E3F">
        <w:rPr>
          <w:sz w:val="24"/>
          <w:szCs w:val="24"/>
        </w:rPr>
        <w:t>5</w:t>
      </w:r>
      <w:r w:rsidR="001248B0" w:rsidRPr="00957E3F">
        <w:rPr>
          <w:sz w:val="24"/>
          <w:szCs w:val="24"/>
        </w:rPr>
        <w:t>.</w:t>
      </w:r>
      <w:r w:rsidR="001248B0" w:rsidRPr="00957E3F">
        <w:rPr>
          <w:sz w:val="24"/>
          <w:szCs w:val="24"/>
        </w:rPr>
        <w:tab/>
      </w:r>
      <w:r w:rsidRPr="00957E3F">
        <w:rPr>
          <w:sz w:val="24"/>
          <w:szCs w:val="24"/>
        </w:rPr>
        <w:t>Complainant frequently monitor</w:t>
      </w:r>
      <w:r w:rsidR="00AC4B11" w:rsidRPr="00957E3F">
        <w:rPr>
          <w:sz w:val="24"/>
          <w:szCs w:val="24"/>
        </w:rPr>
        <w:t>ed</w:t>
      </w:r>
      <w:r w:rsidRPr="00957E3F">
        <w:rPr>
          <w:sz w:val="24"/>
          <w:szCs w:val="24"/>
        </w:rPr>
        <w:t xml:space="preserve"> his electric voltage at the service address by plugging a test meter into a wall outlet.  Complainant use</w:t>
      </w:r>
      <w:r w:rsidR="00335E91" w:rsidRPr="00957E3F">
        <w:rPr>
          <w:sz w:val="24"/>
          <w:szCs w:val="24"/>
        </w:rPr>
        <w:t>d</w:t>
      </w:r>
      <w:r w:rsidRPr="00957E3F">
        <w:rPr>
          <w:sz w:val="24"/>
          <w:szCs w:val="24"/>
        </w:rPr>
        <w:t xml:space="preserve"> a twenty year old testing device and </w:t>
      </w:r>
      <w:r w:rsidR="00827B05" w:rsidRPr="00957E3F">
        <w:rPr>
          <w:sz w:val="24"/>
          <w:szCs w:val="24"/>
        </w:rPr>
        <w:t xml:space="preserve">another device </w:t>
      </w:r>
      <w:r w:rsidRPr="00957E3F">
        <w:rPr>
          <w:sz w:val="24"/>
          <w:szCs w:val="24"/>
        </w:rPr>
        <w:t>that is approximately two years old.  (Tr. 11, 15, 19-20).</w:t>
      </w:r>
    </w:p>
    <w:p w:rsidR="00AC4B11" w:rsidRPr="00957E3F" w:rsidRDefault="00AC4B11" w:rsidP="00957E3F">
      <w:pPr>
        <w:tabs>
          <w:tab w:val="left" w:pos="2160"/>
        </w:tabs>
        <w:ind w:firstLine="1440"/>
        <w:rPr>
          <w:sz w:val="24"/>
          <w:szCs w:val="24"/>
        </w:rPr>
      </w:pPr>
    </w:p>
    <w:p w:rsidR="00AC4B11" w:rsidRPr="00957E3F" w:rsidRDefault="00AC4B11" w:rsidP="00957E3F">
      <w:pPr>
        <w:tabs>
          <w:tab w:val="left" w:pos="2160"/>
        </w:tabs>
        <w:ind w:firstLine="1440"/>
        <w:rPr>
          <w:sz w:val="24"/>
          <w:szCs w:val="24"/>
        </w:rPr>
      </w:pPr>
      <w:r w:rsidRPr="00957E3F">
        <w:rPr>
          <w:sz w:val="24"/>
          <w:szCs w:val="24"/>
        </w:rPr>
        <w:t>6.</w:t>
      </w:r>
      <w:r w:rsidRPr="00957E3F">
        <w:rPr>
          <w:sz w:val="24"/>
          <w:szCs w:val="24"/>
        </w:rPr>
        <w:tab/>
        <w:t xml:space="preserve">Voltage testing is properly performed at the meter socket and not a wall outlet.  (Tr. 54-55).  </w:t>
      </w:r>
    </w:p>
    <w:p w:rsidR="001248B0" w:rsidRPr="00957E3F" w:rsidRDefault="001248B0" w:rsidP="00957E3F">
      <w:pPr>
        <w:tabs>
          <w:tab w:val="left" w:pos="2160"/>
        </w:tabs>
        <w:ind w:firstLine="1440"/>
        <w:rPr>
          <w:sz w:val="24"/>
          <w:szCs w:val="24"/>
        </w:rPr>
      </w:pPr>
    </w:p>
    <w:p w:rsidR="00DB799A" w:rsidRPr="00957E3F" w:rsidRDefault="00AC4B11" w:rsidP="00957E3F">
      <w:pPr>
        <w:tabs>
          <w:tab w:val="left" w:pos="2160"/>
        </w:tabs>
        <w:ind w:firstLine="1440"/>
        <w:rPr>
          <w:sz w:val="24"/>
          <w:szCs w:val="24"/>
        </w:rPr>
      </w:pPr>
      <w:r w:rsidRPr="00957E3F">
        <w:rPr>
          <w:sz w:val="24"/>
          <w:szCs w:val="24"/>
        </w:rPr>
        <w:t>7</w:t>
      </w:r>
      <w:r w:rsidR="00DB799A" w:rsidRPr="00957E3F">
        <w:rPr>
          <w:sz w:val="24"/>
          <w:szCs w:val="24"/>
        </w:rPr>
        <w:t>.</w:t>
      </w:r>
      <w:r w:rsidR="00DB799A" w:rsidRPr="00957E3F">
        <w:rPr>
          <w:sz w:val="24"/>
          <w:szCs w:val="24"/>
        </w:rPr>
        <w:tab/>
        <w:t xml:space="preserve">The measuring devices used by Complainant </w:t>
      </w:r>
      <w:r w:rsidR="00282CE8" w:rsidRPr="00957E3F">
        <w:rPr>
          <w:sz w:val="24"/>
          <w:szCs w:val="24"/>
        </w:rPr>
        <w:t>were</w:t>
      </w:r>
      <w:r w:rsidR="00DB799A" w:rsidRPr="00957E3F">
        <w:rPr>
          <w:sz w:val="24"/>
          <w:szCs w:val="24"/>
        </w:rPr>
        <w:t xml:space="preserve"> not calibrated.  (Tr. 11)</w:t>
      </w:r>
      <w:r w:rsidR="001248B0" w:rsidRPr="00957E3F">
        <w:rPr>
          <w:sz w:val="24"/>
          <w:szCs w:val="24"/>
        </w:rPr>
        <w:t>.</w:t>
      </w:r>
    </w:p>
    <w:p w:rsidR="00DB799A" w:rsidRPr="00957E3F" w:rsidRDefault="00DB799A" w:rsidP="00957E3F">
      <w:pPr>
        <w:tabs>
          <w:tab w:val="left" w:pos="2160"/>
        </w:tabs>
        <w:ind w:firstLine="1440"/>
        <w:rPr>
          <w:sz w:val="24"/>
          <w:szCs w:val="24"/>
        </w:rPr>
      </w:pPr>
    </w:p>
    <w:p w:rsidR="001248B0" w:rsidRPr="00957E3F" w:rsidRDefault="00AC4B11" w:rsidP="00957E3F">
      <w:pPr>
        <w:tabs>
          <w:tab w:val="left" w:pos="2160"/>
        </w:tabs>
        <w:ind w:firstLine="1440"/>
        <w:rPr>
          <w:sz w:val="24"/>
          <w:szCs w:val="24"/>
        </w:rPr>
      </w:pPr>
      <w:r w:rsidRPr="00957E3F">
        <w:rPr>
          <w:sz w:val="24"/>
          <w:szCs w:val="24"/>
        </w:rPr>
        <w:t>8</w:t>
      </w:r>
      <w:r w:rsidR="00DB799A" w:rsidRPr="00957E3F">
        <w:rPr>
          <w:sz w:val="24"/>
          <w:szCs w:val="24"/>
        </w:rPr>
        <w:t>.</w:t>
      </w:r>
      <w:r w:rsidR="001248B0" w:rsidRPr="00957E3F">
        <w:rPr>
          <w:sz w:val="24"/>
          <w:szCs w:val="24"/>
        </w:rPr>
        <w:tab/>
      </w:r>
      <w:r w:rsidR="002845F6" w:rsidRPr="00957E3F">
        <w:rPr>
          <w:sz w:val="24"/>
          <w:szCs w:val="24"/>
        </w:rPr>
        <w:t>Complainant has no training in electrical facilities or electricity.  (Tr. 16).</w:t>
      </w:r>
    </w:p>
    <w:p w:rsidR="001248B0" w:rsidRPr="00957E3F" w:rsidRDefault="001248B0" w:rsidP="00957E3F">
      <w:pPr>
        <w:tabs>
          <w:tab w:val="left" w:pos="2160"/>
        </w:tabs>
        <w:ind w:firstLine="1440"/>
        <w:rPr>
          <w:sz w:val="24"/>
          <w:szCs w:val="24"/>
        </w:rPr>
      </w:pPr>
    </w:p>
    <w:p w:rsidR="001248B0" w:rsidRPr="00957E3F" w:rsidRDefault="001248B0" w:rsidP="00957E3F">
      <w:pPr>
        <w:pStyle w:val="BodyText"/>
        <w:jc w:val="left"/>
        <w:rPr>
          <w:sz w:val="24"/>
          <w:szCs w:val="24"/>
        </w:rPr>
      </w:pPr>
      <w:r w:rsidRPr="00957E3F">
        <w:rPr>
          <w:b/>
          <w:sz w:val="24"/>
          <w:szCs w:val="24"/>
        </w:rPr>
        <w:tab/>
      </w:r>
      <w:r w:rsidRPr="00957E3F">
        <w:rPr>
          <w:b/>
          <w:sz w:val="24"/>
          <w:szCs w:val="24"/>
        </w:rPr>
        <w:tab/>
      </w:r>
      <w:r w:rsidR="00AC4B11" w:rsidRPr="00957E3F">
        <w:rPr>
          <w:sz w:val="24"/>
          <w:szCs w:val="24"/>
        </w:rPr>
        <w:t>9</w:t>
      </w:r>
      <w:r w:rsidRPr="00957E3F">
        <w:rPr>
          <w:sz w:val="24"/>
          <w:szCs w:val="24"/>
        </w:rPr>
        <w:t>.</w:t>
      </w:r>
      <w:r w:rsidRPr="00957E3F">
        <w:rPr>
          <w:sz w:val="24"/>
          <w:szCs w:val="24"/>
        </w:rPr>
        <w:tab/>
      </w:r>
      <w:r w:rsidR="001F7444" w:rsidRPr="00957E3F">
        <w:rPr>
          <w:sz w:val="24"/>
          <w:szCs w:val="24"/>
        </w:rPr>
        <w:t>The standard acceptable voltage at the service address would be 120 volts with an acceptable deviation of 5%</w:t>
      </w:r>
      <w:r w:rsidR="00282CE8" w:rsidRPr="00957E3F">
        <w:rPr>
          <w:sz w:val="24"/>
          <w:szCs w:val="24"/>
        </w:rPr>
        <w:t xml:space="preserve"> or 114 to 126 volts.</w:t>
      </w:r>
      <w:r w:rsidR="001F7444" w:rsidRPr="00957E3F">
        <w:rPr>
          <w:sz w:val="24"/>
          <w:szCs w:val="24"/>
        </w:rPr>
        <w:t xml:space="preserve">  </w:t>
      </w:r>
      <w:r w:rsidRPr="00957E3F">
        <w:rPr>
          <w:sz w:val="24"/>
          <w:szCs w:val="24"/>
        </w:rPr>
        <w:t xml:space="preserve">(Tr. </w:t>
      </w:r>
      <w:r w:rsidR="001F7444" w:rsidRPr="00957E3F">
        <w:rPr>
          <w:sz w:val="24"/>
          <w:szCs w:val="24"/>
        </w:rPr>
        <w:t>2</w:t>
      </w:r>
      <w:r w:rsidRPr="00957E3F">
        <w:rPr>
          <w:sz w:val="24"/>
          <w:szCs w:val="24"/>
        </w:rPr>
        <w:t>2-</w:t>
      </w:r>
      <w:r w:rsidR="001F7444" w:rsidRPr="00957E3F">
        <w:rPr>
          <w:sz w:val="24"/>
          <w:szCs w:val="24"/>
        </w:rPr>
        <w:t>2</w:t>
      </w:r>
      <w:r w:rsidRPr="00957E3F">
        <w:rPr>
          <w:sz w:val="24"/>
          <w:szCs w:val="24"/>
        </w:rPr>
        <w:t>3</w:t>
      </w:r>
      <w:r w:rsidR="001D0692" w:rsidRPr="00957E3F">
        <w:rPr>
          <w:sz w:val="24"/>
          <w:szCs w:val="24"/>
        </w:rPr>
        <w:t>, 45</w:t>
      </w:r>
      <w:r w:rsidRPr="00957E3F">
        <w:rPr>
          <w:sz w:val="24"/>
          <w:szCs w:val="24"/>
        </w:rPr>
        <w:t>).</w:t>
      </w:r>
    </w:p>
    <w:p w:rsidR="001248B0" w:rsidRPr="00957E3F" w:rsidRDefault="001248B0" w:rsidP="00957E3F">
      <w:pPr>
        <w:pStyle w:val="BodyText"/>
        <w:jc w:val="left"/>
        <w:rPr>
          <w:sz w:val="24"/>
          <w:szCs w:val="24"/>
        </w:rPr>
      </w:pPr>
      <w:r w:rsidRPr="00957E3F">
        <w:rPr>
          <w:sz w:val="24"/>
          <w:szCs w:val="24"/>
        </w:rPr>
        <w:lastRenderedPageBreak/>
        <w:tab/>
      </w:r>
      <w:r w:rsidRPr="00957E3F">
        <w:rPr>
          <w:sz w:val="24"/>
          <w:szCs w:val="24"/>
        </w:rPr>
        <w:tab/>
      </w:r>
      <w:r w:rsidR="00AC4B11" w:rsidRPr="00957E3F">
        <w:rPr>
          <w:sz w:val="24"/>
          <w:szCs w:val="24"/>
        </w:rPr>
        <w:t>10</w:t>
      </w:r>
      <w:r w:rsidRPr="00957E3F">
        <w:rPr>
          <w:sz w:val="24"/>
          <w:szCs w:val="24"/>
        </w:rPr>
        <w:t>.</w:t>
      </w:r>
      <w:r w:rsidRPr="00957E3F">
        <w:rPr>
          <w:sz w:val="24"/>
          <w:szCs w:val="24"/>
        </w:rPr>
        <w:tab/>
      </w:r>
      <w:r w:rsidR="001F7444" w:rsidRPr="00957E3F">
        <w:rPr>
          <w:sz w:val="24"/>
          <w:szCs w:val="24"/>
        </w:rPr>
        <w:t xml:space="preserve">In response to complaints made by Mr. Williams on July 10, 2012, Respondent measured the voltage at the service address </w:t>
      </w:r>
      <w:r w:rsidR="00335E91" w:rsidRPr="00957E3F">
        <w:rPr>
          <w:sz w:val="24"/>
          <w:szCs w:val="24"/>
        </w:rPr>
        <w:t xml:space="preserve">and obtained a reading of </w:t>
      </w:r>
      <w:r w:rsidR="001F7444" w:rsidRPr="00957E3F">
        <w:rPr>
          <w:sz w:val="24"/>
          <w:szCs w:val="24"/>
        </w:rPr>
        <w:t xml:space="preserve">114.9 and 115.2, which was within acceptable limits.  </w:t>
      </w:r>
      <w:r w:rsidRPr="00957E3F">
        <w:rPr>
          <w:sz w:val="24"/>
          <w:szCs w:val="24"/>
        </w:rPr>
        <w:t xml:space="preserve">(Tr. </w:t>
      </w:r>
      <w:r w:rsidR="001F7444" w:rsidRPr="00957E3F">
        <w:rPr>
          <w:sz w:val="24"/>
          <w:szCs w:val="24"/>
        </w:rPr>
        <w:t>24</w:t>
      </w:r>
      <w:r w:rsidRPr="00957E3F">
        <w:rPr>
          <w:sz w:val="24"/>
          <w:szCs w:val="24"/>
        </w:rPr>
        <w:t>).</w:t>
      </w:r>
    </w:p>
    <w:p w:rsidR="001248B0" w:rsidRPr="00957E3F" w:rsidRDefault="001248B0" w:rsidP="00957E3F">
      <w:pPr>
        <w:pStyle w:val="BodyText"/>
        <w:jc w:val="left"/>
        <w:rPr>
          <w:sz w:val="24"/>
          <w:szCs w:val="24"/>
        </w:rPr>
      </w:pPr>
    </w:p>
    <w:p w:rsidR="001248B0" w:rsidRPr="00957E3F" w:rsidRDefault="001248B0" w:rsidP="00957E3F">
      <w:pPr>
        <w:pStyle w:val="BodyText"/>
        <w:jc w:val="left"/>
        <w:rPr>
          <w:sz w:val="24"/>
          <w:szCs w:val="24"/>
        </w:rPr>
      </w:pPr>
      <w:r w:rsidRPr="00957E3F">
        <w:rPr>
          <w:sz w:val="24"/>
          <w:szCs w:val="24"/>
        </w:rPr>
        <w:tab/>
      </w:r>
      <w:r w:rsidRPr="00957E3F">
        <w:rPr>
          <w:sz w:val="24"/>
          <w:szCs w:val="24"/>
        </w:rPr>
        <w:tab/>
        <w:t>1</w:t>
      </w:r>
      <w:r w:rsidR="00AC4B11" w:rsidRPr="00957E3F">
        <w:rPr>
          <w:sz w:val="24"/>
          <w:szCs w:val="24"/>
        </w:rPr>
        <w:t>1</w:t>
      </w:r>
      <w:r w:rsidRPr="00957E3F">
        <w:rPr>
          <w:sz w:val="24"/>
          <w:szCs w:val="24"/>
        </w:rPr>
        <w:t>.</w:t>
      </w:r>
      <w:r w:rsidRPr="00957E3F">
        <w:rPr>
          <w:sz w:val="24"/>
          <w:szCs w:val="24"/>
        </w:rPr>
        <w:tab/>
      </w:r>
      <w:r w:rsidR="009E53BC" w:rsidRPr="00957E3F">
        <w:rPr>
          <w:sz w:val="24"/>
          <w:szCs w:val="24"/>
        </w:rPr>
        <w:t>In July of 2012,</w:t>
      </w:r>
      <w:r w:rsidR="001D0692" w:rsidRPr="00957E3F">
        <w:rPr>
          <w:sz w:val="24"/>
          <w:szCs w:val="24"/>
        </w:rPr>
        <w:t xml:space="preserve"> Respondent caused</w:t>
      </w:r>
      <w:r w:rsidR="009E53BC" w:rsidRPr="00957E3F">
        <w:rPr>
          <w:sz w:val="24"/>
          <w:szCs w:val="24"/>
        </w:rPr>
        <w:t xml:space="preserve"> the circuit that </w:t>
      </w:r>
      <w:r w:rsidR="00827B05" w:rsidRPr="00957E3F">
        <w:rPr>
          <w:sz w:val="24"/>
          <w:szCs w:val="24"/>
        </w:rPr>
        <w:t xml:space="preserve">provides </w:t>
      </w:r>
      <w:r w:rsidR="009E53BC" w:rsidRPr="00957E3F">
        <w:rPr>
          <w:sz w:val="24"/>
          <w:szCs w:val="24"/>
        </w:rPr>
        <w:t>electric</w:t>
      </w:r>
      <w:r w:rsidR="00827B05" w:rsidRPr="00957E3F">
        <w:rPr>
          <w:sz w:val="24"/>
          <w:szCs w:val="24"/>
        </w:rPr>
        <w:t xml:space="preserve">ity </w:t>
      </w:r>
      <w:r w:rsidR="009E53BC" w:rsidRPr="00957E3F">
        <w:rPr>
          <w:sz w:val="24"/>
          <w:szCs w:val="24"/>
        </w:rPr>
        <w:t xml:space="preserve">to the service address </w:t>
      </w:r>
      <w:r w:rsidR="00827B05" w:rsidRPr="00957E3F">
        <w:rPr>
          <w:sz w:val="24"/>
          <w:szCs w:val="24"/>
        </w:rPr>
        <w:t xml:space="preserve">to be </w:t>
      </w:r>
      <w:r w:rsidR="009E53BC" w:rsidRPr="00957E3F">
        <w:rPr>
          <w:sz w:val="24"/>
          <w:szCs w:val="24"/>
        </w:rPr>
        <w:t>inspected to determine why the voltage may be dropping at the service location</w:t>
      </w:r>
      <w:r w:rsidR="00827B05" w:rsidRPr="00957E3F">
        <w:rPr>
          <w:sz w:val="24"/>
          <w:szCs w:val="24"/>
        </w:rPr>
        <w:t xml:space="preserve">.  No </w:t>
      </w:r>
      <w:r w:rsidR="009E53BC" w:rsidRPr="00957E3F">
        <w:rPr>
          <w:sz w:val="24"/>
          <w:szCs w:val="24"/>
        </w:rPr>
        <w:t>abnormal</w:t>
      </w:r>
      <w:r w:rsidR="00827B05" w:rsidRPr="00957E3F">
        <w:rPr>
          <w:sz w:val="24"/>
          <w:szCs w:val="24"/>
        </w:rPr>
        <w:t xml:space="preserve"> findings were discovered as a result of the investigation.  </w:t>
      </w:r>
      <w:r w:rsidRPr="00957E3F">
        <w:rPr>
          <w:sz w:val="24"/>
          <w:szCs w:val="24"/>
        </w:rPr>
        <w:t xml:space="preserve">(Tr. </w:t>
      </w:r>
      <w:r w:rsidR="009E53BC" w:rsidRPr="00957E3F">
        <w:rPr>
          <w:sz w:val="24"/>
          <w:szCs w:val="24"/>
        </w:rPr>
        <w:t>25</w:t>
      </w:r>
      <w:r w:rsidRPr="00957E3F">
        <w:rPr>
          <w:sz w:val="24"/>
          <w:szCs w:val="24"/>
        </w:rPr>
        <w:t>).</w:t>
      </w:r>
    </w:p>
    <w:p w:rsidR="001248B0" w:rsidRPr="00957E3F" w:rsidRDefault="001248B0" w:rsidP="00957E3F">
      <w:pPr>
        <w:pStyle w:val="BodyText"/>
        <w:jc w:val="left"/>
        <w:rPr>
          <w:sz w:val="24"/>
          <w:szCs w:val="24"/>
        </w:rPr>
      </w:pPr>
    </w:p>
    <w:p w:rsidR="001248B0" w:rsidRPr="00957E3F" w:rsidRDefault="001D0692" w:rsidP="00957E3F">
      <w:pPr>
        <w:pStyle w:val="BodyText"/>
        <w:jc w:val="left"/>
        <w:rPr>
          <w:sz w:val="24"/>
          <w:szCs w:val="24"/>
        </w:rPr>
      </w:pPr>
      <w:r w:rsidRPr="00957E3F">
        <w:rPr>
          <w:sz w:val="24"/>
          <w:szCs w:val="24"/>
        </w:rPr>
        <w:tab/>
      </w:r>
      <w:r w:rsidRPr="00957E3F">
        <w:rPr>
          <w:sz w:val="24"/>
          <w:szCs w:val="24"/>
        </w:rPr>
        <w:tab/>
      </w:r>
      <w:r w:rsidR="001248B0" w:rsidRPr="00957E3F">
        <w:rPr>
          <w:sz w:val="24"/>
          <w:szCs w:val="24"/>
        </w:rPr>
        <w:t>1</w:t>
      </w:r>
      <w:r w:rsidR="00AC4B11" w:rsidRPr="00957E3F">
        <w:rPr>
          <w:sz w:val="24"/>
          <w:szCs w:val="24"/>
        </w:rPr>
        <w:t>2</w:t>
      </w:r>
      <w:r w:rsidR="001248B0" w:rsidRPr="00957E3F">
        <w:rPr>
          <w:sz w:val="24"/>
          <w:szCs w:val="24"/>
        </w:rPr>
        <w:t>.</w:t>
      </w:r>
      <w:r w:rsidR="001248B0" w:rsidRPr="00957E3F">
        <w:rPr>
          <w:sz w:val="24"/>
          <w:szCs w:val="24"/>
        </w:rPr>
        <w:tab/>
      </w:r>
      <w:r w:rsidR="009E53BC" w:rsidRPr="00957E3F">
        <w:rPr>
          <w:sz w:val="24"/>
          <w:szCs w:val="24"/>
        </w:rPr>
        <w:t>On August 10, 2012</w:t>
      </w:r>
      <w:r w:rsidR="003A71FA">
        <w:rPr>
          <w:sz w:val="24"/>
          <w:szCs w:val="24"/>
        </w:rPr>
        <w:t>,</w:t>
      </w:r>
      <w:r w:rsidR="009E53BC" w:rsidRPr="00957E3F">
        <w:rPr>
          <w:sz w:val="24"/>
          <w:szCs w:val="24"/>
        </w:rPr>
        <w:t xml:space="preserve"> Mr. Williams complained of continued low voltage and a serviceman was dispatched by Respondent, an adjustment was made </w:t>
      </w:r>
      <w:r w:rsidR="005F1E08" w:rsidRPr="00957E3F">
        <w:rPr>
          <w:sz w:val="24"/>
          <w:szCs w:val="24"/>
        </w:rPr>
        <w:t xml:space="preserve">to the voltage regulator at the substation that feeds the service address, and the output voltage was increased from 122 to 125 volts.  </w:t>
      </w:r>
      <w:r w:rsidR="001248B0" w:rsidRPr="00957E3F">
        <w:rPr>
          <w:sz w:val="24"/>
          <w:szCs w:val="24"/>
        </w:rPr>
        <w:t xml:space="preserve">(Tr. </w:t>
      </w:r>
      <w:r w:rsidR="005F1E08" w:rsidRPr="00957E3F">
        <w:rPr>
          <w:sz w:val="24"/>
          <w:szCs w:val="24"/>
        </w:rPr>
        <w:t>25</w:t>
      </w:r>
      <w:r w:rsidR="001248B0" w:rsidRPr="00957E3F">
        <w:rPr>
          <w:sz w:val="24"/>
          <w:szCs w:val="24"/>
        </w:rPr>
        <w:t>-</w:t>
      </w:r>
      <w:r w:rsidR="005F1E08" w:rsidRPr="00957E3F">
        <w:rPr>
          <w:sz w:val="24"/>
          <w:szCs w:val="24"/>
        </w:rPr>
        <w:t>26</w:t>
      </w:r>
      <w:r w:rsidR="001248B0" w:rsidRPr="00957E3F">
        <w:rPr>
          <w:sz w:val="24"/>
          <w:szCs w:val="24"/>
        </w:rPr>
        <w:t>).</w:t>
      </w:r>
    </w:p>
    <w:p w:rsidR="001248B0" w:rsidRPr="00957E3F" w:rsidRDefault="001248B0" w:rsidP="00957E3F">
      <w:pPr>
        <w:pStyle w:val="BodyText"/>
        <w:jc w:val="left"/>
        <w:rPr>
          <w:sz w:val="24"/>
          <w:szCs w:val="24"/>
        </w:rPr>
      </w:pPr>
    </w:p>
    <w:p w:rsidR="001248B0" w:rsidRPr="00957E3F" w:rsidRDefault="001248B0" w:rsidP="00957E3F">
      <w:pPr>
        <w:pStyle w:val="BodyText"/>
        <w:jc w:val="left"/>
        <w:rPr>
          <w:sz w:val="24"/>
          <w:szCs w:val="24"/>
        </w:rPr>
      </w:pPr>
      <w:r w:rsidRPr="00957E3F">
        <w:rPr>
          <w:sz w:val="24"/>
          <w:szCs w:val="24"/>
        </w:rPr>
        <w:tab/>
      </w:r>
      <w:r w:rsidRPr="00957E3F">
        <w:rPr>
          <w:sz w:val="24"/>
          <w:szCs w:val="24"/>
        </w:rPr>
        <w:tab/>
        <w:t>1</w:t>
      </w:r>
      <w:r w:rsidR="00AC4B11" w:rsidRPr="00957E3F">
        <w:rPr>
          <w:sz w:val="24"/>
          <w:szCs w:val="24"/>
        </w:rPr>
        <w:t>3</w:t>
      </w:r>
      <w:r w:rsidRPr="00957E3F">
        <w:rPr>
          <w:sz w:val="24"/>
          <w:szCs w:val="24"/>
        </w:rPr>
        <w:t>.</w:t>
      </w:r>
      <w:r w:rsidRPr="00957E3F">
        <w:rPr>
          <w:sz w:val="24"/>
          <w:szCs w:val="24"/>
        </w:rPr>
        <w:tab/>
      </w:r>
      <w:r w:rsidR="005F1E08" w:rsidRPr="00957E3F">
        <w:rPr>
          <w:sz w:val="24"/>
          <w:szCs w:val="24"/>
        </w:rPr>
        <w:t xml:space="preserve">A follow-up investigation was made by Respondent on August 30, 2012 and Respondent measured 117 volts at the service address.  </w:t>
      </w:r>
      <w:r w:rsidRPr="00957E3F">
        <w:rPr>
          <w:sz w:val="24"/>
          <w:szCs w:val="24"/>
        </w:rPr>
        <w:t xml:space="preserve">(Tr. </w:t>
      </w:r>
      <w:r w:rsidR="005F1E08" w:rsidRPr="00957E3F">
        <w:rPr>
          <w:sz w:val="24"/>
          <w:szCs w:val="24"/>
        </w:rPr>
        <w:t>27</w:t>
      </w:r>
      <w:r w:rsidRPr="00957E3F">
        <w:rPr>
          <w:sz w:val="24"/>
          <w:szCs w:val="24"/>
        </w:rPr>
        <w:t xml:space="preserve">).   </w:t>
      </w:r>
    </w:p>
    <w:p w:rsidR="001248B0" w:rsidRPr="00957E3F" w:rsidRDefault="001248B0" w:rsidP="00957E3F">
      <w:pPr>
        <w:pStyle w:val="BodyText"/>
        <w:jc w:val="left"/>
        <w:rPr>
          <w:sz w:val="24"/>
          <w:szCs w:val="24"/>
        </w:rPr>
      </w:pPr>
    </w:p>
    <w:p w:rsidR="001248B0" w:rsidRPr="00957E3F" w:rsidRDefault="001248B0" w:rsidP="00957E3F">
      <w:pPr>
        <w:pStyle w:val="BodyText"/>
        <w:jc w:val="left"/>
        <w:rPr>
          <w:sz w:val="24"/>
          <w:szCs w:val="24"/>
        </w:rPr>
      </w:pPr>
      <w:r w:rsidRPr="00957E3F">
        <w:rPr>
          <w:sz w:val="24"/>
          <w:szCs w:val="24"/>
        </w:rPr>
        <w:tab/>
      </w:r>
      <w:r w:rsidRPr="00957E3F">
        <w:rPr>
          <w:sz w:val="24"/>
          <w:szCs w:val="24"/>
        </w:rPr>
        <w:tab/>
        <w:t>1</w:t>
      </w:r>
      <w:r w:rsidR="00AC4B11" w:rsidRPr="00957E3F">
        <w:rPr>
          <w:sz w:val="24"/>
          <w:szCs w:val="24"/>
        </w:rPr>
        <w:t>4</w:t>
      </w:r>
      <w:r w:rsidRPr="00957E3F">
        <w:rPr>
          <w:sz w:val="24"/>
          <w:szCs w:val="24"/>
        </w:rPr>
        <w:t>.</w:t>
      </w:r>
      <w:r w:rsidRPr="00957E3F">
        <w:rPr>
          <w:sz w:val="24"/>
          <w:szCs w:val="24"/>
        </w:rPr>
        <w:tab/>
      </w:r>
      <w:r w:rsidR="00DB35C2" w:rsidRPr="00957E3F">
        <w:rPr>
          <w:sz w:val="24"/>
          <w:szCs w:val="24"/>
        </w:rPr>
        <w:t>In late October of 2012, Mr. Williams complained of continued low voltage and Respondent installed a recording volt meter at the service address.  (Tr. 27).</w:t>
      </w:r>
    </w:p>
    <w:p w:rsidR="001248B0" w:rsidRPr="00957E3F" w:rsidRDefault="001248B0" w:rsidP="00957E3F">
      <w:pPr>
        <w:pStyle w:val="BodyText"/>
        <w:jc w:val="left"/>
        <w:rPr>
          <w:sz w:val="24"/>
          <w:szCs w:val="24"/>
        </w:rPr>
      </w:pPr>
    </w:p>
    <w:p w:rsidR="001248B0" w:rsidRPr="00957E3F" w:rsidRDefault="001248B0" w:rsidP="00957E3F">
      <w:pPr>
        <w:pStyle w:val="BodyText"/>
        <w:jc w:val="left"/>
        <w:rPr>
          <w:sz w:val="24"/>
          <w:szCs w:val="24"/>
        </w:rPr>
      </w:pPr>
      <w:r w:rsidRPr="00957E3F">
        <w:rPr>
          <w:sz w:val="24"/>
          <w:szCs w:val="24"/>
        </w:rPr>
        <w:tab/>
      </w:r>
      <w:r w:rsidRPr="00957E3F">
        <w:rPr>
          <w:sz w:val="24"/>
          <w:szCs w:val="24"/>
        </w:rPr>
        <w:tab/>
        <w:t>1</w:t>
      </w:r>
      <w:r w:rsidR="00AC4B11" w:rsidRPr="00957E3F">
        <w:rPr>
          <w:sz w:val="24"/>
          <w:szCs w:val="24"/>
        </w:rPr>
        <w:t>5</w:t>
      </w:r>
      <w:r w:rsidRPr="00957E3F">
        <w:rPr>
          <w:sz w:val="24"/>
          <w:szCs w:val="24"/>
        </w:rPr>
        <w:t>.</w:t>
      </w:r>
      <w:r w:rsidRPr="00957E3F">
        <w:rPr>
          <w:sz w:val="24"/>
          <w:szCs w:val="24"/>
        </w:rPr>
        <w:tab/>
      </w:r>
      <w:r w:rsidR="00DB35C2" w:rsidRPr="00957E3F">
        <w:rPr>
          <w:sz w:val="24"/>
          <w:szCs w:val="24"/>
        </w:rPr>
        <w:t xml:space="preserve">The voltage was recorded by </w:t>
      </w:r>
      <w:r w:rsidR="001D0692" w:rsidRPr="00957E3F">
        <w:rPr>
          <w:sz w:val="24"/>
          <w:szCs w:val="24"/>
        </w:rPr>
        <w:t>R</w:t>
      </w:r>
      <w:r w:rsidR="00DB35C2" w:rsidRPr="00957E3F">
        <w:rPr>
          <w:sz w:val="24"/>
          <w:szCs w:val="24"/>
        </w:rPr>
        <w:t xml:space="preserve">espondent for the next week, which indicated Complainant was experiencing short durations of voltage below 114, with the lowest voltage being recorded at 112 volts for approximately ten minutes.  </w:t>
      </w:r>
      <w:r w:rsidRPr="00957E3F">
        <w:rPr>
          <w:sz w:val="24"/>
          <w:szCs w:val="24"/>
        </w:rPr>
        <w:t xml:space="preserve">(Tr. </w:t>
      </w:r>
      <w:r w:rsidR="00DB35C2" w:rsidRPr="00957E3F">
        <w:rPr>
          <w:sz w:val="24"/>
          <w:szCs w:val="24"/>
        </w:rPr>
        <w:t>28</w:t>
      </w:r>
      <w:r w:rsidRPr="00957E3F">
        <w:rPr>
          <w:sz w:val="24"/>
          <w:szCs w:val="24"/>
        </w:rPr>
        <w:t>).</w:t>
      </w:r>
    </w:p>
    <w:p w:rsidR="001D0692" w:rsidRPr="00957E3F" w:rsidRDefault="001D0692" w:rsidP="00957E3F">
      <w:pPr>
        <w:pStyle w:val="BodyText"/>
        <w:jc w:val="left"/>
        <w:rPr>
          <w:sz w:val="24"/>
          <w:szCs w:val="24"/>
        </w:rPr>
      </w:pPr>
    </w:p>
    <w:p w:rsidR="001248B0" w:rsidRPr="00957E3F" w:rsidRDefault="001D0692" w:rsidP="00957E3F">
      <w:pPr>
        <w:pStyle w:val="BodyText"/>
        <w:jc w:val="left"/>
        <w:rPr>
          <w:sz w:val="24"/>
          <w:szCs w:val="24"/>
        </w:rPr>
      </w:pPr>
      <w:r w:rsidRPr="00957E3F">
        <w:rPr>
          <w:sz w:val="24"/>
          <w:szCs w:val="24"/>
        </w:rPr>
        <w:tab/>
      </w:r>
      <w:r w:rsidRPr="00957E3F">
        <w:rPr>
          <w:sz w:val="24"/>
          <w:szCs w:val="24"/>
        </w:rPr>
        <w:tab/>
      </w:r>
      <w:r w:rsidR="00827B05" w:rsidRPr="00957E3F">
        <w:rPr>
          <w:sz w:val="24"/>
          <w:szCs w:val="24"/>
        </w:rPr>
        <w:t>1</w:t>
      </w:r>
      <w:r w:rsidR="00AC4B11" w:rsidRPr="00957E3F">
        <w:rPr>
          <w:sz w:val="24"/>
          <w:szCs w:val="24"/>
        </w:rPr>
        <w:t>6</w:t>
      </w:r>
      <w:r w:rsidRPr="00957E3F">
        <w:rPr>
          <w:sz w:val="24"/>
          <w:szCs w:val="24"/>
        </w:rPr>
        <w:t>.</w:t>
      </w:r>
      <w:r w:rsidRPr="00957E3F">
        <w:rPr>
          <w:sz w:val="24"/>
          <w:szCs w:val="24"/>
        </w:rPr>
        <w:tab/>
        <w:t>I</w:t>
      </w:r>
      <w:r w:rsidR="00DB35C2" w:rsidRPr="00957E3F">
        <w:rPr>
          <w:sz w:val="24"/>
          <w:szCs w:val="24"/>
        </w:rPr>
        <w:t xml:space="preserve">n March of 2013, Respondent installed a voltage regulator on the line feeding </w:t>
      </w:r>
      <w:r w:rsidRPr="00957E3F">
        <w:rPr>
          <w:sz w:val="24"/>
          <w:szCs w:val="24"/>
        </w:rPr>
        <w:t>the service address</w:t>
      </w:r>
      <w:r w:rsidR="00DB35C2" w:rsidRPr="00957E3F">
        <w:rPr>
          <w:sz w:val="24"/>
          <w:szCs w:val="24"/>
        </w:rPr>
        <w:t xml:space="preserve">, at a cost of approximately $50,000 to $60,000.  </w:t>
      </w:r>
      <w:r w:rsidR="001248B0" w:rsidRPr="00957E3F">
        <w:rPr>
          <w:sz w:val="24"/>
          <w:szCs w:val="24"/>
        </w:rPr>
        <w:t xml:space="preserve">(Tr. </w:t>
      </w:r>
      <w:r w:rsidR="00DB35C2" w:rsidRPr="00957E3F">
        <w:rPr>
          <w:sz w:val="24"/>
          <w:szCs w:val="24"/>
        </w:rPr>
        <w:t>28-29</w:t>
      </w:r>
      <w:r w:rsidR="001248B0" w:rsidRPr="00957E3F">
        <w:rPr>
          <w:sz w:val="24"/>
          <w:szCs w:val="24"/>
        </w:rPr>
        <w:t xml:space="preserve">). </w:t>
      </w:r>
    </w:p>
    <w:p w:rsidR="001248B0" w:rsidRPr="00957E3F" w:rsidRDefault="001248B0" w:rsidP="00957E3F">
      <w:pPr>
        <w:pStyle w:val="BodyText"/>
        <w:jc w:val="left"/>
        <w:rPr>
          <w:sz w:val="24"/>
          <w:szCs w:val="24"/>
        </w:rPr>
      </w:pPr>
    </w:p>
    <w:p w:rsidR="006362CC" w:rsidRPr="00957E3F" w:rsidRDefault="001248B0" w:rsidP="00957E3F">
      <w:pPr>
        <w:pStyle w:val="BodyText"/>
        <w:jc w:val="left"/>
        <w:rPr>
          <w:sz w:val="24"/>
          <w:szCs w:val="24"/>
        </w:rPr>
      </w:pPr>
      <w:r w:rsidRPr="00957E3F">
        <w:rPr>
          <w:sz w:val="24"/>
          <w:szCs w:val="24"/>
        </w:rPr>
        <w:tab/>
      </w:r>
      <w:r w:rsidRPr="00957E3F">
        <w:rPr>
          <w:sz w:val="24"/>
          <w:szCs w:val="24"/>
        </w:rPr>
        <w:tab/>
        <w:t>1</w:t>
      </w:r>
      <w:r w:rsidR="00AC4B11" w:rsidRPr="00957E3F">
        <w:rPr>
          <w:sz w:val="24"/>
          <w:szCs w:val="24"/>
        </w:rPr>
        <w:t>7</w:t>
      </w:r>
      <w:r w:rsidRPr="00957E3F">
        <w:rPr>
          <w:sz w:val="24"/>
          <w:szCs w:val="24"/>
        </w:rPr>
        <w:t>.</w:t>
      </w:r>
      <w:r w:rsidRPr="00957E3F">
        <w:rPr>
          <w:sz w:val="24"/>
          <w:szCs w:val="24"/>
        </w:rPr>
        <w:tab/>
      </w:r>
      <w:r w:rsidR="00DB35C2" w:rsidRPr="00957E3F">
        <w:rPr>
          <w:sz w:val="24"/>
          <w:szCs w:val="24"/>
        </w:rPr>
        <w:t>Follow</w:t>
      </w:r>
      <w:r w:rsidR="006362CC" w:rsidRPr="00957E3F">
        <w:rPr>
          <w:sz w:val="24"/>
          <w:szCs w:val="24"/>
        </w:rPr>
        <w:t>ing the installation of the voltage regulator, another recording volt</w:t>
      </w:r>
      <w:r w:rsidR="00335E91" w:rsidRPr="00957E3F">
        <w:rPr>
          <w:sz w:val="24"/>
          <w:szCs w:val="24"/>
        </w:rPr>
        <w:t>age</w:t>
      </w:r>
      <w:r w:rsidR="006362CC" w:rsidRPr="00957E3F">
        <w:rPr>
          <w:sz w:val="24"/>
          <w:szCs w:val="24"/>
        </w:rPr>
        <w:t xml:space="preserve"> meter was installed at the service address on March 28, 2013 which provided voltage readings of 115 to 124.  (Tr. 30-31).</w:t>
      </w:r>
    </w:p>
    <w:p w:rsidR="001D0692" w:rsidRPr="00957E3F" w:rsidRDefault="001D0692" w:rsidP="00957E3F">
      <w:pPr>
        <w:pStyle w:val="BodyText"/>
        <w:jc w:val="left"/>
        <w:rPr>
          <w:sz w:val="24"/>
          <w:szCs w:val="24"/>
        </w:rPr>
      </w:pPr>
    </w:p>
    <w:p w:rsidR="001D0692" w:rsidRPr="00957E3F" w:rsidRDefault="001D0692" w:rsidP="00957E3F">
      <w:pPr>
        <w:pStyle w:val="BodyText"/>
        <w:jc w:val="left"/>
        <w:rPr>
          <w:sz w:val="24"/>
          <w:szCs w:val="24"/>
        </w:rPr>
      </w:pPr>
      <w:r w:rsidRPr="00957E3F">
        <w:rPr>
          <w:sz w:val="24"/>
          <w:szCs w:val="24"/>
        </w:rPr>
        <w:lastRenderedPageBreak/>
        <w:tab/>
      </w:r>
      <w:r w:rsidRPr="00957E3F">
        <w:rPr>
          <w:sz w:val="24"/>
          <w:szCs w:val="24"/>
        </w:rPr>
        <w:tab/>
      </w:r>
      <w:r w:rsidR="00827B05" w:rsidRPr="00957E3F">
        <w:rPr>
          <w:sz w:val="24"/>
          <w:szCs w:val="24"/>
        </w:rPr>
        <w:t>1</w:t>
      </w:r>
      <w:r w:rsidR="00AC4B11" w:rsidRPr="00957E3F">
        <w:rPr>
          <w:sz w:val="24"/>
          <w:szCs w:val="24"/>
        </w:rPr>
        <w:t>8</w:t>
      </w:r>
      <w:r w:rsidRPr="00957E3F">
        <w:rPr>
          <w:sz w:val="24"/>
          <w:szCs w:val="24"/>
        </w:rPr>
        <w:t>.</w:t>
      </w:r>
      <w:r w:rsidRPr="00957E3F">
        <w:rPr>
          <w:sz w:val="24"/>
          <w:szCs w:val="24"/>
        </w:rPr>
        <w:tab/>
        <w:t xml:space="preserve">In approximately July of 2013, Respondent paid </w:t>
      </w:r>
      <w:r w:rsidR="00827B05" w:rsidRPr="00957E3F">
        <w:rPr>
          <w:sz w:val="24"/>
          <w:szCs w:val="24"/>
        </w:rPr>
        <w:t xml:space="preserve">Mr. Williams </w:t>
      </w:r>
      <w:r w:rsidRPr="00957E3F">
        <w:rPr>
          <w:sz w:val="24"/>
          <w:szCs w:val="24"/>
        </w:rPr>
        <w:t>and his insurance carrier for the damages sustained to the air</w:t>
      </w:r>
      <w:r w:rsidR="009617A6">
        <w:rPr>
          <w:sz w:val="24"/>
          <w:szCs w:val="24"/>
        </w:rPr>
        <w:t xml:space="preserve"> </w:t>
      </w:r>
      <w:r w:rsidRPr="00957E3F">
        <w:rPr>
          <w:sz w:val="24"/>
          <w:szCs w:val="24"/>
        </w:rPr>
        <w:t>conditioning unit.</w:t>
      </w:r>
      <w:r w:rsidR="003A71FA">
        <w:rPr>
          <w:sz w:val="24"/>
          <w:szCs w:val="24"/>
        </w:rPr>
        <w:t xml:space="preserve"> </w:t>
      </w:r>
      <w:r w:rsidRPr="00957E3F">
        <w:rPr>
          <w:sz w:val="24"/>
          <w:szCs w:val="24"/>
        </w:rPr>
        <w:t xml:space="preserve"> (Tr. 18).</w:t>
      </w:r>
    </w:p>
    <w:p w:rsidR="001D0692" w:rsidRPr="00957E3F" w:rsidRDefault="001D0692" w:rsidP="00957E3F">
      <w:pPr>
        <w:pStyle w:val="BodyText"/>
        <w:jc w:val="left"/>
        <w:rPr>
          <w:sz w:val="24"/>
          <w:szCs w:val="24"/>
        </w:rPr>
      </w:pPr>
    </w:p>
    <w:p w:rsidR="001D0692" w:rsidRPr="00957E3F" w:rsidRDefault="001D0692" w:rsidP="00957E3F">
      <w:pPr>
        <w:pStyle w:val="BodyText"/>
        <w:jc w:val="left"/>
        <w:rPr>
          <w:sz w:val="24"/>
          <w:szCs w:val="24"/>
        </w:rPr>
      </w:pPr>
      <w:r w:rsidRPr="00957E3F">
        <w:rPr>
          <w:sz w:val="24"/>
          <w:szCs w:val="24"/>
        </w:rPr>
        <w:tab/>
      </w:r>
      <w:r w:rsidRPr="00957E3F">
        <w:rPr>
          <w:sz w:val="24"/>
          <w:szCs w:val="24"/>
        </w:rPr>
        <w:tab/>
      </w:r>
      <w:r w:rsidR="00827B05" w:rsidRPr="00957E3F">
        <w:rPr>
          <w:sz w:val="24"/>
          <w:szCs w:val="24"/>
        </w:rPr>
        <w:t>1</w:t>
      </w:r>
      <w:r w:rsidR="00AC4B11" w:rsidRPr="00957E3F">
        <w:rPr>
          <w:sz w:val="24"/>
          <w:szCs w:val="24"/>
        </w:rPr>
        <w:t>9</w:t>
      </w:r>
      <w:r w:rsidRPr="00957E3F">
        <w:rPr>
          <w:sz w:val="24"/>
          <w:szCs w:val="24"/>
        </w:rPr>
        <w:t>.</w:t>
      </w:r>
      <w:r w:rsidRPr="00957E3F">
        <w:rPr>
          <w:sz w:val="24"/>
          <w:szCs w:val="24"/>
        </w:rPr>
        <w:tab/>
      </w:r>
      <w:r w:rsidR="006362CC" w:rsidRPr="00957E3F">
        <w:rPr>
          <w:sz w:val="24"/>
          <w:szCs w:val="24"/>
        </w:rPr>
        <w:t xml:space="preserve">Since the installation of the voltage regulator, Respondent has not been made aware of any complaints at the service address.  </w:t>
      </w:r>
      <w:r w:rsidRPr="00957E3F">
        <w:rPr>
          <w:sz w:val="24"/>
          <w:szCs w:val="24"/>
        </w:rPr>
        <w:t>(Tr. 40-41).</w:t>
      </w:r>
    </w:p>
    <w:p w:rsidR="001D0692" w:rsidRPr="00957E3F" w:rsidRDefault="001D0692" w:rsidP="00957E3F">
      <w:pPr>
        <w:pStyle w:val="BodyText"/>
        <w:jc w:val="left"/>
        <w:rPr>
          <w:sz w:val="24"/>
          <w:szCs w:val="24"/>
        </w:rPr>
      </w:pPr>
    </w:p>
    <w:p w:rsidR="006362CC" w:rsidRPr="00957E3F" w:rsidRDefault="00AC4B11" w:rsidP="00537F5B">
      <w:pPr>
        <w:pStyle w:val="BodyText"/>
        <w:ind w:firstLine="1440"/>
        <w:jc w:val="left"/>
        <w:rPr>
          <w:sz w:val="24"/>
          <w:szCs w:val="24"/>
        </w:rPr>
      </w:pPr>
      <w:r w:rsidRPr="00957E3F">
        <w:rPr>
          <w:sz w:val="24"/>
          <w:szCs w:val="24"/>
        </w:rPr>
        <w:t>20</w:t>
      </w:r>
      <w:r w:rsidR="001D0692" w:rsidRPr="00957E3F">
        <w:rPr>
          <w:sz w:val="24"/>
          <w:szCs w:val="24"/>
        </w:rPr>
        <w:t>.</w:t>
      </w:r>
      <w:r w:rsidR="001D0692" w:rsidRPr="00957E3F">
        <w:rPr>
          <w:sz w:val="24"/>
          <w:szCs w:val="24"/>
        </w:rPr>
        <w:tab/>
      </w:r>
      <w:r w:rsidR="006362CC" w:rsidRPr="00957E3F">
        <w:rPr>
          <w:sz w:val="24"/>
          <w:szCs w:val="24"/>
        </w:rPr>
        <w:t>Respondent performed a volt</w:t>
      </w:r>
      <w:r w:rsidR="00891C28" w:rsidRPr="00957E3F">
        <w:rPr>
          <w:sz w:val="24"/>
          <w:szCs w:val="24"/>
        </w:rPr>
        <w:t>age</w:t>
      </w:r>
      <w:r w:rsidR="006362CC" w:rsidRPr="00957E3F">
        <w:rPr>
          <w:sz w:val="24"/>
          <w:szCs w:val="24"/>
        </w:rPr>
        <w:t xml:space="preserve"> check on November 30, 2013</w:t>
      </w:r>
      <w:r w:rsidR="00891C28" w:rsidRPr="00957E3F">
        <w:rPr>
          <w:sz w:val="24"/>
          <w:szCs w:val="24"/>
        </w:rPr>
        <w:t xml:space="preserve"> and obtained</w:t>
      </w:r>
      <w:r w:rsidR="006362CC" w:rsidRPr="00957E3F">
        <w:rPr>
          <w:sz w:val="24"/>
          <w:szCs w:val="24"/>
        </w:rPr>
        <w:t xml:space="preserve"> a reading of 126 volts, </w:t>
      </w:r>
      <w:r w:rsidR="00891C28" w:rsidRPr="00957E3F">
        <w:rPr>
          <w:sz w:val="24"/>
          <w:szCs w:val="24"/>
        </w:rPr>
        <w:t xml:space="preserve">which was </w:t>
      </w:r>
      <w:r w:rsidR="006362CC" w:rsidRPr="00957E3F">
        <w:rPr>
          <w:sz w:val="24"/>
          <w:szCs w:val="24"/>
        </w:rPr>
        <w:t>within acceptable limits.  (Tr. 40-41).</w:t>
      </w:r>
    </w:p>
    <w:p w:rsidR="006362CC" w:rsidRPr="00957E3F" w:rsidRDefault="006362CC" w:rsidP="00957E3F">
      <w:pPr>
        <w:pStyle w:val="BodyText"/>
        <w:jc w:val="left"/>
        <w:rPr>
          <w:sz w:val="24"/>
          <w:szCs w:val="24"/>
        </w:rPr>
      </w:pPr>
    </w:p>
    <w:p w:rsidR="00282CE8" w:rsidRPr="00957E3F" w:rsidRDefault="001D0692" w:rsidP="00537F5B">
      <w:pPr>
        <w:pStyle w:val="BodyText"/>
        <w:ind w:firstLine="1440"/>
        <w:jc w:val="left"/>
        <w:rPr>
          <w:sz w:val="24"/>
          <w:szCs w:val="24"/>
        </w:rPr>
      </w:pPr>
      <w:r w:rsidRPr="00957E3F">
        <w:rPr>
          <w:sz w:val="24"/>
          <w:szCs w:val="24"/>
        </w:rPr>
        <w:t>2</w:t>
      </w:r>
      <w:r w:rsidR="00AC4B11" w:rsidRPr="00957E3F">
        <w:rPr>
          <w:sz w:val="24"/>
          <w:szCs w:val="24"/>
        </w:rPr>
        <w:t>1</w:t>
      </w:r>
      <w:r w:rsidRPr="00957E3F">
        <w:rPr>
          <w:sz w:val="24"/>
          <w:szCs w:val="24"/>
        </w:rPr>
        <w:t>.</w:t>
      </w:r>
      <w:r w:rsidRPr="00957E3F">
        <w:rPr>
          <w:sz w:val="24"/>
          <w:szCs w:val="24"/>
        </w:rPr>
        <w:tab/>
      </w:r>
      <w:r w:rsidR="00282CE8" w:rsidRPr="00957E3F">
        <w:rPr>
          <w:sz w:val="24"/>
          <w:szCs w:val="24"/>
        </w:rPr>
        <w:t>Complainant installed a system to monitor voltage and amperage at the service address, on a wall near the meter entry, which indicated a voltage reading of 117 volts on December 5, 2013</w:t>
      </w:r>
      <w:r w:rsidRPr="00957E3F">
        <w:rPr>
          <w:sz w:val="24"/>
          <w:szCs w:val="24"/>
        </w:rPr>
        <w:t>, which was within acceptable limits.</w:t>
      </w:r>
      <w:r w:rsidR="00282CE8" w:rsidRPr="00957E3F">
        <w:rPr>
          <w:sz w:val="24"/>
          <w:szCs w:val="24"/>
        </w:rPr>
        <w:t xml:space="preserve">  (Tr. 20</w:t>
      </w:r>
      <w:r w:rsidRPr="00957E3F">
        <w:rPr>
          <w:sz w:val="24"/>
          <w:szCs w:val="24"/>
        </w:rPr>
        <w:t>, 45</w:t>
      </w:r>
      <w:r w:rsidR="00282CE8" w:rsidRPr="00957E3F">
        <w:rPr>
          <w:sz w:val="24"/>
          <w:szCs w:val="24"/>
        </w:rPr>
        <w:t xml:space="preserve">).  </w:t>
      </w:r>
    </w:p>
    <w:p w:rsidR="00282CE8" w:rsidRPr="00957E3F" w:rsidRDefault="00282CE8" w:rsidP="00957E3F">
      <w:pPr>
        <w:pStyle w:val="BodyText"/>
        <w:jc w:val="left"/>
        <w:rPr>
          <w:sz w:val="24"/>
          <w:szCs w:val="24"/>
        </w:rPr>
      </w:pPr>
    </w:p>
    <w:p w:rsidR="001248B0" w:rsidRPr="00957E3F" w:rsidRDefault="001248B0" w:rsidP="00957E3F">
      <w:pPr>
        <w:pStyle w:val="BodyText"/>
        <w:jc w:val="center"/>
        <w:rPr>
          <w:sz w:val="24"/>
          <w:szCs w:val="24"/>
        </w:rPr>
      </w:pPr>
      <w:r w:rsidRPr="00957E3F">
        <w:rPr>
          <w:sz w:val="24"/>
          <w:szCs w:val="24"/>
          <w:u w:val="single"/>
        </w:rPr>
        <w:t>DISCUSSION</w:t>
      </w:r>
    </w:p>
    <w:p w:rsidR="001248B0" w:rsidRPr="00957E3F" w:rsidRDefault="001248B0" w:rsidP="00957E3F">
      <w:pPr>
        <w:jc w:val="center"/>
        <w:rPr>
          <w:sz w:val="24"/>
          <w:szCs w:val="24"/>
        </w:rPr>
      </w:pPr>
    </w:p>
    <w:p w:rsidR="006362CC" w:rsidRPr="00957E3F" w:rsidRDefault="001248B0" w:rsidP="00957E3F">
      <w:pPr>
        <w:tabs>
          <w:tab w:val="left" w:pos="-1440"/>
          <w:tab w:val="left" w:pos="-720"/>
        </w:tabs>
        <w:suppressAutoHyphens/>
        <w:rPr>
          <w:sz w:val="24"/>
          <w:szCs w:val="24"/>
        </w:rPr>
      </w:pPr>
      <w:r w:rsidRPr="00957E3F">
        <w:rPr>
          <w:sz w:val="24"/>
          <w:szCs w:val="24"/>
        </w:rPr>
        <w:tab/>
      </w:r>
      <w:r w:rsidRPr="00957E3F">
        <w:rPr>
          <w:sz w:val="24"/>
          <w:szCs w:val="24"/>
        </w:rPr>
        <w:tab/>
      </w:r>
      <w:r w:rsidR="006362CC" w:rsidRPr="00957E3F">
        <w:rPr>
          <w:sz w:val="24"/>
          <w:szCs w:val="24"/>
        </w:rPr>
        <w:t>Section 1501</w:t>
      </w:r>
      <w:r w:rsidR="00891C28" w:rsidRPr="00957E3F">
        <w:rPr>
          <w:rStyle w:val="FootnoteReference"/>
          <w:sz w:val="24"/>
          <w:szCs w:val="24"/>
        </w:rPr>
        <w:footnoteReference w:id="1"/>
      </w:r>
      <w:r w:rsidR="006362CC" w:rsidRPr="00957E3F">
        <w:rPr>
          <w:sz w:val="24"/>
          <w:szCs w:val="24"/>
        </w:rPr>
        <w:t xml:space="preserve"> of the Public Utility Code (Code),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in Section 102 of the Code, 66 Pa.C.S. § 102</w:t>
      </w:r>
      <w:r w:rsidR="00891C28" w:rsidRPr="00957E3F">
        <w:rPr>
          <w:sz w:val="24"/>
          <w:szCs w:val="24"/>
        </w:rPr>
        <w:t>, provides</w:t>
      </w:r>
      <w:r w:rsidR="006362CC" w:rsidRPr="00957E3F">
        <w:rPr>
          <w:sz w:val="24"/>
          <w:szCs w:val="24"/>
        </w:rPr>
        <w:t xml:space="preserve">: </w:t>
      </w:r>
    </w:p>
    <w:p w:rsidR="006362CC" w:rsidRPr="00957E3F" w:rsidRDefault="006362CC" w:rsidP="006362CC">
      <w:pPr>
        <w:ind w:left="1440" w:right="720"/>
        <w:jc w:val="both"/>
        <w:rPr>
          <w:sz w:val="24"/>
          <w:szCs w:val="24"/>
        </w:rPr>
      </w:pPr>
    </w:p>
    <w:p w:rsidR="006362CC" w:rsidRPr="00957E3F" w:rsidRDefault="006362CC" w:rsidP="00891C28">
      <w:pPr>
        <w:spacing w:line="240" w:lineRule="auto"/>
        <w:ind w:left="1440" w:right="1440"/>
        <w:rPr>
          <w:sz w:val="24"/>
          <w:szCs w:val="24"/>
        </w:rPr>
      </w:pPr>
      <w:r w:rsidRPr="00957E3F">
        <w:rPr>
          <w:sz w:val="24"/>
          <w:szCs w:val="24"/>
        </w:rPr>
        <w:t xml:space="preserve">“Service.”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6362CC" w:rsidRPr="00957E3F" w:rsidRDefault="006362CC" w:rsidP="006362CC">
      <w:pPr>
        <w:pStyle w:val="BodyText"/>
        <w:jc w:val="left"/>
        <w:rPr>
          <w:sz w:val="24"/>
          <w:szCs w:val="24"/>
        </w:rPr>
      </w:pPr>
    </w:p>
    <w:p w:rsidR="006362CC" w:rsidRPr="00957E3F" w:rsidRDefault="006362CC" w:rsidP="00957E3F">
      <w:pPr>
        <w:pStyle w:val="BodyText"/>
        <w:ind w:firstLine="720"/>
        <w:jc w:val="left"/>
        <w:rPr>
          <w:sz w:val="24"/>
          <w:szCs w:val="24"/>
        </w:rPr>
      </w:pPr>
      <w:r w:rsidRPr="00957E3F">
        <w:rPr>
          <w:sz w:val="24"/>
          <w:szCs w:val="24"/>
        </w:rPr>
        <w:tab/>
        <w:t xml:space="preserve">Absent proof by a preponderance of the evidence that Respondent violated the provisions of 66 Pa.C.S. § 1501, the Commission has no authority to require any action by Respondent.  </w:t>
      </w:r>
      <w:r w:rsidRPr="00957E3F">
        <w:rPr>
          <w:sz w:val="24"/>
          <w:szCs w:val="24"/>
          <w:u w:val="single"/>
        </w:rPr>
        <w:t>West Penn Power Co. v. Pa. Pub. Util. Comm’n</w:t>
      </w:r>
      <w:r w:rsidRPr="00957E3F">
        <w:rPr>
          <w:sz w:val="24"/>
          <w:szCs w:val="24"/>
        </w:rPr>
        <w:t>, 478 A.2d 947 (Pa.Cmwlth. 1984).</w:t>
      </w:r>
    </w:p>
    <w:p w:rsidR="006362CC" w:rsidRPr="00957E3F" w:rsidRDefault="006362CC" w:rsidP="00957E3F">
      <w:pPr>
        <w:pStyle w:val="BodyText"/>
        <w:ind w:firstLine="720"/>
        <w:jc w:val="left"/>
        <w:rPr>
          <w:sz w:val="24"/>
          <w:szCs w:val="24"/>
        </w:rPr>
      </w:pPr>
    </w:p>
    <w:p w:rsidR="006362CC" w:rsidRPr="00957E3F" w:rsidRDefault="006362CC" w:rsidP="00957E3F">
      <w:pPr>
        <w:pStyle w:val="BodyText"/>
        <w:ind w:firstLine="720"/>
        <w:jc w:val="left"/>
        <w:rPr>
          <w:sz w:val="24"/>
          <w:szCs w:val="24"/>
        </w:rPr>
      </w:pPr>
      <w:r w:rsidRPr="00957E3F">
        <w:rPr>
          <w:sz w:val="24"/>
          <w:szCs w:val="24"/>
        </w:rPr>
        <w:lastRenderedPageBreak/>
        <w:tab/>
        <w:t xml:space="preserve">In determining whether Respondent has violated the provisions of 66 Pa.C.S. § 1501, it must be understood that what is required is adequate, efficient, safe, and reasonable service and facilities, not “perfect service.”  </w:t>
      </w:r>
      <w:r w:rsidRPr="00957E3F">
        <w:rPr>
          <w:sz w:val="24"/>
          <w:szCs w:val="24"/>
          <w:u w:val="single"/>
        </w:rPr>
        <w:t>Manuel A. Biason v. Metropolitan Edison Company</w:t>
      </w:r>
      <w:r w:rsidRPr="00957E3F">
        <w:rPr>
          <w:sz w:val="24"/>
          <w:szCs w:val="24"/>
        </w:rPr>
        <w:t xml:space="preserve">, PUC Docket No. C-00004450 (Opinion and Order entered December 19, 2001).  Likewise, service must only be </w:t>
      </w:r>
      <w:r w:rsidRPr="00957E3F">
        <w:rPr>
          <w:i/>
          <w:sz w:val="24"/>
          <w:szCs w:val="24"/>
        </w:rPr>
        <w:t>reasonably</w:t>
      </w:r>
      <w:r w:rsidRPr="00957E3F">
        <w:rPr>
          <w:sz w:val="24"/>
          <w:szCs w:val="24"/>
        </w:rPr>
        <w:t xml:space="preserve"> continuous and without </w:t>
      </w:r>
      <w:r w:rsidRPr="00957E3F">
        <w:rPr>
          <w:i/>
          <w:sz w:val="24"/>
          <w:szCs w:val="24"/>
        </w:rPr>
        <w:t>unreasonable</w:t>
      </w:r>
      <w:r w:rsidRPr="00957E3F">
        <w:rPr>
          <w:sz w:val="24"/>
          <w:szCs w:val="24"/>
        </w:rPr>
        <w:t xml:space="preserve"> interruptions or delay.  The Code does not mandate perfect service nor must a public utility provide the best possible service.  Most certainly, a public utility is not a guarantor of either perfect service or the best possible service.  </w:t>
      </w:r>
      <w:r w:rsidR="00363C59" w:rsidRPr="00363C59">
        <w:rPr>
          <w:sz w:val="24"/>
          <w:szCs w:val="24"/>
          <w:u w:val="single"/>
        </w:rPr>
        <w:t>In r</w:t>
      </w:r>
      <w:r w:rsidRPr="00957E3F">
        <w:rPr>
          <w:sz w:val="24"/>
          <w:szCs w:val="24"/>
          <w:u w:val="single"/>
        </w:rPr>
        <w:t>e Metropolitan Edison Company</w:t>
      </w:r>
      <w:r w:rsidRPr="00957E3F">
        <w:rPr>
          <w:sz w:val="24"/>
          <w:szCs w:val="24"/>
        </w:rPr>
        <w:t xml:space="preserve">, 80 Pa. PUC 662 (November 19, 1993). </w:t>
      </w:r>
    </w:p>
    <w:p w:rsidR="006362CC" w:rsidRPr="00957E3F" w:rsidRDefault="006362CC" w:rsidP="00957E3F">
      <w:pPr>
        <w:pStyle w:val="BodyText"/>
        <w:ind w:firstLine="1440"/>
        <w:jc w:val="left"/>
        <w:rPr>
          <w:sz w:val="24"/>
          <w:szCs w:val="24"/>
        </w:rPr>
      </w:pPr>
    </w:p>
    <w:p w:rsidR="006362CC" w:rsidRPr="00957E3F" w:rsidRDefault="006362CC" w:rsidP="00957E3F">
      <w:pPr>
        <w:pStyle w:val="BodyText"/>
        <w:ind w:firstLine="1440"/>
        <w:jc w:val="left"/>
        <w:rPr>
          <w:sz w:val="24"/>
          <w:szCs w:val="24"/>
        </w:rPr>
      </w:pPr>
      <w:r w:rsidRPr="00957E3F">
        <w:rPr>
          <w:sz w:val="24"/>
          <w:szCs w:val="24"/>
        </w:rPr>
        <w:t>As the party seeking affirmative relief from the Commission, M</w:t>
      </w:r>
      <w:r w:rsidR="00447635" w:rsidRPr="00957E3F">
        <w:rPr>
          <w:sz w:val="24"/>
          <w:szCs w:val="24"/>
        </w:rPr>
        <w:t>r</w:t>
      </w:r>
      <w:r w:rsidRPr="00957E3F">
        <w:rPr>
          <w:sz w:val="24"/>
          <w:szCs w:val="24"/>
        </w:rPr>
        <w:t xml:space="preserve">. </w:t>
      </w:r>
      <w:r w:rsidR="00447635" w:rsidRPr="00957E3F">
        <w:rPr>
          <w:sz w:val="24"/>
          <w:szCs w:val="24"/>
        </w:rPr>
        <w:t xml:space="preserve">Williams </w:t>
      </w:r>
      <w:r w:rsidRPr="00957E3F">
        <w:rPr>
          <w:sz w:val="24"/>
          <w:szCs w:val="24"/>
        </w:rPr>
        <w:t xml:space="preserve">bears the burden of proof.  66 Pa.C.S. § 332(a).  To satisfy the burden of proof, a complainant must show that the respondent public utility is responsible or accountable for the problem described in the complaint.  </w:t>
      </w:r>
      <w:r w:rsidRPr="00957E3F">
        <w:rPr>
          <w:sz w:val="24"/>
          <w:szCs w:val="24"/>
          <w:u w:val="single"/>
        </w:rPr>
        <w:t>Patterson v. Bell Telephone Company</w:t>
      </w:r>
      <w:r w:rsidRPr="00957E3F">
        <w:rPr>
          <w:sz w:val="24"/>
          <w:szCs w:val="24"/>
        </w:rPr>
        <w:t xml:space="preserve">, 72 Pa. PUC 196 (February 8, 1990); </w:t>
      </w:r>
      <w:r w:rsidRPr="00957E3F">
        <w:rPr>
          <w:sz w:val="24"/>
          <w:szCs w:val="24"/>
          <w:u w:val="single"/>
        </w:rPr>
        <w:t>Feinstein v. Philadelphia Suburban Water Company</w:t>
      </w:r>
      <w:r w:rsidRPr="00957E3F">
        <w:rPr>
          <w:sz w:val="24"/>
          <w:szCs w:val="24"/>
        </w:rPr>
        <w:t xml:space="preserve">, 50 Pa. PUC 300 (October 6, 1976).  Such a showing must be by a preponderance of the evidence.  </w:t>
      </w:r>
      <w:r w:rsidRPr="00957E3F">
        <w:rPr>
          <w:sz w:val="24"/>
          <w:szCs w:val="24"/>
          <w:u w:val="single"/>
        </w:rPr>
        <w:t>Samuel J. Lansberry, Inc. v. Pa. Pub. Util. Comm’n</w:t>
      </w:r>
      <w:r w:rsidRPr="00957E3F">
        <w:rPr>
          <w:sz w:val="24"/>
          <w:szCs w:val="24"/>
        </w:rPr>
        <w:t xml:space="preserve">, 134 Pa.Cmwlth. 218, 578 A.2d 600 (Pa.Cmwlth. 1990).  That is, by presenting evidence more convincing, by even the smallest amount, than that presented by the other party.  </w:t>
      </w:r>
      <w:r w:rsidRPr="00957E3F">
        <w:rPr>
          <w:sz w:val="24"/>
          <w:szCs w:val="24"/>
          <w:u w:val="single"/>
        </w:rPr>
        <w:t>Se-Ling Hosiery v. Margulies</w:t>
      </w:r>
      <w:r w:rsidRPr="00957E3F">
        <w:rPr>
          <w:sz w:val="24"/>
          <w:szCs w:val="24"/>
        </w:rPr>
        <w:t xml:space="preserve">, 364 Pa. 45, 70 A.2d 854 (1950).  Additionally, any finding of fact necessary to support the Commission’s adjudication must be based upon substantial evidence.  </w:t>
      </w:r>
      <w:r w:rsidRPr="00957E3F">
        <w:rPr>
          <w:sz w:val="24"/>
          <w:szCs w:val="24"/>
          <w:u w:val="single"/>
        </w:rPr>
        <w:t>Mill v. Pa. Pub. Util. Comm’n</w:t>
      </w:r>
      <w:r w:rsidRPr="00957E3F">
        <w:rPr>
          <w:sz w:val="24"/>
          <w:szCs w:val="24"/>
        </w:rPr>
        <w:t xml:space="preserve">, 67 Pa.Cmwlth. 597, 447 A.2d 1100 (Pa.Cmwlth. 1982).  More is required than a mere trace of evidence or a suspicion of the existence of a fact sought to be established.  </w:t>
      </w:r>
      <w:r w:rsidRPr="00957E3F">
        <w:rPr>
          <w:sz w:val="24"/>
          <w:szCs w:val="24"/>
          <w:u w:val="single"/>
        </w:rPr>
        <w:t>Norfolk and Western Ry. v. Pa. Pub. Util. Comm’n</w:t>
      </w:r>
      <w:r w:rsidRPr="00957E3F">
        <w:rPr>
          <w:sz w:val="24"/>
          <w:szCs w:val="24"/>
        </w:rPr>
        <w:t xml:space="preserve">, 489 Pa. 109, 413 A.2d 1037 (Pa. 1980). </w:t>
      </w:r>
    </w:p>
    <w:p w:rsidR="006362CC" w:rsidRPr="00957E3F" w:rsidRDefault="006362CC" w:rsidP="00957E3F">
      <w:pPr>
        <w:pStyle w:val="BodyText"/>
        <w:ind w:firstLine="720"/>
        <w:jc w:val="left"/>
        <w:rPr>
          <w:sz w:val="24"/>
          <w:szCs w:val="24"/>
        </w:rPr>
      </w:pPr>
      <w:r w:rsidRPr="00957E3F">
        <w:rPr>
          <w:sz w:val="24"/>
          <w:szCs w:val="24"/>
        </w:rPr>
        <w:t xml:space="preserve">   </w:t>
      </w:r>
    </w:p>
    <w:p w:rsidR="006362CC" w:rsidRPr="00957E3F" w:rsidRDefault="006362CC" w:rsidP="00957E3F">
      <w:pPr>
        <w:pStyle w:val="BodyText"/>
        <w:ind w:firstLine="720"/>
        <w:jc w:val="left"/>
        <w:rPr>
          <w:sz w:val="24"/>
          <w:szCs w:val="24"/>
        </w:rPr>
      </w:pPr>
      <w:r w:rsidRPr="00957E3F">
        <w:rPr>
          <w:sz w:val="24"/>
          <w:szCs w:val="24"/>
        </w:rPr>
        <w:tab/>
        <w:t xml:space="preserve">Establishing a prima facie case requires either evidence sufficient to make a finding of fact permissible or evidence to create a presumption against an opponent which, if not met, results in an obligatory decision for the proponent.  </w:t>
      </w:r>
      <w:r w:rsidRPr="00957E3F">
        <w:rPr>
          <w:sz w:val="24"/>
          <w:szCs w:val="24"/>
          <w:u w:val="single"/>
        </w:rPr>
        <w:t>In re: Fink’s Estate</w:t>
      </w:r>
      <w:r w:rsidRPr="00957E3F">
        <w:rPr>
          <w:sz w:val="24"/>
          <w:szCs w:val="24"/>
        </w:rPr>
        <w:t xml:space="preserve">, 343 Pa. 65, 74, 21 A.2d 883, 888-889 (1941); </w:t>
      </w:r>
      <w:r w:rsidRPr="00957E3F">
        <w:rPr>
          <w:sz w:val="24"/>
          <w:szCs w:val="24"/>
          <w:u w:val="single"/>
        </w:rPr>
        <w:t>Rogers v. United States</w:t>
      </w:r>
      <w:r w:rsidRPr="00957E3F">
        <w:rPr>
          <w:sz w:val="24"/>
          <w:szCs w:val="24"/>
        </w:rPr>
        <w:t xml:space="preserve">, 66 F. Supp. 663, 667, relying, in relevant part, on </w:t>
      </w:r>
      <w:r w:rsidRPr="00957E3F">
        <w:rPr>
          <w:sz w:val="24"/>
          <w:szCs w:val="24"/>
          <w:u w:val="single"/>
        </w:rPr>
        <w:t>Roseberry v. Home Life Insurance Company</w:t>
      </w:r>
      <w:r w:rsidRPr="00957E3F">
        <w:rPr>
          <w:sz w:val="24"/>
          <w:szCs w:val="24"/>
        </w:rPr>
        <w:t>, 120 Pa. Superior Ct. 450, 454, 183 A. 121, 95 A.L.R. 749 (1936).</w:t>
      </w:r>
    </w:p>
    <w:p w:rsidR="006362CC" w:rsidRPr="00957E3F" w:rsidRDefault="006362CC" w:rsidP="00957E3F">
      <w:pPr>
        <w:ind w:firstLine="1440"/>
        <w:jc w:val="both"/>
        <w:rPr>
          <w:sz w:val="24"/>
          <w:szCs w:val="24"/>
        </w:rPr>
      </w:pPr>
    </w:p>
    <w:p w:rsidR="00447635" w:rsidRPr="00957E3F" w:rsidRDefault="006362CC" w:rsidP="00957E3F">
      <w:pPr>
        <w:tabs>
          <w:tab w:val="left" w:pos="2160"/>
        </w:tabs>
        <w:ind w:firstLine="1440"/>
        <w:rPr>
          <w:sz w:val="24"/>
          <w:szCs w:val="24"/>
        </w:rPr>
      </w:pPr>
      <w:r w:rsidRPr="00957E3F">
        <w:rPr>
          <w:sz w:val="24"/>
          <w:szCs w:val="24"/>
        </w:rPr>
        <w:lastRenderedPageBreak/>
        <w:t>M</w:t>
      </w:r>
      <w:r w:rsidR="00447635" w:rsidRPr="00957E3F">
        <w:rPr>
          <w:sz w:val="24"/>
          <w:szCs w:val="24"/>
        </w:rPr>
        <w:t>r</w:t>
      </w:r>
      <w:r w:rsidRPr="00957E3F">
        <w:rPr>
          <w:sz w:val="24"/>
          <w:szCs w:val="24"/>
        </w:rPr>
        <w:t xml:space="preserve">. </w:t>
      </w:r>
      <w:r w:rsidR="00447635" w:rsidRPr="00957E3F">
        <w:rPr>
          <w:sz w:val="24"/>
          <w:szCs w:val="24"/>
        </w:rPr>
        <w:t>Williams</w:t>
      </w:r>
      <w:r w:rsidRPr="00957E3F">
        <w:rPr>
          <w:sz w:val="24"/>
          <w:szCs w:val="24"/>
        </w:rPr>
        <w:t xml:space="preserve"> did not meet h</w:t>
      </w:r>
      <w:r w:rsidR="00447635" w:rsidRPr="00957E3F">
        <w:rPr>
          <w:sz w:val="24"/>
          <w:szCs w:val="24"/>
        </w:rPr>
        <w:t xml:space="preserve">is </w:t>
      </w:r>
      <w:r w:rsidRPr="00957E3F">
        <w:rPr>
          <w:sz w:val="24"/>
          <w:szCs w:val="24"/>
        </w:rPr>
        <w:t xml:space="preserve">burden of proof in this matter.  In </w:t>
      </w:r>
      <w:r w:rsidR="00162B1D" w:rsidRPr="00957E3F">
        <w:rPr>
          <w:sz w:val="24"/>
          <w:szCs w:val="24"/>
        </w:rPr>
        <w:t>his formal</w:t>
      </w:r>
      <w:r w:rsidR="00B52E20" w:rsidRPr="00957E3F">
        <w:rPr>
          <w:sz w:val="24"/>
          <w:szCs w:val="24"/>
        </w:rPr>
        <w:t xml:space="preserve"> </w:t>
      </w:r>
      <w:r w:rsidRPr="00957E3F">
        <w:rPr>
          <w:sz w:val="24"/>
          <w:szCs w:val="24"/>
        </w:rPr>
        <w:t>complaint</w:t>
      </w:r>
      <w:r w:rsidR="00162B1D" w:rsidRPr="00957E3F">
        <w:rPr>
          <w:sz w:val="24"/>
          <w:szCs w:val="24"/>
        </w:rPr>
        <w:t>, Mr</w:t>
      </w:r>
      <w:r w:rsidRPr="00957E3F">
        <w:rPr>
          <w:sz w:val="24"/>
          <w:szCs w:val="24"/>
        </w:rPr>
        <w:t xml:space="preserve">. </w:t>
      </w:r>
      <w:r w:rsidR="00447635" w:rsidRPr="00957E3F">
        <w:rPr>
          <w:sz w:val="24"/>
          <w:szCs w:val="24"/>
        </w:rPr>
        <w:t>Williams</w:t>
      </w:r>
      <w:r w:rsidRPr="00957E3F">
        <w:rPr>
          <w:sz w:val="24"/>
          <w:szCs w:val="24"/>
        </w:rPr>
        <w:t xml:space="preserve"> alleged the existence of reliability and quality problems with h</w:t>
      </w:r>
      <w:r w:rsidR="00447635" w:rsidRPr="00957E3F">
        <w:rPr>
          <w:sz w:val="24"/>
          <w:szCs w:val="24"/>
        </w:rPr>
        <w:t xml:space="preserve">is </w:t>
      </w:r>
      <w:r w:rsidRPr="00957E3F">
        <w:rPr>
          <w:sz w:val="24"/>
          <w:szCs w:val="24"/>
        </w:rPr>
        <w:t>electric utility service.  M</w:t>
      </w:r>
      <w:r w:rsidR="00447635" w:rsidRPr="00957E3F">
        <w:rPr>
          <w:sz w:val="24"/>
          <w:szCs w:val="24"/>
        </w:rPr>
        <w:t>r</w:t>
      </w:r>
      <w:r w:rsidRPr="00957E3F">
        <w:rPr>
          <w:sz w:val="24"/>
          <w:szCs w:val="24"/>
        </w:rPr>
        <w:t xml:space="preserve">. </w:t>
      </w:r>
      <w:r w:rsidR="00447635" w:rsidRPr="00957E3F">
        <w:rPr>
          <w:sz w:val="24"/>
          <w:szCs w:val="24"/>
        </w:rPr>
        <w:t>Williams</w:t>
      </w:r>
      <w:r w:rsidRPr="00957E3F">
        <w:rPr>
          <w:sz w:val="24"/>
          <w:szCs w:val="24"/>
        </w:rPr>
        <w:t xml:space="preserve"> claims </w:t>
      </w:r>
      <w:r w:rsidR="00447635" w:rsidRPr="00957E3F">
        <w:rPr>
          <w:sz w:val="24"/>
          <w:szCs w:val="24"/>
        </w:rPr>
        <w:t>his initial problems occurred on July 7, 2012, when he measured his electric voltage at 104 volts</w:t>
      </w:r>
      <w:r w:rsidR="00B52E20" w:rsidRPr="00957E3F">
        <w:rPr>
          <w:sz w:val="24"/>
          <w:szCs w:val="24"/>
        </w:rPr>
        <w:t xml:space="preserve"> and that in </w:t>
      </w:r>
      <w:r w:rsidR="00447635" w:rsidRPr="00957E3F">
        <w:rPr>
          <w:sz w:val="24"/>
          <w:szCs w:val="24"/>
        </w:rPr>
        <w:t xml:space="preserve">July of 2012, </w:t>
      </w:r>
      <w:r w:rsidR="00B52E20" w:rsidRPr="00957E3F">
        <w:rPr>
          <w:sz w:val="24"/>
          <w:szCs w:val="24"/>
        </w:rPr>
        <w:t xml:space="preserve">his </w:t>
      </w:r>
      <w:r w:rsidR="00447635" w:rsidRPr="00957E3F">
        <w:rPr>
          <w:sz w:val="24"/>
          <w:szCs w:val="24"/>
        </w:rPr>
        <w:t>whole house air</w:t>
      </w:r>
      <w:r w:rsidR="009617A6">
        <w:rPr>
          <w:sz w:val="24"/>
          <w:szCs w:val="24"/>
        </w:rPr>
        <w:t xml:space="preserve"> </w:t>
      </w:r>
      <w:r w:rsidR="00447635" w:rsidRPr="00957E3F">
        <w:rPr>
          <w:sz w:val="24"/>
          <w:szCs w:val="24"/>
        </w:rPr>
        <w:t>conditioning unit at the service address</w:t>
      </w:r>
      <w:r w:rsidR="00B52E20" w:rsidRPr="00957E3F">
        <w:rPr>
          <w:sz w:val="24"/>
          <w:szCs w:val="24"/>
        </w:rPr>
        <w:t xml:space="preserve"> was damaged</w:t>
      </w:r>
      <w:r w:rsidR="00447635" w:rsidRPr="00957E3F">
        <w:rPr>
          <w:sz w:val="24"/>
          <w:szCs w:val="24"/>
        </w:rPr>
        <w:t xml:space="preserve">.  </w:t>
      </w:r>
    </w:p>
    <w:p w:rsidR="00447635" w:rsidRPr="00957E3F" w:rsidRDefault="00447635" w:rsidP="00957E3F">
      <w:pPr>
        <w:pStyle w:val="BodyText"/>
        <w:jc w:val="left"/>
        <w:rPr>
          <w:sz w:val="24"/>
          <w:szCs w:val="24"/>
        </w:rPr>
      </w:pPr>
    </w:p>
    <w:p w:rsidR="006362CC" w:rsidRDefault="006362CC" w:rsidP="00957E3F">
      <w:pPr>
        <w:ind w:firstLine="1440"/>
        <w:rPr>
          <w:sz w:val="24"/>
          <w:szCs w:val="24"/>
        </w:rPr>
      </w:pPr>
      <w:r w:rsidRPr="00957E3F">
        <w:rPr>
          <w:sz w:val="24"/>
          <w:szCs w:val="24"/>
        </w:rPr>
        <w:t>M</w:t>
      </w:r>
      <w:r w:rsidR="00B52E20" w:rsidRPr="00957E3F">
        <w:rPr>
          <w:sz w:val="24"/>
          <w:szCs w:val="24"/>
        </w:rPr>
        <w:t>r</w:t>
      </w:r>
      <w:r w:rsidRPr="00957E3F">
        <w:rPr>
          <w:sz w:val="24"/>
          <w:szCs w:val="24"/>
        </w:rPr>
        <w:t xml:space="preserve">. </w:t>
      </w:r>
      <w:r w:rsidR="00B52E20" w:rsidRPr="00957E3F">
        <w:rPr>
          <w:sz w:val="24"/>
          <w:szCs w:val="24"/>
        </w:rPr>
        <w:t xml:space="preserve">Williams </w:t>
      </w:r>
      <w:r w:rsidRPr="00957E3F">
        <w:rPr>
          <w:sz w:val="24"/>
          <w:szCs w:val="24"/>
        </w:rPr>
        <w:t xml:space="preserve">failed to provide any </w:t>
      </w:r>
      <w:r w:rsidR="00B52E20" w:rsidRPr="00957E3F">
        <w:rPr>
          <w:sz w:val="24"/>
          <w:szCs w:val="24"/>
        </w:rPr>
        <w:t xml:space="preserve">credible </w:t>
      </w:r>
      <w:r w:rsidRPr="00957E3F">
        <w:rPr>
          <w:sz w:val="24"/>
          <w:szCs w:val="24"/>
        </w:rPr>
        <w:t xml:space="preserve">evidence with regard to the cause of the </w:t>
      </w:r>
      <w:r w:rsidR="00B52E20" w:rsidRPr="00957E3F">
        <w:rPr>
          <w:sz w:val="24"/>
          <w:szCs w:val="24"/>
        </w:rPr>
        <w:t>dam</w:t>
      </w:r>
      <w:r w:rsidR="009617A6">
        <w:rPr>
          <w:sz w:val="24"/>
          <w:szCs w:val="24"/>
        </w:rPr>
        <w:t xml:space="preserve">age to his air </w:t>
      </w:r>
      <w:r w:rsidR="00B52E20" w:rsidRPr="00957E3F">
        <w:rPr>
          <w:sz w:val="24"/>
          <w:szCs w:val="24"/>
        </w:rPr>
        <w:t xml:space="preserve">conditioning unit </w:t>
      </w:r>
      <w:r w:rsidR="00DE451A" w:rsidRPr="00957E3F">
        <w:rPr>
          <w:sz w:val="24"/>
          <w:szCs w:val="24"/>
        </w:rPr>
        <w:t xml:space="preserve">or that the voltage to the service address </w:t>
      </w:r>
      <w:r w:rsidR="00FA0AA0" w:rsidRPr="00957E3F">
        <w:rPr>
          <w:sz w:val="24"/>
          <w:szCs w:val="24"/>
        </w:rPr>
        <w:t xml:space="preserve">deviated from </w:t>
      </w:r>
      <w:r w:rsidR="00DE451A" w:rsidRPr="00957E3F">
        <w:rPr>
          <w:sz w:val="24"/>
          <w:szCs w:val="24"/>
        </w:rPr>
        <w:t xml:space="preserve">acceptable limits.  Mr. Williams provided only his opinion </w:t>
      </w:r>
      <w:r w:rsidRPr="00957E3F">
        <w:rPr>
          <w:sz w:val="24"/>
          <w:szCs w:val="24"/>
        </w:rPr>
        <w:t xml:space="preserve">that the </w:t>
      </w:r>
      <w:r w:rsidR="00DE451A" w:rsidRPr="00957E3F">
        <w:rPr>
          <w:sz w:val="24"/>
          <w:szCs w:val="24"/>
        </w:rPr>
        <w:t>voltage provided by Respondent was low</w:t>
      </w:r>
      <w:r w:rsidR="00FA0AA0" w:rsidRPr="00957E3F">
        <w:rPr>
          <w:sz w:val="24"/>
          <w:szCs w:val="24"/>
        </w:rPr>
        <w:t xml:space="preserve">, based upon his use of voltage meters which were not shown to be reliable.  </w:t>
      </w:r>
      <w:r w:rsidR="00DE451A" w:rsidRPr="00957E3F">
        <w:rPr>
          <w:sz w:val="24"/>
          <w:szCs w:val="24"/>
        </w:rPr>
        <w:t xml:space="preserve">Complainant monitored his electric voltage by plugging a test meter into a wall outlet.  Complainant used a twenty year old testing device and </w:t>
      </w:r>
      <w:r w:rsidR="00FA0AA0" w:rsidRPr="00957E3F">
        <w:rPr>
          <w:sz w:val="24"/>
          <w:szCs w:val="24"/>
        </w:rPr>
        <w:t>an</w:t>
      </w:r>
      <w:r w:rsidR="00DE451A" w:rsidRPr="00957E3F">
        <w:rPr>
          <w:sz w:val="24"/>
          <w:szCs w:val="24"/>
        </w:rPr>
        <w:t>other</w:t>
      </w:r>
      <w:r w:rsidR="00335E91" w:rsidRPr="00957E3F">
        <w:rPr>
          <w:sz w:val="24"/>
          <w:szCs w:val="24"/>
        </w:rPr>
        <w:t xml:space="preserve"> device</w:t>
      </w:r>
      <w:r w:rsidR="00DE451A" w:rsidRPr="00957E3F">
        <w:rPr>
          <w:sz w:val="24"/>
          <w:szCs w:val="24"/>
        </w:rPr>
        <w:t xml:space="preserve"> that </w:t>
      </w:r>
      <w:r w:rsidR="00FA0AA0" w:rsidRPr="00957E3F">
        <w:rPr>
          <w:sz w:val="24"/>
          <w:szCs w:val="24"/>
        </w:rPr>
        <w:t>was</w:t>
      </w:r>
      <w:r w:rsidR="00DE451A" w:rsidRPr="00957E3F">
        <w:rPr>
          <w:sz w:val="24"/>
          <w:szCs w:val="24"/>
        </w:rPr>
        <w:t xml:space="preserve"> approximately two years old,</w:t>
      </w:r>
      <w:r w:rsidR="00FA0AA0" w:rsidRPr="00957E3F">
        <w:rPr>
          <w:sz w:val="24"/>
          <w:szCs w:val="24"/>
        </w:rPr>
        <w:t xml:space="preserve"> neither of which </w:t>
      </w:r>
      <w:r w:rsidR="00DE451A" w:rsidRPr="00957E3F">
        <w:rPr>
          <w:sz w:val="24"/>
          <w:szCs w:val="24"/>
        </w:rPr>
        <w:t xml:space="preserve">were calibrated.  Further, Complainant has no training in electrical facilities or electricity.  Respondent’s expert witness, Thomas Cochenour, an electrical engineer for approximately 27 years, testified that the </w:t>
      </w:r>
      <w:r w:rsidR="00FA0AA0" w:rsidRPr="00957E3F">
        <w:rPr>
          <w:sz w:val="24"/>
          <w:szCs w:val="24"/>
        </w:rPr>
        <w:t xml:space="preserve">voltage testing is to be performed at the meter socket.  (Tr. 54-55).  </w:t>
      </w:r>
      <w:r w:rsidR="000A76A9" w:rsidRPr="00957E3F">
        <w:rPr>
          <w:sz w:val="24"/>
          <w:szCs w:val="24"/>
        </w:rPr>
        <w:t>Accordingly, no weight was given to the test results obtained by Complainant.  In addition, no evidence was presented to establish that the damage to Mr.</w:t>
      </w:r>
      <w:r w:rsidR="00527DD5">
        <w:rPr>
          <w:sz w:val="24"/>
          <w:szCs w:val="24"/>
        </w:rPr>
        <w:t> </w:t>
      </w:r>
      <w:r w:rsidR="000A76A9" w:rsidRPr="00957E3F">
        <w:rPr>
          <w:sz w:val="24"/>
          <w:szCs w:val="24"/>
        </w:rPr>
        <w:t>Williams</w:t>
      </w:r>
      <w:r w:rsidR="00162B1D">
        <w:rPr>
          <w:sz w:val="24"/>
          <w:szCs w:val="24"/>
        </w:rPr>
        <w:t>’</w:t>
      </w:r>
      <w:r w:rsidR="000A76A9" w:rsidRPr="00957E3F">
        <w:rPr>
          <w:sz w:val="24"/>
          <w:szCs w:val="24"/>
        </w:rPr>
        <w:t xml:space="preserve"> property was caused by any act or failure to act by Respondent.  Under the circumstances, t</w:t>
      </w:r>
      <w:r w:rsidRPr="00957E3F">
        <w:rPr>
          <w:sz w:val="24"/>
          <w:szCs w:val="24"/>
        </w:rPr>
        <w:t>he evidence presented by M</w:t>
      </w:r>
      <w:r w:rsidR="000A76A9" w:rsidRPr="00957E3F">
        <w:rPr>
          <w:sz w:val="24"/>
          <w:szCs w:val="24"/>
        </w:rPr>
        <w:t>r</w:t>
      </w:r>
      <w:r w:rsidRPr="00957E3F">
        <w:rPr>
          <w:sz w:val="24"/>
          <w:szCs w:val="24"/>
        </w:rPr>
        <w:t xml:space="preserve">. </w:t>
      </w:r>
      <w:r w:rsidR="000A76A9" w:rsidRPr="00957E3F">
        <w:rPr>
          <w:sz w:val="24"/>
          <w:szCs w:val="24"/>
        </w:rPr>
        <w:t xml:space="preserve">Williams was </w:t>
      </w:r>
      <w:r w:rsidRPr="00957E3F">
        <w:rPr>
          <w:sz w:val="24"/>
          <w:szCs w:val="24"/>
        </w:rPr>
        <w:t xml:space="preserve">not sufficient to support a finding that </w:t>
      </w:r>
      <w:r w:rsidR="00FA0AA0" w:rsidRPr="00957E3F">
        <w:rPr>
          <w:sz w:val="24"/>
          <w:szCs w:val="24"/>
        </w:rPr>
        <w:t xml:space="preserve">Respondent </w:t>
      </w:r>
      <w:r w:rsidRPr="00957E3F">
        <w:rPr>
          <w:sz w:val="24"/>
          <w:szCs w:val="24"/>
        </w:rPr>
        <w:t>provided inadequate, inefficient, unsafe, or unreasonable service and facilities.  M</w:t>
      </w:r>
      <w:r w:rsidR="000A76A9" w:rsidRPr="00957E3F">
        <w:rPr>
          <w:sz w:val="24"/>
          <w:szCs w:val="24"/>
        </w:rPr>
        <w:t>r</w:t>
      </w:r>
      <w:r w:rsidRPr="00957E3F">
        <w:rPr>
          <w:sz w:val="24"/>
          <w:szCs w:val="24"/>
        </w:rPr>
        <w:t>. </w:t>
      </w:r>
      <w:r w:rsidR="000A76A9" w:rsidRPr="00957E3F">
        <w:rPr>
          <w:sz w:val="24"/>
          <w:szCs w:val="24"/>
        </w:rPr>
        <w:t xml:space="preserve">Williams </w:t>
      </w:r>
      <w:r w:rsidRPr="00957E3F">
        <w:rPr>
          <w:sz w:val="24"/>
          <w:szCs w:val="24"/>
        </w:rPr>
        <w:t>failed to establish a prima facie case</w:t>
      </w:r>
      <w:r w:rsidR="000A76A9" w:rsidRPr="00957E3F">
        <w:rPr>
          <w:sz w:val="24"/>
          <w:szCs w:val="24"/>
        </w:rPr>
        <w:t xml:space="preserve"> in this matter</w:t>
      </w:r>
      <w:r w:rsidRPr="00957E3F">
        <w:rPr>
          <w:sz w:val="24"/>
          <w:szCs w:val="24"/>
        </w:rPr>
        <w:t>.</w:t>
      </w:r>
    </w:p>
    <w:p w:rsidR="00537F5B" w:rsidRDefault="00537F5B" w:rsidP="00957E3F">
      <w:pPr>
        <w:ind w:firstLine="1440"/>
        <w:rPr>
          <w:sz w:val="24"/>
          <w:szCs w:val="24"/>
        </w:rPr>
      </w:pPr>
    </w:p>
    <w:p w:rsidR="00537F5B" w:rsidRPr="00957E3F" w:rsidRDefault="00537F5B" w:rsidP="00957E3F">
      <w:pPr>
        <w:ind w:firstLine="1440"/>
        <w:rPr>
          <w:sz w:val="24"/>
          <w:szCs w:val="24"/>
        </w:rPr>
      </w:pPr>
      <w:r>
        <w:rPr>
          <w:sz w:val="24"/>
          <w:szCs w:val="24"/>
        </w:rPr>
        <w:t>Respondent provided evidence that Complainant experienced short durations of voltage below 114, with the lowest voltage being recorded at 112 volts for approximately ten minutes in October of 2012.  In response, Respondent installed a voltage regulator at a cost of $50,000 to $60,000 and was never made aware of any further complaints by Mr. Williams.</w:t>
      </w:r>
    </w:p>
    <w:p w:rsidR="006362CC" w:rsidRPr="00957E3F" w:rsidRDefault="006362CC" w:rsidP="00957E3F">
      <w:pPr>
        <w:ind w:firstLine="1440"/>
        <w:rPr>
          <w:sz w:val="24"/>
          <w:szCs w:val="24"/>
        </w:rPr>
      </w:pPr>
    </w:p>
    <w:p w:rsidR="006362CC" w:rsidRPr="00957E3F" w:rsidRDefault="006362CC" w:rsidP="00957E3F">
      <w:pPr>
        <w:ind w:firstLine="1440"/>
        <w:rPr>
          <w:sz w:val="24"/>
          <w:szCs w:val="24"/>
        </w:rPr>
      </w:pPr>
      <w:r w:rsidRPr="00957E3F">
        <w:rPr>
          <w:sz w:val="24"/>
          <w:szCs w:val="24"/>
        </w:rPr>
        <w:t xml:space="preserve">Complainant presented no authority to suggest the </w:t>
      </w:r>
      <w:r w:rsidR="000A76A9" w:rsidRPr="00957E3F">
        <w:rPr>
          <w:sz w:val="24"/>
          <w:szCs w:val="24"/>
        </w:rPr>
        <w:t>low voltage situation, believed to exist by Complainant, i</w:t>
      </w:r>
      <w:r w:rsidRPr="00957E3F">
        <w:rPr>
          <w:sz w:val="24"/>
          <w:szCs w:val="24"/>
        </w:rPr>
        <w:t xml:space="preserve">n and of itself, constitutes inadequate, inefficient, unsafe, or unreasonable service.  In </w:t>
      </w:r>
      <w:r w:rsidRPr="00957E3F">
        <w:rPr>
          <w:sz w:val="24"/>
          <w:szCs w:val="24"/>
          <w:u w:val="single"/>
        </w:rPr>
        <w:t>Elkin v. Bell Telephone Company</w:t>
      </w:r>
      <w:r w:rsidRPr="00957E3F">
        <w:rPr>
          <w:sz w:val="24"/>
          <w:szCs w:val="24"/>
        </w:rPr>
        <w:t xml:space="preserve">, 372 </w:t>
      </w:r>
      <w:bookmarkStart w:id="0" w:name="_GoBack"/>
      <w:bookmarkEnd w:id="0"/>
      <w:r w:rsidRPr="00957E3F">
        <w:rPr>
          <w:sz w:val="24"/>
          <w:szCs w:val="24"/>
        </w:rPr>
        <w:t>A.2d 1203 (Pa.Super. 1977), the Pennsylvania Superior Court defined “reasonable and adequate” service and explained:</w:t>
      </w:r>
    </w:p>
    <w:p w:rsidR="006362CC" w:rsidRPr="00957E3F" w:rsidRDefault="006362CC" w:rsidP="00FA0AA0">
      <w:pPr>
        <w:spacing w:line="276" w:lineRule="auto"/>
        <w:ind w:left="1440" w:right="1440" w:firstLine="90"/>
        <w:rPr>
          <w:sz w:val="24"/>
          <w:szCs w:val="24"/>
        </w:rPr>
      </w:pPr>
      <w:r w:rsidRPr="00957E3F">
        <w:rPr>
          <w:sz w:val="24"/>
          <w:szCs w:val="24"/>
        </w:rPr>
        <w:lastRenderedPageBreak/>
        <w:t xml:space="preserve">. . .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commission . . . .  We discussed the nature of this statutory standard, and the P.U.C.’s duties with respect thereto, in </w:t>
      </w:r>
      <w:r w:rsidRPr="00957E3F">
        <w:rPr>
          <w:sz w:val="24"/>
          <w:szCs w:val="24"/>
          <w:u w:val="single"/>
        </w:rPr>
        <w:t>Colonial Products Company v. P.U.C.</w:t>
      </w:r>
      <w:r w:rsidRPr="00957E3F">
        <w:rPr>
          <w:sz w:val="24"/>
          <w:szCs w:val="24"/>
        </w:rPr>
        <w:t>, 188 Pa.Super. 163 (1958), wherein we stated:</w:t>
      </w:r>
    </w:p>
    <w:p w:rsidR="006362CC" w:rsidRPr="00957E3F" w:rsidRDefault="006362CC" w:rsidP="00FA0AA0">
      <w:pPr>
        <w:spacing w:line="276" w:lineRule="auto"/>
        <w:ind w:left="1440" w:right="1440" w:firstLine="90"/>
        <w:rPr>
          <w:sz w:val="24"/>
          <w:szCs w:val="24"/>
        </w:rPr>
      </w:pPr>
    </w:p>
    <w:p w:rsidR="006362CC" w:rsidRPr="00957E3F" w:rsidRDefault="006362CC" w:rsidP="00957E3F">
      <w:pPr>
        <w:spacing w:line="240" w:lineRule="auto"/>
        <w:ind w:left="2160" w:right="2160"/>
        <w:rPr>
          <w:sz w:val="24"/>
          <w:szCs w:val="24"/>
        </w:rPr>
      </w:pPr>
      <w:r w:rsidRPr="00957E3F">
        <w:rPr>
          <w:sz w:val="24"/>
          <w:szCs w:val="24"/>
        </w:rPr>
        <w:t xml:space="preserve">By its very nature, </w:t>
      </w:r>
      <w:r w:rsidRPr="00957E3F">
        <w:rPr>
          <w:i/>
          <w:sz w:val="24"/>
          <w:szCs w:val="24"/>
        </w:rPr>
        <w:t>the statutory standard is not capable of definition with mathematical precision</w:t>
      </w:r>
      <w:r w:rsidRPr="00957E3F">
        <w:rPr>
          <w:sz w:val="24"/>
          <w:szCs w:val="24"/>
        </w:rPr>
        <w:t xml:space="preserve">.  The duty is upon the commission . . . . to determine on the basis of the facts and circumstances indicated by the substantial evidence whether the service provided is reasonable and adequate for the public.  </w:t>
      </w:r>
      <w:r w:rsidRPr="00957E3F">
        <w:rPr>
          <w:i/>
          <w:sz w:val="24"/>
          <w:szCs w:val="24"/>
        </w:rPr>
        <w:t>Id</w:t>
      </w:r>
      <w:r w:rsidRPr="00957E3F">
        <w:rPr>
          <w:sz w:val="24"/>
          <w:szCs w:val="24"/>
        </w:rPr>
        <w:t>.  188 Pa.Super. at 169-70.</w:t>
      </w:r>
    </w:p>
    <w:p w:rsidR="006362CC" w:rsidRPr="00957E3F" w:rsidRDefault="006362CC" w:rsidP="00957E3F">
      <w:pPr>
        <w:spacing w:line="240" w:lineRule="auto"/>
        <w:ind w:firstLine="1440"/>
        <w:rPr>
          <w:sz w:val="24"/>
          <w:szCs w:val="24"/>
        </w:rPr>
      </w:pPr>
    </w:p>
    <w:p w:rsidR="00884345" w:rsidRPr="00957E3F" w:rsidRDefault="00884345" w:rsidP="00957E3F">
      <w:pPr>
        <w:spacing w:line="240" w:lineRule="auto"/>
        <w:ind w:firstLine="1440"/>
        <w:rPr>
          <w:sz w:val="24"/>
          <w:szCs w:val="24"/>
        </w:rPr>
      </w:pPr>
    </w:p>
    <w:p w:rsidR="006362CC" w:rsidRPr="00957E3F" w:rsidRDefault="006362CC" w:rsidP="00957E3F">
      <w:pPr>
        <w:ind w:firstLine="1440"/>
        <w:rPr>
          <w:sz w:val="24"/>
          <w:szCs w:val="24"/>
        </w:rPr>
      </w:pPr>
      <w:r w:rsidRPr="00957E3F">
        <w:rPr>
          <w:sz w:val="24"/>
          <w:szCs w:val="24"/>
        </w:rPr>
        <w:t>I</w:t>
      </w:r>
      <w:r w:rsidR="00FA0AA0" w:rsidRPr="00957E3F">
        <w:rPr>
          <w:sz w:val="24"/>
          <w:szCs w:val="24"/>
        </w:rPr>
        <w:t xml:space="preserve">n </w:t>
      </w:r>
      <w:r w:rsidRPr="00957E3F">
        <w:rPr>
          <w:sz w:val="24"/>
          <w:szCs w:val="24"/>
          <w:u w:val="single"/>
        </w:rPr>
        <w:t>Elkin</w:t>
      </w:r>
      <w:r w:rsidRPr="00957E3F">
        <w:rPr>
          <w:sz w:val="24"/>
          <w:szCs w:val="24"/>
        </w:rPr>
        <w:t xml:space="preserve">, the Court emphasized the duty is upon the Commission to determine, on the basis of the facts and circumstances indicated by the substantial evidence, whether the service provided was reasonable and adequate.  Therefore, a case by case analysis must be made with regard to the cause of the </w:t>
      </w:r>
      <w:r w:rsidR="000A76A9" w:rsidRPr="00957E3F">
        <w:rPr>
          <w:sz w:val="24"/>
          <w:szCs w:val="24"/>
        </w:rPr>
        <w:t xml:space="preserve">problems allegedly caused by Respondent and </w:t>
      </w:r>
      <w:r w:rsidRPr="00957E3F">
        <w:rPr>
          <w:sz w:val="24"/>
          <w:szCs w:val="24"/>
        </w:rPr>
        <w:t xml:space="preserve">the length of time required by the Company to </w:t>
      </w:r>
      <w:r w:rsidR="000A76A9" w:rsidRPr="00957E3F">
        <w:rPr>
          <w:sz w:val="24"/>
          <w:szCs w:val="24"/>
        </w:rPr>
        <w:t>correct the problems.</w:t>
      </w:r>
    </w:p>
    <w:p w:rsidR="006362CC" w:rsidRPr="00957E3F" w:rsidRDefault="006362CC" w:rsidP="00957E3F">
      <w:pPr>
        <w:ind w:firstLine="1440"/>
        <w:rPr>
          <w:sz w:val="24"/>
          <w:szCs w:val="24"/>
        </w:rPr>
      </w:pPr>
    </w:p>
    <w:p w:rsidR="00884345" w:rsidRPr="00957E3F" w:rsidRDefault="006362CC" w:rsidP="00957E3F">
      <w:pPr>
        <w:ind w:firstLine="1440"/>
        <w:rPr>
          <w:sz w:val="24"/>
          <w:szCs w:val="24"/>
        </w:rPr>
      </w:pPr>
      <w:r w:rsidRPr="00957E3F">
        <w:rPr>
          <w:sz w:val="24"/>
          <w:szCs w:val="24"/>
        </w:rPr>
        <w:t>In contrast</w:t>
      </w:r>
      <w:r w:rsidR="000A76A9" w:rsidRPr="00957E3F">
        <w:rPr>
          <w:sz w:val="24"/>
          <w:szCs w:val="24"/>
        </w:rPr>
        <w:t xml:space="preserve"> to the evidence provided by Complainant, </w:t>
      </w:r>
      <w:r w:rsidR="00162B1D" w:rsidRPr="00957E3F">
        <w:rPr>
          <w:sz w:val="24"/>
          <w:szCs w:val="24"/>
        </w:rPr>
        <w:t>Respondent presented</w:t>
      </w:r>
      <w:r w:rsidRPr="00957E3F">
        <w:rPr>
          <w:sz w:val="24"/>
          <w:szCs w:val="24"/>
        </w:rPr>
        <w:t xml:space="preserve"> testimony and exhibits regarding its facilities that provide electric service to </w:t>
      </w:r>
      <w:r w:rsidR="00FA0AA0" w:rsidRPr="00957E3F">
        <w:rPr>
          <w:sz w:val="24"/>
          <w:szCs w:val="24"/>
        </w:rPr>
        <w:t>the service a</w:t>
      </w:r>
      <w:r w:rsidR="00335E91" w:rsidRPr="00957E3F">
        <w:rPr>
          <w:sz w:val="24"/>
          <w:szCs w:val="24"/>
        </w:rPr>
        <w:t>d</w:t>
      </w:r>
      <w:r w:rsidR="00FA0AA0" w:rsidRPr="00957E3F">
        <w:rPr>
          <w:sz w:val="24"/>
          <w:szCs w:val="24"/>
        </w:rPr>
        <w:t>dress</w:t>
      </w:r>
      <w:r w:rsidRPr="00957E3F">
        <w:rPr>
          <w:sz w:val="24"/>
          <w:szCs w:val="24"/>
        </w:rPr>
        <w:t>, and its responses to M</w:t>
      </w:r>
      <w:r w:rsidR="00F250C8" w:rsidRPr="00957E3F">
        <w:rPr>
          <w:sz w:val="24"/>
          <w:szCs w:val="24"/>
        </w:rPr>
        <w:t>r</w:t>
      </w:r>
      <w:r w:rsidRPr="00957E3F">
        <w:rPr>
          <w:sz w:val="24"/>
          <w:szCs w:val="24"/>
        </w:rPr>
        <w:t xml:space="preserve">. </w:t>
      </w:r>
      <w:r w:rsidR="00F250C8" w:rsidRPr="00957E3F">
        <w:rPr>
          <w:sz w:val="24"/>
          <w:szCs w:val="24"/>
        </w:rPr>
        <w:t>Williams</w:t>
      </w:r>
      <w:r w:rsidR="00F311A1">
        <w:rPr>
          <w:sz w:val="24"/>
          <w:szCs w:val="24"/>
        </w:rPr>
        <w:t>’</w:t>
      </w:r>
      <w:r w:rsidR="00F250C8" w:rsidRPr="00957E3F">
        <w:rPr>
          <w:sz w:val="24"/>
          <w:szCs w:val="24"/>
        </w:rPr>
        <w:t xml:space="preserve"> </w:t>
      </w:r>
      <w:r w:rsidRPr="00957E3F">
        <w:rPr>
          <w:sz w:val="24"/>
          <w:szCs w:val="24"/>
        </w:rPr>
        <w:t xml:space="preserve">complaints.  Respondent provided evidence that </w:t>
      </w:r>
      <w:r w:rsidR="00F250C8" w:rsidRPr="00957E3F">
        <w:rPr>
          <w:sz w:val="24"/>
          <w:szCs w:val="24"/>
        </w:rPr>
        <w:t>the standard acceptable voltage at the service address would be 120 volts with an acceptable deviation of 5% or 114 to 126 volts.</w:t>
      </w:r>
    </w:p>
    <w:p w:rsidR="00F250C8" w:rsidRPr="00957E3F" w:rsidRDefault="00F250C8" w:rsidP="00957E3F">
      <w:pPr>
        <w:ind w:firstLine="1440"/>
        <w:rPr>
          <w:sz w:val="24"/>
          <w:szCs w:val="24"/>
        </w:rPr>
      </w:pPr>
    </w:p>
    <w:p w:rsidR="00574A1B" w:rsidRPr="00957E3F" w:rsidRDefault="006362CC" w:rsidP="00957E3F">
      <w:pPr>
        <w:tabs>
          <w:tab w:val="left" w:pos="2160"/>
        </w:tabs>
        <w:ind w:firstLine="1440"/>
        <w:rPr>
          <w:sz w:val="24"/>
          <w:szCs w:val="24"/>
        </w:rPr>
      </w:pPr>
      <w:r w:rsidRPr="00957E3F">
        <w:rPr>
          <w:sz w:val="24"/>
          <w:szCs w:val="24"/>
        </w:rPr>
        <w:t>M</w:t>
      </w:r>
      <w:r w:rsidR="00B62F0E" w:rsidRPr="00957E3F">
        <w:rPr>
          <w:sz w:val="24"/>
          <w:szCs w:val="24"/>
        </w:rPr>
        <w:t>r</w:t>
      </w:r>
      <w:r w:rsidRPr="00957E3F">
        <w:rPr>
          <w:sz w:val="24"/>
          <w:szCs w:val="24"/>
        </w:rPr>
        <w:t xml:space="preserve">. </w:t>
      </w:r>
      <w:r w:rsidR="00B62F0E" w:rsidRPr="00957E3F">
        <w:rPr>
          <w:sz w:val="24"/>
          <w:szCs w:val="24"/>
        </w:rPr>
        <w:t xml:space="preserve">Williams </w:t>
      </w:r>
      <w:r w:rsidRPr="00957E3F">
        <w:rPr>
          <w:sz w:val="24"/>
          <w:szCs w:val="24"/>
        </w:rPr>
        <w:t xml:space="preserve">complained of </w:t>
      </w:r>
      <w:r w:rsidR="00B62F0E" w:rsidRPr="00957E3F">
        <w:rPr>
          <w:sz w:val="24"/>
          <w:szCs w:val="24"/>
        </w:rPr>
        <w:t>low voltage incidents, however he</w:t>
      </w:r>
      <w:r w:rsidRPr="00957E3F">
        <w:rPr>
          <w:sz w:val="24"/>
          <w:szCs w:val="24"/>
        </w:rPr>
        <w:t xml:space="preserve"> </w:t>
      </w:r>
      <w:r w:rsidR="00FA0AA0" w:rsidRPr="00957E3F">
        <w:rPr>
          <w:sz w:val="24"/>
          <w:szCs w:val="24"/>
        </w:rPr>
        <w:t xml:space="preserve">could not verify the voltage readings with any credible evidence </w:t>
      </w:r>
      <w:r w:rsidR="00B62F0E" w:rsidRPr="00957E3F">
        <w:rPr>
          <w:sz w:val="24"/>
          <w:szCs w:val="24"/>
        </w:rPr>
        <w:t xml:space="preserve">nor could he establish the cause of the damage to his </w:t>
      </w:r>
      <w:r w:rsidR="0036024D" w:rsidRPr="00957E3F">
        <w:rPr>
          <w:sz w:val="24"/>
          <w:szCs w:val="24"/>
        </w:rPr>
        <w:t>air</w:t>
      </w:r>
      <w:r w:rsidR="009617A6">
        <w:rPr>
          <w:sz w:val="24"/>
          <w:szCs w:val="24"/>
        </w:rPr>
        <w:t xml:space="preserve"> </w:t>
      </w:r>
      <w:r w:rsidR="0036024D" w:rsidRPr="00957E3F">
        <w:rPr>
          <w:sz w:val="24"/>
          <w:szCs w:val="24"/>
        </w:rPr>
        <w:t xml:space="preserve">conditioning unit.  </w:t>
      </w:r>
      <w:r w:rsidR="00B62F0E" w:rsidRPr="00957E3F">
        <w:rPr>
          <w:sz w:val="24"/>
          <w:szCs w:val="24"/>
        </w:rPr>
        <w:t xml:space="preserve">In addition, there is no evidence in the record to suggest that Respondent failed to timely address the concerns raised by Complainant or to rectify the </w:t>
      </w:r>
      <w:r w:rsidR="00B62F0E" w:rsidRPr="00957E3F">
        <w:rPr>
          <w:sz w:val="24"/>
          <w:szCs w:val="24"/>
        </w:rPr>
        <w:lastRenderedPageBreak/>
        <w:t>problem.</w:t>
      </w:r>
      <w:r w:rsidRPr="00957E3F">
        <w:rPr>
          <w:sz w:val="24"/>
          <w:szCs w:val="24"/>
        </w:rPr>
        <w:t xml:space="preserve"> </w:t>
      </w:r>
      <w:r w:rsidR="00E05025">
        <w:rPr>
          <w:sz w:val="24"/>
          <w:szCs w:val="24"/>
        </w:rPr>
        <w:t xml:space="preserve"> </w:t>
      </w:r>
      <w:r w:rsidR="00B62F0E" w:rsidRPr="00957E3F">
        <w:rPr>
          <w:sz w:val="24"/>
          <w:szCs w:val="24"/>
        </w:rPr>
        <w:t>To the contrary</w:t>
      </w:r>
      <w:r w:rsidR="00162B1D" w:rsidRPr="00957E3F">
        <w:rPr>
          <w:sz w:val="24"/>
          <w:szCs w:val="24"/>
        </w:rPr>
        <w:t>, in</w:t>
      </w:r>
      <w:r w:rsidR="00574A1B" w:rsidRPr="00957E3F">
        <w:rPr>
          <w:sz w:val="24"/>
          <w:szCs w:val="24"/>
        </w:rPr>
        <w:t xml:space="preserve"> response to complaints made by Mr. Williams</w:t>
      </w:r>
      <w:r w:rsidR="0036024D" w:rsidRPr="00957E3F">
        <w:rPr>
          <w:sz w:val="24"/>
          <w:szCs w:val="24"/>
        </w:rPr>
        <w:t xml:space="preserve">, </w:t>
      </w:r>
      <w:r w:rsidR="00574A1B" w:rsidRPr="00957E3F">
        <w:rPr>
          <w:sz w:val="24"/>
          <w:szCs w:val="24"/>
        </w:rPr>
        <w:t>Respondent measured the voltage at the service address at 114.9 and 115.2</w:t>
      </w:r>
      <w:r w:rsidR="0036024D" w:rsidRPr="00957E3F">
        <w:rPr>
          <w:sz w:val="24"/>
          <w:szCs w:val="24"/>
        </w:rPr>
        <w:t xml:space="preserve"> on July 10, 2012</w:t>
      </w:r>
      <w:r w:rsidR="00162B1D" w:rsidRPr="00957E3F">
        <w:rPr>
          <w:sz w:val="24"/>
          <w:szCs w:val="24"/>
        </w:rPr>
        <w:t>, which</w:t>
      </w:r>
      <w:r w:rsidR="00574A1B" w:rsidRPr="00957E3F">
        <w:rPr>
          <w:sz w:val="24"/>
          <w:szCs w:val="24"/>
        </w:rPr>
        <w:t xml:space="preserve"> was within acceptable limits.  In July of 2012, Respondent </w:t>
      </w:r>
      <w:r w:rsidR="0036024D" w:rsidRPr="00957E3F">
        <w:rPr>
          <w:sz w:val="24"/>
          <w:szCs w:val="24"/>
        </w:rPr>
        <w:t xml:space="preserve">also </w:t>
      </w:r>
      <w:r w:rsidR="00574A1B" w:rsidRPr="00957E3F">
        <w:rPr>
          <w:sz w:val="24"/>
          <w:szCs w:val="24"/>
        </w:rPr>
        <w:t xml:space="preserve">caused the circuit that </w:t>
      </w:r>
      <w:r w:rsidR="0036024D" w:rsidRPr="00957E3F">
        <w:rPr>
          <w:sz w:val="24"/>
          <w:szCs w:val="24"/>
        </w:rPr>
        <w:t xml:space="preserve">provides electricity </w:t>
      </w:r>
      <w:r w:rsidR="00574A1B" w:rsidRPr="00957E3F">
        <w:rPr>
          <w:sz w:val="24"/>
          <w:szCs w:val="24"/>
        </w:rPr>
        <w:t xml:space="preserve">to the service address </w:t>
      </w:r>
      <w:r w:rsidR="0036024D" w:rsidRPr="00957E3F">
        <w:rPr>
          <w:sz w:val="24"/>
          <w:szCs w:val="24"/>
        </w:rPr>
        <w:t xml:space="preserve">to be </w:t>
      </w:r>
      <w:r w:rsidR="00574A1B" w:rsidRPr="00957E3F">
        <w:rPr>
          <w:sz w:val="24"/>
          <w:szCs w:val="24"/>
        </w:rPr>
        <w:t xml:space="preserve">inspected to determine why the voltage may be dropping at the service location, however nothing abnormal was discovered.  Furthermore, in August </w:t>
      </w:r>
      <w:r w:rsidR="00162B1D" w:rsidRPr="00957E3F">
        <w:rPr>
          <w:sz w:val="24"/>
          <w:szCs w:val="24"/>
        </w:rPr>
        <w:t>of 2012</w:t>
      </w:r>
      <w:r w:rsidR="00574A1B" w:rsidRPr="00957E3F">
        <w:rPr>
          <w:sz w:val="24"/>
          <w:szCs w:val="24"/>
        </w:rPr>
        <w:t xml:space="preserve">, after Mr. Williams complained of continued low voltage, a serviceman was dispatched by Respondent, an adjustment was made to the voltage regulator at the substation that feeds the service address, and the output voltage was increased from 122 to 125 volts. </w:t>
      </w:r>
      <w:r w:rsidR="00E05025">
        <w:rPr>
          <w:sz w:val="24"/>
          <w:szCs w:val="24"/>
        </w:rPr>
        <w:t xml:space="preserve"> </w:t>
      </w:r>
      <w:r w:rsidR="00574A1B" w:rsidRPr="00957E3F">
        <w:rPr>
          <w:sz w:val="24"/>
          <w:szCs w:val="24"/>
        </w:rPr>
        <w:t xml:space="preserve">A follow-up investigation was made by Respondent on August 30, 2012 and Respondent measured 117 volts at the service address.  (Tr. 27).   </w:t>
      </w:r>
    </w:p>
    <w:p w:rsidR="00574A1B" w:rsidRPr="00957E3F" w:rsidRDefault="00574A1B" w:rsidP="00957E3F">
      <w:pPr>
        <w:pStyle w:val="BodyText"/>
        <w:jc w:val="left"/>
        <w:rPr>
          <w:sz w:val="24"/>
          <w:szCs w:val="24"/>
        </w:rPr>
      </w:pPr>
    </w:p>
    <w:p w:rsidR="00574A1B" w:rsidRPr="00957E3F" w:rsidRDefault="00574A1B" w:rsidP="00957E3F">
      <w:pPr>
        <w:pStyle w:val="BodyText"/>
        <w:jc w:val="left"/>
        <w:rPr>
          <w:sz w:val="24"/>
          <w:szCs w:val="24"/>
        </w:rPr>
      </w:pPr>
      <w:r w:rsidRPr="00957E3F">
        <w:rPr>
          <w:sz w:val="24"/>
          <w:szCs w:val="24"/>
        </w:rPr>
        <w:tab/>
      </w:r>
      <w:r w:rsidRPr="00957E3F">
        <w:rPr>
          <w:sz w:val="24"/>
          <w:szCs w:val="24"/>
        </w:rPr>
        <w:tab/>
        <w:t xml:space="preserve">Subsequently, in late October of 2012, Mr. Williams complained of continued low voltage and Respondent installed a recording volt meter at the service address.  The voltage was recorded by Respondent for the next week, </w:t>
      </w:r>
      <w:r w:rsidR="0036024D" w:rsidRPr="00957E3F">
        <w:rPr>
          <w:sz w:val="24"/>
          <w:szCs w:val="24"/>
        </w:rPr>
        <w:t xml:space="preserve">and the recordings </w:t>
      </w:r>
      <w:r w:rsidRPr="00957E3F">
        <w:rPr>
          <w:sz w:val="24"/>
          <w:szCs w:val="24"/>
        </w:rPr>
        <w:t>indicated Complainant was experiencing short durations of voltage below 114, with the lowest voltage being recorded at 112 volts for approximately ten minutes.  (Tr. 28).  In a</w:t>
      </w:r>
      <w:r w:rsidR="00F311A1">
        <w:rPr>
          <w:sz w:val="24"/>
          <w:szCs w:val="24"/>
        </w:rPr>
        <w:t>n effort to address Mr. William</w:t>
      </w:r>
      <w:r w:rsidRPr="00957E3F">
        <w:rPr>
          <w:sz w:val="24"/>
          <w:szCs w:val="24"/>
        </w:rPr>
        <w:t>s</w:t>
      </w:r>
      <w:r w:rsidR="00F311A1">
        <w:rPr>
          <w:sz w:val="24"/>
          <w:szCs w:val="24"/>
        </w:rPr>
        <w:t>’</w:t>
      </w:r>
      <w:r w:rsidRPr="00957E3F">
        <w:rPr>
          <w:sz w:val="24"/>
          <w:szCs w:val="24"/>
        </w:rPr>
        <w:t xml:space="preserve"> concerns, in March of 2013, Respondent installed a voltage regulator on the line feeding the service address, at a cost of appr</w:t>
      </w:r>
      <w:r w:rsidR="00E05025">
        <w:rPr>
          <w:sz w:val="24"/>
          <w:szCs w:val="24"/>
        </w:rPr>
        <w:t xml:space="preserve">oximately $50,000 to $60,000.  </w:t>
      </w:r>
      <w:r w:rsidRPr="00957E3F">
        <w:rPr>
          <w:sz w:val="24"/>
          <w:szCs w:val="24"/>
        </w:rPr>
        <w:t>Following the installation of the voltage regulator, another recording volt meter was installed at the service address on March 28, 2013 which provided voltage readings of 115 to 124.  Since the installation of the voltage regulator, Respondent has not been made aware of any complaints at the service address.  Respondent further performed a volt</w:t>
      </w:r>
      <w:r w:rsidR="0036024D" w:rsidRPr="00957E3F">
        <w:rPr>
          <w:sz w:val="24"/>
          <w:szCs w:val="24"/>
        </w:rPr>
        <w:t>age</w:t>
      </w:r>
      <w:r w:rsidRPr="00957E3F">
        <w:rPr>
          <w:sz w:val="24"/>
          <w:szCs w:val="24"/>
        </w:rPr>
        <w:t xml:space="preserve"> check on November 30, 2013, which indicated a reading of 126 volts, </w:t>
      </w:r>
      <w:r w:rsidR="0036024D" w:rsidRPr="00957E3F">
        <w:rPr>
          <w:sz w:val="24"/>
          <w:szCs w:val="24"/>
        </w:rPr>
        <w:t xml:space="preserve">which was </w:t>
      </w:r>
      <w:r w:rsidRPr="00957E3F">
        <w:rPr>
          <w:sz w:val="24"/>
          <w:szCs w:val="24"/>
        </w:rPr>
        <w:t xml:space="preserve">within acceptable limits.  Furthermore, Respondent paid for the damage sustained to Complainant’s property.  </w:t>
      </w:r>
    </w:p>
    <w:p w:rsidR="00574A1B" w:rsidRPr="00957E3F" w:rsidRDefault="00574A1B" w:rsidP="00957E3F">
      <w:pPr>
        <w:pStyle w:val="BodyText"/>
        <w:jc w:val="left"/>
        <w:rPr>
          <w:sz w:val="24"/>
          <w:szCs w:val="24"/>
        </w:rPr>
      </w:pPr>
    </w:p>
    <w:p w:rsidR="006362CC" w:rsidRPr="00957E3F" w:rsidRDefault="00574A1B" w:rsidP="00957E3F">
      <w:pPr>
        <w:rPr>
          <w:sz w:val="24"/>
          <w:szCs w:val="24"/>
        </w:rPr>
      </w:pPr>
      <w:r w:rsidRPr="00957E3F">
        <w:rPr>
          <w:sz w:val="24"/>
          <w:szCs w:val="24"/>
        </w:rPr>
        <w:tab/>
      </w:r>
      <w:r w:rsidR="00957E3F">
        <w:rPr>
          <w:sz w:val="24"/>
          <w:szCs w:val="24"/>
        </w:rPr>
        <w:tab/>
      </w:r>
      <w:r w:rsidR="00B62F0E" w:rsidRPr="00957E3F">
        <w:rPr>
          <w:sz w:val="24"/>
          <w:szCs w:val="24"/>
        </w:rPr>
        <w:t xml:space="preserve">Mr. Williams </w:t>
      </w:r>
      <w:r w:rsidR="006362CC" w:rsidRPr="00957E3F">
        <w:rPr>
          <w:sz w:val="24"/>
          <w:szCs w:val="24"/>
        </w:rPr>
        <w:t>has not established that Respondent failed to provide h</w:t>
      </w:r>
      <w:r w:rsidR="00B76C41" w:rsidRPr="00957E3F">
        <w:rPr>
          <w:sz w:val="24"/>
          <w:szCs w:val="24"/>
        </w:rPr>
        <w:t>im</w:t>
      </w:r>
      <w:r w:rsidR="006362CC" w:rsidRPr="00957E3F">
        <w:rPr>
          <w:sz w:val="24"/>
          <w:szCs w:val="24"/>
        </w:rPr>
        <w:t xml:space="preserve"> with adequate, safe, efficient and reasonable utility service in violation of 66 Pa.C.S. § 150</w:t>
      </w:r>
      <w:r w:rsidR="00537F5B">
        <w:rPr>
          <w:sz w:val="24"/>
          <w:szCs w:val="24"/>
        </w:rPr>
        <w:t>1</w:t>
      </w:r>
      <w:r w:rsidR="00137669">
        <w:rPr>
          <w:sz w:val="24"/>
          <w:szCs w:val="24"/>
        </w:rPr>
        <w:t>.</w:t>
      </w:r>
      <w:r w:rsidR="006362CC" w:rsidRPr="00957E3F">
        <w:rPr>
          <w:sz w:val="24"/>
          <w:szCs w:val="24"/>
        </w:rPr>
        <w:t xml:space="preserve">  M</w:t>
      </w:r>
      <w:r w:rsidR="00B76C41" w:rsidRPr="00957E3F">
        <w:rPr>
          <w:sz w:val="24"/>
          <w:szCs w:val="24"/>
        </w:rPr>
        <w:t>r</w:t>
      </w:r>
      <w:r w:rsidR="006362CC" w:rsidRPr="00957E3F">
        <w:rPr>
          <w:sz w:val="24"/>
          <w:szCs w:val="24"/>
        </w:rPr>
        <w:t>. </w:t>
      </w:r>
      <w:r w:rsidR="00B76C41" w:rsidRPr="00957E3F">
        <w:rPr>
          <w:sz w:val="24"/>
          <w:szCs w:val="24"/>
        </w:rPr>
        <w:t xml:space="preserve">Williams </w:t>
      </w:r>
      <w:r w:rsidR="006362CC" w:rsidRPr="00957E3F">
        <w:rPr>
          <w:sz w:val="24"/>
          <w:szCs w:val="24"/>
        </w:rPr>
        <w:t>failed to establish a prima facie case</w:t>
      </w:r>
      <w:r w:rsidR="00AC4B11" w:rsidRPr="00957E3F">
        <w:rPr>
          <w:sz w:val="24"/>
          <w:szCs w:val="24"/>
        </w:rPr>
        <w:t xml:space="preserve">, under the circumstances.  </w:t>
      </w:r>
      <w:r w:rsidR="00537F5B">
        <w:rPr>
          <w:sz w:val="24"/>
          <w:szCs w:val="24"/>
        </w:rPr>
        <w:t>In addition, the evidence indicates that Respondent timely and appropriately responded to Mr.</w:t>
      </w:r>
      <w:r w:rsidR="00137669">
        <w:rPr>
          <w:sz w:val="24"/>
          <w:szCs w:val="24"/>
        </w:rPr>
        <w:t> </w:t>
      </w:r>
      <w:r w:rsidR="00537F5B">
        <w:rPr>
          <w:sz w:val="24"/>
          <w:szCs w:val="24"/>
        </w:rPr>
        <w:t xml:space="preserve">Williams’ complaints and remedied the issues raised by Complainant.  </w:t>
      </w:r>
      <w:r w:rsidR="00AC4B11" w:rsidRPr="00957E3F">
        <w:rPr>
          <w:sz w:val="24"/>
          <w:szCs w:val="24"/>
        </w:rPr>
        <w:t>A</w:t>
      </w:r>
      <w:r w:rsidR="006362CC" w:rsidRPr="00957E3F">
        <w:rPr>
          <w:sz w:val="24"/>
          <w:szCs w:val="24"/>
        </w:rPr>
        <w:t xml:space="preserve">ccordingly, the formal complaint </w:t>
      </w:r>
      <w:r w:rsidR="00AC4B11" w:rsidRPr="00957E3F">
        <w:rPr>
          <w:sz w:val="24"/>
          <w:szCs w:val="24"/>
        </w:rPr>
        <w:t xml:space="preserve">must be </w:t>
      </w:r>
      <w:r w:rsidR="006362CC" w:rsidRPr="00957E3F">
        <w:rPr>
          <w:sz w:val="24"/>
          <w:szCs w:val="24"/>
        </w:rPr>
        <w:t xml:space="preserve">dismissed.  </w:t>
      </w:r>
    </w:p>
    <w:p w:rsidR="006362CC" w:rsidRPr="00957E3F" w:rsidRDefault="006362CC" w:rsidP="00957E3F">
      <w:pPr>
        <w:jc w:val="center"/>
        <w:rPr>
          <w:sz w:val="24"/>
          <w:szCs w:val="24"/>
          <w:u w:val="single"/>
        </w:rPr>
      </w:pPr>
      <w:r w:rsidRPr="00957E3F">
        <w:rPr>
          <w:sz w:val="24"/>
          <w:szCs w:val="24"/>
          <w:u w:val="single"/>
        </w:rPr>
        <w:lastRenderedPageBreak/>
        <w:t>CONCLUSIONS OF LAW</w:t>
      </w:r>
    </w:p>
    <w:p w:rsidR="006362CC" w:rsidRPr="00957E3F" w:rsidRDefault="006362CC" w:rsidP="00957E3F">
      <w:pPr>
        <w:ind w:firstLine="1440"/>
        <w:rPr>
          <w:sz w:val="24"/>
          <w:szCs w:val="24"/>
        </w:rPr>
      </w:pPr>
    </w:p>
    <w:p w:rsidR="006362CC" w:rsidRPr="00957E3F" w:rsidRDefault="006362CC" w:rsidP="00957E3F">
      <w:pPr>
        <w:numPr>
          <w:ilvl w:val="0"/>
          <w:numId w:val="17"/>
        </w:numPr>
        <w:tabs>
          <w:tab w:val="clear" w:pos="900"/>
          <w:tab w:val="num" w:pos="2160"/>
        </w:tabs>
        <w:ind w:left="0" w:firstLine="1440"/>
        <w:rPr>
          <w:sz w:val="24"/>
          <w:szCs w:val="24"/>
        </w:rPr>
      </w:pPr>
      <w:r w:rsidRPr="00957E3F">
        <w:rPr>
          <w:sz w:val="24"/>
          <w:szCs w:val="24"/>
        </w:rPr>
        <w:t>The Commission has jurisdiction over the parties and the subject matter of this proceeding.  66 Pa.C.S. § 701.</w:t>
      </w:r>
    </w:p>
    <w:p w:rsidR="006362CC" w:rsidRPr="00957E3F" w:rsidRDefault="006362CC" w:rsidP="00957E3F">
      <w:pPr>
        <w:tabs>
          <w:tab w:val="num" w:pos="2160"/>
        </w:tabs>
        <w:ind w:firstLine="1260"/>
        <w:rPr>
          <w:sz w:val="24"/>
          <w:szCs w:val="24"/>
        </w:rPr>
      </w:pPr>
    </w:p>
    <w:p w:rsidR="006362CC" w:rsidRPr="00957E3F" w:rsidRDefault="006362CC" w:rsidP="00957E3F">
      <w:pPr>
        <w:ind w:firstLine="1440"/>
        <w:rPr>
          <w:sz w:val="24"/>
          <w:szCs w:val="24"/>
        </w:rPr>
      </w:pPr>
      <w:r w:rsidRPr="00957E3F">
        <w:rPr>
          <w:spacing w:val="-3"/>
          <w:sz w:val="24"/>
          <w:szCs w:val="24"/>
        </w:rPr>
        <w:t>2.</w:t>
      </w:r>
      <w:r w:rsidRPr="00957E3F">
        <w:rPr>
          <w:spacing w:val="-3"/>
          <w:sz w:val="24"/>
          <w:szCs w:val="24"/>
        </w:rPr>
        <w:tab/>
      </w:r>
      <w:r w:rsidRPr="00957E3F">
        <w:rPr>
          <w:sz w:val="24"/>
          <w:szCs w:val="24"/>
        </w:rPr>
        <w:t>Complainant failed to meet h</w:t>
      </w:r>
      <w:r w:rsidR="00B76C41" w:rsidRPr="00957E3F">
        <w:rPr>
          <w:sz w:val="24"/>
          <w:szCs w:val="24"/>
        </w:rPr>
        <w:t>is</w:t>
      </w:r>
      <w:r w:rsidRPr="00957E3F">
        <w:rPr>
          <w:sz w:val="24"/>
          <w:szCs w:val="24"/>
        </w:rPr>
        <w:t xml:space="preserve"> burden of proving that Respondent violated the Public Utility Code, a Commission regulation or a Commission order.  66 Pa.C.S. § 332(a).</w:t>
      </w:r>
      <w:r w:rsidRPr="00957E3F">
        <w:rPr>
          <w:sz w:val="24"/>
          <w:szCs w:val="24"/>
        </w:rPr>
        <w:tab/>
      </w:r>
    </w:p>
    <w:p w:rsidR="006362CC" w:rsidRPr="00957E3F" w:rsidRDefault="006362CC" w:rsidP="00957E3F">
      <w:pPr>
        <w:ind w:firstLine="720"/>
        <w:rPr>
          <w:spacing w:val="-3"/>
          <w:sz w:val="24"/>
          <w:szCs w:val="24"/>
        </w:rPr>
      </w:pPr>
      <w:r w:rsidRPr="00957E3F">
        <w:rPr>
          <w:spacing w:val="-3"/>
          <w:sz w:val="24"/>
          <w:szCs w:val="24"/>
        </w:rPr>
        <w:tab/>
      </w:r>
    </w:p>
    <w:p w:rsidR="006362CC" w:rsidRPr="00957E3F" w:rsidRDefault="006362CC" w:rsidP="00957E3F">
      <w:pPr>
        <w:ind w:firstLine="720"/>
        <w:rPr>
          <w:spacing w:val="-3"/>
          <w:sz w:val="24"/>
          <w:szCs w:val="24"/>
        </w:rPr>
      </w:pPr>
    </w:p>
    <w:p w:rsidR="006362CC" w:rsidRPr="00957E3F" w:rsidRDefault="006362CC" w:rsidP="00957E3F">
      <w:pPr>
        <w:tabs>
          <w:tab w:val="num" w:pos="2160"/>
        </w:tabs>
        <w:jc w:val="center"/>
        <w:rPr>
          <w:sz w:val="24"/>
          <w:szCs w:val="24"/>
          <w:u w:val="single"/>
        </w:rPr>
      </w:pPr>
      <w:r w:rsidRPr="00957E3F">
        <w:rPr>
          <w:sz w:val="24"/>
          <w:szCs w:val="24"/>
          <w:u w:val="single"/>
        </w:rPr>
        <w:t>ORDER</w:t>
      </w:r>
    </w:p>
    <w:p w:rsidR="006362CC" w:rsidRPr="00957E3F" w:rsidRDefault="006362CC" w:rsidP="00957E3F">
      <w:pPr>
        <w:tabs>
          <w:tab w:val="num" w:pos="2160"/>
        </w:tabs>
        <w:jc w:val="center"/>
        <w:rPr>
          <w:sz w:val="24"/>
          <w:szCs w:val="24"/>
          <w:u w:val="single"/>
        </w:rPr>
      </w:pPr>
    </w:p>
    <w:p w:rsidR="00957E3F" w:rsidRDefault="00957E3F" w:rsidP="00957E3F">
      <w:pPr>
        <w:tabs>
          <w:tab w:val="num" w:pos="2160"/>
        </w:tabs>
        <w:ind w:firstLine="1440"/>
        <w:rPr>
          <w:sz w:val="24"/>
          <w:szCs w:val="24"/>
        </w:rPr>
      </w:pPr>
    </w:p>
    <w:p w:rsidR="006362CC" w:rsidRPr="00957E3F" w:rsidRDefault="006362CC" w:rsidP="00957E3F">
      <w:pPr>
        <w:tabs>
          <w:tab w:val="num" w:pos="2160"/>
        </w:tabs>
        <w:ind w:firstLine="1440"/>
        <w:rPr>
          <w:sz w:val="24"/>
          <w:szCs w:val="24"/>
        </w:rPr>
      </w:pPr>
      <w:r w:rsidRPr="00957E3F">
        <w:rPr>
          <w:sz w:val="24"/>
          <w:szCs w:val="24"/>
        </w:rPr>
        <w:t xml:space="preserve">THEREFORE, </w:t>
      </w:r>
    </w:p>
    <w:p w:rsidR="006362CC" w:rsidRPr="00957E3F" w:rsidRDefault="006362CC" w:rsidP="00957E3F">
      <w:pPr>
        <w:tabs>
          <w:tab w:val="num" w:pos="2160"/>
        </w:tabs>
        <w:rPr>
          <w:sz w:val="24"/>
          <w:szCs w:val="24"/>
        </w:rPr>
      </w:pPr>
    </w:p>
    <w:p w:rsidR="006362CC" w:rsidRPr="00957E3F" w:rsidRDefault="006362CC" w:rsidP="00957E3F">
      <w:pPr>
        <w:tabs>
          <w:tab w:val="num" w:pos="2160"/>
        </w:tabs>
        <w:ind w:firstLine="1440"/>
        <w:rPr>
          <w:sz w:val="24"/>
          <w:szCs w:val="24"/>
        </w:rPr>
      </w:pPr>
      <w:r w:rsidRPr="00957E3F">
        <w:rPr>
          <w:sz w:val="24"/>
          <w:szCs w:val="24"/>
        </w:rPr>
        <w:t>IT IS ORDERED:</w:t>
      </w:r>
    </w:p>
    <w:p w:rsidR="006362CC" w:rsidRPr="00957E3F" w:rsidRDefault="006362CC" w:rsidP="00957E3F">
      <w:pPr>
        <w:tabs>
          <w:tab w:val="num" w:pos="2160"/>
        </w:tabs>
        <w:rPr>
          <w:b/>
          <w:sz w:val="24"/>
          <w:szCs w:val="24"/>
        </w:rPr>
      </w:pPr>
    </w:p>
    <w:p w:rsidR="006362CC" w:rsidRPr="00957E3F" w:rsidRDefault="006362CC" w:rsidP="00957E3F">
      <w:pPr>
        <w:tabs>
          <w:tab w:val="num" w:pos="2160"/>
        </w:tabs>
        <w:ind w:firstLine="1440"/>
        <w:rPr>
          <w:sz w:val="24"/>
          <w:szCs w:val="24"/>
        </w:rPr>
      </w:pPr>
      <w:r w:rsidRPr="00957E3F">
        <w:rPr>
          <w:sz w:val="24"/>
          <w:szCs w:val="24"/>
        </w:rPr>
        <w:t>1.</w:t>
      </w:r>
      <w:r w:rsidRPr="00957E3F">
        <w:rPr>
          <w:sz w:val="24"/>
          <w:szCs w:val="24"/>
        </w:rPr>
        <w:tab/>
        <w:t xml:space="preserve">That the formal complaint of </w:t>
      </w:r>
      <w:r w:rsidR="00B76C41" w:rsidRPr="00957E3F">
        <w:rPr>
          <w:sz w:val="24"/>
          <w:szCs w:val="24"/>
        </w:rPr>
        <w:t>David M. Williams</w:t>
      </w:r>
      <w:r w:rsidRPr="00957E3F">
        <w:rPr>
          <w:sz w:val="24"/>
          <w:szCs w:val="24"/>
        </w:rPr>
        <w:t xml:space="preserve"> v. </w:t>
      </w:r>
      <w:r w:rsidR="00B76C41" w:rsidRPr="00957E3F">
        <w:rPr>
          <w:sz w:val="24"/>
          <w:szCs w:val="24"/>
        </w:rPr>
        <w:t>West P</w:t>
      </w:r>
      <w:r w:rsidRPr="00957E3F">
        <w:rPr>
          <w:sz w:val="24"/>
          <w:szCs w:val="24"/>
        </w:rPr>
        <w:t>enn</w:t>
      </w:r>
      <w:r w:rsidR="00B76C41" w:rsidRPr="00957E3F">
        <w:rPr>
          <w:sz w:val="24"/>
          <w:szCs w:val="24"/>
        </w:rPr>
        <w:t xml:space="preserve"> Power </w:t>
      </w:r>
      <w:r w:rsidRPr="00957E3F">
        <w:rPr>
          <w:sz w:val="24"/>
          <w:szCs w:val="24"/>
        </w:rPr>
        <w:t>Company at Docket No. C-2013-23</w:t>
      </w:r>
      <w:r w:rsidR="00B76C41" w:rsidRPr="00957E3F">
        <w:rPr>
          <w:sz w:val="24"/>
          <w:szCs w:val="24"/>
        </w:rPr>
        <w:t>45</w:t>
      </w:r>
      <w:r w:rsidRPr="00957E3F">
        <w:rPr>
          <w:sz w:val="24"/>
          <w:szCs w:val="24"/>
        </w:rPr>
        <w:t>8</w:t>
      </w:r>
      <w:r w:rsidR="00B76C41" w:rsidRPr="00957E3F">
        <w:rPr>
          <w:sz w:val="24"/>
          <w:szCs w:val="24"/>
        </w:rPr>
        <w:t>7</w:t>
      </w:r>
      <w:r w:rsidRPr="00957E3F">
        <w:rPr>
          <w:sz w:val="24"/>
          <w:szCs w:val="24"/>
        </w:rPr>
        <w:t>9 is dismissed for failure to meet the burden of proof.</w:t>
      </w:r>
      <w:r w:rsidRPr="00957E3F">
        <w:rPr>
          <w:sz w:val="24"/>
          <w:szCs w:val="24"/>
        </w:rPr>
        <w:tab/>
      </w:r>
    </w:p>
    <w:p w:rsidR="006362CC" w:rsidRPr="00957E3F" w:rsidRDefault="006362CC" w:rsidP="00957E3F">
      <w:pPr>
        <w:tabs>
          <w:tab w:val="num" w:pos="2160"/>
        </w:tabs>
        <w:ind w:firstLine="1440"/>
        <w:rPr>
          <w:sz w:val="24"/>
          <w:szCs w:val="24"/>
        </w:rPr>
      </w:pPr>
    </w:p>
    <w:p w:rsidR="006362CC" w:rsidRPr="00957E3F" w:rsidRDefault="006362CC" w:rsidP="00957E3F">
      <w:pPr>
        <w:pStyle w:val="ListParagraph"/>
        <w:numPr>
          <w:ilvl w:val="0"/>
          <w:numId w:val="17"/>
        </w:numPr>
        <w:tabs>
          <w:tab w:val="clear" w:pos="900"/>
        </w:tabs>
        <w:ind w:left="0" w:firstLine="1440"/>
        <w:rPr>
          <w:sz w:val="24"/>
          <w:szCs w:val="24"/>
        </w:rPr>
      </w:pPr>
      <w:r w:rsidRPr="00957E3F">
        <w:rPr>
          <w:sz w:val="24"/>
          <w:szCs w:val="24"/>
        </w:rPr>
        <w:t>That the docket for this proceeding be marked closed.</w:t>
      </w:r>
    </w:p>
    <w:p w:rsidR="006362CC" w:rsidRPr="00957E3F" w:rsidRDefault="006362CC" w:rsidP="00957E3F">
      <w:pPr>
        <w:tabs>
          <w:tab w:val="num" w:pos="2160"/>
        </w:tabs>
        <w:ind w:firstLine="1440"/>
        <w:rPr>
          <w:sz w:val="24"/>
          <w:szCs w:val="24"/>
        </w:rPr>
      </w:pPr>
      <w:r w:rsidRPr="00957E3F">
        <w:rPr>
          <w:sz w:val="24"/>
          <w:szCs w:val="24"/>
        </w:rPr>
        <w:t xml:space="preserve"> </w:t>
      </w:r>
    </w:p>
    <w:p w:rsidR="006362CC" w:rsidRPr="00957E3F" w:rsidRDefault="006362CC" w:rsidP="00957E3F">
      <w:pPr>
        <w:tabs>
          <w:tab w:val="num" w:pos="2160"/>
        </w:tabs>
        <w:ind w:firstLine="1440"/>
        <w:rPr>
          <w:sz w:val="24"/>
          <w:szCs w:val="24"/>
        </w:rPr>
      </w:pPr>
    </w:p>
    <w:p w:rsidR="006362CC" w:rsidRPr="00957E3F" w:rsidRDefault="006362CC" w:rsidP="00957E3F">
      <w:pPr>
        <w:spacing w:line="240" w:lineRule="auto"/>
        <w:rPr>
          <w:sz w:val="24"/>
          <w:szCs w:val="24"/>
        </w:rPr>
      </w:pPr>
      <w:r w:rsidRPr="00957E3F">
        <w:rPr>
          <w:sz w:val="24"/>
          <w:szCs w:val="24"/>
        </w:rPr>
        <w:t xml:space="preserve">Date:  </w:t>
      </w:r>
      <w:r w:rsidR="00B76C41" w:rsidRPr="00957E3F">
        <w:rPr>
          <w:sz w:val="24"/>
          <w:szCs w:val="24"/>
          <w:u w:val="single"/>
        </w:rPr>
        <w:t xml:space="preserve">March </w:t>
      </w:r>
      <w:r w:rsidR="00AC4B11" w:rsidRPr="00957E3F">
        <w:rPr>
          <w:sz w:val="24"/>
          <w:szCs w:val="24"/>
          <w:u w:val="single"/>
        </w:rPr>
        <w:t>4</w:t>
      </w:r>
      <w:r w:rsidR="00B76C41" w:rsidRPr="00957E3F">
        <w:rPr>
          <w:sz w:val="24"/>
          <w:szCs w:val="24"/>
          <w:u w:val="single"/>
        </w:rPr>
        <w:t>, 2014</w:t>
      </w:r>
      <w:r w:rsidR="00B76C41" w:rsidRPr="00957E3F">
        <w:rPr>
          <w:sz w:val="24"/>
          <w:szCs w:val="24"/>
        </w:rPr>
        <w:tab/>
      </w:r>
      <w:r w:rsidRPr="00957E3F">
        <w:rPr>
          <w:sz w:val="24"/>
          <w:szCs w:val="24"/>
        </w:rPr>
        <w:tab/>
      </w:r>
      <w:r w:rsidRPr="00957E3F">
        <w:rPr>
          <w:sz w:val="24"/>
          <w:szCs w:val="24"/>
        </w:rPr>
        <w:tab/>
      </w:r>
      <w:r w:rsidRPr="00957E3F">
        <w:rPr>
          <w:sz w:val="24"/>
          <w:szCs w:val="24"/>
        </w:rPr>
        <w:tab/>
      </w:r>
      <w:r w:rsidR="00957E3F">
        <w:rPr>
          <w:sz w:val="24"/>
          <w:szCs w:val="24"/>
        </w:rPr>
        <w:tab/>
      </w:r>
      <w:r w:rsidRPr="00957E3F">
        <w:rPr>
          <w:sz w:val="24"/>
          <w:szCs w:val="24"/>
        </w:rPr>
        <w:tab/>
      </w:r>
      <w:r w:rsidRPr="00957E3F">
        <w:rPr>
          <w:sz w:val="24"/>
          <w:szCs w:val="24"/>
          <w:u w:val="single"/>
        </w:rPr>
        <w:tab/>
      </w:r>
      <w:r w:rsidRPr="00957E3F">
        <w:rPr>
          <w:sz w:val="24"/>
          <w:szCs w:val="24"/>
          <w:u w:val="single"/>
        </w:rPr>
        <w:tab/>
        <w:t>/s/</w:t>
      </w:r>
      <w:r w:rsidRPr="00957E3F">
        <w:rPr>
          <w:sz w:val="24"/>
          <w:szCs w:val="24"/>
          <w:u w:val="single"/>
        </w:rPr>
        <w:tab/>
      </w:r>
      <w:r w:rsidRPr="00957E3F">
        <w:rPr>
          <w:sz w:val="24"/>
          <w:szCs w:val="24"/>
          <w:u w:val="single"/>
        </w:rPr>
        <w:tab/>
      </w:r>
      <w:r w:rsidRPr="00957E3F">
        <w:rPr>
          <w:sz w:val="24"/>
          <w:szCs w:val="24"/>
          <w:u w:val="single"/>
        </w:rPr>
        <w:tab/>
      </w:r>
    </w:p>
    <w:p w:rsidR="006362CC" w:rsidRPr="00957E3F" w:rsidRDefault="006362CC" w:rsidP="00957E3F">
      <w:pPr>
        <w:spacing w:line="240" w:lineRule="auto"/>
        <w:rPr>
          <w:sz w:val="24"/>
          <w:szCs w:val="24"/>
        </w:rPr>
      </w:pP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r>
      <w:r w:rsidRPr="00957E3F">
        <w:rPr>
          <w:sz w:val="24"/>
          <w:szCs w:val="24"/>
        </w:rPr>
        <w:tab/>
        <w:t>Jeffrey A. Watson</w:t>
      </w:r>
    </w:p>
    <w:p w:rsidR="001248B0" w:rsidRPr="00957E3F" w:rsidRDefault="006362CC" w:rsidP="00957E3F">
      <w:pPr>
        <w:tabs>
          <w:tab w:val="num" w:pos="2160"/>
          <w:tab w:val="left" w:pos="5048"/>
        </w:tabs>
        <w:spacing w:line="240" w:lineRule="auto"/>
        <w:rPr>
          <w:sz w:val="24"/>
          <w:szCs w:val="24"/>
          <w:u w:val="single"/>
        </w:rPr>
      </w:pPr>
      <w:r w:rsidRPr="00957E3F">
        <w:rPr>
          <w:sz w:val="24"/>
          <w:szCs w:val="24"/>
        </w:rPr>
        <w:tab/>
      </w:r>
      <w:r w:rsidRPr="00957E3F">
        <w:rPr>
          <w:sz w:val="24"/>
          <w:szCs w:val="24"/>
        </w:rPr>
        <w:tab/>
      </w:r>
      <w:r w:rsidRPr="00957E3F">
        <w:rPr>
          <w:sz w:val="24"/>
          <w:szCs w:val="24"/>
        </w:rPr>
        <w:tab/>
        <w:t>Administrative Law Judge</w:t>
      </w:r>
      <w:r w:rsidR="001248B0" w:rsidRPr="00957E3F">
        <w:rPr>
          <w:sz w:val="24"/>
          <w:szCs w:val="24"/>
        </w:rPr>
        <w:t xml:space="preserve"> </w:t>
      </w:r>
    </w:p>
    <w:p w:rsidR="00957E3F" w:rsidRPr="00957E3F" w:rsidRDefault="00957E3F">
      <w:pPr>
        <w:tabs>
          <w:tab w:val="num" w:pos="2160"/>
          <w:tab w:val="left" w:pos="5048"/>
        </w:tabs>
        <w:spacing w:line="276" w:lineRule="auto"/>
        <w:rPr>
          <w:sz w:val="24"/>
          <w:szCs w:val="24"/>
          <w:u w:val="single"/>
        </w:rPr>
      </w:pPr>
    </w:p>
    <w:sectPr w:rsidR="00957E3F" w:rsidRPr="00957E3F" w:rsidSect="00BB54BC">
      <w:footerReference w:type="even" r:id="rId9"/>
      <w:footerReference w:type="default" r:id="rId10"/>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F5C" w:rsidRDefault="00CC5F5C">
      <w:r>
        <w:separator/>
      </w:r>
    </w:p>
  </w:endnote>
  <w:endnote w:type="continuationSeparator" w:id="0">
    <w:p w:rsidR="00CC5F5C" w:rsidRDefault="00CC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B0" w:rsidRDefault="00124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8B0" w:rsidRDefault="00124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B0" w:rsidRPr="00262BD8" w:rsidRDefault="001248B0">
    <w:pPr>
      <w:pStyle w:val="Footer"/>
      <w:framePr w:wrap="around" w:vAnchor="text" w:hAnchor="margin" w:xAlign="center" w:y="1"/>
      <w:rPr>
        <w:rStyle w:val="PageNumber"/>
        <w:sz w:val="20"/>
      </w:rPr>
    </w:pPr>
    <w:r w:rsidRPr="00262BD8">
      <w:rPr>
        <w:rStyle w:val="PageNumber"/>
        <w:sz w:val="20"/>
      </w:rPr>
      <w:fldChar w:fldCharType="begin"/>
    </w:r>
    <w:r w:rsidRPr="00262BD8">
      <w:rPr>
        <w:rStyle w:val="PageNumber"/>
        <w:sz w:val="20"/>
      </w:rPr>
      <w:instrText xml:space="preserve">PAGE  </w:instrText>
    </w:r>
    <w:r w:rsidRPr="00262BD8">
      <w:rPr>
        <w:rStyle w:val="PageNumber"/>
        <w:sz w:val="20"/>
      </w:rPr>
      <w:fldChar w:fldCharType="separate"/>
    </w:r>
    <w:r w:rsidR="005F3354">
      <w:rPr>
        <w:rStyle w:val="PageNumber"/>
        <w:noProof/>
        <w:sz w:val="20"/>
      </w:rPr>
      <w:t>8</w:t>
    </w:r>
    <w:r w:rsidRPr="00262BD8">
      <w:rPr>
        <w:rStyle w:val="PageNumber"/>
        <w:sz w:val="20"/>
      </w:rPr>
      <w:fldChar w:fldCharType="end"/>
    </w:r>
  </w:p>
  <w:p w:rsidR="001248B0" w:rsidRDefault="00124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F5C" w:rsidRDefault="00CC5F5C">
      <w:r>
        <w:separator/>
      </w:r>
    </w:p>
  </w:footnote>
  <w:footnote w:type="continuationSeparator" w:id="0">
    <w:p w:rsidR="00CC5F5C" w:rsidRDefault="00CC5F5C">
      <w:r>
        <w:continuationSeparator/>
      </w:r>
    </w:p>
  </w:footnote>
  <w:footnote w:id="1">
    <w:p w:rsidR="00891C28" w:rsidRDefault="00891C28">
      <w:pPr>
        <w:pStyle w:val="FootnoteText"/>
      </w:pPr>
      <w:r>
        <w:rPr>
          <w:rStyle w:val="FootnoteReference"/>
        </w:rPr>
        <w:footnoteRef/>
      </w:r>
      <w:r>
        <w:t xml:space="preserve"> </w:t>
      </w:r>
      <w:r>
        <w:tab/>
      </w:r>
      <w:r w:rsidRPr="00FD108F">
        <w:t>66 Pa.C.S. § 1501</w:t>
      </w:r>
      <w:r w:rsidR="003A71F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83581A"/>
    <w:multiLevelType w:val="singleLevel"/>
    <w:tmpl w:val="0409000F"/>
    <w:lvl w:ilvl="0">
      <w:start w:val="1"/>
      <w:numFmt w:val="decimal"/>
      <w:lvlText w:val="%1."/>
      <w:lvlJc w:val="left"/>
      <w:pPr>
        <w:tabs>
          <w:tab w:val="num" w:pos="1980"/>
        </w:tabs>
        <w:ind w:left="1980" w:hanging="360"/>
      </w:pPr>
      <w:rPr>
        <w:rFonts w:cs="Times New Roman"/>
      </w:rPr>
    </w:lvl>
  </w:abstractNum>
  <w:abstractNum w:abstractNumId="3">
    <w:nsid w:val="28742F48"/>
    <w:multiLevelType w:val="singleLevel"/>
    <w:tmpl w:val="33B05692"/>
    <w:lvl w:ilvl="0">
      <w:start w:val="1"/>
      <w:numFmt w:val="decimal"/>
      <w:lvlText w:val="%1."/>
      <w:lvlJc w:val="left"/>
      <w:pPr>
        <w:tabs>
          <w:tab w:val="num" w:pos="2160"/>
        </w:tabs>
        <w:ind w:left="2160" w:hanging="720"/>
      </w:pPr>
      <w:rPr>
        <w:rFonts w:cs="Times New Roman"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cs="Times New Roman" w:hint="default"/>
      </w:rPr>
    </w:lvl>
  </w:abstractNum>
  <w:abstractNum w:abstractNumId="5">
    <w:nsid w:val="4D3647CC"/>
    <w:multiLevelType w:val="hybridMultilevel"/>
    <w:tmpl w:val="3ACC0502"/>
    <w:lvl w:ilvl="0" w:tplc="291C7F1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5CE16C58"/>
    <w:multiLevelType w:val="hybridMultilevel"/>
    <w:tmpl w:val="78188B60"/>
    <w:lvl w:ilvl="0" w:tplc="C4A6897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5F981037"/>
    <w:multiLevelType w:val="hybridMultilevel"/>
    <w:tmpl w:val="0F44004C"/>
    <w:lvl w:ilvl="0" w:tplc="D94AAB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65176D9F"/>
    <w:multiLevelType w:val="singleLevel"/>
    <w:tmpl w:val="735AE45A"/>
    <w:lvl w:ilvl="0">
      <w:start w:val="1"/>
      <w:numFmt w:val="decimal"/>
      <w:lvlText w:val="%1."/>
      <w:lvlJc w:val="left"/>
      <w:pPr>
        <w:tabs>
          <w:tab w:val="num" w:pos="1440"/>
        </w:tabs>
        <w:ind w:left="1440" w:hanging="720"/>
      </w:pPr>
      <w:rPr>
        <w:rFonts w:cs="Times New Roman" w:hint="default"/>
      </w:rPr>
    </w:lvl>
  </w:abstractNum>
  <w:abstractNum w:abstractNumId="9">
    <w:nsid w:val="66533CAF"/>
    <w:multiLevelType w:val="hybridMultilevel"/>
    <w:tmpl w:val="884EA8DC"/>
    <w:lvl w:ilvl="0" w:tplc="CD4E9F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F75055"/>
    <w:multiLevelType w:val="singleLevel"/>
    <w:tmpl w:val="3244E540"/>
    <w:lvl w:ilvl="0">
      <w:start w:val="1"/>
      <w:numFmt w:val="decimal"/>
      <w:lvlText w:val="%1."/>
      <w:lvlJc w:val="left"/>
      <w:pPr>
        <w:tabs>
          <w:tab w:val="num" w:pos="1440"/>
        </w:tabs>
        <w:ind w:left="1440" w:hanging="720"/>
      </w:pPr>
      <w:rPr>
        <w:rFonts w:cs="Times New Roman" w:hint="default"/>
      </w:rPr>
    </w:lvl>
  </w:abstractNum>
  <w:abstractNum w:abstractNumId="11">
    <w:nsid w:val="71483690"/>
    <w:multiLevelType w:val="hybridMultilevel"/>
    <w:tmpl w:val="2E8E8656"/>
    <w:lvl w:ilvl="0" w:tplc="E1D6932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779E4175"/>
    <w:multiLevelType w:val="singleLevel"/>
    <w:tmpl w:val="E6CCE61E"/>
    <w:lvl w:ilvl="0">
      <w:start w:val="2"/>
      <w:numFmt w:val="lowerLetter"/>
      <w:lvlText w:val="(%1)"/>
      <w:lvlJc w:val="left"/>
      <w:pPr>
        <w:tabs>
          <w:tab w:val="num" w:pos="360"/>
        </w:tabs>
        <w:ind w:left="360" w:hanging="360"/>
      </w:pPr>
      <w:rPr>
        <w:rFonts w:cs="Times New Roman" w:hint="default"/>
      </w:rPr>
    </w:lvl>
  </w:abstractNum>
  <w:abstractNum w:abstractNumId="13">
    <w:nsid w:val="7AE27F73"/>
    <w:multiLevelType w:val="hybridMultilevel"/>
    <w:tmpl w:val="EEAE4ADA"/>
    <w:lvl w:ilvl="0" w:tplc="FE1C3D5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8"/>
  </w:num>
  <w:num w:numId="2">
    <w:abstractNumId w:val="10"/>
  </w:num>
  <w:num w:numId="3">
    <w:abstractNumId w:val="3"/>
  </w:num>
  <w:num w:numId="4">
    <w:abstractNumId w:val="4"/>
  </w:num>
  <w:num w:numId="5">
    <w:abstractNumId w:val="12"/>
  </w:num>
  <w:num w:numId="6">
    <w:abstractNumId w:val="10"/>
    <w:lvlOverride w:ilvl="0">
      <w:startOverride w:val="1"/>
    </w:lvlOverride>
  </w:num>
  <w:num w:numId="7">
    <w:abstractNumId w:val="3"/>
    <w:lvlOverride w:ilvl="0">
      <w:startOverride w:val="1"/>
    </w:lvlOverride>
  </w:num>
  <w:num w:numId="8">
    <w:abstractNumId w:val="12"/>
    <w:lvlOverride w:ilvl="0">
      <w:startOverride w:val="2"/>
    </w:lvlOverride>
  </w:num>
  <w:num w:numId="9">
    <w:abstractNumId w:val="2"/>
  </w:num>
  <w:num w:numId="10">
    <w:abstractNumId w:val="13"/>
  </w:num>
  <w:num w:numId="11">
    <w:abstractNumId w:val="11"/>
  </w:num>
  <w:num w:numId="12">
    <w:abstractNumId w:val="1"/>
  </w:num>
  <w:num w:numId="13">
    <w:abstractNumId w:val="6"/>
  </w:num>
  <w:num w:numId="14">
    <w:abstractNumId w:val="5"/>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1065F"/>
    <w:rsid w:val="000120B2"/>
    <w:rsid w:val="00023B04"/>
    <w:rsid w:val="000268F4"/>
    <w:rsid w:val="0003169F"/>
    <w:rsid w:val="00037AE1"/>
    <w:rsid w:val="000420ED"/>
    <w:rsid w:val="00044200"/>
    <w:rsid w:val="00044B8E"/>
    <w:rsid w:val="00050EDD"/>
    <w:rsid w:val="000755DB"/>
    <w:rsid w:val="00076678"/>
    <w:rsid w:val="00083078"/>
    <w:rsid w:val="00085DEB"/>
    <w:rsid w:val="000932F1"/>
    <w:rsid w:val="000961CD"/>
    <w:rsid w:val="000A1439"/>
    <w:rsid w:val="000A34DF"/>
    <w:rsid w:val="000A62AA"/>
    <w:rsid w:val="000A76A9"/>
    <w:rsid w:val="000B3A8D"/>
    <w:rsid w:val="000C55C5"/>
    <w:rsid w:val="000C618A"/>
    <w:rsid w:val="000C7C40"/>
    <w:rsid w:val="000D6CCC"/>
    <w:rsid w:val="000D6D9C"/>
    <w:rsid w:val="000E41AF"/>
    <w:rsid w:val="000F1253"/>
    <w:rsid w:val="000F202B"/>
    <w:rsid w:val="000F2808"/>
    <w:rsid w:val="00103F07"/>
    <w:rsid w:val="001056A1"/>
    <w:rsid w:val="00113941"/>
    <w:rsid w:val="0011768F"/>
    <w:rsid w:val="001248B0"/>
    <w:rsid w:val="001339A3"/>
    <w:rsid w:val="00137669"/>
    <w:rsid w:val="00140348"/>
    <w:rsid w:val="0014638B"/>
    <w:rsid w:val="00162B1D"/>
    <w:rsid w:val="001635F9"/>
    <w:rsid w:val="00166694"/>
    <w:rsid w:val="00174631"/>
    <w:rsid w:val="001760E3"/>
    <w:rsid w:val="0017796A"/>
    <w:rsid w:val="00184F61"/>
    <w:rsid w:val="00187E50"/>
    <w:rsid w:val="001908AF"/>
    <w:rsid w:val="00192CF9"/>
    <w:rsid w:val="00195CBA"/>
    <w:rsid w:val="00195D67"/>
    <w:rsid w:val="001B2A30"/>
    <w:rsid w:val="001B55FD"/>
    <w:rsid w:val="001C04E3"/>
    <w:rsid w:val="001C253F"/>
    <w:rsid w:val="001C3C40"/>
    <w:rsid w:val="001C4996"/>
    <w:rsid w:val="001D0692"/>
    <w:rsid w:val="001D457F"/>
    <w:rsid w:val="001D5F28"/>
    <w:rsid w:val="001E2C0B"/>
    <w:rsid w:val="001E67A2"/>
    <w:rsid w:val="001F16E2"/>
    <w:rsid w:val="001F4452"/>
    <w:rsid w:val="001F7444"/>
    <w:rsid w:val="00201AB9"/>
    <w:rsid w:val="002135C1"/>
    <w:rsid w:val="00213C20"/>
    <w:rsid w:val="0022714D"/>
    <w:rsid w:val="0024448A"/>
    <w:rsid w:val="0025693E"/>
    <w:rsid w:val="00257E91"/>
    <w:rsid w:val="002617B2"/>
    <w:rsid w:val="00262BD8"/>
    <w:rsid w:val="00266339"/>
    <w:rsid w:val="00267323"/>
    <w:rsid w:val="002721E6"/>
    <w:rsid w:val="00273706"/>
    <w:rsid w:val="00282CE8"/>
    <w:rsid w:val="002845F6"/>
    <w:rsid w:val="00297580"/>
    <w:rsid w:val="002A1305"/>
    <w:rsid w:val="002A59BF"/>
    <w:rsid w:val="002B092F"/>
    <w:rsid w:val="002B0A2B"/>
    <w:rsid w:val="002C42FC"/>
    <w:rsid w:val="002C7116"/>
    <w:rsid w:val="002D35D4"/>
    <w:rsid w:val="002E25F3"/>
    <w:rsid w:val="002E2700"/>
    <w:rsid w:val="002E73D5"/>
    <w:rsid w:val="002F149F"/>
    <w:rsid w:val="002F3045"/>
    <w:rsid w:val="002F5B94"/>
    <w:rsid w:val="00305F0D"/>
    <w:rsid w:val="003158D1"/>
    <w:rsid w:val="00315EF0"/>
    <w:rsid w:val="00320EF2"/>
    <w:rsid w:val="0032781E"/>
    <w:rsid w:val="003312E7"/>
    <w:rsid w:val="00335E91"/>
    <w:rsid w:val="00336D96"/>
    <w:rsid w:val="00341B79"/>
    <w:rsid w:val="00342595"/>
    <w:rsid w:val="003434DC"/>
    <w:rsid w:val="003460CC"/>
    <w:rsid w:val="00347517"/>
    <w:rsid w:val="003475DB"/>
    <w:rsid w:val="00355E33"/>
    <w:rsid w:val="0036024D"/>
    <w:rsid w:val="003611E4"/>
    <w:rsid w:val="00363498"/>
    <w:rsid w:val="00363C59"/>
    <w:rsid w:val="00365695"/>
    <w:rsid w:val="0036573F"/>
    <w:rsid w:val="003712EC"/>
    <w:rsid w:val="0037472E"/>
    <w:rsid w:val="003776DB"/>
    <w:rsid w:val="00382023"/>
    <w:rsid w:val="0038225A"/>
    <w:rsid w:val="00386F30"/>
    <w:rsid w:val="00395B5D"/>
    <w:rsid w:val="003962EA"/>
    <w:rsid w:val="003A2086"/>
    <w:rsid w:val="003A2C39"/>
    <w:rsid w:val="003A31A9"/>
    <w:rsid w:val="003A33F5"/>
    <w:rsid w:val="003A3A20"/>
    <w:rsid w:val="003A7146"/>
    <w:rsid w:val="003A71FA"/>
    <w:rsid w:val="003B4DA3"/>
    <w:rsid w:val="003C284D"/>
    <w:rsid w:val="003C7183"/>
    <w:rsid w:val="003D3AA4"/>
    <w:rsid w:val="003E2041"/>
    <w:rsid w:val="003F0927"/>
    <w:rsid w:val="003F18C0"/>
    <w:rsid w:val="003F68A9"/>
    <w:rsid w:val="004012A8"/>
    <w:rsid w:val="00403BF5"/>
    <w:rsid w:val="004108F5"/>
    <w:rsid w:val="0041141D"/>
    <w:rsid w:val="00412886"/>
    <w:rsid w:val="0042086F"/>
    <w:rsid w:val="00420DD7"/>
    <w:rsid w:val="004222C6"/>
    <w:rsid w:val="00422D1C"/>
    <w:rsid w:val="0043056E"/>
    <w:rsid w:val="00433CEC"/>
    <w:rsid w:val="00434B9B"/>
    <w:rsid w:val="00434F80"/>
    <w:rsid w:val="0043514B"/>
    <w:rsid w:val="00437CE0"/>
    <w:rsid w:val="004415A2"/>
    <w:rsid w:val="00447635"/>
    <w:rsid w:val="004477EB"/>
    <w:rsid w:val="00451160"/>
    <w:rsid w:val="00452A48"/>
    <w:rsid w:val="00461E15"/>
    <w:rsid w:val="004658F4"/>
    <w:rsid w:val="00471DB5"/>
    <w:rsid w:val="004751E7"/>
    <w:rsid w:val="004768C7"/>
    <w:rsid w:val="00482A3C"/>
    <w:rsid w:val="004969D0"/>
    <w:rsid w:val="004A287A"/>
    <w:rsid w:val="004A5400"/>
    <w:rsid w:val="004A7D97"/>
    <w:rsid w:val="004B3363"/>
    <w:rsid w:val="004B418C"/>
    <w:rsid w:val="004C068C"/>
    <w:rsid w:val="004C0960"/>
    <w:rsid w:val="004D0D4F"/>
    <w:rsid w:val="004D5FC7"/>
    <w:rsid w:val="004D6317"/>
    <w:rsid w:val="004D63DC"/>
    <w:rsid w:val="004E0542"/>
    <w:rsid w:val="004E3DB9"/>
    <w:rsid w:val="004F2512"/>
    <w:rsid w:val="004F4E74"/>
    <w:rsid w:val="004F511D"/>
    <w:rsid w:val="004F6DF0"/>
    <w:rsid w:val="00503DBA"/>
    <w:rsid w:val="00504370"/>
    <w:rsid w:val="00513F26"/>
    <w:rsid w:val="00527DD5"/>
    <w:rsid w:val="00530275"/>
    <w:rsid w:val="00530A02"/>
    <w:rsid w:val="005319DA"/>
    <w:rsid w:val="00537F5B"/>
    <w:rsid w:val="00540947"/>
    <w:rsid w:val="00543076"/>
    <w:rsid w:val="00556E9A"/>
    <w:rsid w:val="005609B8"/>
    <w:rsid w:val="00560FDD"/>
    <w:rsid w:val="00561A24"/>
    <w:rsid w:val="00567C6F"/>
    <w:rsid w:val="005745EB"/>
    <w:rsid w:val="00574A1B"/>
    <w:rsid w:val="00574E22"/>
    <w:rsid w:val="00576E65"/>
    <w:rsid w:val="0058651A"/>
    <w:rsid w:val="00586BC1"/>
    <w:rsid w:val="00590792"/>
    <w:rsid w:val="00593D95"/>
    <w:rsid w:val="005B4757"/>
    <w:rsid w:val="005B5748"/>
    <w:rsid w:val="005B637B"/>
    <w:rsid w:val="005D3D7F"/>
    <w:rsid w:val="005D6663"/>
    <w:rsid w:val="005E12B1"/>
    <w:rsid w:val="005E69BA"/>
    <w:rsid w:val="005F1E08"/>
    <w:rsid w:val="005F3354"/>
    <w:rsid w:val="005F3CA6"/>
    <w:rsid w:val="005F4381"/>
    <w:rsid w:val="005F5C9E"/>
    <w:rsid w:val="00601B51"/>
    <w:rsid w:val="006059C1"/>
    <w:rsid w:val="0060672E"/>
    <w:rsid w:val="00606BD0"/>
    <w:rsid w:val="0061795A"/>
    <w:rsid w:val="00620C7B"/>
    <w:rsid w:val="00622197"/>
    <w:rsid w:val="00623090"/>
    <w:rsid w:val="006362CC"/>
    <w:rsid w:val="00643108"/>
    <w:rsid w:val="00647D69"/>
    <w:rsid w:val="00655AE4"/>
    <w:rsid w:val="00656CF9"/>
    <w:rsid w:val="00661124"/>
    <w:rsid w:val="006647CC"/>
    <w:rsid w:val="00671A0C"/>
    <w:rsid w:val="00674464"/>
    <w:rsid w:val="006837EE"/>
    <w:rsid w:val="00684A92"/>
    <w:rsid w:val="006930B8"/>
    <w:rsid w:val="006A28F0"/>
    <w:rsid w:val="006B1409"/>
    <w:rsid w:val="006B3FEA"/>
    <w:rsid w:val="006B7A9D"/>
    <w:rsid w:val="006C161C"/>
    <w:rsid w:val="006C2C49"/>
    <w:rsid w:val="006C7175"/>
    <w:rsid w:val="006D0E2D"/>
    <w:rsid w:val="006D252C"/>
    <w:rsid w:val="006D7DE2"/>
    <w:rsid w:val="006E1F15"/>
    <w:rsid w:val="006E2E61"/>
    <w:rsid w:val="006E4082"/>
    <w:rsid w:val="006F0985"/>
    <w:rsid w:val="006F1BD4"/>
    <w:rsid w:val="006F5CB0"/>
    <w:rsid w:val="006F6BB8"/>
    <w:rsid w:val="006F7437"/>
    <w:rsid w:val="00701A61"/>
    <w:rsid w:val="007052EF"/>
    <w:rsid w:val="00716CF8"/>
    <w:rsid w:val="00720264"/>
    <w:rsid w:val="007213D0"/>
    <w:rsid w:val="00723D2E"/>
    <w:rsid w:val="00724079"/>
    <w:rsid w:val="007240AC"/>
    <w:rsid w:val="0072437C"/>
    <w:rsid w:val="00744A46"/>
    <w:rsid w:val="00747019"/>
    <w:rsid w:val="00754026"/>
    <w:rsid w:val="00757BEB"/>
    <w:rsid w:val="007618E6"/>
    <w:rsid w:val="00764F10"/>
    <w:rsid w:val="00777AD8"/>
    <w:rsid w:val="00795F87"/>
    <w:rsid w:val="007A01A8"/>
    <w:rsid w:val="007C4CD8"/>
    <w:rsid w:val="007D5F4A"/>
    <w:rsid w:val="007F168F"/>
    <w:rsid w:val="007F36AA"/>
    <w:rsid w:val="007F46D2"/>
    <w:rsid w:val="00803E31"/>
    <w:rsid w:val="00804DAB"/>
    <w:rsid w:val="00805247"/>
    <w:rsid w:val="00805817"/>
    <w:rsid w:val="00806C9B"/>
    <w:rsid w:val="008076C6"/>
    <w:rsid w:val="00814CC3"/>
    <w:rsid w:val="008222E1"/>
    <w:rsid w:val="00827B05"/>
    <w:rsid w:val="008319AE"/>
    <w:rsid w:val="0083441D"/>
    <w:rsid w:val="00841727"/>
    <w:rsid w:val="008509B1"/>
    <w:rsid w:val="00850A24"/>
    <w:rsid w:val="00862A3E"/>
    <w:rsid w:val="008648D6"/>
    <w:rsid w:val="00867FD3"/>
    <w:rsid w:val="0087086E"/>
    <w:rsid w:val="00875C34"/>
    <w:rsid w:val="00877C75"/>
    <w:rsid w:val="008808AB"/>
    <w:rsid w:val="00881239"/>
    <w:rsid w:val="00884345"/>
    <w:rsid w:val="0088541A"/>
    <w:rsid w:val="008864EC"/>
    <w:rsid w:val="00891398"/>
    <w:rsid w:val="00891C28"/>
    <w:rsid w:val="008948DA"/>
    <w:rsid w:val="00894A97"/>
    <w:rsid w:val="008A4FEE"/>
    <w:rsid w:val="008A7257"/>
    <w:rsid w:val="008B098A"/>
    <w:rsid w:val="008B5B7F"/>
    <w:rsid w:val="008C21DB"/>
    <w:rsid w:val="008C2C84"/>
    <w:rsid w:val="008D7901"/>
    <w:rsid w:val="008E0044"/>
    <w:rsid w:val="008E759A"/>
    <w:rsid w:val="008F030B"/>
    <w:rsid w:val="008F6595"/>
    <w:rsid w:val="00901E36"/>
    <w:rsid w:val="00904B80"/>
    <w:rsid w:val="00911BED"/>
    <w:rsid w:val="0091247C"/>
    <w:rsid w:val="0092457E"/>
    <w:rsid w:val="0092761E"/>
    <w:rsid w:val="00941687"/>
    <w:rsid w:val="00946C11"/>
    <w:rsid w:val="009504A6"/>
    <w:rsid w:val="00951CFC"/>
    <w:rsid w:val="00957E3F"/>
    <w:rsid w:val="009617A6"/>
    <w:rsid w:val="0096377A"/>
    <w:rsid w:val="00963F16"/>
    <w:rsid w:val="00972303"/>
    <w:rsid w:val="009753B7"/>
    <w:rsid w:val="0097560E"/>
    <w:rsid w:val="00977B94"/>
    <w:rsid w:val="00977BB6"/>
    <w:rsid w:val="0098147E"/>
    <w:rsid w:val="009828D3"/>
    <w:rsid w:val="00992A72"/>
    <w:rsid w:val="00994613"/>
    <w:rsid w:val="00996FB5"/>
    <w:rsid w:val="00997FD4"/>
    <w:rsid w:val="009A3743"/>
    <w:rsid w:val="009A3D9F"/>
    <w:rsid w:val="009C414B"/>
    <w:rsid w:val="009D6921"/>
    <w:rsid w:val="009D7777"/>
    <w:rsid w:val="009D7D5F"/>
    <w:rsid w:val="009E1902"/>
    <w:rsid w:val="009E53BC"/>
    <w:rsid w:val="009E6175"/>
    <w:rsid w:val="009F1B62"/>
    <w:rsid w:val="009F549D"/>
    <w:rsid w:val="009F5506"/>
    <w:rsid w:val="00A01B92"/>
    <w:rsid w:val="00A12099"/>
    <w:rsid w:val="00A25342"/>
    <w:rsid w:val="00A25EA5"/>
    <w:rsid w:val="00A34845"/>
    <w:rsid w:val="00A40F64"/>
    <w:rsid w:val="00A450CB"/>
    <w:rsid w:val="00A46347"/>
    <w:rsid w:val="00A47763"/>
    <w:rsid w:val="00A508D1"/>
    <w:rsid w:val="00A5362D"/>
    <w:rsid w:val="00A562FC"/>
    <w:rsid w:val="00A60625"/>
    <w:rsid w:val="00A62BD5"/>
    <w:rsid w:val="00A648CB"/>
    <w:rsid w:val="00A66258"/>
    <w:rsid w:val="00A73C40"/>
    <w:rsid w:val="00A75695"/>
    <w:rsid w:val="00A75EB0"/>
    <w:rsid w:val="00A82C9E"/>
    <w:rsid w:val="00A904A7"/>
    <w:rsid w:val="00A93D1A"/>
    <w:rsid w:val="00A964A8"/>
    <w:rsid w:val="00AA22B4"/>
    <w:rsid w:val="00AA2B01"/>
    <w:rsid w:val="00AA3795"/>
    <w:rsid w:val="00AA3D44"/>
    <w:rsid w:val="00AA626F"/>
    <w:rsid w:val="00AB0456"/>
    <w:rsid w:val="00AB1ECA"/>
    <w:rsid w:val="00AB2D65"/>
    <w:rsid w:val="00AB5C08"/>
    <w:rsid w:val="00AB5D88"/>
    <w:rsid w:val="00AB73D1"/>
    <w:rsid w:val="00AC0C72"/>
    <w:rsid w:val="00AC1F69"/>
    <w:rsid w:val="00AC4B11"/>
    <w:rsid w:val="00AC4F13"/>
    <w:rsid w:val="00AC5192"/>
    <w:rsid w:val="00AD671E"/>
    <w:rsid w:val="00AD7963"/>
    <w:rsid w:val="00AE0EA3"/>
    <w:rsid w:val="00AF5219"/>
    <w:rsid w:val="00AF7930"/>
    <w:rsid w:val="00B011A2"/>
    <w:rsid w:val="00B06020"/>
    <w:rsid w:val="00B07ED7"/>
    <w:rsid w:val="00B20BB1"/>
    <w:rsid w:val="00B21A12"/>
    <w:rsid w:val="00B26195"/>
    <w:rsid w:val="00B34327"/>
    <w:rsid w:val="00B347FB"/>
    <w:rsid w:val="00B45783"/>
    <w:rsid w:val="00B52E20"/>
    <w:rsid w:val="00B61289"/>
    <w:rsid w:val="00B62F0E"/>
    <w:rsid w:val="00B65EC4"/>
    <w:rsid w:val="00B67BE0"/>
    <w:rsid w:val="00B67D11"/>
    <w:rsid w:val="00B73D10"/>
    <w:rsid w:val="00B76C41"/>
    <w:rsid w:val="00B80E5B"/>
    <w:rsid w:val="00B839E8"/>
    <w:rsid w:val="00B91868"/>
    <w:rsid w:val="00B93AED"/>
    <w:rsid w:val="00B96704"/>
    <w:rsid w:val="00B96CDE"/>
    <w:rsid w:val="00BA2A38"/>
    <w:rsid w:val="00BA3C3B"/>
    <w:rsid w:val="00BB126E"/>
    <w:rsid w:val="00BB3635"/>
    <w:rsid w:val="00BB54BC"/>
    <w:rsid w:val="00BB6A7B"/>
    <w:rsid w:val="00BC6609"/>
    <w:rsid w:val="00BD05AB"/>
    <w:rsid w:val="00BD0AF8"/>
    <w:rsid w:val="00BD13E6"/>
    <w:rsid w:val="00BD1626"/>
    <w:rsid w:val="00BD656E"/>
    <w:rsid w:val="00BE0C66"/>
    <w:rsid w:val="00BE2155"/>
    <w:rsid w:val="00BF0977"/>
    <w:rsid w:val="00BF276B"/>
    <w:rsid w:val="00BF7A4B"/>
    <w:rsid w:val="00C146D5"/>
    <w:rsid w:val="00C1597F"/>
    <w:rsid w:val="00C16742"/>
    <w:rsid w:val="00C34A8E"/>
    <w:rsid w:val="00C354E5"/>
    <w:rsid w:val="00C4139C"/>
    <w:rsid w:val="00C44296"/>
    <w:rsid w:val="00C5483E"/>
    <w:rsid w:val="00C6661E"/>
    <w:rsid w:val="00C72198"/>
    <w:rsid w:val="00C7317C"/>
    <w:rsid w:val="00C76850"/>
    <w:rsid w:val="00C8104A"/>
    <w:rsid w:val="00C9224F"/>
    <w:rsid w:val="00C9371A"/>
    <w:rsid w:val="00C97273"/>
    <w:rsid w:val="00CA4DF4"/>
    <w:rsid w:val="00CA5FBB"/>
    <w:rsid w:val="00CB011F"/>
    <w:rsid w:val="00CC11CD"/>
    <w:rsid w:val="00CC1E5E"/>
    <w:rsid w:val="00CC4F7E"/>
    <w:rsid w:val="00CC5F5C"/>
    <w:rsid w:val="00CC7273"/>
    <w:rsid w:val="00CC7EAF"/>
    <w:rsid w:val="00CD2DA7"/>
    <w:rsid w:val="00CD68BB"/>
    <w:rsid w:val="00CE14EC"/>
    <w:rsid w:val="00CE195D"/>
    <w:rsid w:val="00CE7E68"/>
    <w:rsid w:val="00CF1A72"/>
    <w:rsid w:val="00CF2338"/>
    <w:rsid w:val="00CF37DA"/>
    <w:rsid w:val="00D0052C"/>
    <w:rsid w:val="00D02672"/>
    <w:rsid w:val="00D04E2C"/>
    <w:rsid w:val="00D1756C"/>
    <w:rsid w:val="00D236A3"/>
    <w:rsid w:val="00D268D2"/>
    <w:rsid w:val="00D27E1B"/>
    <w:rsid w:val="00D30C6D"/>
    <w:rsid w:val="00D431C1"/>
    <w:rsid w:val="00D44704"/>
    <w:rsid w:val="00D473EA"/>
    <w:rsid w:val="00D644B8"/>
    <w:rsid w:val="00D64DCB"/>
    <w:rsid w:val="00D66FE4"/>
    <w:rsid w:val="00D7007A"/>
    <w:rsid w:val="00D75C1E"/>
    <w:rsid w:val="00D82C44"/>
    <w:rsid w:val="00D857BC"/>
    <w:rsid w:val="00D86982"/>
    <w:rsid w:val="00D902A0"/>
    <w:rsid w:val="00D94E3D"/>
    <w:rsid w:val="00D95DB1"/>
    <w:rsid w:val="00DA16D1"/>
    <w:rsid w:val="00DA5000"/>
    <w:rsid w:val="00DA6365"/>
    <w:rsid w:val="00DA66AF"/>
    <w:rsid w:val="00DB1C67"/>
    <w:rsid w:val="00DB35C2"/>
    <w:rsid w:val="00DB3EBA"/>
    <w:rsid w:val="00DB799A"/>
    <w:rsid w:val="00DB7C74"/>
    <w:rsid w:val="00DC0FDF"/>
    <w:rsid w:val="00DC5435"/>
    <w:rsid w:val="00DE09F3"/>
    <w:rsid w:val="00DE2170"/>
    <w:rsid w:val="00DE2266"/>
    <w:rsid w:val="00DE2519"/>
    <w:rsid w:val="00DE2949"/>
    <w:rsid w:val="00DE451A"/>
    <w:rsid w:val="00DE7F93"/>
    <w:rsid w:val="00DF04BF"/>
    <w:rsid w:val="00DF2D5B"/>
    <w:rsid w:val="00DF4ADB"/>
    <w:rsid w:val="00E02815"/>
    <w:rsid w:val="00E03BB5"/>
    <w:rsid w:val="00E04BE4"/>
    <w:rsid w:val="00E05025"/>
    <w:rsid w:val="00E0580F"/>
    <w:rsid w:val="00E1062D"/>
    <w:rsid w:val="00E11B34"/>
    <w:rsid w:val="00E126F9"/>
    <w:rsid w:val="00E276F6"/>
    <w:rsid w:val="00E30580"/>
    <w:rsid w:val="00E30E60"/>
    <w:rsid w:val="00E31A0D"/>
    <w:rsid w:val="00E33BA9"/>
    <w:rsid w:val="00E45AE4"/>
    <w:rsid w:val="00E500AF"/>
    <w:rsid w:val="00E5034B"/>
    <w:rsid w:val="00E63A96"/>
    <w:rsid w:val="00E70323"/>
    <w:rsid w:val="00E7206B"/>
    <w:rsid w:val="00E73AD5"/>
    <w:rsid w:val="00E77421"/>
    <w:rsid w:val="00E80B68"/>
    <w:rsid w:val="00E83BDA"/>
    <w:rsid w:val="00E85864"/>
    <w:rsid w:val="00E91CE3"/>
    <w:rsid w:val="00E941D2"/>
    <w:rsid w:val="00E94292"/>
    <w:rsid w:val="00E952E2"/>
    <w:rsid w:val="00EA7153"/>
    <w:rsid w:val="00EB1B72"/>
    <w:rsid w:val="00EB58AA"/>
    <w:rsid w:val="00EC0D25"/>
    <w:rsid w:val="00EC3679"/>
    <w:rsid w:val="00EC46E0"/>
    <w:rsid w:val="00EC4BF1"/>
    <w:rsid w:val="00EC6BFE"/>
    <w:rsid w:val="00EC7DA2"/>
    <w:rsid w:val="00ED0A94"/>
    <w:rsid w:val="00ED0CBE"/>
    <w:rsid w:val="00ED652F"/>
    <w:rsid w:val="00ED6B35"/>
    <w:rsid w:val="00EE0FF3"/>
    <w:rsid w:val="00EE480E"/>
    <w:rsid w:val="00EE5459"/>
    <w:rsid w:val="00EF3B1E"/>
    <w:rsid w:val="00EF5E87"/>
    <w:rsid w:val="00EF7CA8"/>
    <w:rsid w:val="00F01C8E"/>
    <w:rsid w:val="00F061F6"/>
    <w:rsid w:val="00F0743F"/>
    <w:rsid w:val="00F1274E"/>
    <w:rsid w:val="00F220CF"/>
    <w:rsid w:val="00F250C8"/>
    <w:rsid w:val="00F311A1"/>
    <w:rsid w:val="00F42020"/>
    <w:rsid w:val="00F43B77"/>
    <w:rsid w:val="00F6476F"/>
    <w:rsid w:val="00F6587A"/>
    <w:rsid w:val="00F66230"/>
    <w:rsid w:val="00F66525"/>
    <w:rsid w:val="00F72B2B"/>
    <w:rsid w:val="00F73C62"/>
    <w:rsid w:val="00F764E0"/>
    <w:rsid w:val="00F76D80"/>
    <w:rsid w:val="00F84C36"/>
    <w:rsid w:val="00F90FC8"/>
    <w:rsid w:val="00FA0AA0"/>
    <w:rsid w:val="00FA2CDB"/>
    <w:rsid w:val="00FA367A"/>
    <w:rsid w:val="00FA4206"/>
    <w:rsid w:val="00FB2F18"/>
    <w:rsid w:val="00FB448C"/>
    <w:rsid w:val="00FB7AFF"/>
    <w:rsid w:val="00FC07CA"/>
    <w:rsid w:val="00FC209F"/>
    <w:rsid w:val="00FC42F5"/>
    <w:rsid w:val="00FD1C98"/>
    <w:rsid w:val="00FE3B4F"/>
    <w:rsid w:val="00FE641A"/>
    <w:rsid w:val="00FF26FD"/>
    <w:rsid w:val="00FF4A00"/>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link w:val="Heading1Char"/>
    <w:uiPriority w:val="9"/>
    <w:qFormat/>
    <w:rsid w:val="001F16E2"/>
    <w:pPr>
      <w:keepNext/>
      <w:spacing w:line="240" w:lineRule="auto"/>
      <w:jc w:val="center"/>
      <w:outlineLvl w:val="0"/>
    </w:pPr>
    <w:rPr>
      <w:u w:val="single"/>
    </w:rPr>
  </w:style>
  <w:style w:type="paragraph" w:styleId="Heading2">
    <w:name w:val="heading 2"/>
    <w:basedOn w:val="Normal"/>
    <w:next w:val="Normal"/>
    <w:link w:val="Heading2Char"/>
    <w:uiPriority w:val="9"/>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317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03171"/>
    <w:rPr>
      <w:rFonts w:ascii="Cambria" w:eastAsia="Times New Roman" w:hAnsi="Cambria" w:cs="Times New Roman"/>
      <w:b/>
      <w:bCs/>
      <w:i/>
      <w:iCs/>
      <w:sz w:val="28"/>
      <w:szCs w:val="28"/>
    </w:rPr>
  </w:style>
  <w:style w:type="paragraph" w:styleId="Footer">
    <w:name w:val="footer"/>
    <w:basedOn w:val="Normal"/>
    <w:link w:val="FooterChar"/>
    <w:uiPriority w:val="99"/>
    <w:rsid w:val="001F16E2"/>
    <w:pPr>
      <w:tabs>
        <w:tab w:val="center" w:pos="4320"/>
        <w:tab w:val="right" w:pos="8640"/>
      </w:tabs>
    </w:pPr>
  </w:style>
  <w:style w:type="character" w:customStyle="1" w:styleId="FooterChar">
    <w:name w:val="Footer Char"/>
    <w:link w:val="Footer"/>
    <w:uiPriority w:val="99"/>
    <w:semiHidden/>
    <w:rsid w:val="00103171"/>
    <w:rPr>
      <w:sz w:val="26"/>
    </w:rPr>
  </w:style>
  <w:style w:type="character" w:styleId="PageNumber">
    <w:name w:val="page number"/>
    <w:uiPriority w:val="99"/>
    <w:rsid w:val="001F16E2"/>
    <w:rPr>
      <w:rFonts w:cs="Times New Roman"/>
    </w:rPr>
  </w:style>
  <w:style w:type="paragraph" w:styleId="BodyText">
    <w:name w:val="Body Text"/>
    <w:basedOn w:val="Normal"/>
    <w:link w:val="BodyTextChar"/>
    <w:uiPriority w:val="99"/>
    <w:pPr>
      <w:jc w:val="both"/>
    </w:pPr>
    <w:rPr>
      <w:rFonts w:eastAsia="SimSun"/>
    </w:rPr>
  </w:style>
  <w:style w:type="character" w:customStyle="1" w:styleId="BodyTextChar">
    <w:name w:val="Body Text Char"/>
    <w:link w:val="BodyText"/>
    <w:uiPriority w:val="99"/>
    <w:locked/>
    <w:rsid w:val="00B34327"/>
    <w:rPr>
      <w:rFonts w:eastAsia="SimSun" w:cs="Times New Roman"/>
      <w:sz w:val="26"/>
    </w:rPr>
  </w:style>
  <w:style w:type="paragraph" w:styleId="FootnoteText">
    <w:name w:val="footnote text"/>
    <w:aliases w:val="Car"/>
    <w:basedOn w:val="Normal"/>
    <w:link w:val="FootnoteTextChar"/>
    <w:uiPriority w:val="99"/>
    <w:qFormat/>
    <w:pPr>
      <w:spacing w:line="240" w:lineRule="auto"/>
    </w:pPr>
    <w:rPr>
      <w:sz w:val="20"/>
    </w:rPr>
  </w:style>
  <w:style w:type="character" w:customStyle="1" w:styleId="FootnoteTextChar">
    <w:name w:val="Footnote Text Char"/>
    <w:aliases w:val="Car Char"/>
    <w:link w:val="FootnoteText"/>
    <w:uiPriority w:val="99"/>
    <w:locked/>
    <w:rsid w:val="00CD68BB"/>
    <w:rPr>
      <w:rFonts w:cs="Times New Roman"/>
    </w:rPr>
  </w:style>
  <w:style w:type="character" w:styleId="FootnoteReference">
    <w:name w:val="footnote reference"/>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03171"/>
    <w:rPr>
      <w:sz w:val="26"/>
    </w:r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uiPriority w:val="99"/>
    <w:rsid w:val="0098147E"/>
    <w:pPr>
      <w:spacing w:line="240" w:lineRule="auto"/>
    </w:pPr>
    <w:rPr>
      <w:rFonts w:ascii="Tahoma" w:hAnsi="Tahoma" w:cs="Tahoma"/>
      <w:sz w:val="16"/>
      <w:szCs w:val="16"/>
    </w:rPr>
  </w:style>
  <w:style w:type="character" w:customStyle="1" w:styleId="BalloonTextChar">
    <w:name w:val="Balloon Text Char"/>
    <w:link w:val="BalloonText"/>
    <w:uiPriority w:val="99"/>
    <w:locked/>
    <w:rsid w:val="0098147E"/>
    <w:rPr>
      <w:rFonts w:ascii="Tahoma" w:hAnsi="Tahoma" w:cs="Tahoma"/>
      <w:sz w:val="16"/>
      <w:szCs w:val="16"/>
    </w:rPr>
  </w:style>
  <w:style w:type="paragraph" w:styleId="PlainText">
    <w:name w:val="Plain Text"/>
    <w:basedOn w:val="Normal"/>
    <w:link w:val="PlainTextChar"/>
    <w:uiPriority w:val="99"/>
    <w:unhideWhenUsed/>
    <w:rsid w:val="00ED0A94"/>
    <w:pPr>
      <w:spacing w:line="240" w:lineRule="auto"/>
    </w:pPr>
    <w:rPr>
      <w:rFonts w:ascii="Calibri" w:hAnsi="Calibri"/>
      <w:sz w:val="22"/>
      <w:szCs w:val="21"/>
    </w:rPr>
  </w:style>
  <w:style w:type="character" w:customStyle="1" w:styleId="PlainTextChar">
    <w:name w:val="Plain Text Char"/>
    <w:link w:val="PlainText"/>
    <w:uiPriority w:val="99"/>
    <w:locked/>
    <w:rsid w:val="00ED0A94"/>
    <w:rPr>
      <w:rFonts w:ascii="Calibri" w:eastAsia="Times New Roman" w:hAnsi="Calibri" w:cs="Times New Roman"/>
      <w:sz w:val="21"/>
      <w:szCs w:val="21"/>
    </w:rPr>
  </w:style>
  <w:style w:type="paragraph" w:customStyle="1" w:styleId="ParaTab1">
    <w:name w:val="ParaTab 1"/>
    <w:rsid w:val="00AC0C72"/>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link w:val="Heading1Char"/>
    <w:uiPriority w:val="9"/>
    <w:qFormat/>
    <w:rsid w:val="001F16E2"/>
    <w:pPr>
      <w:keepNext/>
      <w:spacing w:line="240" w:lineRule="auto"/>
      <w:jc w:val="center"/>
      <w:outlineLvl w:val="0"/>
    </w:pPr>
    <w:rPr>
      <w:u w:val="single"/>
    </w:rPr>
  </w:style>
  <w:style w:type="paragraph" w:styleId="Heading2">
    <w:name w:val="heading 2"/>
    <w:basedOn w:val="Normal"/>
    <w:next w:val="Normal"/>
    <w:link w:val="Heading2Char"/>
    <w:uiPriority w:val="9"/>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317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03171"/>
    <w:rPr>
      <w:rFonts w:ascii="Cambria" w:eastAsia="Times New Roman" w:hAnsi="Cambria" w:cs="Times New Roman"/>
      <w:b/>
      <w:bCs/>
      <w:i/>
      <w:iCs/>
      <w:sz w:val="28"/>
      <w:szCs w:val="28"/>
    </w:rPr>
  </w:style>
  <w:style w:type="paragraph" w:styleId="Footer">
    <w:name w:val="footer"/>
    <w:basedOn w:val="Normal"/>
    <w:link w:val="FooterChar"/>
    <w:uiPriority w:val="99"/>
    <w:rsid w:val="001F16E2"/>
    <w:pPr>
      <w:tabs>
        <w:tab w:val="center" w:pos="4320"/>
        <w:tab w:val="right" w:pos="8640"/>
      </w:tabs>
    </w:pPr>
  </w:style>
  <w:style w:type="character" w:customStyle="1" w:styleId="FooterChar">
    <w:name w:val="Footer Char"/>
    <w:link w:val="Footer"/>
    <w:uiPriority w:val="99"/>
    <w:semiHidden/>
    <w:rsid w:val="00103171"/>
    <w:rPr>
      <w:sz w:val="26"/>
    </w:rPr>
  </w:style>
  <w:style w:type="character" w:styleId="PageNumber">
    <w:name w:val="page number"/>
    <w:uiPriority w:val="99"/>
    <w:rsid w:val="001F16E2"/>
    <w:rPr>
      <w:rFonts w:cs="Times New Roman"/>
    </w:rPr>
  </w:style>
  <w:style w:type="paragraph" w:styleId="BodyText">
    <w:name w:val="Body Text"/>
    <w:basedOn w:val="Normal"/>
    <w:link w:val="BodyTextChar"/>
    <w:uiPriority w:val="99"/>
    <w:pPr>
      <w:jc w:val="both"/>
    </w:pPr>
    <w:rPr>
      <w:rFonts w:eastAsia="SimSun"/>
    </w:rPr>
  </w:style>
  <w:style w:type="character" w:customStyle="1" w:styleId="BodyTextChar">
    <w:name w:val="Body Text Char"/>
    <w:link w:val="BodyText"/>
    <w:uiPriority w:val="99"/>
    <w:locked/>
    <w:rsid w:val="00B34327"/>
    <w:rPr>
      <w:rFonts w:eastAsia="SimSun" w:cs="Times New Roman"/>
      <w:sz w:val="26"/>
    </w:rPr>
  </w:style>
  <w:style w:type="paragraph" w:styleId="FootnoteText">
    <w:name w:val="footnote text"/>
    <w:aliases w:val="Car"/>
    <w:basedOn w:val="Normal"/>
    <w:link w:val="FootnoteTextChar"/>
    <w:uiPriority w:val="99"/>
    <w:qFormat/>
    <w:pPr>
      <w:spacing w:line="240" w:lineRule="auto"/>
    </w:pPr>
    <w:rPr>
      <w:sz w:val="20"/>
    </w:rPr>
  </w:style>
  <w:style w:type="character" w:customStyle="1" w:styleId="FootnoteTextChar">
    <w:name w:val="Footnote Text Char"/>
    <w:aliases w:val="Car Char"/>
    <w:link w:val="FootnoteText"/>
    <w:uiPriority w:val="99"/>
    <w:locked/>
    <w:rsid w:val="00CD68BB"/>
    <w:rPr>
      <w:rFonts w:cs="Times New Roman"/>
    </w:rPr>
  </w:style>
  <w:style w:type="character" w:styleId="FootnoteReference">
    <w:name w:val="footnote reference"/>
    <w:uiPriority w:val="99"/>
    <w:rPr>
      <w:rFonts w:cs="Times New Roman"/>
      <w:vertAlign w:val="superscript"/>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03171"/>
    <w:rPr>
      <w:sz w:val="26"/>
    </w:r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uiPriority w:val="99"/>
    <w:rsid w:val="0098147E"/>
    <w:pPr>
      <w:spacing w:line="240" w:lineRule="auto"/>
    </w:pPr>
    <w:rPr>
      <w:rFonts w:ascii="Tahoma" w:hAnsi="Tahoma" w:cs="Tahoma"/>
      <w:sz w:val="16"/>
      <w:szCs w:val="16"/>
    </w:rPr>
  </w:style>
  <w:style w:type="character" w:customStyle="1" w:styleId="BalloonTextChar">
    <w:name w:val="Balloon Text Char"/>
    <w:link w:val="BalloonText"/>
    <w:uiPriority w:val="99"/>
    <w:locked/>
    <w:rsid w:val="0098147E"/>
    <w:rPr>
      <w:rFonts w:ascii="Tahoma" w:hAnsi="Tahoma" w:cs="Tahoma"/>
      <w:sz w:val="16"/>
      <w:szCs w:val="16"/>
    </w:rPr>
  </w:style>
  <w:style w:type="paragraph" w:styleId="PlainText">
    <w:name w:val="Plain Text"/>
    <w:basedOn w:val="Normal"/>
    <w:link w:val="PlainTextChar"/>
    <w:uiPriority w:val="99"/>
    <w:unhideWhenUsed/>
    <w:rsid w:val="00ED0A94"/>
    <w:pPr>
      <w:spacing w:line="240" w:lineRule="auto"/>
    </w:pPr>
    <w:rPr>
      <w:rFonts w:ascii="Calibri" w:hAnsi="Calibri"/>
      <w:sz w:val="22"/>
      <w:szCs w:val="21"/>
    </w:rPr>
  </w:style>
  <w:style w:type="character" w:customStyle="1" w:styleId="PlainTextChar">
    <w:name w:val="Plain Text Char"/>
    <w:link w:val="PlainText"/>
    <w:uiPriority w:val="99"/>
    <w:locked/>
    <w:rsid w:val="00ED0A94"/>
    <w:rPr>
      <w:rFonts w:ascii="Calibri" w:eastAsia="Times New Roman" w:hAnsi="Calibri" w:cs="Times New Roman"/>
      <w:sz w:val="21"/>
      <w:szCs w:val="21"/>
    </w:rPr>
  </w:style>
  <w:style w:type="paragraph" w:customStyle="1" w:styleId="ParaTab1">
    <w:name w:val="ParaTab 1"/>
    <w:rsid w:val="00AC0C72"/>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30990">
      <w:marLeft w:val="0"/>
      <w:marRight w:val="0"/>
      <w:marTop w:val="0"/>
      <w:marBottom w:val="0"/>
      <w:divBdr>
        <w:top w:val="none" w:sz="0" w:space="0" w:color="auto"/>
        <w:left w:val="none" w:sz="0" w:space="0" w:color="auto"/>
        <w:bottom w:val="none" w:sz="0" w:space="0" w:color="auto"/>
        <w:right w:val="none" w:sz="0" w:space="0" w:color="auto"/>
      </w:divBdr>
    </w:div>
    <w:div w:id="1739130991">
      <w:marLeft w:val="0"/>
      <w:marRight w:val="0"/>
      <w:marTop w:val="0"/>
      <w:marBottom w:val="0"/>
      <w:divBdr>
        <w:top w:val="none" w:sz="0" w:space="0" w:color="auto"/>
        <w:left w:val="none" w:sz="0" w:space="0" w:color="auto"/>
        <w:bottom w:val="none" w:sz="0" w:space="0" w:color="auto"/>
        <w:right w:val="none" w:sz="0" w:space="0" w:color="auto"/>
      </w:divBdr>
    </w:div>
    <w:div w:id="1739130992">
      <w:marLeft w:val="0"/>
      <w:marRight w:val="0"/>
      <w:marTop w:val="0"/>
      <w:marBottom w:val="0"/>
      <w:divBdr>
        <w:top w:val="none" w:sz="0" w:space="0" w:color="auto"/>
        <w:left w:val="none" w:sz="0" w:space="0" w:color="auto"/>
        <w:bottom w:val="none" w:sz="0" w:space="0" w:color="auto"/>
        <w:right w:val="none" w:sz="0" w:space="0" w:color="auto"/>
      </w:divBdr>
    </w:div>
    <w:div w:id="1739130993">
      <w:marLeft w:val="0"/>
      <w:marRight w:val="0"/>
      <w:marTop w:val="0"/>
      <w:marBottom w:val="0"/>
      <w:divBdr>
        <w:top w:val="none" w:sz="0" w:space="0" w:color="auto"/>
        <w:left w:val="none" w:sz="0" w:space="0" w:color="auto"/>
        <w:bottom w:val="none" w:sz="0" w:space="0" w:color="auto"/>
        <w:right w:val="none" w:sz="0" w:space="0" w:color="auto"/>
      </w:divBdr>
    </w:div>
    <w:div w:id="1739130994">
      <w:marLeft w:val="0"/>
      <w:marRight w:val="0"/>
      <w:marTop w:val="0"/>
      <w:marBottom w:val="0"/>
      <w:divBdr>
        <w:top w:val="none" w:sz="0" w:space="0" w:color="auto"/>
        <w:left w:val="none" w:sz="0" w:space="0" w:color="auto"/>
        <w:bottom w:val="none" w:sz="0" w:space="0" w:color="auto"/>
        <w:right w:val="none" w:sz="0" w:space="0" w:color="auto"/>
      </w:divBdr>
    </w:div>
    <w:div w:id="17391309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5155-6384-4DA2-B603-CF94B370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bfaccenda</cp:lastModifiedBy>
  <cp:revision>10</cp:revision>
  <cp:lastPrinted>2014-03-12T11:45:00Z</cp:lastPrinted>
  <dcterms:created xsi:type="dcterms:W3CDTF">2014-03-05T13:34:00Z</dcterms:created>
  <dcterms:modified xsi:type="dcterms:W3CDTF">2014-03-12T11:46:00Z</dcterms:modified>
</cp:coreProperties>
</file>