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7B4A31" w:rsidP="007B4A31">
      <w:pPr>
        <w:jc w:val="center"/>
        <w:rPr>
          <w:b/>
        </w:rPr>
      </w:pPr>
      <w:bookmarkStart w:id="0" w:name="_GoBack"/>
      <w:bookmarkEnd w:id="0"/>
      <w:r>
        <w:rPr>
          <w:b/>
        </w:rPr>
        <w:t>BEFORE THE</w:t>
      </w:r>
    </w:p>
    <w:p w:rsidR="007B4A31" w:rsidRDefault="007B4A31" w:rsidP="007B4A31">
      <w:pPr>
        <w:jc w:val="center"/>
      </w:pPr>
      <w:r>
        <w:rPr>
          <w:b/>
        </w:rPr>
        <w:t>PENNSYLVANIA PUBLIC UTILITY COMMISSION</w:t>
      </w:r>
    </w:p>
    <w:p w:rsidR="007B4A31" w:rsidRDefault="007B4A31" w:rsidP="007B4A31"/>
    <w:p w:rsidR="003C6CA6" w:rsidRDefault="003C6CA6" w:rsidP="007B4A31"/>
    <w:p w:rsidR="00287629" w:rsidRDefault="00287629" w:rsidP="007B4A31"/>
    <w:p w:rsidR="007B4A31" w:rsidRDefault="00596B75" w:rsidP="007B4A31">
      <w:proofErr w:type="spellStart"/>
      <w:r>
        <w:t>Margaretta</w:t>
      </w:r>
      <w:proofErr w:type="spellEnd"/>
      <w:r>
        <w:t xml:space="preserve"> Green </w:t>
      </w:r>
      <w:r w:rsidR="00EE74E6">
        <w:tab/>
      </w:r>
      <w:r w:rsidR="00EE74E6">
        <w:tab/>
      </w:r>
      <w:r w:rsidR="00EE74E6">
        <w:tab/>
      </w:r>
      <w:r w:rsidR="00EE74E6">
        <w:tab/>
      </w:r>
      <w:r w:rsidR="00EE74E6">
        <w:tab/>
        <w:t>:</w:t>
      </w:r>
    </w:p>
    <w:p w:rsidR="00EE74E6" w:rsidRDefault="00EE74E6" w:rsidP="007B4A31">
      <w:r>
        <w:tab/>
      </w:r>
      <w:r>
        <w:tab/>
      </w:r>
      <w:r>
        <w:tab/>
      </w:r>
      <w:r>
        <w:tab/>
      </w:r>
      <w:r>
        <w:tab/>
      </w:r>
      <w:r>
        <w:tab/>
      </w:r>
      <w:r>
        <w:tab/>
        <w:t>:</w:t>
      </w:r>
    </w:p>
    <w:p w:rsidR="00EE74E6" w:rsidRDefault="00EE74E6" w:rsidP="007B4A31">
      <w:r>
        <w:tab/>
        <w:t>v.</w:t>
      </w:r>
      <w:r>
        <w:tab/>
      </w:r>
      <w:r>
        <w:tab/>
      </w:r>
      <w:r>
        <w:tab/>
      </w:r>
      <w:r>
        <w:tab/>
      </w:r>
      <w:r>
        <w:tab/>
      </w:r>
      <w:r>
        <w:tab/>
        <w:t>:</w:t>
      </w:r>
      <w:r>
        <w:tab/>
      </w:r>
      <w:r>
        <w:tab/>
      </w:r>
      <w:r w:rsidR="00596B75">
        <w:t>F-2013-2378618</w:t>
      </w:r>
    </w:p>
    <w:p w:rsidR="00EE74E6" w:rsidRDefault="00EE74E6" w:rsidP="007B4A31">
      <w:r>
        <w:tab/>
      </w:r>
      <w:r>
        <w:tab/>
      </w:r>
      <w:r>
        <w:tab/>
      </w:r>
      <w:r>
        <w:tab/>
      </w:r>
      <w:r>
        <w:tab/>
      </w:r>
      <w:r>
        <w:tab/>
      </w:r>
      <w:r>
        <w:tab/>
        <w:t>:</w:t>
      </w:r>
    </w:p>
    <w:p w:rsidR="00EE74E6" w:rsidRDefault="00596B75" w:rsidP="007B4A31">
      <w:r>
        <w:t>PECO Energy Company</w:t>
      </w:r>
      <w:r w:rsidR="00EE74E6">
        <w:tab/>
      </w:r>
      <w:r w:rsidR="00EE74E6">
        <w:tab/>
      </w:r>
      <w:r w:rsidR="00EE74E6">
        <w:tab/>
      </w:r>
      <w:r w:rsidR="00EE74E6">
        <w:tab/>
        <w:t>:</w:t>
      </w:r>
    </w:p>
    <w:p w:rsidR="003C6CA6" w:rsidRDefault="003C6CA6" w:rsidP="007B4A31"/>
    <w:p w:rsidR="00287629" w:rsidRDefault="00287629" w:rsidP="007B4A31"/>
    <w:p w:rsidR="003C6CA6" w:rsidRDefault="003C6CA6" w:rsidP="007B4A31"/>
    <w:p w:rsidR="00EE74E6" w:rsidRDefault="00EE74E6" w:rsidP="00EE74E6">
      <w:pPr>
        <w:jc w:val="center"/>
      </w:pPr>
      <w:r>
        <w:rPr>
          <w:b/>
          <w:u w:val="single"/>
        </w:rPr>
        <w:t>INITIAL DECISION</w:t>
      </w:r>
    </w:p>
    <w:p w:rsidR="00633A73" w:rsidRDefault="00633A73" w:rsidP="00EE74E6">
      <w:pPr>
        <w:jc w:val="center"/>
      </w:pPr>
    </w:p>
    <w:p w:rsidR="00633A73" w:rsidRDefault="00633A73" w:rsidP="00EE74E6">
      <w:pPr>
        <w:jc w:val="center"/>
      </w:pPr>
    </w:p>
    <w:p w:rsidR="00633A73" w:rsidRDefault="00633A73" w:rsidP="00EE74E6">
      <w:pPr>
        <w:jc w:val="center"/>
      </w:pPr>
      <w:r>
        <w:t>Before</w:t>
      </w:r>
    </w:p>
    <w:p w:rsidR="00633A73" w:rsidRDefault="00596B75" w:rsidP="00EE74E6">
      <w:pPr>
        <w:jc w:val="center"/>
      </w:pPr>
      <w:r>
        <w:t>Mark A. Hoyer</w:t>
      </w:r>
    </w:p>
    <w:p w:rsidR="00633A73" w:rsidRDefault="00633A73" w:rsidP="00EE74E6">
      <w:pPr>
        <w:jc w:val="center"/>
      </w:pPr>
      <w:r>
        <w:t>Administrative Law Judge</w:t>
      </w:r>
    </w:p>
    <w:p w:rsidR="00596B75" w:rsidRDefault="00596B75" w:rsidP="00596B75"/>
    <w:p w:rsidR="00D450D4" w:rsidRDefault="00D450D4" w:rsidP="00596B75"/>
    <w:p w:rsidR="00596B75" w:rsidRPr="00596B75" w:rsidRDefault="00596B75" w:rsidP="00596B75">
      <w:pPr>
        <w:spacing w:line="360" w:lineRule="auto"/>
        <w:ind w:firstLine="1440"/>
      </w:pPr>
      <w:r>
        <w:t>This Initial Decision d</w:t>
      </w:r>
      <w:r w:rsidR="002606BC">
        <w:t>enies</w:t>
      </w:r>
      <w:r>
        <w:t xml:space="preserve"> the formal complaint filed by </w:t>
      </w:r>
      <w:proofErr w:type="spellStart"/>
      <w:r>
        <w:t>Margaretta</w:t>
      </w:r>
      <w:proofErr w:type="spellEnd"/>
      <w:r>
        <w:t xml:space="preserve"> Green (</w:t>
      </w:r>
      <w:r w:rsidR="00AB0CBF">
        <w:t>“</w:t>
      </w:r>
      <w:r>
        <w:t>Complainant</w:t>
      </w:r>
      <w:r w:rsidR="00AB0CBF">
        <w:t>”</w:t>
      </w:r>
      <w:r>
        <w:t>) against PECO Energy Company (</w:t>
      </w:r>
      <w:r w:rsidR="00AB0CBF">
        <w:t>“</w:t>
      </w:r>
      <w:r>
        <w:t>PECO</w:t>
      </w:r>
      <w:r w:rsidR="00AB0CBF">
        <w:t>”</w:t>
      </w:r>
      <w:r>
        <w:t xml:space="preserve"> or </w:t>
      </w:r>
      <w:r w:rsidR="00AB0CBF">
        <w:t>“</w:t>
      </w:r>
      <w:r>
        <w:t>Respondent</w:t>
      </w:r>
      <w:r w:rsidR="00AB0CBF">
        <w:t>”</w:t>
      </w:r>
      <w:r>
        <w:t xml:space="preserve">) at Docket No. </w:t>
      </w:r>
      <w:r w:rsidR="00AB0CBF">
        <w:t xml:space="preserve">    </w:t>
      </w:r>
      <w:proofErr w:type="gramStart"/>
      <w:r>
        <w:t>F-2013-2378618.</w:t>
      </w:r>
      <w:proofErr w:type="gramEnd"/>
      <w:r>
        <w:t xml:space="preserve">  Complainant failed to prove PECO vi</w:t>
      </w:r>
      <w:r w:rsidR="00AB0CBF">
        <w:t>olated the Pennsylvania Public U</w:t>
      </w:r>
      <w:r>
        <w:t>tility Code (</w:t>
      </w:r>
      <w:r w:rsidR="00AB0CBF">
        <w:t>“</w:t>
      </w:r>
      <w:r>
        <w:t>the Code</w:t>
      </w:r>
      <w:r w:rsidR="00AB0CBF">
        <w:t>”</w:t>
      </w:r>
      <w:r>
        <w:t xml:space="preserve">), 66 </w:t>
      </w:r>
      <w:proofErr w:type="spellStart"/>
      <w:r>
        <w:t>Pa.C.S</w:t>
      </w:r>
      <w:proofErr w:type="spellEnd"/>
      <w:r>
        <w:t xml:space="preserve">. </w:t>
      </w:r>
      <w:proofErr w:type="gramStart"/>
      <w:r>
        <w:t>§</w:t>
      </w:r>
      <w:r w:rsidR="000A11C4">
        <w:t xml:space="preserve"> </w:t>
      </w:r>
      <w:r>
        <w:t xml:space="preserve">101 </w:t>
      </w:r>
      <w:r>
        <w:rPr>
          <w:i/>
        </w:rPr>
        <w:t>et seq</w:t>
      </w:r>
      <w:r>
        <w:t>.</w:t>
      </w:r>
      <w:proofErr w:type="gramEnd"/>
      <w:r>
        <w:t xml:space="preserve">, the Commission’s regulations or any Commission order.  Complainant failed to prove she is owed a refund from PECO.  </w:t>
      </w:r>
    </w:p>
    <w:p w:rsidR="00633A73" w:rsidRDefault="00633A73" w:rsidP="00EE74E6">
      <w:pPr>
        <w:jc w:val="center"/>
      </w:pPr>
    </w:p>
    <w:p w:rsidR="00633A73" w:rsidRDefault="00633A73" w:rsidP="00EE74E6">
      <w:pPr>
        <w:jc w:val="center"/>
      </w:pPr>
    </w:p>
    <w:p w:rsidR="00633A73" w:rsidRDefault="00633A73" w:rsidP="00EE74E6">
      <w:pPr>
        <w:jc w:val="center"/>
      </w:pPr>
      <w:r>
        <w:rPr>
          <w:u w:val="single"/>
        </w:rPr>
        <w:t>HISTORY OF THE PROCEEDING</w:t>
      </w:r>
    </w:p>
    <w:p w:rsidR="00633A73" w:rsidRDefault="00633A73" w:rsidP="00633A73"/>
    <w:p w:rsidR="00633A73" w:rsidRDefault="00633A73" w:rsidP="00633A73"/>
    <w:p w:rsidR="00C024AF" w:rsidRDefault="00633A73" w:rsidP="00633A73">
      <w:pPr>
        <w:spacing w:line="360" w:lineRule="auto"/>
      </w:pPr>
      <w:r>
        <w:tab/>
      </w:r>
      <w:r>
        <w:tab/>
      </w:r>
      <w:r w:rsidR="00770175">
        <w:t xml:space="preserve">On </w:t>
      </w:r>
      <w:r w:rsidR="00172A1B">
        <w:t xml:space="preserve">July 31, 2013, Ms. Green </w:t>
      </w:r>
      <w:r w:rsidR="00770175">
        <w:t xml:space="preserve">filed a </w:t>
      </w:r>
      <w:r w:rsidR="00172A1B">
        <w:t xml:space="preserve">formal </w:t>
      </w:r>
      <w:r w:rsidR="00770175">
        <w:t xml:space="preserve">complaint with the Pennsylvania Public Utility Commission (“Commission”) </w:t>
      </w:r>
      <w:r w:rsidR="00172A1B">
        <w:t xml:space="preserve">requesting that she be reimbursed by PECO the amount she paid for electric utility service prior to the discovery of a “foreign load” at her residential dwelling.  PECO </w:t>
      </w:r>
      <w:r w:rsidR="00582ADF">
        <w:t xml:space="preserve">answered the complaint on </w:t>
      </w:r>
      <w:r w:rsidR="00172A1B">
        <w:t xml:space="preserve">August 16, 2013.  PECO </w:t>
      </w:r>
      <w:r w:rsidR="006D2E83">
        <w:t>acknowledg</w:t>
      </w:r>
      <w:r w:rsidR="00172A1B">
        <w:t>ed that a foreign load was discovered at 1907 East Venango Street, Philadelphia, Pennsylvania on May 8, 2013.  After discovery of the foreign load, PECO aver</w:t>
      </w:r>
      <w:r w:rsidR="000B3F0C">
        <w:t>s</w:t>
      </w:r>
      <w:r w:rsidR="00172A1B">
        <w:t xml:space="preserve"> that it discontinued service in Ms.</w:t>
      </w:r>
      <w:r w:rsidR="00210517">
        <w:t> </w:t>
      </w:r>
      <w:r w:rsidR="00172A1B">
        <w:t>Green’s name and transferred the entire account balance to an account in Ms. Green’s landlord’s name.  PECO requests that the complaint be dismissed.</w:t>
      </w:r>
    </w:p>
    <w:p w:rsidR="000B3F0C" w:rsidRDefault="000B3F0C" w:rsidP="00633A73">
      <w:pPr>
        <w:spacing w:line="360" w:lineRule="auto"/>
      </w:pPr>
    </w:p>
    <w:p w:rsidR="00E06E04" w:rsidRDefault="00C024AF" w:rsidP="00633A73">
      <w:pPr>
        <w:spacing w:line="360" w:lineRule="auto"/>
      </w:pPr>
      <w:r>
        <w:lastRenderedPageBreak/>
        <w:tab/>
      </w:r>
      <w:r>
        <w:tab/>
      </w:r>
      <w:r w:rsidR="0090566C">
        <w:t xml:space="preserve">A Telephonic Hearing Notice was issued on September 23, 2013.  </w:t>
      </w:r>
      <w:r w:rsidR="00685C2E">
        <w:t xml:space="preserve">A standard Prehearing Order was issued on </w:t>
      </w:r>
      <w:r w:rsidR="00E06E04">
        <w:t xml:space="preserve">September </w:t>
      </w:r>
      <w:r w:rsidR="0090566C">
        <w:t>26, 2013.</w:t>
      </w:r>
      <w:r w:rsidR="003C6CA6">
        <w:t xml:space="preserve">  </w:t>
      </w:r>
      <w:r w:rsidR="00D351C1">
        <w:t xml:space="preserve">A telephonic hearing was held on </w:t>
      </w:r>
      <w:r w:rsidR="0090566C">
        <w:t xml:space="preserve">November 26, 2013.  </w:t>
      </w:r>
      <w:r w:rsidR="00D351C1">
        <w:t xml:space="preserve">Complainant appeared </w:t>
      </w:r>
      <w:r w:rsidR="00D351C1">
        <w:rPr>
          <w:i/>
        </w:rPr>
        <w:t>pro se</w:t>
      </w:r>
      <w:r w:rsidR="00D351C1">
        <w:t xml:space="preserve">.  </w:t>
      </w:r>
      <w:proofErr w:type="spellStart"/>
      <w:r w:rsidR="0090566C">
        <w:t>Shawane</w:t>
      </w:r>
      <w:proofErr w:type="spellEnd"/>
      <w:r w:rsidR="0090566C">
        <w:t xml:space="preserve"> L. Lee, Esquire, </w:t>
      </w:r>
      <w:r w:rsidR="00D351C1">
        <w:t>represented</w:t>
      </w:r>
      <w:r w:rsidR="001E4A0F">
        <w:t xml:space="preserve"> </w:t>
      </w:r>
      <w:r w:rsidR="0090566C">
        <w:t>PECO</w:t>
      </w:r>
      <w:r w:rsidR="001E4A0F">
        <w:t xml:space="preserve">, which offered </w:t>
      </w:r>
      <w:r w:rsidR="0090566C">
        <w:t>seven</w:t>
      </w:r>
      <w:r w:rsidR="001E4A0F">
        <w:t xml:space="preserve"> exhibits for the record.  </w:t>
      </w:r>
      <w:r w:rsidR="0090566C">
        <w:t>The hearing generated 41</w:t>
      </w:r>
      <w:r w:rsidR="001E4A0F">
        <w:t xml:space="preserve"> pages of notes of testimony.  No briefs were filed.  </w:t>
      </w:r>
      <w:r w:rsidR="000B1FCF">
        <w:t xml:space="preserve">The record closed on </w:t>
      </w:r>
      <w:r w:rsidR="0090566C">
        <w:t xml:space="preserve">December 12, 2013.  </w:t>
      </w:r>
    </w:p>
    <w:p w:rsidR="0090566C" w:rsidRDefault="0090566C" w:rsidP="00633A73">
      <w:pPr>
        <w:spacing w:line="360" w:lineRule="auto"/>
      </w:pPr>
    </w:p>
    <w:p w:rsidR="000B1FCF" w:rsidRDefault="000B1FCF" w:rsidP="000B1FCF">
      <w:pPr>
        <w:spacing w:line="360" w:lineRule="auto"/>
        <w:jc w:val="center"/>
      </w:pPr>
      <w:r>
        <w:rPr>
          <w:u w:val="single"/>
        </w:rPr>
        <w:t>FINDINGS OF FACT</w:t>
      </w:r>
    </w:p>
    <w:p w:rsidR="000B1FCF" w:rsidRDefault="000B1FCF" w:rsidP="000B1FCF">
      <w:pPr>
        <w:spacing w:line="360" w:lineRule="auto"/>
      </w:pPr>
    </w:p>
    <w:p w:rsidR="000B1FCF" w:rsidRDefault="003C6CA6" w:rsidP="00D34D43">
      <w:pPr>
        <w:pStyle w:val="ListParagraph"/>
        <w:numPr>
          <w:ilvl w:val="0"/>
          <w:numId w:val="1"/>
        </w:numPr>
        <w:spacing w:line="360" w:lineRule="auto"/>
        <w:ind w:left="0" w:firstLine="1440"/>
      </w:pPr>
      <w:r>
        <w:t xml:space="preserve">Complainant, </w:t>
      </w:r>
      <w:proofErr w:type="spellStart"/>
      <w:r w:rsidR="000B3F0C">
        <w:t>Margaretta</w:t>
      </w:r>
      <w:proofErr w:type="spellEnd"/>
      <w:r w:rsidR="000B3F0C">
        <w:t xml:space="preserve"> Green, </w:t>
      </w:r>
      <w:r>
        <w:t xml:space="preserve">resides </w:t>
      </w:r>
      <w:r w:rsidR="000B3F0C">
        <w:t xml:space="preserve">in Apartment 2, on the second floor of a residential dwelling located at </w:t>
      </w:r>
      <w:r w:rsidR="00C633D4">
        <w:t xml:space="preserve">1907 East Venango Street, Philadelphia, Pennsylvania (Tr. 10).  </w:t>
      </w:r>
    </w:p>
    <w:p w:rsidR="00742FBF" w:rsidRDefault="00742FBF" w:rsidP="00742FBF">
      <w:pPr>
        <w:pStyle w:val="ListParagraph"/>
        <w:spacing w:line="360" w:lineRule="auto"/>
        <w:ind w:left="1440"/>
      </w:pPr>
    </w:p>
    <w:p w:rsidR="00742FBF" w:rsidRDefault="00C633D4" w:rsidP="00D34D43">
      <w:pPr>
        <w:pStyle w:val="ListParagraph"/>
        <w:numPr>
          <w:ilvl w:val="0"/>
          <w:numId w:val="1"/>
        </w:numPr>
        <w:spacing w:line="360" w:lineRule="auto"/>
        <w:ind w:left="0" w:firstLine="1440"/>
      </w:pPr>
      <w:r>
        <w:t xml:space="preserve">Complainant currently receives electric utility service provided by PECO at her residence (Tr. 11).  </w:t>
      </w:r>
    </w:p>
    <w:p w:rsidR="0070140A" w:rsidRDefault="0070140A" w:rsidP="00C274EA">
      <w:pPr>
        <w:pStyle w:val="ListParagraph"/>
        <w:spacing w:line="360" w:lineRule="auto"/>
      </w:pPr>
    </w:p>
    <w:p w:rsidR="004064A6" w:rsidRDefault="006F0061" w:rsidP="004064A6">
      <w:pPr>
        <w:pStyle w:val="ListParagraph"/>
        <w:numPr>
          <w:ilvl w:val="0"/>
          <w:numId w:val="1"/>
        </w:numPr>
        <w:spacing w:line="360" w:lineRule="auto"/>
        <w:ind w:left="0" w:firstLine="1440"/>
      </w:pPr>
      <w:r>
        <w:t xml:space="preserve">On April 29, 2013, Ms. Green first contacted PECO to complain that she suspected there was a foreign load on her account for residential electric service.  She did not contact PECO about this matter prior to that date (Tr. 22-23; Exhibit 7).  </w:t>
      </w:r>
    </w:p>
    <w:p w:rsidR="006F0061" w:rsidRDefault="006F0061" w:rsidP="006F0061">
      <w:pPr>
        <w:pStyle w:val="ListParagraph"/>
        <w:spacing w:line="360" w:lineRule="auto"/>
        <w:ind w:left="1440"/>
      </w:pPr>
    </w:p>
    <w:p w:rsidR="006F0061" w:rsidRDefault="006F0061" w:rsidP="006F0061">
      <w:pPr>
        <w:pStyle w:val="ListParagraph"/>
        <w:numPr>
          <w:ilvl w:val="0"/>
          <w:numId w:val="1"/>
        </w:numPr>
        <w:spacing w:line="360" w:lineRule="auto"/>
        <w:ind w:left="0" w:firstLine="1440"/>
      </w:pPr>
      <w:r>
        <w:t xml:space="preserve">The parties agree that foreign wiring was discovered at 1907 East Venango Street, Philadelphia, Pennsylvania by PECO on May 8, 2013.  Ms. Green was a PECO ratepayer prior to the discovery of the foreign wiring (Tr. 8).  </w:t>
      </w:r>
    </w:p>
    <w:p w:rsidR="006F0061" w:rsidRDefault="006F0061" w:rsidP="006F0061">
      <w:pPr>
        <w:pStyle w:val="ListParagraph"/>
        <w:spacing w:line="360" w:lineRule="auto"/>
        <w:ind w:left="1440"/>
      </w:pPr>
    </w:p>
    <w:p w:rsidR="004064A6" w:rsidRDefault="0029304C" w:rsidP="00D34D43">
      <w:pPr>
        <w:pStyle w:val="ListParagraph"/>
        <w:numPr>
          <w:ilvl w:val="0"/>
          <w:numId w:val="1"/>
        </w:numPr>
        <w:spacing w:line="360" w:lineRule="auto"/>
        <w:ind w:left="0" w:firstLine="1440"/>
      </w:pPr>
      <w:r>
        <w:t xml:space="preserve">After discovery of the foreign wiring at 1907 East Venango Street, Philadelphia, Pennsylvania, PECO placed the account for service provided to Ms. Green in </w:t>
      </w:r>
      <w:r w:rsidR="00B21747">
        <w:t xml:space="preserve">the name of Ms. Green’s landlord, Troy </w:t>
      </w:r>
      <w:r w:rsidR="005C1FA8">
        <w:t xml:space="preserve">K. </w:t>
      </w:r>
      <w:r w:rsidR="00B21747">
        <w:t>Grant</w:t>
      </w:r>
      <w:r w:rsidR="002D3700">
        <w:t>,</w:t>
      </w:r>
      <w:r w:rsidR="005C1FA8">
        <w:t xml:space="preserve"> III</w:t>
      </w:r>
      <w:r w:rsidR="00B21747">
        <w:t xml:space="preserve">, </w:t>
      </w:r>
      <w:r>
        <w:t>and transferred the account balance to the newly created account</w:t>
      </w:r>
      <w:r w:rsidR="00B21747">
        <w:t xml:space="preserve"> </w:t>
      </w:r>
      <w:r w:rsidR="006F0061">
        <w:t>(Tr. 8, 18-19</w:t>
      </w:r>
      <w:r w:rsidR="00B21747">
        <w:t>, 26</w:t>
      </w:r>
      <w:r w:rsidR="006F0061">
        <w:t>; Exhibits 1-</w:t>
      </w:r>
      <w:r w:rsidR="00B21747">
        <w:t>6</w:t>
      </w:r>
      <w:r w:rsidR="006F0061">
        <w:t xml:space="preserve">).  </w:t>
      </w:r>
      <w:r>
        <w:t xml:space="preserve"> </w:t>
      </w:r>
    </w:p>
    <w:p w:rsidR="004064A6" w:rsidRDefault="004064A6" w:rsidP="00C274EA">
      <w:pPr>
        <w:pStyle w:val="ListParagraph"/>
        <w:spacing w:line="360" w:lineRule="auto"/>
      </w:pPr>
    </w:p>
    <w:p w:rsidR="004064A6" w:rsidRDefault="002756A7" w:rsidP="00D34D43">
      <w:pPr>
        <w:pStyle w:val="ListParagraph"/>
        <w:numPr>
          <w:ilvl w:val="0"/>
          <w:numId w:val="1"/>
        </w:numPr>
        <w:spacing w:line="360" w:lineRule="auto"/>
        <w:ind w:left="0" w:firstLine="1440"/>
      </w:pPr>
      <w:r>
        <w:t xml:space="preserve">The account for </w:t>
      </w:r>
      <w:r w:rsidR="00B21747">
        <w:t xml:space="preserve">electric </w:t>
      </w:r>
      <w:r>
        <w:t>service provided to Ms. Green continues to remain in her landlord’s name because the foreign wiring has not been corrected</w:t>
      </w:r>
      <w:r w:rsidR="00B21747">
        <w:t xml:space="preserve"> (Tr. 26).  </w:t>
      </w:r>
    </w:p>
    <w:p w:rsidR="00FC7E63" w:rsidRDefault="00FC7E63" w:rsidP="00FC7E63">
      <w:pPr>
        <w:pStyle w:val="ListParagraph"/>
        <w:spacing w:line="360" w:lineRule="auto"/>
        <w:ind w:left="1440"/>
      </w:pPr>
    </w:p>
    <w:p w:rsidR="00F25D20" w:rsidRDefault="00F25D20" w:rsidP="00FC7E63">
      <w:pPr>
        <w:pStyle w:val="ListParagraph"/>
        <w:spacing w:line="360" w:lineRule="auto"/>
        <w:ind w:left="1440"/>
      </w:pPr>
    </w:p>
    <w:p w:rsidR="00FC7E63" w:rsidRDefault="00FC7E63" w:rsidP="00FC7E63">
      <w:pPr>
        <w:pStyle w:val="ListParagraph"/>
        <w:spacing w:line="360" w:lineRule="auto"/>
        <w:ind w:left="1440"/>
      </w:pPr>
      <w:r>
        <w:lastRenderedPageBreak/>
        <w:t>7.</w:t>
      </w:r>
      <w:r>
        <w:tab/>
        <w:t>Ms. Green enrolled in PECO</w:t>
      </w:r>
      <w:r w:rsidR="005031FC">
        <w:t>’s</w:t>
      </w:r>
      <w:r>
        <w:t xml:space="preserve"> customer assistance program (“CAP”) in</w:t>
      </w:r>
    </w:p>
    <w:p w:rsidR="00FC7E63" w:rsidRDefault="00FC7E63" w:rsidP="00FC7E63">
      <w:pPr>
        <w:spacing w:line="360" w:lineRule="auto"/>
      </w:pPr>
      <w:r>
        <w:t>September 2011</w:t>
      </w:r>
      <w:r w:rsidR="00D23BA1">
        <w:t>.  She</w:t>
      </w:r>
      <w:r>
        <w:t xml:space="preserve"> participated in the CAP </w:t>
      </w:r>
      <w:r w:rsidR="00D36219">
        <w:t>p</w:t>
      </w:r>
      <w:r>
        <w:t xml:space="preserve">rogram until May 2013 (Tr. 16-17; Exhibit 1).  </w:t>
      </w:r>
    </w:p>
    <w:p w:rsidR="00B37FD4" w:rsidRDefault="00B37FD4" w:rsidP="00FC7E63">
      <w:pPr>
        <w:spacing w:line="360" w:lineRule="auto"/>
      </w:pPr>
    </w:p>
    <w:p w:rsidR="00FC7E63" w:rsidRDefault="00B37FD4" w:rsidP="00B37FD4">
      <w:pPr>
        <w:spacing w:line="360" w:lineRule="auto"/>
      </w:pPr>
      <w:r>
        <w:tab/>
      </w:r>
      <w:r>
        <w:tab/>
        <w:t>8.</w:t>
      </w:r>
      <w:r>
        <w:tab/>
        <w:t xml:space="preserve">On April 30, 2013, </w:t>
      </w:r>
      <w:r w:rsidR="00114C1B">
        <w:t xml:space="preserve">PECO </w:t>
      </w:r>
      <w:r>
        <w:t xml:space="preserve">received a payment from Ms. Green in the amount of $163.67 (Tr. 17-18; Exhibit 1).  </w:t>
      </w:r>
    </w:p>
    <w:p w:rsidR="0046531E" w:rsidRDefault="0046531E" w:rsidP="00493A8D">
      <w:pPr>
        <w:pStyle w:val="ListParagraph"/>
        <w:spacing w:line="360" w:lineRule="auto"/>
      </w:pPr>
    </w:p>
    <w:p w:rsidR="0046531E" w:rsidRDefault="0046531E" w:rsidP="0046531E">
      <w:pPr>
        <w:spacing w:line="360" w:lineRule="auto"/>
        <w:jc w:val="center"/>
      </w:pPr>
      <w:r>
        <w:rPr>
          <w:u w:val="single"/>
        </w:rPr>
        <w:t>DISCUSSION</w:t>
      </w:r>
    </w:p>
    <w:p w:rsidR="0046531E" w:rsidRDefault="0046531E" w:rsidP="0046531E">
      <w:pPr>
        <w:spacing w:line="360" w:lineRule="auto"/>
      </w:pPr>
    </w:p>
    <w:p w:rsidR="0046531E" w:rsidRDefault="00F03E4B" w:rsidP="0046531E">
      <w:pPr>
        <w:spacing w:line="360" w:lineRule="auto"/>
      </w:pPr>
      <w:r>
        <w:tab/>
      </w:r>
      <w:r>
        <w:tab/>
      </w:r>
      <w:r w:rsidR="00947903" w:rsidRPr="00947903">
        <w:t xml:space="preserve">Section 701 of the Public Utility Code, </w:t>
      </w:r>
      <w:proofErr w:type="gramStart"/>
      <w:r w:rsidR="00947903" w:rsidRPr="00947903">
        <w:t xml:space="preserve">66 </w:t>
      </w:r>
      <w:proofErr w:type="spellStart"/>
      <w:r w:rsidR="00947903" w:rsidRPr="00947903">
        <w:t>Pa.C.S</w:t>
      </w:r>
      <w:proofErr w:type="spellEnd"/>
      <w:proofErr w:type="gramEnd"/>
      <w:r w:rsidR="00947903" w:rsidRPr="00947903">
        <w:t>. §</w:t>
      </w:r>
      <w:r w:rsidR="00905CA8">
        <w:t xml:space="preserve"> </w:t>
      </w:r>
      <w:r w:rsidR="00947903" w:rsidRPr="00947903">
        <w:t>701, provides that “…any person…may complain in writing, setting forth any act or thing done or omitted to be done by any public utility in violation, or claimed violation, of any law which the commission has jurisdiction to administer, or of any regulation or order of the commission.”</w:t>
      </w:r>
      <w:r w:rsidR="00947903">
        <w:t xml:space="preserve">  Here, </w:t>
      </w:r>
      <w:r w:rsidR="00D23BA1">
        <w:t>Complainant request</w:t>
      </w:r>
      <w:r w:rsidR="009A3003">
        <w:t>s</w:t>
      </w:r>
      <w:r w:rsidR="00D23BA1">
        <w:t xml:space="preserve"> reimbursement from PECO for the amount she paid for electric utility service prior to the discovery of a “foreign load” at her residential dwelling.  </w:t>
      </w:r>
      <w:r w:rsidR="001010DC">
        <w:t xml:space="preserve">As the party seeking </w:t>
      </w:r>
      <w:r w:rsidR="00947903">
        <w:t xml:space="preserve">affirmative </w:t>
      </w:r>
      <w:r w:rsidR="001010DC">
        <w:t>relief from this Commission, Complainant bea</w:t>
      </w:r>
      <w:r w:rsidR="00D23BA1">
        <w:t xml:space="preserve">rs the burden of proof.  </w:t>
      </w:r>
      <w:proofErr w:type="gramStart"/>
      <w:r w:rsidR="00D23BA1">
        <w:t xml:space="preserve">66 </w:t>
      </w:r>
      <w:proofErr w:type="spellStart"/>
      <w:r w:rsidR="00D23BA1">
        <w:t>Pa.</w:t>
      </w:r>
      <w:r w:rsidR="001010DC">
        <w:t>C.S</w:t>
      </w:r>
      <w:proofErr w:type="spellEnd"/>
      <w:r w:rsidR="001010DC">
        <w:t>.</w:t>
      </w:r>
      <w:proofErr w:type="gramEnd"/>
      <w:r w:rsidR="001010DC">
        <w:t xml:space="preserve"> §</w:t>
      </w:r>
      <w:r w:rsidR="00C274EA">
        <w:t xml:space="preserve"> </w:t>
      </w:r>
      <w:r w:rsidR="001010DC">
        <w:t>332(a).</w:t>
      </w:r>
    </w:p>
    <w:p w:rsidR="001010DC" w:rsidRDefault="001010DC" w:rsidP="0046531E">
      <w:pPr>
        <w:spacing w:line="360" w:lineRule="auto"/>
      </w:pPr>
    </w:p>
    <w:p w:rsidR="00D42114" w:rsidRPr="000D1809" w:rsidRDefault="00D42114" w:rsidP="00D42114">
      <w:pPr>
        <w:spacing w:line="360" w:lineRule="auto"/>
      </w:pPr>
      <w:r>
        <w:tab/>
      </w:r>
      <w:r>
        <w:tab/>
      </w:r>
      <w:r w:rsidRPr="000D1809">
        <w:t xml:space="preserve">The term “burden of proof” means a duty to establish a fact by a preponderance of the evidence.  </w:t>
      </w:r>
      <w:proofErr w:type="gramStart"/>
      <w:r w:rsidRPr="000D1809">
        <w:rPr>
          <w:u w:val="single"/>
        </w:rPr>
        <w:t>Se-Ling Hosiery v. Mar</w:t>
      </w:r>
      <w:r>
        <w:rPr>
          <w:u w:val="single"/>
        </w:rPr>
        <w:t>g</w:t>
      </w:r>
      <w:r w:rsidRPr="000D1809">
        <w:rPr>
          <w:u w:val="single"/>
        </w:rPr>
        <w:t>ulies</w:t>
      </w:r>
      <w:r w:rsidRPr="000D1809">
        <w:t>, 364 Pa. 45, 70 A.2d 854 (195</w:t>
      </w:r>
      <w:r w:rsidR="00287629">
        <w:t>0</w:t>
      </w:r>
      <w:r w:rsidRPr="000D1809">
        <w:t xml:space="preserve">); and </w:t>
      </w:r>
      <w:r w:rsidRPr="000D1809">
        <w:rPr>
          <w:u w:val="single"/>
        </w:rPr>
        <w:t>Feinstein v. Philadelphia Suburban Water Company</w:t>
      </w:r>
      <w:r w:rsidRPr="000D1809">
        <w:t>, 50 Pa. P</w:t>
      </w:r>
      <w:r w:rsidR="00D23BA1">
        <w:t>U</w:t>
      </w:r>
      <w:r w:rsidRPr="000D1809">
        <w:t>C 300 (1976).</w:t>
      </w:r>
      <w:proofErr w:type="gramEnd"/>
      <w:r w:rsidRPr="000D1809">
        <w:t xml:space="preserve">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0D1809">
            <w:rPr>
              <w:i/>
            </w:rPr>
            <w:t>Id</w:t>
          </w:r>
          <w:r w:rsidRPr="000D1809">
            <w:t>.</w:t>
          </w:r>
        </w:smartTag>
      </w:smartTag>
      <w:r w:rsidRPr="000D1809">
        <w:t xml:space="preserve">  Accordingly, one must review the record in this case to determine wheth</w:t>
      </w:r>
      <w:r>
        <w:t>er Complainant has satisfied h</w:t>
      </w:r>
      <w:r w:rsidR="009A3003">
        <w:t>er</w:t>
      </w:r>
      <w:r w:rsidRPr="000D1809">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proofErr w:type="gramStart"/>
      <w:r w:rsidRPr="000D1809">
        <w:rPr>
          <w:u w:val="single"/>
        </w:rPr>
        <w:t>Morissey v. Pa. Dept. of Highways</w:t>
      </w:r>
      <w:r w:rsidRPr="000D1809">
        <w:t xml:space="preserve">, 424 Pa. 87, 225 A.2d 895 (1967); and </w:t>
      </w:r>
      <w:r w:rsidRPr="000D1809">
        <w:rPr>
          <w:u w:val="single"/>
        </w:rPr>
        <w:t>Burleson v. Pa. P</w:t>
      </w:r>
      <w:r w:rsidR="009A3003">
        <w:rPr>
          <w:u w:val="single"/>
        </w:rPr>
        <w:t>ub.</w:t>
      </w:r>
      <w:proofErr w:type="gramEnd"/>
      <w:r w:rsidR="009A3003">
        <w:rPr>
          <w:u w:val="single"/>
        </w:rPr>
        <w:t xml:space="preserve"> </w:t>
      </w:r>
      <w:proofErr w:type="gramStart"/>
      <w:r w:rsidR="009A3003">
        <w:rPr>
          <w:u w:val="single"/>
        </w:rPr>
        <w:t xml:space="preserve">Util. </w:t>
      </w:r>
      <w:proofErr w:type="spellStart"/>
      <w:r w:rsidR="009A3003">
        <w:rPr>
          <w:u w:val="single"/>
        </w:rPr>
        <w:t>Comm’n</w:t>
      </w:r>
      <w:proofErr w:type="spellEnd"/>
      <w:r w:rsidRPr="000D1809">
        <w:t>, 443 A.2d 1373 (</w:t>
      </w:r>
      <w:proofErr w:type="spellStart"/>
      <w:r w:rsidRPr="000D1809">
        <w:t>Pa.Cmwlth</w:t>
      </w:r>
      <w:proofErr w:type="spellEnd"/>
      <w:r w:rsidRPr="000D1809">
        <w:t>. 1982).</w:t>
      </w:r>
      <w:proofErr w:type="gramEnd"/>
    </w:p>
    <w:p w:rsidR="00D42114" w:rsidRPr="000D1809" w:rsidRDefault="00D42114" w:rsidP="00D42114">
      <w:pPr>
        <w:spacing w:line="360" w:lineRule="auto"/>
      </w:pPr>
    </w:p>
    <w:p w:rsidR="00D42114" w:rsidRPr="000D1809" w:rsidRDefault="00D42114" w:rsidP="00D42114">
      <w:pPr>
        <w:spacing w:line="360" w:lineRule="auto"/>
      </w:pPr>
      <w:r w:rsidRPr="000D1809">
        <w:tab/>
      </w:r>
      <w:r w:rsidRPr="000D1809">
        <w:tab/>
        <w:t xml:space="preserve">Furthermore, one must exercise care to ensure substantial evidence in the record supports the decision of the Commission.  </w:t>
      </w:r>
      <w:proofErr w:type="gramStart"/>
      <w:r w:rsidRPr="000D1809">
        <w:rPr>
          <w:i/>
        </w:rPr>
        <w:t>See</w:t>
      </w:r>
      <w:r w:rsidRPr="000D1809">
        <w:t xml:space="preserve">, </w:t>
      </w:r>
      <w:r w:rsidRPr="000D1809">
        <w:rPr>
          <w:i/>
        </w:rPr>
        <w:t>e.g.</w:t>
      </w:r>
      <w:r w:rsidRPr="000D1809">
        <w:t xml:space="preserve">, Section 704 of the Administrative Agency Law, 2 </w:t>
      </w:r>
      <w:proofErr w:type="spellStart"/>
      <w:r w:rsidRPr="000D1809">
        <w:t>Pa.C.S</w:t>
      </w:r>
      <w:proofErr w:type="spellEnd"/>
      <w:r w:rsidRPr="000D1809">
        <w:t>.</w:t>
      </w:r>
      <w:proofErr w:type="gramEnd"/>
      <w:r w:rsidRPr="000D1809">
        <w:t xml:space="preserve"> §</w:t>
      </w:r>
      <w:r w:rsidR="005866D6">
        <w:t xml:space="preserve"> </w:t>
      </w:r>
      <w:r w:rsidRPr="000D1809">
        <w:t xml:space="preserve">704; and </w:t>
      </w:r>
      <w:r w:rsidRPr="000D1809">
        <w:rPr>
          <w:u w:val="single"/>
        </w:rPr>
        <w:t xml:space="preserve">Yellow Cab Company v. Pa. </w:t>
      </w:r>
      <w:r w:rsidR="009A3003">
        <w:rPr>
          <w:u w:val="single"/>
        </w:rPr>
        <w:t xml:space="preserve">Pub. </w:t>
      </w:r>
      <w:proofErr w:type="gramStart"/>
      <w:r w:rsidR="009A3003">
        <w:rPr>
          <w:u w:val="single"/>
        </w:rPr>
        <w:t xml:space="preserve">Util. </w:t>
      </w:r>
      <w:proofErr w:type="spellStart"/>
      <w:r w:rsidR="009A3003">
        <w:rPr>
          <w:u w:val="single"/>
        </w:rPr>
        <w:t>Comm’n</w:t>
      </w:r>
      <w:proofErr w:type="spellEnd"/>
      <w:r w:rsidRPr="000D1809">
        <w:t>, 524 A.2d 1069 (</w:t>
      </w:r>
      <w:proofErr w:type="spellStart"/>
      <w:r w:rsidRPr="000D1809">
        <w:t>Pa.Cmwlth</w:t>
      </w:r>
      <w:proofErr w:type="spellEnd"/>
      <w:r w:rsidRPr="000D1809">
        <w:t>. 1987).</w:t>
      </w:r>
      <w:proofErr w:type="gramEnd"/>
      <w:r w:rsidRPr="000D1809">
        <w:t xml:space="preserve">  “Substantial evidence” means such relevant evidence that a reasonable mind </w:t>
      </w:r>
      <w:r w:rsidRPr="000D1809">
        <w:lastRenderedPageBreak/>
        <w:t xml:space="preserve">may accept as adequate to support a conclusion.  </w:t>
      </w:r>
      <w:proofErr w:type="gramStart"/>
      <w:r w:rsidRPr="000D1809">
        <w:rPr>
          <w:u w:val="single"/>
        </w:rPr>
        <w:t xml:space="preserve">Philadelphia Gas Works v. Pa. </w:t>
      </w:r>
      <w:r w:rsidR="009A3003">
        <w:rPr>
          <w:u w:val="single"/>
        </w:rPr>
        <w:t>Pub.</w:t>
      </w:r>
      <w:proofErr w:type="gramEnd"/>
      <w:r w:rsidR="009A3003">
        <w:rPr>
          <w:u w:val="single"/>
        </w:rPr>
        <w:t xml:space="preserve"> </w:t>
      </w:r>
      <w:proofErr w:type="gramStart"/>
      <w:r w:rsidR="009A3003">
        <w:rPr>
          <w:u w:val="single"/>
        </w:rPr>
        <w:t xml:space="preserve">Util. </w:t>
      </w:r>
      <w:proofErr w:type="spellStart"/>
      <w:r w:rsidR="009A3003">
        <w:rPr>
          <w:u w:val="single"/>
        </w:rPr>
        <w:t>Comm’n</w:t>
      </w:r>
      <w:proofErr w:type="spellEnd"/>
      <w:r w:rsidRPr="000D1809">
        <w:t>, 898 A.2d 671 (</w:t>
      </w:r>
      <w:proofErr w:type="spellStart"/>
      <w:r w:rsidRPr="000D1809">
        <w:t>Pa.Cmwlth</w:t>
      </w:r>
      <w:proofErr w:type="spellEnd"/>
      <w:r w:rsidRPr="000D1809">
        <w:t>. 2006).</w:t>
      </w:r>
      <w:proofErr w:type="gramEnd"/>
      <w:r w:rsidRPr="000D1809">
        <w:t xml:space="preserve">  The pertinent inquiry is whether substantial evidence exists to support the Commission’s findings.  </w:t>
      </w:r>
      <w:proofErr w:type="gramStart"/>
      <w:r w:rsidRPr="000D1809">
        <w:rPr>
          <w:u w:val="single"/>
        </w:rPr>
        <w:t>Elliot Co. v. Workers’ Comp. Appeal Bd. (Shipley)</w:t>
      </w:r>
      <w:r w:rsidRPr="000D1809">
        <w:t>, 785 A.2d 480 (</w:t>
      </w:r>
      <w:proofErr w:type="spellStart"/>
      <w:r w:rsidRPr="000D1809">
        <w:t>Pa.Cmwlth</w:t>
      </w:r>
      <w:proofErr w:type="spellEnd"/>
      <w:r w:rsidRPr="000D1809">
        <w:t>. 2002).</w:t>
      </w:r>
      <w:proofErr w:type="gramEnd"/>
      <w:r w:rsidRPr="000D1809">
        <w:t xml:space="preserve">  More is required than a mere trace of evidence or a suspicion of the existence of a fact sought to be established.  </w:t>
      </w:r>
      <w:proofErr w:type="gramStart"/>
      <w:r w:rsidRPr="000D1809">
        <w:rPr>
          <w:u w:val="single"/>
        </w:rPr>
        <w:t>Norfolk &amp; Western Ry. Co. v. Pa.</w:t>
      </w:r>
      <w:r w:rsidR="00714D5D">
        <w:rPr>
          <w:u w:val="single"/>
        </w:rPr>
        <w:t> </w:t>
      </w:r>
      <w:r w:rsidR="009A3003">
        <w:rPr>
          <w:u w:val="single"/>
        </w:rPr>
        <w:t>Pub.</w:t>
      </w:r>
      <w:proofErr w:type="gramEnd"/>
      <w:r w:rsidR="009A3003">
        <w:rPr>
          <w:u w:val="single"/>
        </w:rPr>
        <w:t xml:space="preserve"> Util. </w:t>
      </w:r>
      <w:proofErr w:type="spellStart"/>
      <w:r w:rsidR="009A3003">
        <w:rPr>
          <w:u w:val="single"/>
        </w:rPr>
        <w:t>Comm’n</w:t>
      </w:r>
      <w:proofErr w:type="spellEnd"/>
      <w:r w:rsidRPr="000D1809">
        <w:t xml:space="preserve">, 489 Pa. 109, 413 A.2d 1037 (1980); </w:t>
      </w:r>
      <w:r w:rsidRPr="000D1809">
        <w:rPr>
          <w:u w:val="single"/>
        </w:rPr>
        <w:t>Erie Resistor Corp. v. Unemployment Comp. Bd. of Review</w:t>
      </w:r>
      <w:r w:rsidRPr="000D1809">
        <w:t xml:space="preserve">, 194 Pa. Superior Ct. 278, 166 A.2d 96 (1961); and </w:t>
      </w:r>
      <w:r w:rsidRPr="000D1809">
        <w:rPr>
          <w:u w:val="single"/>
        </w:rPr>
        <w:t>Murphy v. Pa. Dept. of Public Welfare, White Haven Center</w:t>
      </w:r>
      <w:r>
        <w:t>, 480 </w:t>
      </w:r>
      <w:r w:rsidRPr="000D1809">
        <w:t xml:space="preserve">A.2d 382 (Pa.Cmwlth. 1984).  In addition, a complainant, to establish a sufficient case against a utility and satisfy the burden of proof, must show the utility is responsible or accountable for the problem described in the complaint.  </w:t>
      </w:r>
      <w:r w:rsidRPr="000D1809">
        <w:rPr>
          <w:u w:val="single"/>
        </w:rPr>
        <w:t>Feinstein</w:t>
      </w:r>
      <w:r w:rsidRPr="000D1809">
        <w:t xml:space="preserve">, </w:t>
      </w:r>
      <w:r w:rsidRPr="000D1809">
        <w:rPr>
          <w:i/>
        </w:rPr>
        <w:t>supra</w:t>
      </w:r>
      <w:r w:rsidRPr="000D1809">
        <w:t>.</w:t>
      </w:r>
    </w:p>
    <w:p w:rsidR="001010DC" w:rsidRDefault="001010DC" w:rsidP="0046531E">
      <w:pPr>
        <w:spacing w:line="360" w:lineRule="auto"/>
      </w:pPr>
    </w:p>
    <w:p w:rsidR="00561F0E" w:rsidRPr="00561F0E" w:rsidRDefault="004A2067" w:rsidP="00561F0E">
      <w:pPr>
        <w:spacing w:line="360" w:lineRule="auto"/>
      </w:pPr>
      <w:r>
        <w:tab/>
      </w:r>
      <w:r>
        <w:tab/>
      </w:r>
      <w:r w:rsidR="00561F0E">
        <w:t xml:space="preserve">Section </w:t>
      </w:r>
      <w:r w:rsidR="00561F0E" w:rsidRPr="00561F0E">
        <w:t xml:space="preserve">1529.1(b) of the Public Utility Code, </w:t>
      </w:r>
      <w:proofErr w:type="gramStart"/>
      <w:r w:rsidR="00561F0E" w:rsidRPr="00561F0E">
        <w:t xml:space="preserve">66 </w:t>
      </w:r>
      <w:proofErr w:type="spellStart"/>
      <w:r w:rsidR="00561F0E" w:rsidRPr="00561F0E">
        <w:t>Pa.</w:t>
      </w:r>
      <w:r w:rsidR="003B2756">
        <w:t>C.S</w:t>
      </w:r>
      <w:proofErr w:type="spellEnd"/>
      <w:proofErr w:type="gramEnd"/>
      <w:r w:rsidR="003B2756">
        <w:t>. §</w:t>
      </w:r>
      <w:r w:rsidR="00B63EB8">
        <w:t xml:space="preserve"> </w:t>
      </w:r>
      <w:r w:rsidR="003B2756">
        <w:t>1529.1(b)</w:t>
      </w:r>
      <w:r w:rsidR="00257F21">
        <w:t>,</w:t>
      </w:r>
      <w:r w:rsidR="003B2756">
        <w:t xml:space="preserve"> </w:t>
      </w:r>
      <w:r w:rsidR="00561F0E">
        <w:t xml:space="preserve"> </w:t>
      </w:r>
      <w:r w:rsidR="00561F0E" w:rsidRPr="00561F0E">
        <w:t xml:space="preserve">provides in pertinent part that, “if the mobile home or residential building contains one or more dwelling units not individually metered, an affected public utility shall </w:t>
      </w:r>
      <w:r w:rsidR="00561F0E" w:rsidRPr="00561F0E">
        <w:rPr>
          <w:u w:val="single"/>
        </w:rPr>
        <w:t>forthwith</w:t>
      </w:r>
      <w:r w:rsidR="00561F0E" w:rsidRPr="00561F0E">
        <w:t xml:space="preserve"> list the account for the premises in question in the name of the owner, and the owner shall thereafter be responsible for the payment for the utility services rendered thereunto.”  (Emphasis</w:t>
      </w:r>
      <w:r w:rsidR="00073300">
        <w:t xml:space="preserve"> added</w:t>
      </w:r>
      <w:r w:rsidR="00561F0E" w:rsidRPr="00561F0E">
        <w:t xml:space="preserve">.)  </w:t>
      </w:r>
      <w:r w:rsidR="00561F0E" w:rsidRPr="00073300">
        <w:rPr>
          <w:i/>
        </w:rPr>
        <w:t>See also</w:t>
      </w:r>
      <w:r w:rsidR="00561F0E" w:rsidRPr="00561F0E">
        <w:t xml:space="preserve">, </w:t>
      </w:r>
      <w:r w:rsidR="00561F0E" w:rsidRPr="00561F0E">
        <w:rPr>
          <w:u w:val="single"/>
        </w:rPr>
        <w:t>Del Vecchio v. PPL Electric Utilities Corp</w:t>
      </w:r>
      <w:r w:rsidR="00561F0E" w:rsidRPr="00561F0E">
        <w:t xml:space="preserve">., </w:t>
      </w:r>
      <w:r w:rsidR="00073300">
        <w:t xml:space="preserve">Docket No. </w:t>
      </w:r>
      <w:r w:rsidR="00561F0E" w:rsidRPr="00561F0E">
        <w:t>Z-01464793 (</w:t>
      </w:r>
      <w:r w:rsidR="00073300">
        <w:t xml:space="preserve">Order entered </w:t>
      </w:r>
      <w:r w:rsidR="00561F0E" w:rsidRPr="00561F0E">
        <w:t xml:space="preserve">September 13, 2005); </w:t>
      </w:r>
      <w:r w:rsidR="00561F0E" w:rsidRPr="00561F0E">
        <w:rPr>
          <w:u w:val="single"/>
        </w:rPr>
        <w:t>Afshari v. PPL</w:t>
      </w:r>
      <w:r w:rsidR="00561F0E" w:rsidRPr="00F275A1">
        <w:rPr>
          <w:u w:val="single"/>
        </w:rPr>
        <w:t xml:space="preserve"> </w:t>
      </w:r>
      <w:r w:rsidR="00561F0E" w:rsidRPr="00561F0E">
        <w:rPr>
          <w:u w:val="single"/>
        </w:rPr>
        <w:t>Electric Utilities Corporation</w:t>
      </w:r>
      <w:r w:rsidR="00561F0E" w:rsidRPr="00561F0E">
        <w:t xml:space="preserve">, </w:t>
      </w:r>
      <w:r w:rsidR="00073300">
        <w:t xml:space="preserve">Docket No. </w:t>
      </w:r>
      <w:r w:rsidR="00561F0E" w:rsidRPr="00561F0E">
        <w:t>C-20055547 (</w:t>
      </w:r>
      <w:r w:rsidR="00073300">
        <w:t xml:space="preserve">Order entered </w:t>
      </w:r>
      <w:r w:rsidR="00561F0E" w:rsidRPr="00561F0E">
        <w:t xml:space="preserve">August 15, 2007).  In </w:t>
      </w:r>
      <w:r w:rsidR="00561F0E" w:rsidRPr="00561F0E">
        <w:rPr>
          <w:u w:val="single"/>
        </w:rPr>
        <w:t xml:space="preserve">Del </w:t>
      </w:r>
      <w:proofErr w:type="spellStart"/>
      <w:r w:rsidR="00561F0E" w:rsidRPr="00561F0E">
        <w:rPr>
          <w:u w:val="single"/>
        </w:rPr>
        <w:t>Vecchio</w:t>
      </w:r>
      <w:proofErr w:type="spellEnd"/>
      <w:r w:rsidR="00561F0E" w:rsidRPr="00561F0E">
        <w:t xml:space="preserve">, the Commission found </w:t>
      </w:r>
      <w:r w:rsidR="00073300">
        <w:t xml:space="preserve">the utility </w:t>
      </w:r>
      <w:r w:rsidR="00561F0E" w:rsidRPr="00561F0E">
        <w:t>violat</w:t>
      </w:r>
      <w:r w:rsidR="00073300">
        <w:t>ed</w:t>
      </w:r>
      <w:r w:rsidR="00561F0E" w:rsidRPr="00561F0E">
        <w:t xml:space="preserve"> 66 </w:t>
      </w:r>
      <w:proofErr w:type="spellStart"/>
      <w:r w:rsidR="00561F0E" w:rsidRPr="00561F0E">
        <w:t>Pa.C.S</w:t>
      </w:r>
      <w:proofErr w:type="spellEnd"/>
      <w:r w:rsidR="00561F0E" w:rsidRPr="00561F0E">
        <w:t>. §</w:t>
      </w:r>
      <w:r w:rsidR="004A0AB7">
        <w:t> </w:t>
      </w:r>
      <w:r w:rsidR="00561F0E" w:rsidRPr="00561F0E">
        <w:t>1529.1</w:t>
      </w:r>
      <w:r w:rsidR="00073300">
        <w:t>,</w:t>
      </w:r>
      <w:r w:rsidR="00561F0E" w:rsidRPr="00561F0E">
        <w:t xml:space="preserve"> because it failed to transfer complainant’s electric account to the landlord when it found foreign load on complainant’s meter.</w:t>
      </w:r>
    </w:p>
    <w:p w:rsidR="004A2067" w:rsidRDefault="004A2067" w:rsidP="0046531E">
      <w:pPr>
        <w:spacing w:line="360" w:lineRule="auto"/>
      </w:pPr>
    </w:p>
    <w:p w:rsidR="00257F21" w:rsidRDefault="00F917AE" w:rsidP="0046531E">
      <w:pPr>
        <w:spacing w:line="360" w:lineRule="auto"/>
      </w:pPr>
      <w:r>
        <w:tab/>
      </w:r>
      <w:r>
        <w:tab/>
      </w:r>
      <w:proofErr w:type="gramStart"/>
      <w:r w:rsidR="003B2756">
        <w:t>A</w:t>
      </w:r>
      <w:r w:rsidR="004349A8">
        <w:t xml:space="preserve"> plain reading of 66 </w:t>
      </w:r>
      <w:proofErr w:type="spellStart"/>
      <w:r w:rsidR="004349A8">
        <w:t>Pa.C.S</w:t>
      </w:r>
      <w:proofErr w:type="spellEnd"/>
      <w:r w:rsidR="004349A8">
        <w:t>.</w:t>
      </w:r>
      <w:proofErr w:type="gramEnd"/>
      <w:r w:rsidR="004349A8">
        <w:t xml:space="preserve"> §</w:t>
      </w:r>
      <w:r w:rsidR="00B63EB8">
        <w:t xml:space="preserve"> </w:t>
      </w:r>
      <w:r w:rsidRPr="00F917AE">
        <w:t xml:space="preserve">1529.1 </w:t>
      </w:r>
      <w:proofErr w:type="gramStart"/>
      <w:r w:rsidRPr="00F917AE">
        <w:t>holds</w:t>
      </w:r>
      <w:proofErr w:type="gramEnd"/>
      <w:r w:rsidRPr="00F917AE">
        <w:t xml:space="preserve"> </w:t>
      </w:r>
      <w:r>
        <w:t xml:space="preserve">a </w:t>
      </w:r>
      <w:r w:rsidRPr="00F917AE">
        <w:t xml:space="preserve">property owner financially responsible for a tenant’s entire account, once foreign load is verified on the tenant’s </w:t>
      </w:r>
      <w:r w:rsidR="0096087B">
        <w:t xml:space="preserve">utility </w:t>
      </w:r>
      <w:r w:rsidRPr="00F917AE">
        <w:t>service.</w:t>
      </w:r>
      <w:r w:rsidR="00B52B10">
        <w:t xml:space="preserve"> </w:t>
      </w:r>
      <w:r w:rsidR="00B52B10" w:rsidRPr="00F275A1">
        <w:t xml:space="preserve"> </w:t>
      </w:r>
      <w:r w:rsidR="00B52B10" w:rsidRPr="00B52B10">
        <w:rPr>
          <w:u w:val="single"/>
        </w:rPr>
        <w:t>Santos v. Metropolitan Edison</w:t>
      </w:r>
      <w:r w:rsidR="00B52B10" w:rsidRPr="00B52B10">
        <w:t>, Docket No. C-00967757 (Order entered August 7, 1997)</w:t>
      </w:r>
      <w:r w:rsidR="00B52B10">
        <w:t xml:space="preserve">.  </w:t>
      </w:r>
      <w:r w:rsidR="00B52B10" w:rsidRPr="00B52B10">
        <w:t xml:space="preserve">Upon finding foreign load, the utility </w:t>
      </w:r>
      <w:r w:rsidR="00B52B10">
        <w:t xml:space="preserve">must </w:t>
      </w:r>
      <w:r w:rsidR="00B52B10" w:rsidRPr="00B52B10">
        <w:t>list the a</w:t>
      </w:r>
      <w:r w:rsidR="00B52B10">
        <w:t>ccount, including any arrearage</w:t>
      </w:r>
      <w:r w:rsidR="00B52B10" w:rsidRPr="00B52B10">
        <w:t xml:space="preserve">, in the name of the landlord.  The landlord </w:t>
      </w:r>
      <w:r w:rsidR="00B52B10">
        <w:t xml:space="preserve">bears </w:t>
      </w:r>
      <w:r w:rsidR="00B52B10" w:rsidRPr="00B52B10">
        <w:t xml:space="preserve">the responsibility </w:t>
      </w:r>
      <w:r w:rsidR="00B52B10">
        <w:t xml:space="preserve">of </w:t>
      </w:r>
      <w:r w:rsidR="00B52B10" w:rsidRPr="00B52B10">
        <w:t>pay</w:t>
      </w:r>
      <w:r w:rsidR="00B52B10">
        <w:t>ing</w:t>
      </w:r>
      <w:r w:rsidR="00B52B10" w:rsidRPr="00B52B10">
        <w:t xml:space="preserve"> the utility bills until the foreign load </w:t>
      </w:r>
      <w:r w:rsidR="00B52B10">
        <w:t xml:space="preserve">is </w:t>
      </w:r>
      <w:r w:rsidR="00B52B10" w:rsidRPr="00B52B10">
        <w:t xml:space="preserve">corrected.  Once the foreign load </w:t>
      </w:r>
      <w:r w:rsidR="00B52B10">
        <w:t xml:space="preserve">is </w:t>
      </w:r>
      <w:r w:rsidR="00B52B10" w:rsidRPr="00B52B10">
        <w:t>corrected by the landlord and verified by the utility, the utility place</w:t>
      </w:r>
      <w:r w:rsidR="00B52B10">
        <w:t>s</w:t>
      </w:r>
      <w:r w:rsidR="00B52B10" w:rsidRPr="00B52B10">
        <w:t xml:space="preserve"> the account back in the name of the tenant.  However, the arrearage, if any, remain</w:t>
      </w:r>
      <w:r w:rsidR="00B52B10">
        <w:t>s</w:t>
      </w:r>
      <w:r w:rsidR="00B52B10" w:rsidRPr="00B52B10">
        <w:t xml:space="preserve"> with the landlord.  </w:t>
      </w:r>
      <w:r w:rsidR="0096087B" w:rsidRPr="0096087B">
        <w:rPr>
          <w:u w:val="single"/>
        </w:rPr>
        <w:t>Ace Check Cashing Inc. v. Philadelphia Gas Works</w:t>
      </w:r>
      <w:r w:rsidR="0096087B" w:rsidRPr="0096087B">
        <w:t>,</w:t>
      </w:r>
      <w:r w:rsidR="0096087B">
        <w:t xml:space="preserve"> Docket No. C-2008-2056428, (Order entered May 21, 2010).  </w:t>
      </w:r>
      <w:r w:rsidR="00B52B10" w:rsidRPr="00B52B10">
        <w:t xml:space="preserve">There </w:t>
      </w:r>
      <w:r w:rsidR="0096087B">
        <w:t xml:space="preserve">is </w:t>
      </w:r>
      <w:r w:rsidR="00B52B10" w:rsidRPr="00B52B10">
        <w:t xml:space="preserve">no </w:t>
      </w:r>
      <w:r w:rsidR="00B52B10" w:rsidRPr="00B52B10">
        <w:rPr>
          <w:i/>
        </w:rPr>
        <w:t>de minimus</w:t>
      </w:r>
      <w:r w:rsidR="00B52B10" w:rsidRPr="00B52B10">
        <w:t xml:space="preserve"> exception</w:t>
      </w:r>
      <w:r w:rsidR="0096087B">
        <w:t>;</w:t>
      </w:r>
      <w:r w:rsidR="00B52B10" w:rsidRPr="00B52B10">
        <w:t xml:space="preserve"> any dispute </w:t>
      </w:r>
      <w:r w:rsidR="0096087B">
        <w:lastRenderedPageBreak/>
        <w:t xml:space="preserve">between the landlord and tenant </w:t>
      </w:r>
      <w:r w:rsidR="00B52B10" w:rsidRPr="00B52B10">
        <w:t xml:space="preserve">regarding the financial responsibilities of the parties </w:t>
      </w:r>
      <w:r w:rsidR="0096087B">
        <w:t xml:space="preserve">is </w:t>
      </w:r>
      <w:r w:rsidR="00B52B10" w:rsidRPr="00B52B10">
        <w:t xml:space="preserve">a matter to be resolved in the Court of Common Pleas and </w:t>
      </w:r>
      <w:r w:rsidR="0096087B">
        <w:t xml:space="preserve">is </w:t>
      </w:r>
      <w:r w:rsidR="00B52B10" w:rsidRPr="00B52B10">
        <w:t>outside this Commission’s jurisdiction.</w:t>
      </w:r>
      <w:r w:rsidR="0096087B">
        <w:t xml:space="preserve">  </w:t>
      </w:r>
      <w:r w:rsidR="0096087B">
        <w:rPr>
          <w:i/>
        </w:rPr>
        <w:t>Id</w:t>
      </w:r>
      <w:r w:rsidR="0096087B">
        <w:t>.</w:t>
      </w:r>
      <w:r w:rsidR="00257F21">
        <w:t xml:space="preserve">  </w:t>
      </w:r>
    </w:p>
    <w:p w:rsidR="00257F21" w:rsidRDefault="00257F21" w:rsidP="0046531E">
      <w:pPr>
        <w:spacing w:line="360" w:lineRule="auto"/>
      </w:pPr>
    </w:p>
    <w:p w:rsidR="00374002" w:rsidRDefault="00257F21" w:rsidP="00257F21">
      <w:pPr>
        <w:spacing w:line="360" w:lineRule="auto"/>
        <w:ind w:firstLine="1440"/>
      </w:pPr>
      <w:r>
        <w:t>Complainant</w:t>
      </w:r>
      <w:r w:rsidR="00374002">
        <w:t xml:space="preserve">, here, </w:t>
      </w:r>
      <w:r>
        <w:t>is not entitled to a reimbursement of any funds she paid to PECO for electric utility service prior to discovery of the foreign wiring on May 8, 2013.  PECO was not contacted by Complainant concerning the possibility of foreign wiring at the service address until April 29, 2013.  PECO promptly investigated the matter</w:t>
      </w:r>
      <w:r w:rsidR="00374002">
        <w:t>, determined there was a foreign load and transferred the account for service, including the balance and arrearage</w:t>
      </w:r>
      <w:r w:rsidR="00B37FD4">
        <w:t>s</w:t>
      </w:r>
      <w:r w:rsidR="00374002">
        <w:t>, into a newly created account for Complainant’s landlord</w:t>
      </w:r>
      <w:r>
        <w:t xml:space="preserve">. </w:t>
      </w:r>
      <w:r w:rsidR="00374002">
        <w:t xml:space="preserve"> The account for service remains in the landlord’s name.  </w:t>
      </w:r>
    </w:p>
    <w:p w:rsidR="00374002" w:rsidRDefault="00374002" w:rsidP="00257F21">
      <w:pPr>
        <w:spacing w:line="360" w:lineRule="auto"/>
        <w:ind w:firstLine="1440"/>
      </w:pPr>
    </w:p>
    <w:p w:rsidR="00374002" w:rsidRDefault="00374002" w:rsidP="00257F21">
      <w:pPr>
        <w:spacing w:line="360" w:lineRule="auto"/>
        <w:ind w:firstLine="1440"/>
      </w:pPr>
      <w:r>
        <w:t xml:space="preserve">Complainant has failed to satisfy the burden of proof in this proceeding.  </w:t>
      </w:r>
      <w:r>
        <w:rPr>
          <w:i/>
        </w:rPr>
        <w:t>See</w:t>
      </w:r>
      <w:r>
        <w:t xml:space="preserve"> </w:t>
      </w:r>
      <w:proofErr w:type="gramStart"/>
      <w:r>
        <w:t>66</w:t>
      </w:r>
      <w:r w:rsidR="00022B89">
        <w:t> </w:t>
      </w:r>
      <w:proofErr w:type="spellStart"/>
      <w:r>
        <w:t>Pa.C.S</w:t>
      </w:r>
      <w:proofErr w:type="spellEnd"/>
      <w:proofErr w:type="gramEnd"/>
      <w:r>
        <w:t>. §</w:t>
      </w:r>
      <w:r w:rsidR="00C01B58">
        <w:t xml:space="preserve"> </w:t>
      </w:r>
      <w:r>
        <w:t>332.  She has failed to prove that PECO violated Section 1529.1</w:t>
      </w:r>
      <w:r w:rsidR="00213E75">
        <w:t xml:space="preserve"> </w:t>
      </w:r>
      <w:r>
        <w:t xml:space="preserve">or any other section of the Public Utility Code, 66 </w:t>
      </w:r>
      <w:proofErr w:type="spellStart"/>
      <w:r>
        <w:t>Pa.C.S</w:t>
      </w:r>
      <w:proofErr w:type="spellEnd"/>
      <w:r>
        <w:t xml:space="preserve">. </w:t>
      </w:r>
      <w:proofErr w:type="gramStart"/>
      <w:r>
        <w:t>§</w:t>
      </w:r>
      <w:r w:rsidR="00C01B58">
        <w:t xml:space="preserve"> </w:t>
      </w:r>
      <w:r>
        <w:t xml:space="preserve">101 </w:t>
      </w:r>
      <w:r>
        <w:rPr>
          <w:i/>
        </w:rPr>
        <w:t>et seq</w:t>
      </w:r>
      <w:r>
        <w:t>.</w:t>
      </w:r>
      <w:proofErr w:type="gramEnd"/>
      <w:r>
        <w:t xml:space="preserve">  Additionally, she has failed to prove PECO violated any Commission regulations or orders.  Accordingly, the complain</w:t>
      </w:r>
      <w:r w:rsidR="00B37FD4">
        <w:t>t</w:t>
      </w:r>
      <w:r>
        <w:t xml:space="preserve"> is d</w:t>
      </w:r>
      <w:r w:rsidR="002931C6">
        <w:t xml:space="preserve">enied </w:t>
      </w:r>
      <w:r>
        <w:t xml:space="preserve">in the order paragraphs to follow.    </w:t>
      </w:r>
      <w:r w:rsidR="00257F21">
        <w:t xml:space="preserve"> </w:t>
      </w:r>
    </w:p>
    <w:p w:rsidR="00374002" w:rsidRDefault="00374002" w:rsidP="00257F21">
      <w:pPr>
        <w:spacing w:line="360" w:lineRule="auto"/>
        <w:ind w:firstLine="1440"/>
      </w:pPr>
    </w:p>
    <w:p w:rsidR="00257F21" w:rsidRDefault="00374002" w:rsidP="00257F21">
      <w:pPr>
        <w:spacing w:line="360" w:lineRule="auto"/>
        <w:ind w:firstLine="1440"/>
      </w:pPr>
      <w:r>
        <w:t>Complainant</w:t>
      </w:r>
      <w:r w:rsidR="00257F21">
        <w:t xml:space="preserve"> may be entitled to recoupment of some or all of the funds she paid</w:t>
      </w:r>
      <w:r w:rsidR="00B37FD4">
        <w:t xml:space="preserve"> to PECO</w:t>
      </w:r>
      <w:r w:rsidR="00257F21">
        <w:t xml:space="preserve"> for electric service from the owner of the residential dwelling in which she resides</w:t>
      </w:r>
      <w:r w:rsidR="00B37FD4">
        <w:t>,</w:t>
      </w:r>
      <w:r w:rsidR="00257F21">
        <w:t xml:space="preserve"> but that is a matter for the Courts of Common Pleas and is outside the jurisdiction of th</w:t>
      </w:r>
      <w:r w:rsidR="008E0C3B">
        <w:t>is</w:t>
      </w:r>
      <w:r w:rsidR="00257F21">
        <w:t xml:space="preserve"> Commission.   </w:t>
      </w:r>
    </w:p>
    <w:p w:rsidR="00B37FD4" w:rsidRDefault="00B37FD4" w:rsidP="00257F21">
      <w:pPr>
        <w:spacing w:line="360" w:lineRule="auto"/>
        <w:ind w:firstLine="1440"/>
      </w:pPr>
    </w:p>
    <w:p w:rsidR="00360392" w:rsidRDefault="00B37FD4" w:rsidP="00EE2AC2">
      <w:pPr>
        <w:spacing w:line="360" w:lineRule="auto"/>
        <w:ind w:firstLine="1440"/>
      </w:pPr>
      <w:r>
        <w:t xml:space="preserve">In </w:t>
      </w:r>
      <w:r w:rsidRPr="0096087B">
        <w:rPr>
          <w:u w:val="single"/>
        </w:rPr>
        <w:t>Ace Check Cashing Inc.</w:t>
      </w:r>
      <w:r w:rsidR="00CD1A49" w:rsidRPr="00CD1A49">
        <w:t>,</w:t>
      </w:r>
      <w:r>
        <w:t xml:space="preserve"> Docket No. C-2008-2056428, (Order entered May 21, 2010), the Commission discussed a landlord’s responsibility for arrearages which accrued on a</w:t>
      </w:r>
      <w:r w:rsidR="00EE2AC2">
        <w:t xml:space="preserve"> tenant’s</w:t>
      </w:r>
      <w:r>
        <w:t xml:space="preserve"> account prior to the discovery of </w:t>
      </w:r>
      <w:r w:rsidR="00847FED">
        <w:t xml:space="preserve">a </w:t>
      </w:r>
      <w:r>
        <w:t xml:space="preserve">foreign </w:t>
      </w:r>
      <w:r w:rsidR="00847FED">
        <w:t>load</w:t>
      </w:r>
      <w:r>
        <w:t xml:space="preserve">.  The Commission reasoned it was appropriate to hold </w:t>
      </w:r>
      <w:r w:rsidR="00EE2AC2">
        <w:t xml:space="preserve">a </w:t>
      </w:r>
      <w:r>
        <w:t>landlord responsible for all arrearages on</w:t>
      </w:r>
      <w:r w:rsidR="00EE2AC2">
        <w:t xml:space="preserve"> a tenant’s account, </w:t>
      </w:r>
      <w:r>
        <w:t>even potentially large amounts, after the discovery of a foreign load</w:t>
      </w:r>
      <w:r w:rsidR="00EE2AC2">
        <w:t xml:space="preserve"> because incentive is needed to prompt correction of the foreign </w:t>
      </w:r>
      <w:r w:rsidR="00847FED">
        <w:t>load</w:t>
      </w:r>
      <w:r w:rsidR="00EE2AC2">
        <w:t xml:space="preserve"> problem.  In </w:t>
      </w:r>
      <w:r w:rsidR="00EE2AC2" w:rsidRPr="0096087B">
        <w:rPr>
          <w:u w:val="single"/>
        </w:rPr>
        <w:t>Ace Check Cashing Inc.</w:t>
      </w:r>
      <w:r w:rsidR="00EE2AC2">
        <w:t>, the Commission stated as follows:</w:t>
      </w:r>
    </w:p>
    <w:p w:rsidR="00360392" w:rsidRPr="00F024A0" w:rsidRDefault="00360392" w:rsidP="00F024A0">
      <w:pPr>
        <w:ind w:left="1440" w:right="1440"/>
        <w:rPr>
          <w:color w:val="000000"/>
        </w:rPr>
      </w:pPr>
      <w:r w:rsidRPr="00F024A0">
        <w:rPr>
          <w:color w:val="000000"/>
        </w:rPr>
        <w:t xml:space="preserve">The key determination in </w:t>
      </w:r>
      <w:proofErr w:type="spellStart"/>
      <w:r w:rsidRPr="00F024A0">
        <w:rPr>
          <w:i/>
          <w:iCs/>
          <w:color w:val="000000"/>
        </w:rPr>
        <w:t>Afshari</w:t>
      </w:r>
      <w:proofErr w:type="spellEnd"/>
      <w:r w:rsidRPr="00F024A0">
        <w:rPr>
          <w:color w:val="000000"/>
        </w:rPr>
        <w:t xml:space="preserve"> is that, when foreign load is found, per operation of Subsection (c), the landlord shall be responsible only for the portion of the tenant’s arrearage that is related to foreign load.  However, Commission precedent, such as </w:t>
      </w:r>
      <w:r w:rsidRPr="00F024A0">
        <w:rPr>
          <w:i/>
          <w:iCs/>
          <w:color w:val="000000"/>
        </w:rPr>
        <w:lastRenderedPageBreak/>
        <w:t>Elizabeth Santos v. Met Ed</w:t>
      </w:r>
      <w:r w:rsidRPr="00F024A0">
        <w:rPr>
          <w:color w:val="000000"/>
        </w:rPr>
        <w:t>, Docket No. C-00967757 (Order entered August 7, 1997</w:t>
      </w:r>
      <w:proofErr w:type="gramStart"/>
      <w:r w:rsidRPr="00F024A0">
        <w:rPr>
          <w:color w:val="000000"/>
        </w:rPr>
        <w:t>),</w:t>
      </w:r>
      <w:proofErr w:type="gramEnd"/>
      <w:r w:rsidRPr="00F024A0">
        <w:rPr>
          <w:color w:val="000000"/>
        </w:rPr>
        <w:t xml:space="preserve"> holds that Subsection (c) operates to place both current bills and all arrearages in the landlord’s name if the landlord failed to provide the notice required by Subsection (a).  In interpreting Subsection (c), the decision in </w:t>
      </w:r>
      <w:proofErr w:type="spellStart"/>
      <w:r w:rsidRPr="00F024A0">
        <w:rPr>
          <w:i/>
          <w:color w:val="000000"/>
        </w:rPr>
        <w:t>Afshari</w:t>
      </w:r>
      <w:proofErr w:type="spellEnd"/>
      <w:r w:rsidRPr="00F024A0">
        <w:rPr>
          <w:color w:val="000000"/>
        </w:rPr>
        <w:t xml:space="preserve"> sought to avoid an unreasonably harsh result for the landlord in that it does not require the owner to be responsible for the tenant’s potentially large arrearages, especially where the foreign load is </w:t>
      </w:r>
      <w:r w:rsidRPr="00F024A0">
        <w:rPr>
          <w:i/>
          <w:color w:val="000000"/>
        </w:rPr>
        <w:t xml:space="preserve">de </w:t>
      </w:r>
      <w:proofErr w:type="spellStart"/>
      <w:r w:rsidRPr="00F024A0">
        <w:rPr>
          <w:i/>
          <w:color w:val="000000"/>
        </w:rPr>
        <w:t>minimus</w:t>
      </w:r>
      <w:proofErr w:type="spellEnd"/>
      <w:r w:rsidRPr="00F024A0">
        <w:rPr>
          <w:color w:val="000000"/>
        </w:rPr>
        <w:t xml:space="preserve">.  However, the approach in </w:t>
      </w:r>
      <w:proofErr w:type="spellStart"/>
      <w:r w:rsidRPr="00F024A0">
        <w:rPr>
          <w:i/>
          <w:color w:val="000000"/>
        </w:rPr>
        <w:t>Afshari</w:t>
      </w:r>
      <w:proofErr w:type="spellEnd"/>
      <w:r w:rsidRPr="00F024A0">
        <w:rPr>
          <w:color w:val="000000"/>
        </w:rPr>
        <w:t xml:space="preserve"> lessens the incentive for the landlord to correct the foreign load situation that is due to a wiring, plumbing or piping problem for which the landlord is responsible.  While the language in Subsection (c) can be viewed as ambiguous enough to allow some latitude for Commission interpretation, a determination that the landlord’s financial responsibility for arrearages is strictly limited to the foreign load portion of the arrearage is problematic.  This is because the statutory remedy for failure to provide notice provided in Subsection (c) refers back to Subsection (b) which clearly mandates that the landlord “shall thereafter be responsible for the payment for the utility services rendered [to the rental property].”</w:t>
      </w:r>
    </w:p>
    <w:p w:rsidR="00360392" w:rsidRDefault="00360392" w:rsidP="0046531E">
      <w:pPr>
        <w:spacing w:line="360" w:lineRule="auto"/>
      </w:pPr>
    </w:p>
    <w:p w:rsidR="00EC7EEB" w:rsidRDefault="00EE2AC2" w:rsidP="002931C6">
      <w:pPr>
        <w:spacing w:line="360" w:lineRule="auto"/>
      </w:pPr>
      <w:r>
        <w:tab/>
      </w:r>
      <w:r>
        <w:tab/>
      </w:r>
      <w:r w:rsidR="00304AD0">
        <w:t xml:space="preserve">While Ms. Green’s complaint is denied, this </w:t>
      </w:r>
      <w:r>
        <w:t>case presents a novel issue</w:t>
      </w:r>
      <w:r w:rsidR="002931C6">
        <w:t xml:space="preserve"> for </w:t>
      </w:r>
      <w:r w:rsidR="007D1E30">
        <w:t xml:space="preserve">future </w:t>
      </w:r>
      <w:r w:rsidR="002931C6">
        <w:t>consideration by the Commission</w:t>
      </w:r>
      <w:r>
        <w:t xml:space="preserve">.  </w:t>
      </w:r>
      <w:r w:rsidR="001B5A65">
        <w:t>Ms. Green</w:t>
      </w:r>
      <w:r w:rsidR="00D45D3D">
        <w:t xml:space="preserve"> became enrolled in PECO’s customer assistance program in September 2011.  </w:t>
      </w:r>
      <w:r w:rsidR="005B2154">
        <w:t>CAP payments were made to Ms. Green’s account while a foreign wiring situation exi</w:t>
      </w:r>
      <w:r w:rsidR="007D1E30">
        <w:t>s</w:t>
      </w:r>
      <w:r w:rsidR="005B2154">
        <w:t>ted.</w:t>
      </w:r>
    </w:p>
    <w:p w:rsidR="00EC7EEB" w:rsidRDefault="00EC7EEB" w:rsidP="0046531E">
      <w:pPr>
        <w:spacing w:line="360" w:lineRule="auto"/>
      </w:pPr>
    </w:p>
    <w:p w:rsidR="00EC7EEB" w:rsidRDefault="00EC7EEB" w:rsidP="00EC7EEB">
      <w:pPr>
        <w:spacing w:line="360" w:lineRule="auto"/>
        <w:jc w:val="center"/>
      </w:pPr>
      <w:r>
        <w:rPr>
          <w:u w:val="single"/>
        </w:rPr>
        <w:t>CONCLUSIONS OF LAW</w:t>
      </w:r>
    </w:p>
    <w:p w:rsidR="00EC7EEB" w:rsidRDefault="00EC7EEB" w:rsidP="00EC7EEB">
      <w:pPr>
        <w:spacing w:line="360" w:lineRule="auto"/>
      </w:pPr>
    </w:p>
    <w:p w:rsidR="00EC7EEB" w:rsidRDefault="009341CC" w:rsidP="00EC7EEB">
      <w:pPr>
        <w:pStyle w:val="ListParagraph"/>
        <w:numPr>
          <w:ilvl w:val="0"/>
          <w:numId w:val="2"/>
        </w:numPr>
        <w:spacing w:line="360" w:lineRule="auto"/>
        <w:ind w:left="0" w:firstLine="1440"/>
      </w:pPr>
      <w:r w:rsidRPr="009341CC">
        <w:t xml:space="preserve">The Commission has jurisdiction over the subject matter and the parties to this proceeding.  </w:t>
      </w:r>
      <w:proofErr w:type="gramStart"/>
      <w:r w:rsidRPr="009341CC">
        <w:t xml:space="preserve">66 </w:t>
      </w:r>
      <w:proofErr w:type="spellStart"/>
      <w:r w:rsidRPr="009341CC">
        <w:t>Pa.C.S</w:t>
      </w:r>
      <w:proofErr w:type="spellEnd"/>
      <w:r w:rsidRPr="009341CC">
        <w:t>.</w:t>
      </w:r>
      <w:proofErr w:type="gramEnd"/>
      <w:r w:rsidRPr="009341CC">
        <w:t xml:space="preserve"> §</w:t>
      </w:r>
      <w:r w:rsidR="00C01B58">
        <w:t xml:space="preserve"> </w:t>
      </w:r>
      <w:r w:rsidRPr="009341CC">
        <w:t>701.</w:t>
      </w:r>
    </w:p>
    <w:p w:rsidR="009341CC" w:rsidRDefault="009341CC" w:rsidP="009341CC">
      <w:pPr>
        <w:pStyle w:val="ListParagraph"/>
        <w:spacing w:line="360" w:lineRule="auto"/>
        <w:ind w:left="1440"/>
      </w:pPr>
    </w:p>
    <w:p w:rsidR="009341CC" w:rsidRDefault="009341CC" w:rsidP="00EC7EEB">
      <w:pPr>
        <w:pStyle w:val="ListParagraph"/>
        <w:numPr>
          <w:ilvl w:val="0"/>
          <w:numId w:val="2"/>
        </w:numPr>
        <w:spacing w:line="360" w:lineRule="auto"/>
        <w:ind w:left="0" w:firstLine="1440"/>
      </w:pPr>
      <w:r>
        <w:t>A</w:t>
      </w:r>
      <w:r w:rsidRPr="009341CC">
        <w:t xml:space="preserve"> </w:t>
      </w:r>
      <w:r w:rsidRPr="00F917AE">
        <w:t xml:space="preserve">property owner </w:t>
      </w:r>
      <w:r>
        <w:t xml:space="preserve">is </w:t>
      </w:r>
      <w:r w:rsidRPr="00F917AE">
        <w:t xml:space="preserve">financially responsible for a tenant’s entire account, once foreign load is verified on the tenant’s </w:t>
      </w:r>
      <w:r>
        <w:t xml:space="preserve">utility </w:t>
      </w:r>
      <w:r w:rsidRPr="00F917AE">
        <w:t>service</w:t>
      </w:r>
      <w:r w:rsidR="001239ED">
        <w:t>, including all arrearages</w:t>
      </w:r>
      <w:r w:rsidRPr="00F917AE">
        <w:t>.</w:t>
      </w:r>
      <w:r w:rsidR="00C53EBD">
        <w:t xml:space="preserve">  </w:t>
      </w:r>
      <w:r w:rsidR="00C53EBD" w:rsidRPr="0096087B">
        <w:rPr>
          <w:u w:val="single"/>
        </w:rPr>
        <w:t>Ace Check Cashing Inc. v. Philadelphia Gas Works</w:t>
      </w:r>
      <w:r w:rsidR="00C53EBD" w:rsidRPr="0096087B">
        <w:t>,</w:t>
      </w:r>
      <w:r w:rsidR="00C53EBD">
        <w:t xml:space="preserve"> Docket No. C-2008-2056428, (Order entered May 21, 2010); 66 </w:t>
      </w:r>
      <w:proofErr w:type="spellStart"/>
      <w:r w:rsidR="00C53EBD">
        <w:t>Pa.C.S</w:t>
      </w:r>
      <w:proofErr w:type="spellEnd"/>
      <w:r w:rsidR="00C53EBD">
        <w:t>. §</w:t>
      </w:r>
      <w:r w:rsidR="00C01B58">
        <w:t xml:space="preserve"> </w:t>
      </w:r>
      <w:r w:rsidR="00C53EBD" w:rsidRPr="00F917AE">
        <w:t>1529.1</w:t>
      </w:r>
      <w:r w:rsidR="00C53EBD">
        <w:t>.</w:t>
      </w:r>
    </w:p>
    <w:p w:rsidR="00B138CD" w:rsidRDefault="00B138CD" w:rsidP="00B138CD">
      <w:pPr>
        <w:pStyle w:val="ListParagraph"/>
        <w:spacing w:line="360" w:lineRule="auto"/>
        <w:ind w:left="1440"/>
      </w:pPr>
    </w:p>
    <w:p w:rsidR="001239ED" w:rsidRDefault="001239ED" w:rsidP="001239ED">
      <w:pPr>
        <w:spacing w:line="360" w:lineRule="auto"/>
        <w:ind w:left="1440"/>
      </w:pPr>
      <w:r>
        <w:t>3.</w:t>
      </w:r>
      <w:r>
        <w:tab/>
        <w:t>O</w:t>
      </w:r>
      <w:r w:rsidRPr="00F917AE">
        <w:t xml:space="preserve">nce foreign load is verified on </w:t>
      </w:r>
      <w:r>
        <w:t>a</w:t>
      </w:r>
      <w:r w:rsidRPr="00F917AE">
        <w:t xml:space="preserve"> tenant’s </w:t>
      </w:r>
      <w:r>
        <w:t xml:space="preserve">utility </w:t>
      </w:r>
      <w:r w:rsidRPr="00F917AE">
        <w:t>service</w:t>
      </w:r>
      <w:r>
        <w:t xml:space="preserve">, </w:t>
      </w:r>
      <w:r w:rsidRPr="00B52B10">
        <w:t>any dispute</w:t>
      </w:r>
    </w:p>
    <w:p w:rsidR="001239ED" w:rsidRDefault="001239ED" w:rsidP="001239ED">
      <w:pPr>
        <w:spacing w:line="360" w:lineRule="auto"/>
      </w:pPr>
      <w:proofErr w:type="gramStart"/>
      <w:r>
        <w:t>between</w:t>
      </w:r>
      <w:proofErr w:type="gramEnd"/>
      <w:r>
        <w:t xml:space="preserve"> the landlord and tenant </w:t>
      </w:r>
      <w:r w:rsidRPr="00B52B10">
        <w:t xml:space="preserve">regarding the financial responsibilities of the parties </w:t>
      </w:r>
      <w:r>
        <w:t xml:space="preserve">is </w:t>
      </w:r>
      <w:r w:rsidRPr="00B52B10">
        <w:t xml:space="preserve">a matter to be resolved in the Court of Common Pleas and </w:t>
      </w:r>
      <w:r>
        <w:t xml:space="preserve">is </w:t>
      </w:r>
      <w:r w:rsidRPr="00B52B10">
        <w:t>outside this Commission’s jurisdiction.</w:t>
      </w:r>
      <w:r>
        <w:t xml:space="preserve">  </w:t>
      </w:r>
      <w:r w:rsidRPr="0096087B">
        <w:rPr>
          <w:u w:val="single"/>
        </w:rPr>
        <w:t xml:space="preserve">Ace </w:t>
      </w:r>
      <w:r w:rsidRPr="0096087B">
        <w:rPr>
          <w:u w:val="single"/>
        </w:rPr>
        <w:lastRenderedPageBreak/>
        <w:t>Check Cashing Inc. v. Philadelphia Gas Works</w:t>
      </w:r>
      <w:r w:rsidRPr="0096087B">
        <w:t>,</w:t>
      </w:r>
      <w:r>
        <w:t xml:space="preserve"> Docket No. C-2008-2056428, (Order entered May 21, 2010).     </w:t>
      </w:r>
    </w:p>
    <w:p w:rsidR="00C53EBD" w:rsidRDefault="00C53EBD" w:rsidP="00351846">
      <w:pPr>
        <w:pStyle w:val="ListParagraph"/>
        <w:spacing w:line="360" w:lineRule="auto"/>
      </w:pPr>
    </w:p>
    <w:p w:rsidR="001239ED" w:rsidRDefault="001239ED" w:rsidP="001239ED">
      <w:pPr>
        <w:pStyle w:val="ListParagraph"/>
        <w:spacing w:line="360" w:lineRule="auto"/>
        <w:ind w:left="1440"/>
      </w:pPr>
      <w:r>
        <w:t>4.</w:t>
      </w:r>
      <w:r>
        <w:tab/>
      </w:r>
      <w:r w:rsidR="00C53EBD" w:rsidRPr="00C53EBD">
        <w:t xml:space="preserve">Complainant has failed to meet </w:t>
      </w:r>
      <w:r w:rsidR="00C53EBD">
        <w:t>h</w:t>
      </w:r>
      <w:r w:rsidR="002931C6">
        <w:t>er</w:t>
      </w:r>
      <w:r w:rsidR="00C53EBD">
        <w:t xml:space="preserve"> </w:t>
      </w:r>
      <w:r w:rsidR="00C53EBD" w:rsidRPr="00C53EBD">
        <w:t xml:space="preserve">burden of proving that </w:t>
      </w:r>
      <w:r w:rsidR="002931C6">
        <w:t>s</w:t>
      </w:r>
      <w:r w:rsidR="00C53EBD" w:rsidRPr="00C53EBD">
        <w:t>he is entitled</w:t>
      </w:r>
    </w:p>
    <w:p w:rsidR="00C53EBD" w:rsidRDefault="00C53EBD" w:rsidP="001239ED">
      <w:pPr>
        <w:spacing w:line="360" w:lineRule="auto"/>
      </w:pPr>
      <w:proofErr w:type="gramStart"/>
      <w:r w:rsidRPr="00C53EBD">
        <w:t>to</w:t>
      </w:r>
      <w:proofErr w:type="gramEnd"/>
      <w:r w:rsidRPr="00C53EBD">
        <w:t xml:space="preserve"> </w:t>
      </w:r>
      <w:r>
        <w:t xml:space="preserve">the </w:t>
      </w:r>
      <w:r w:rsidRPr="00C53EBD">
        <w:t>relief</w:t>
      </w:r>
      <w:r>
        <w:t xml:space="preserve"> </w:t>
      </w:r>
      <w:r w:rsidR="00797CCD">
        <w:t>s</w:t>
      </w:r>
      <w:r>
        <w:t>he seeks from this Commission</w:t>
      </w:r>
      <w:r w:rsidR="001239ED">
        <w:t xml:space="preserve">.  </w:t>
      </w:r>
      <w:proofErr w:type="gramStart"/>
      <w:r w:rsidR="001239ED">
        <w:t>66 </w:t>
      </w:r>
      <w:proofErr w:type="spellStart"/>
      <w:r w:rsidR="001239ED">
        <w:t>Pa.</w:t>
      </w:r>
      <w:r w:rsidRPr="00C53EBD">
        <w:t>C.S</w:t>
      </w:r>
      <w:proofErr w:type="spellEnd"/>
      <w:r w:rsidRPr="00C53EBD">
        <w:t>.</w:t>
      </w:r>
      <w:proofErr w:type="gramEnd"/>
      <w:r w:rsidRPr="00C53EBD">
        <w:t xml:space="preserve"> §</w:t>
      </w:r>
      <w:r w:rsidR="00C274EA">
        <w:t xml:space="preserve"> </w:t>
      </w:r>
      <w:r w:rsidRPr="00C53EBD">
        <w:t>332(a).</w:t>
      </w:r>
    </w:p>
    <w:p w:rsidR="00C53EBD" w:rsidRDefault="00C53EBD" w:rsidP="00C53EBD">
      <w:pPr>
        <w:pStyle w:val="ListParagraph"/>
      </w:pPr>
    </w:p>
    <w:p w:rsidR="00C274EA" w:rsidRDefault="00C274EA" w:rsidP="00C53EBD">
      <w:pPr>
        <w:pStyle w:val="ListParagraph"/>
      </w:pPr>
    </w:p>
    <w:p w:rsidR="00C53EBD" w:rsidRDefault="00C53EBD" w:rsidP="00C53EBD">
      <w:pPr>
        <w:spacing w:line="360" w:lineRule="auto"/>
        <w:jc w:val="center"/>
      </w:pPr>
      <w:r>
        <w:rPr>
          <w:u w:val="single"/>
        </w:rPr>
        <w:t>ORDER</w:t>
      </w:r>
    </w:p>
    <w:p w:rsidR="00C53EBD" w:rsidRDefault="00C53EBD" w:rsidP="00C53EBD">
      <w:pPr>
        <w:spacing w:line="360" w:lineRule="auto"/>
      </w:pPr>
    </w:p>
    <w:p w:rsidR="00751D3F" w:rsidRDefault="00751D3F" w:rsidP="00C53EBD">
      <w:pPr>
        <w:spacing w:line="360" w:lineRule="auto"/>
      </w:pPr>
    </w:p>
    <w:p w:rsidR="00C53EBD" w:rsidRDefault="00C53EBD" w:rsidP="00C53EBD">
      <w:pPr>
        <w:spacing w:line="360" w:lineRule="auto"/>
      </w:pPr>
      <w:r>
        <w:tab/>
      </w:r>
      <w:r>
        <w:tab/>
        <w:t>THEREFORE,</w:t>
      </w:r>
    </w:p>
    <w:p w:rsidR="00C53EBD" w:rsidRDefault="00C53EBD" w:rsidP="00C53EBD">
      <w:pPr>
        <w:spacing w:line="360" w:lineRule="auto"/>
      </w:pPr>
    </w:p>
    <w:p w:rsidR="00C53EBD" w:rsidRDefault="00C53EBD" w:rsidP="00C53EBD">
      <w:pPr>
        <w:spacing w:line="360" w:lineRule="auto"/>
      </w:pPr>
      <w:r>
        <w:tab/>
      </w:r>
      <w:r>
        <w:tab/>
        <w:t>IT IS ORDERED:</w:t>
      </w:r>
    </w:p>
    <w:p w:rsidR="00C53EBD" w:rsidRDefault="00C53EBD" w:rsidP="00C53EBD">
      <w:pPr>
        <w:spacing w:line="360" w:lineRule="auto"/>
      </w:pPr>
    </w:p>
    <w:p w:rsidR="00C53EBD" w:rsidRDefault="00C53EBD" w:rsidP="00C53EBD">
      <w:pPr>
        <w:spacing w:line="360" w:lineRule="auto"/>
      </w:pPr>
      <w:r>
        <w:tab/>
      </w:r>
      <w:r>
        <w:tab/>
      </w:r>
      <w:r w:rsidR="002931C6">
        <w:t>1.</w:t>
      </w:r>
      <w:r w:rsidR="002931C6">
        <w:tab/>
      </w:r>
      <w:r>
        <w:t xml:space="preserve">That the complaint of </w:t>
      </w:r>
      <w:proofErr w:type="spellStart"/>
      <w:r w:rsidR="002931C6">
        <w:t>Margaretta</w:t>
      </w:r>
      <w:proofErr w:type="spellEnd"/>
      <w:r w:rsidR="002931C6">
        <w:t xml:space="preserve"> Green against PECO Energy Company at </w:t>
      </w:r>
      <w:r>
        <w:t xml:space="preserve">Docket No. </w:t>
      </w:r>
      <w:r w:rsidR="002931C6">
        <w:t>F-2013-2378618</w:t>
      </w:r>
      <w:r>
        <w:t xml:space="preserve"> is hereby denied.</w:t>
      </w:r>
    </w:p>
    <w:p w:rsidR="004D6126" w:rsidRDefault="004D6126" w:rsidP="00C53EBD">
      <w:pPr>
        <w:spacing w:line="360" w:lineRule="auto"/>
      </w:pPr>
    </w:p>
    <w:p w:rsidR="00C53EBD" w:rsidRDefault="004D6126" w:rsidP="004D6126">
      <w:pPr>
        <w:spacing w:line="360" w:lineRule="auto"/>
        <w:ind w:firstLine="1440"/>
      </w:pPr>
      <w:r>
        <w:t>2.</w:t>
      </w:r>
      <w:r>
        <w:tab/>
        <w:t>That the Docket in this proceeding, Docket No. F-2013-2378618, be marked closed.</w:t>
      </w:r>
    </w:p>
    <w:p w:rsidR="008B7171" w:rsidRDefault="008B7171" w:rsidP="00C53EBD"/>
    <w:p w:rsidR="00C274EA" w:rsidRDefault="00C274EA" w:rsidP="00C53EBD"/>
    <w:p w:rsidR="00C274EA" w:rsidRDefault="00C274EA" w:rsidP="00C53EBD"/>
    <w:p w:rsidR="00813015" w:rsidRDefault="00C53EBD" w:rsidP="00813015">
      <w:r>
        <w:t xml:space="preserve">Date: </w:t>
      </w:r>
      <w:r w:rsidR="00797CCD">
        <w:t xml:space="preserve"> </w:t>
      </w:r>
      <w:r w:rsidR="004D6126">
        <w:rPr>
          <w:u w:val="single"/>
        </w:rPr>
        <w:t>February 2</w:t>
      </w:r>
      <w:r w:rsidR="009655DA">
        <w:rPr>
          <w:u w:val="single"/>
        </w:rPr>
        <w:t>8</w:t>
      </w:r>
      <w:r w:rsidR="004D6126">
        <w:rPr>
          <w:u w:val="single"/>
        </w:rPr>
        <w:t>, 2014</w:t>
      </w:r>
      <w:r>
        <w:tab/>
      </w:r>
      <w:r>
        <w:tab/>
      </w:r>
      <w:r>
        <w:tab/>
      </w:r>
      <w:r>
        <w:tab/>
      </w:r>
      <w:r w:rsidR="00813015">
        <w:tab/>
      </w:r>
      <w:r w:rsidR="00813015">
        <w:rPr>
          <w:u w:val="single"/>
        </w:rPr>
        <w:tab/>
      </w:r>
      <w:r w:rsidR="00813015">
        <w:rPr>
          <w:u w:val="single"/>
        </w:rPr>
        <w:tab/>
        <w:t>/s/</w:t>
      </w:r>
      <w:r w:rsidR="00813015">
        <w:rPr>
          <w:u w:val="single"/>
        </w:rPr>
        <w:tab/>
      </w:r>
      <w:r w:rsidR="00813015">
        <w:rPr>
          <w:u w:val="single"/>
        </w:rPr>
        <w:tab/>
      </w:r>
      <w:r w:rsidR="00813015">
        <w:rPr>
          <w:u w:val="single"/>
        </w:rPr>
        <w:tab/>
      </w:r>
    </w:p>
    <w:p w:rsidR="00C53EBD" w:rsidRDefault="004D6126" w:rsidP="00C53EBD">
      <w:r>
        <w:tab/>
      </w:r>
      <w:r>
        <w:tab/>
      </w:r>
      <w:r>
        <w:tab/>
      </w:r>
      <w:r>
        <w:tab/>
      </w:r>
      <w:r>
        <w:tab/>
      </w:r>
      <w:r>
        <w:tab/>
      </w:r>
      <w:r>
        <w:tab/>
      </w:r>
      <w:r w:rsidR="00813015">
        <w:tab/>
      </w:r>
      <w:r>
        <w:t>Mark A. Hoyer</w:t>
      </w:r>
    </w:p>
    <w:p w:rsidR="00C53EBD" w:rsidRPr="00C53EBD" w:rsidRDefault="00C53EBD" w:rsidP="00C53EBD">
      <w:pPr>
        <w:spacing w:line="360" w:lineRule="auto"/>
      </w:pPr>
      <w:r>
        <w:tab/>
      </w:r>
      <w:r>
        <w:tab/>
      </w:r>
      <w:r>
        <w:tab/>
      </w:r>
      <w:r>
        <w:tab/>
      </w:r>
      <w:r>
        <w:tab/>
      </w:r>
      <w:r>
        <w:tab/>
      </w:r>
      <w:r>
        <w:tab/>
      </w:r>
      <w:r w:rsidR="00813015">
        <w:tab/>
      </w:r>
      <w:r>
        <w:t>Administrative Law Judge</w:t>
      </w:r>
    </w:p>
    <w:sectPr w:rsidR="00C53EBD" w:rsidRPr="00C53EBD" w:rsidSect="00287629">
      <w:footerReference w:type="default" r:id="rId9"/>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42" w:rsidRDefault="00396842" w:rsidP="00D34D43">
      <w:r>
        <w:separator/>
      </w:r>
    </w:p>
  </w:endnote>
  <w:endnote w:type="continuationSeparator" w:id="0">
    <w:p w:rsidR="00396842" w:rsidRDefault="00396842" w:rsidP="00D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32204"/>
      <w:docPartObj>
        <w:docPartGallery w:val="Page Numbers (Bottom of Page)"/>
        <w:docPartUnique/>
      </w:docPartObj>
    </w:sdtPr>
    <w:sdtEndPr>
      <w:rPr>
        <w:sz w:val="20"/>
        <w:szCs w:val="20"/>
      </w:rPr>
    </w:sdtEndPr>
    <w:sdtContent>
      <w:p w:rsidR="00AB0CBF" w:rsidRPr="00287629" w:rsidRDefault="00AB0CBF">
        <w:pPr>
          <w:pStyle w:val="Footer"/>
          <w:jc w:val="center"/>
          <w:rPr>
            <w:sz w:val="20"/>
            <w:szCs w:val="20"/>
          </w:rPr>
        </w:pPr>
        <w:r w:rsidRPr="00287629">
          <w:rPr>
            <w:sz w:val="20"/>
            <w:szCs w:val="20"/>
          </w:rPr>
          <w:fldChar w:fldCharType="begin"/>
        </w:r>
        <w:r w:rsidRPr="00287629">
          <w:rPr>
            <w:sz w:val="20"/>
            <w:szCs w:val="20"/>
          </w:rPr>
          <w:instrText xml:space="preserve"> PAGE   \* MERGEFORMAT </w:instrText>
        </w:r>
        <w:r w:rsidRPr="00287629">
          <w:rPr>
            <w:sz w:val="20"/>
            <w:szCs w:val="20"/>
          </w:rPr>
          <w:fldChar w:fldCharType="separate"/>
        </w:r>
        <w:r w:rsidR="00465D02">
          <w:rPr>
            <w:noProof/>
            <w:sz w:val="20"/>
            <w:szCs w:val="20"/>
          </w:rPr>
          <w:t>7</w:t>
        </w:r>
        <w:r w:rsidRPr="002876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42" w:rsidRDefault="00396842" w:rsidP="00D34D43">
      <w:r>
        <w:separator/>
      </w:r>
    </w:p>
  </w:footnote>
  <w:footnote w:type="continuationSeparator" w:id="0">
    <w:p w:rsidR="00396842" w:rsidRDefault="00396842" w:rsidP="00D34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77805"/>
    <w:multiLevelType w:val="hybridMultilevel"/>
    <w:tmpl w:val="41D2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442597"/>
    <w:multiLevelType w:val="hybridMultilevel"/>
    <w:tmpl w:val="A154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31"/>
    <w:rsid w:val="00002E71"/>
    <w:rsid w:val="0000610B"/>
    <w:rsid w:val="0001437D"/>
    <w:rsid w:val="0001444C"/>
    <w:rsid w:val="000158F5"/>
    <w:rsid w:val="00015C87"/>
    <w:rsid w:val="000200B5"/>
    <w:rsid w:val="00022031"/>
    <w:rsid w:val="00022664"/>
    <w:rsid w:val="00022B89"/>
    <w:rsid w:val="00024AA5"/>
    <w:rsid w:val="00027171"/>
    <w:rsid w:val="00027E4C"/>
    <w:rsid w:val="00032AC3"/>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3300"/>
    <w:rsid w:val="000767FF"/>
    <w:rsid w:val="0008135A"/>
    <w:rsid w:val="0008257A"/>
    <w:rsid w:val="00085610"/>
    <w:rsid w:val="00087CC5"/>
    <w:rsid w:val="0009005C"/>
    <w:rsid w:val="000921BC"/>
    <w:rsid w:val="00095B50"/>
    <w:rsid w:val="00096F74"/>
    <w:rsid w:val="000A0803"/>
    <w:rsid w:val="000A0A7F"/>
    <w:rsid w:val="000A11C4"/>
    <w:rsid w:val="000A510C"/>
    <w:rsid w:val="000A7EFE"/>
    <w:rsid w:val="000B1FCF"/>
    <w:rsid w:val="000B3598"/>
    <w:rsid w:val="000B3628"/>
    <w:rsid w:val="000B3F0C"/>
    <w:rsid w:val="000B53F0"/>
    <w:rsid w:val="000B629F"/>
    <w:rsid w:val="000B6D95"/>
    <w:rsid w:val="000C10D2"/>
    <w:rsid w:val="000C1A6B"/>
    <w:rsid w:val="000C269C"/>
    <w:rsid w:val="000C5510"/>
    <w:rsid w:val="000C71B2"/>
    <w:rsid w:val="000C76C7"/>
    <w:rsid w:val="000D0A51"/>
    <w:rsid w:val="000D1336"/>
    <w:rsid w:val="000D715A"/>
    <w:rsid w:val="000D7906"/>
    <w:rsid w:val="000E0C64"/>
    <w:rsid w:val="000E1700"/>
    <w:rsid w:val="000E4E82"/>
    <w:rsid w:val="000E6C36"/>
    <w:rsid w:val="000F042F"/>
    <w:rsid w:val="000F0CB0"/>
    <w:rsid w:val="000F1E2C"/>
    <w:rsid w:val="000F22AD"/>
    <w:rsid w:val="000F331D"/>
    <w:rsid w:val="000F6BCB"/>
    <w:rsid w:val="001010DC"/>
    <w:rsid w:val="0010180F"/>
    <w:rsid w:val="00105690"/>
    <w:rsid w:val="001059C3"/>
    <w:rsid w:val="001079C3"/>
    <w:rsid w:val="0011082D"/>
    <w:rsid w:val="00114A5C"/>
    <w:rsid w:val="00114C1B"/>
    <w:rsid w:val="00114D69"/>
    <w:rsid w:val="001163B8"/>
    <w:rsid w:val="00117158"/>
    <w:rsid w:val="0012337D"/>
    <w:rsid w:val="001239ED"/>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7F7C"/>
    <w:rsid w:val="00163667"/>
    <w:rsid w:val="00171BA7"/>
    <w:rsid w:val="00172A1B"/>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5A65"/>
    <w:rsid w:val="001B6147"/>
    <w:rsid w:val="001B669F"/>
    <w:rsid w:val="001B6767"/>
    <w:rsid w:val="001B7B44"/>
    <w:rsid w:val="001C16F1"/>
    <w:rsid w:val="001C1DA4"/>
    <w:rsid w:val="001D0B3C"/>
    <w:rsid w:val="001D4EAA"/>
    <w:rsid w:val="001E13F6"/>
    <w:rsid w:val="001E4606"/>
    <w:rsid w:val="001E480F"/>
    <w:rsid w:val="001E49BB"/>
    <w:rsid w:val="001E4A0F"/>
    <w:rsid w:val="001E6948"/>
    <w:rsid w:val="001E6AC2"/>
    <w:rsid w:val="001E7A10"/>
    <w:rsid w:val="001F1F9D"/>
    <w:rsid w:val="001F1FC5"/>
    <w:rsid w:val="001F5E84"/>
    <w:rsid w:val="001F73E8"/>
    <w:rsid w:val="002002ED"/>
    <w:rsid w:val="00202271"/>
    <w:rsid w:val="00205676"/>
    <w:rsid w:val="0020746B"/>
    <w:rsid w:val="00210517"/>
    <w:rsid w:val="002107F3"/>
    <w:rsid w:val="00212F85"/>
    <w:rsid w:val="00213B19"/>
    <w:rsid w:val="00213E75"/>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57F21"/>
    <w:rsid w:val="002606BC"/>
    <w:rsid w:val="00264827"/>
    <w:rsid w:val="002659C1"/>
    <w:rsid w:val="00265F08"/>
    <w:rsid w:val="00266EEA"/>
    <w:rsid w:val="002705F3"/>
    <w:rsid w:val="002715D6"/>
    <w:rsid w:val="00273113"/>
    <w:rsid w:val="00273CD5"/>
    <w:rsid w:val="00274AEB"/>
    <w:rsid w:val="002756A7"/>
    <w:rsid w:val="0028196A"/>
    <w:rsid w:val="00282E72"/>
    <w:rsid w:val="00286013"/>
    <w:rsid w:val="00286E18"/>
    <w:rsid w:val="00287629"/>
    <w:rsid w:val="00292413"/>
    <w:rsid w:val="00292C52"/>
    <w:rsid w:val="0029304C"/>
    <w:rsid w:val="0029312D"/>
    <w:rsid w:val="002931C6"/>
    <w:rsid w:val="00297007"/>
    <w:rsid w:val="002A08AE"/>
    <w:rsid w:val="002A0C6D"/>
    <w:rsid w:val="002A5634"/>
    <w:rsid w:val="002A6DA3"/>
    <w:rsid w:val="002B080D"/>
    <w:rsid w:val="002B43C8"/>
    <w:rsid w:val="002B693E"/>
    <w:rsid w:val="002C0A83"/>
    <w:rsid w:val="002C5195"/>
    <w:rsid w:val="002C6736"/>
    <w:rsid w:val="002D15FF"/>
    <w:rsid w:val="002D2161"/>
    <w:rsid w:val="002D3212"/>
    <w:rsid w:val="002D3700"/>
    <w:rsid w:val="002D46AD"/>
    <w:rsid w:val="002D50E8"/>
    <w:rsid w:val="002E1962"/>
    <w:rsid w:val="002E414F"/>
    <w:rsid w:val="002E62AE"/>
    <w:rsid w:val="002E7B4F"/>
    <w:rsid w:val="002E7CBD"/>
    <w:rsid w:val="002F0988"/>
    <w:rsid w:val="002F0CDC"/>
    <w:rsid w:val="002F58C1"/>
    <w:rsid w:val="003009B5"/>
    <w:rsid w:val="00303C1E"/>
    <w:rsid w:val="00303E71"/>
    <w:rsid w:val="00304AD0"/>
    <w:rsid w:val="003065A6"/>
    <w:rsid w:val="00306AEC"/>
    <w:rsid w:val="003105EB"/>
    <w:rsid w:val="00313224"/>
    <w:rsid w:val="00314634"/>
    <w:rsid w:val="0031504C"/>
    <w:rsid w:val="00320C3C"/>
    <w:rsid w:val="0032184B"/>
    <w:rsid w:val="00322AAB"/>
    <w:rsid w:val="00323CE9"/>
    <w:rsid w:val="0032536B"/>
    <w:rsid w:val="0032582D"/>
    <w:rsid w:val="003367D1"/>
    <w:rsid w:val="003413E4"/>
    <w:rsid w:val="003414D4"/>
    <w:rsid w:val="00343DF7"/>
    <w:rsid w:val="00344BBD"/>
    <w:rsid w:val="00347D4D"/>
    <w:rsid w:val="00351846"/>
    <w:rsid w:val="00354367"/>
    <w:rsid w:val="003560A1"/>
    <w:rsid w:val="003567DC"/>
    <w:rsid w:val="00360392"/>
    <w:rsid w:val="0036055F"/>
    <w:rsid w:val="00360ABE"/>
    <w:rsid w:val="00361B39"/>
    <w:rsid w:val="00363FC4"/>
    <w:rsid w:val="00364892"/>
    <w:rsid w:val="003724CD"/>
    <w:rsid w:val="00372BCE"/>
    <w:rsid w:val="00374002"/>
    <w:rsid w:val="00374FC3"/>
    <w:rsid w:val="00375FC7"/>
    <w:rsid w:val="00376FD2"/>
    <w:rsid w:val="00377219"/>
    <w:rsid w:val="00383E9E"/>
    <w:rsid w:val="00386EC2"/>
    <w:rsid w:val="003914A1"/>
    <w:rsid w:val="003915CD"/>
    <w:rsid w:val="0039257D"/>
    <w:rsid w:val="003928FD"/>
    <w:rsid w:val="00393A51"/>
    <w:rsid w:val="00396842"/>
    <w:rsid w:val="003A51FD"/>
    <w:rsid w:val="003A5775"/>
    <w:rsid w:val="003A645A"/>
    <w:rsid w:val="003A7731"/>
    <w:rsid w:val="003B0F7E"/>
    <w:rsid w:val="003B2756"/>
    <w:rsid w:val="003B5554"/>
    <w:rsid w:val="003C0F08"/>
    <w:rsid w:val="003C2969"/>
    <w:rsid w:val="003C49C9"/>
    <w:rsid w:val="003C4FBC"/>
    <w:rsid w:val="003C6CA6"/>
    <w:rsid w:val="003D00C1"/>
    <w:rsid w:val="003D15D0"/>
    <w:rsid w:val="003D1B0E"/>
    <w:rsid w:val="003D33DA"/>
    <w:rsid w:val="003D38F7"/>
    <w:rsid w:val="003D42D0"/>
    <w:rsid w:val="003D5AB0"/>
    <w:rsid w:val="003D6669"/>
    <w:rsid w:val="003D6830"/>
    <w:rsid w:val="003E4BD9"/>
    <w:rsid w:val="003E5628"/>
    <w:rsid w:val="003E5D1E"/>
    <w:rsid w:val="003F0715"/>
    <w:rsid w:val="003F100E"/>
    <w:rsid w:val="003F347A"/>
    <w:rsid w:val="003F4054"/>
    <w:rsid w:val="003F69AF"/>
    <w:rsid w:val="003F69C5"/>
    <w:rsid w:val="00402E39"/>
    <w:rsid w:val="0040464B"/>
    <w:rsid w:val="004047DF"/>
    <w:rsid w:val="00405757"/>
    <w:rsid w:val="004064A6"/>
    <w:rsid w:val="00407E2D"/>
    <w:rsid w:val="00415484"/>
    <w:rsid w:val="0041650C"/>
    <w:rsid w:val="0041758B"/>
    <w:rsid w:val="00417A48"/>
    <w:rsid w:val="00417FB9"/>
    <w:rsid w:val="004255AD"/>
    <w:rsid w:val="00425F5E"/>
    <w:rsid w:val="00427446"/>
    <w:rsid w:val="00427731"/>
    <w:rsid w:val="00431ED9"/>
    <w:rsid w:val="0043213F"/>
    <w:rsid w:val="004345F2"/>
    <w:rsid w:val="004349A8"/>
    <w:rsid w:val="00441E8C"/>
    <w:rsid w:val="00443FC3"/>
    <w:rsid w:val="00444F84"/>
    <w:rsid w:val="00447594"/>
    <w:rsid w:val="00447DAD"/>
    <w:rsid w:val="00451BB3"/>
    <w:rsid w:val="00456B68"/>
    <w:rsid w:val="004606F8"/>
    <w:rsid w:val="004610DD"/>
    <w:rsid w:val="0046531E"/>
    <w:rsid w:val="00465CA9"/>
    <w:rsid w:val="00465D02"/>
    <w:rsid w:val="00466EEB"/>
    <w:rsid w:val="004763CF"/>
    <w:rsid w:val="00476406"/>
    <w:rsid w:val="004801CF"/>
    <w:rsid w:val="00482497"/>
    <w:rsid w:val="0048582D"/>
    <w:rsid w:val="00492902"/>
    <w:rsid w:val="00493A8D"/>
    <w:rsid w:val="00493B06"/>
    <w:rsid w:val="004A0AB7"/>
    <w:rsid w:val="004A0D2F"/>
    <w:rsid w:val="004A2067"/>
    <w:rsid w:val="004A3A17"/>
    <w:rsid w:val="004A4379"/>
    <w:rsid w:val="004A4472"/>
    <w:rsid w:val="004A5F2D"/>
    <w:rsid w:val="004A5F6F"/>
    <w:rsid w:val="004B07B7"/>
    <w:rsid w:val="004B1125"/>
    <w:rsid w:val="004B1E4E"/>
    <w:rsid w:val="004B1F24"/>
    <w:rsid w:val="004B35C3"/>
    <w:rsid w:val="004B4793"/>
    <w:rsid w:val="004B58A0"/>
    <w:rsid w:val="004C0903"/>
    <w:rsid w:val="004C1ADF"/>
    <w:rsid w:val="004C231D"/>
    <w:rsid w:val="004C3351"/>
    <w:rsid w:val="004C6ACC"/>
    <w:rsid w:val="004C6DA4"/>
    <w:rsid w:val="004D0F86"/>
    <w:rsid w:val="004D17EE"/>
    <w:rsid w:val="004D1AF6"/>
    <w:rsid w:val="004D26B3"/>
    <w:rsid w:val="004D3CF4"/>
    <w:rsid w:val="004D517B"/>
    <w:rsid w:val="004D5571"/>
    <w:rsid w:val="004D6126"/>
    <w:rsid w:val="004D6A84"/>
    <w:rsid w:val="004E1384"/>
    <w:rsid w:val="004E1A31"/>
    <w:rsid w:val="004E1AA7"/>
    <w:rsid w:val="004E2DEE"/>
    <w:rsid w:val="004E3130"/>
    <w:rsid w:val="004E3916"/>
    <w:rsid w:val="004E48B8"/>
    <w:rsid w:val="004E56E5"/>
    <w:rsid w:val="004F3674"/>
    <w:rsid w:val="004F52CA"/>
    <w:rsid w:val="004F642E"/>
    <w:rsid w:val="00500E04"/>
    <w:rsid w:val="00501290"/>
    <w:rsid w:val="005013AB"/>
    <w:rsid w:val="005031FC"/>
    <w:rsid w:val="00503B65"/>
    <w:rsid w:val="005055FD"/>
    <w:rsid w:val="005071E6"/>
    <w:rsid w:val="00510BCD"/>
    <w:rsid w:val="00513A0D"/>
    <w:rsid w:val="00513E78"/>
    <w:rsid w:val="00520B4D"/>
    <w:rsid w:val="00522F41"/>
    <w:rsid w:val="005235D3"/>
    <w:rsid w:val="005245B1"/>
    <w:rsid w:val="00526125"/>
    <w:rsid w:val="0052693F"/>
    <w:rsid w:val="005319D7"/>
    <w:rsid w:val="0054180C"/>
    <w:rsid w:val="00544B49"/>
    <w:rsid w:val="005463A9"/>
    <w:rsid w:val="00546F57"/>
    <w:rsid w:val="005474D6"/>
    <w:rsid w:val="0055234E"/>
    <w:rsid w:val="00553A47"/>
    <w:rsid w:val="00561F0E"/>
    <w:rsid w:val="00562BF1"/>
    <w:rsid w:val="0056301D"/>
    <w:rsid w:val="0057174D"/>
    <w:rsid w:val="005756A2"/>
    <w:rsid w:val="005756F9"/>
    <w:rsid w:val="00575B38"/>
    <w:rsid w:val="00576844"/>
    <w:rsid w:val="005773BD"/>
    <w:rsid w:val="00580C5C"/>
    <w:rsid w:val="0058134C"/>
    <w:rsid w:val="00581E78"/>
    <w:rsid w:val="00582ADF"/>
    <w:rsid w:val="0058593F"/>
    <w:rsid w:val="005866D6"/>
    <w:rsid w:val="00590615"/>
    <w:rsid w:val="005945F6"/>
    <w:rsid w:val="00595C07"/>
    <w:rsid w:val="005963C4"/>
    <w:rsid w:val="00596B75"/>
    <w:rsid w:val="005A127F"/>
    <w:rsid w:val="005A560D"/>
    <w:rsid w:val="005B0099"/>
    <w:rsid w:val="005B04D0"/>
    <w:rsid w:val="005B2154"/>
    <w:rsid w:val="005B4EAA"/>
    <w:rsid w:val="005B7AAB"/>
    <w:rsid w:val="005C1FA8"/>
    <w:rsid w:val="005C5138"/>
    <w:rsid w:val="005C5ED9"/>
    <w:rsid w:val="005C6FAE"/>
    <w:rsid w:val="005D141F"/>
    <w:rsid w:val="005D2935"/>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3A73"/>
    <w:rsid w:val="00634C72"/>
    <w:rsid w:val="006352C1"/>
    <w:rsid w:val="00635E6D"/>
    <w:rsid w:val="00636172"/>
    <w:rsid w:val="0064016B"/>
    <w:rsid w:val="00643B5D"/>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5C2E"/>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2E83"/>
    <w:rsid w:val="006D370E"/>
    <w:rsid w:val="006D3B1F"/>
    <w:rsid w:val="006D491B"/>
    <w:rsid w:val="006D4B7E"/>
    <w:rsid w:val="006D4E8D"/>
    <w:rsid w:val="006D51A2"/>
    <w:rsid w:val="006E1DF2"/>
    <w:rsid w:val="006E57E8"/>
    <w:rsid w:val="006F0061"/>
    <w:rsid w:val="006F08AE"/>
    <w:rsid w:val="006F2ACE"/>
    <w:rsid w:val="007000FB"/>
    <w:rsid w:val="007008E0"/>
    <w:rsid w:val="0070140A"/>
    <w:rsid w:val="00705235"/>
    <w:rsid w:val="007107AD"/>
    <w:rsid w:val="00714D5D"/>
    <w:rsid w:val="00722C8F"/>
    <w:rsid w:val="00724A27"/>
    <w:rsid w:val="0073389E"/>
    <w:rsid w:val="007342EA"/>
    <w:rsid w:val="00735001"/>
    <w:rsid w:val="007354F0"/>
    <w:rsid w:val="00742C25"/>
    <w:rsid w:val="00742FBF"/>
    <w:rsid w:val="00743300"/>
    <w:rsid w:val="00745364"/>
    <w:rsid w:val="00747A6F"/>
    <w:rsid w:val="0075093B"/>
    <w:rsid w:val="00751D3F"/>
    <w:rsid w:val="007520AB"/>
    <w:rsid w:val="00752308"/>
    <w:rsid w:val="00752AD4"/>
    <w:rsid w:val="00752B0E"/>
    <w:rsid w:val="0075617D"/>
    <w:rsid w:val="00756B4F"/>
    <w:rsid w:val="007575D6"/>
    <w:rsid w:val="00763043"/>
    <w:rsid w:val="00763B57"/>
    <w:rsid w:val="00766C21"/>
    <w:rsid w:val="0077010C"/>
    <w:rsid w:val="00770175"/>
    <w:rsid w:val="00770452"/>
    <w:rsid w:val="00781BAD"/>
    <w:rsid w:val="007854CF"/>
    <w:rsid w:val="00787B82"/>
    <w:rsid w:val="007900D4"/>
    <w:rsid w:val="00796456"/>
    <w:rsid w:val="00796F08"/>
    <w:rsid w:val="00797CCD"/>
    <w:rsid w:val="007A0FA3"/>
    <w:rsid w:val="007A1A4C"/>
    <w:rsid w:val="007A4181"/>
    <w:rsid w:val="007A46A0"/>
    <w:rsid w:val="007A7CF3"/>
    <w:rsid w:val="007A7EA7"/>
    <w:rsid w:val="007B21DD"/>
    <w:rsid w:val="007B430A"/>
    <w:rsid w:val="007B4A31"/>
    <w:rsid w:val="007B5630"/>
    <w:rsid w:val="007C0BAC"/>
    <w:rsid w:val="007C679F"/>
    <w:rsid w:val="007D1E30"/>
    <w:rsid w:val="007D2137"/>
    <w:rsid w:val="007D6606"/>
    <w:rsid w:val="007D67D1"/>
    <w:rsid w:val="007D682B"/>
    <w:rsid w:val="007E2A88"/>
    <w:rsid w:val="007E5C59"/>
    <w:rsid w:val="007E6CAF"/>
    <w:rsid w:val="007E73C3"/>
    <w:rsid w:val="007F378A"/>
    <w:rsid w:val="008022F7"/>
    <w:rsid w:val="008046A7"/>
    <w:rsid w:val="00805E1E"/>
    <w:rsid w:val="0080763A"/>
    <w:rsid w:val="008101A5"/>
    <w:rsid w:val="00813015"/>
    <w:rsid w:val="0082072C"/>
    <w:rsid w:val="008211B6"/>
    <w:rsid w:val="008215F2"/>
    <w:rsid w:val="0082561C"/>
    <w:rsid w:val="00831A19"/>
    <w:rsid w:val="00831EDA"/>
    <w:rsid w:val="00832B4A"/>
    <w:rsid w:val="008363BD"/>
    <w:rsid w:val="00836A1D"/>
    <w:rsid w:val="00837349"/>
    <w:rsid w:val="008433EA"/>
    <w:rsid w:val="00844572"/>
    <w:rsid w:val="008461EA"/>
    <w:rsid w:val="00846E3D"/>
    <w:rsid w:val="00847619"/>
    <w:rsid w:val="00847FED"/>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3CE7"/>
    <w:rsid w:val="00895B38"/>
    <w:rsid w:val="008979D0"/>
    <w:rsid w:val="008A3128"/>
    <w:rsid w:val="008A53F1"/>
    <w:rsid w:val="008B629C"/>
    <w:rsid w:val="008B6C4F"/>
    <w:rsid w:val="008B7171"/>
    <w:rsid w:val="008C0A8C"/>
    <w:rsid w:val="008C1CCC"/>
    <w:rsid w:val="008C4B08"/>
    <w:rsid w:val="008C4DAE"/>
    <w:rsid w:val="008C6C90"/>
    <w:rsid w:val="008C6CD3"/>
    <w:rsid w:val="008D25CC"/>
    <w:rsid w:val="008D3E8B"/>
    <w:rsid w:val="008D409A"/>
    <w:rsid w:val="008D70A6"/>
    <w:rsid w:val="008E091B"/>
    <w:rsid w:val="008E0C3B"/>
    <w:rsid w:val="008E121E"/>
    <w:rsid w:val="008E31F7"/>
    <w:rsid w:val="008F6929"/>
    <w:rsid w:val="00900298"/>
    <w:rsid w:val="00904091"/>
    <w:rsid w:val="009044B7"/>
    <w:rsid w:val="0090566C"/>
    <w:rsid w:val="00905CA8"/>
    <w:rsid w:val="00905E53"/>
    <w:rsid w:val="00906E26"/>
    <w:rsid w:val="00912360"/>
    <w:rsid w:val="00914472"/>
    <w:rsid w:val="00917AE9"/>
    <w:rsid w:val="0092041D"/>
    <w:rsid w:val="00921DA9"/>
    <w:rsid w:val="00922734"/>
    <w:rsid w:val="00923457"/>
    <w:rsid w:val="009262AC"/>
    <w:rsid w:val="009341CC"/>
    <w:rsid w:val="0093663B"/>
    <w:rsid w:val="0094137F"/>
    <w:rsid w:val="00941BFF"/>
    <w:rsid w:val="00941E0A"/>
    <w:rsid w:val="00942B3C"/>
    <w:rsid w:val="00945A38"/>
    <w:rsid w:val="00947903"/>
    <w:rsid w:val="00950A70"/>
    <w:rsid w:val="00951681"/>
    <w:rsid w:val="00951BC4"/>
    <w:rsid w:val="009603C9"/>
    <w:rsid w:val="0096087B"/>
    <w:rsid w:val="00960B87"/>
    <w:rsid w:val="00962AAD"/>
    <w:rsid w:val="009635AB"/>
    <w:rsid w:val="00964ECF"/>
    <w:rsid w:val="009655DA"/>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003"/>
    <w:rsid w:val="009A3BBF"/>
    <w:rsid w:val="009A3D45"/>
    <w:rsid w:val="009A40FB"/>
    <w:rsid w:val="009A68DE"/>
    <w:rsid w:val="009A797D"/>
    <w:rsid w:val="009A7D1A"/>
    <w:rsid w:val="009B3268"/>
    <w:rsid w:val="009B5FBB"/>
    <w:rsid w:val="009B64C4"/>
    <w:rsid w:val="009D0659"/>
    <w:rsid w:val="009D119A"/>
    <w:rsid w:val="009D1316"/>
    <w:rsid w:val="009E047A"/>
    <w:rsid w:val="009E0743"/>
    <w:rsid w:val="009E0762"/>
    <w:rsid w:val="009E0D5F"/>
    <w:rsid w:val="009E16BB"/>
    <w:rsid w:val="009E3575"/>
    <w:rsid w:val="009E3DB9"/>
    <w:rsid w:val="009E558C"/>
    <w:rsid w:val="009E5C0B"/>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0CBF"/>
    <w:rsid w:val="00AB6557"/>
    <w:rsid w:val="00AC0550"/>
    <w:rsid w:val="00AC3607"/>
    <w:rsid w:val="00AC54FF"/>
    <w:rsid w:val="00AC7B96"/>
    <w:rsid w:val="00AD066A"/>
    <w:rsid w:val="00AD069F"/>
    <w:rsid w:val="00AD6C0F"/>
    <w:rsid w:val="00AE3450"/>
    <w:rsid w:val="00AE5055"/>
    <w:rsid w:val="00AE5BB7"/>
    <w:rsid w:val="00AE5EE8"/>
    <w:rsid w:val="00AE699D"/>
    <w:rsid w:val="00AE6CA0"/>
    <w:rsid w:val="00AF0886"/>
    <w:rsid w:val="00AF1477"/>
    <w:rsid w:val="00AF33FC"/>
    <w:rsid w:val="00AF4C7A"/>
    <w:rsid w:val="00AF5D5B"/>
    <w:rsid w:val="00AF6B9A"/>
    <w:rsid w:val="00B00AA3"/>
    <w:rsid w:val="00B026D9"/>
    <w:rsid w:val="00B0365E"/>
    <w:rsid w:val="00B05442"/>
    <w:rsid w:val="00B072ED"/>
    <w:rsid w:val="00B10BF4"/>
    <w:rsid w:val="00B1170E"/>
    <w:rsid w:val="00B11A62"/>
    <w:rsid w:val="00B138CD"/>
    <w:rsid w:val="00B14A97"/>
    <w:rsid w:val="00B14F7C"/>
    <w:rsid w:val="00B15030"/>
    <w:rsid w:val="00B150FA"/>
    <w:rsid w:val="00B20D8C"/>
    <w:rsid w:val="00B20EE3"/>
    <w:rsid w:val="00B21747"/>
    <w:rsid w:val="00B21B7C"/>
    <w:rsid w:val="00B22AC5"/>
    <w:rsid w:val="00B24C6D"/>
    <w:rsid w:val="00B273CB"/>
    <w:rsid w:val="00B323F0"/>
    <w:rsid w:val="00B34146"/>
    <w:rsid w:val="00B3465A"/>
    <w:rsid w:val="00B35A50"/>
    <w:rsid w:val="00B37E41"/>
    <w:rsid w:val="00B37FD4"/>
    <w:rsid w:val="00B43E1A"/>
    <w:rsid w:val="00B47709"/>
    <w:rsid w:val="00B50794"/>
    <w:rsid w:val="00B511CB"/>
    <w:rsid w:val="00B51738"/>
    <w:rsid w:val="00B51E90"/>
    <w:rsid w:val="00B52B10"/>
    <w:rsid w:val="00B57380"/>
    <w:rsid w:val="00B63EB8"/>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230"/>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12E9"/>
    <w:rsid w:val="00BF2F4A"/>
    <w:rsid w:val="00BF3093"/>
    <w:rsid w:val="00BF3C89"/>
    <w:rsid w:val="00BF46FE"/>
    <w:rsid w:val="00C01B58"/>
    <w:rsid w:val="00C024AF"/>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4EA"/>
    <w:rsid w:val="00C27855"/>
    <w:rsid w:val="00C34A93"/>
    <w:rsid w:val="00C374CC"/>
    <w:rsid w:val="00C379FE"/>
    <w:rsid w:val="00C37CD0"/>
    <w:rsid w:val="00C43CFE"/>
    <w:rsid w:val="00C46557"/>
    <w:rsid w:val="00C46DC6"/>
    <w:rsid w:val="00C4789A"/>
    <w:rsid w:val="00C5077F"/>
    <w:rsid w:val="00C5093C"/>
    <w:rsid w:val="00C52731"/>
    <w:rsid w:val="00C53EBD"/>
    <w:rsid w:val="00C55401"/>
    <w:rsid w:val="00C60CCE"/>
    <w:rsid w:val="00C633D4"/>
    <w:rsid w:val="00C669E5"/>
    <w:rsid w:val="00C679CE"/>
    <w:rsid w:val="00C704C9"/>
    <w:rsid w:val="00C71914"/>
    <w:rsid w:val="00C75680"/>
    <w:rsid w:val="00C7784C"/>
    <w:rsid w:val="00C80F04"/>
    <w:rsid w:val="00C81090"/>
    <w:rsid w:val="00C81C16"/>
    <w:rsid w:val="00C821AB"/>
    <w:rsid w:val="00C86564"/>
    <w:rsid w:val="00C90531"/>
    <w:rsid w:val="00C93740"/>
    <w:rsid w:val="00CA06B1"/>
    <w:rsid w:val="00CA6B55"/>
    <w:rsid w:val="00CB75FF"/>
    <w:rsid w:val="00CB7B6B"/>
    <w:rsid w:val="00CC0060"/>
    <w:rsid w:val="00CC0BE8"/>
    <w:rsid w:val="00CC147D"/>
    <w:rsid w:val="00CC1966"/>
    <w:rsid w:val="00CC3E11"/>
    <w:rsid w:val="00CC6237"/>
    <w:rsid w:val="00CC6700"/>
    <w:rsid w:val="00CC6D89"/>
    <w:rsid w:val="00CC6F63"/>
    <w:rsid w:val="00CD1A49"/>
    <w:rsid w:val="00CD20F8"/>
    <w:rsid w:val="00CD2857"/>
    <w:rsid w:val="00CD3316"/>
    <w:rsid w:val="00CD34E9"/>
    <w:rsid w:val="00CD3706"/>
    <w:rsid w:val="00CE116F"/>
    <w:rsid w:val="00CE1403"/>
    <w:rsid w:val="00CE2FD5"/>
    <w:rsid w:val="00CF1459"/>
    <w:rsid w:val="00CF1A8C"/>
    <w:rsid w:val="00CF35E9"/>
    <w:rsid w:val="00CF43F2"/>
    <w:rsid w:val="00CF4B8D"/>
    <w:rsid w:val="00CF543F"/>
    <w:rsid w:val="00D02312"/>
    <w:rsid w:val="00D0525D"/>
    <w:rsid w:val="00D0622E"/>
    <w:rsid w:val="00D0637B"/>
    <w:rsid w:val="00D06CF4"/>
    <w:rsid w:val="00D1088E"/>
    <w:rsid w:val="00D12BD9"/>
    <w:rsid w:val="00D162BC"/>
    <w:rsid w:val="00D167BB"/>
    <w:rsid w:val="00D16D6E"/>
    <w:rsid w:val="00D16FA1"/>
    <w:rsid w:val="00D205BA"/>
    <w:rsid w:val="00D22216"/>
    <w:rsid w:val="00D23BA1"/>
    <w:rsid w:val="00D25F59"/>
    <w:rsid w:val="00D266C2"/>
    <w:rsid w:val="00D3255C"/>
    <w:rsid w:val="00D3420E"/>
    <w:rsid w:val="00D3478E"/>
    <w:rsid w:val="00D34D43"/>
    <w:rsid w:val="00D35115"/>
    <w:rsid w:val="00D351C1"/>
    <w:rsid w:val="00D356CF"/>
    <w:rsid w:val="00D36219"/>
    <w:rsid w:val="00D4206A"/>
    <w:rsid w:val="00D42114"/>
    <w:rsid w:val="00D44799"/>
    <w:rsid w:val="00D450D4"/>
    <w:rsid w:val="00D45D3D"/>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6E04"/>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3AD"/>
    <w:rsid w:val="00E51C4C"/>
    <w:rsid w:val="00E52101"/>
    <w:rsid w:val="00E52779"/>
    <w:rsid w:val="00E53C53"/>
    <w:rsid w:val="00E553D5"/>
    <w:rsid w:val="00E56ADF"/>
    <w:rsid w:val="00E626F1"/>
    <w:rsid w:val="00E641A6"/>
    <w:rsid w:val="00E65624"/>
    <w:rsid w:val="00E665CC"/>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5A3A"/>
    <w:rsid w:val="00EC7EEB"/>
    <w:rsid w:val="00EC7FD4"/>
    <w:rsid w:val="00ED1EC3"/>
    <w:rsid w:val="00ED2F45"/>
    <w:rsid w:val="00ED4012"/>
    <w:rsid w:val="00ED55A2"/>
    <w:rsid w:val="00EE010A"/>
    <w:rsid w:val="00EE0A49"/>
    <w:rsid w:val="00EE2AC2"/>
    <w:rsid w:val="00EE74E6"/>
    <w:rsid w:val="00EF0A65"/>
    <w:rsid w:val="00EF12CB"/>
    <w:rsid w:val="00EF331C"/>
    <w:rsid w:val="00EF3332"/>
    <w:rsid w:val="00EF41AC"/>
    <w:rsid w:val="00EF4F0C"/>
    <w:rsid w:val="00F0033E"/>
    <w:rsid w:val="00F024A0"/>
    <w:rsid w:val="00F02A7A"/>
    <w:rsid w:val="00F03624"/>
    <w:rsid w:val="00F03E4B"/>
    <w:rsid w:val="00F06057"/>
    <w:rsid w:val="00F136DC"/>
    <w:rsid w:val="00F25D20"/>
    <w:rsid w:val="00F26B72"/>
    <w:rsid w:val="00F275A1"/>
    <w:rsid w:val="00F3014C"/>
    <w:rsid w:val="00F353CE"/>
    <w:rsid w:val="00F3651B"/>
    <w:rsid w:val="00F37163"/>
    <w:rsid w:val="00F435F1"/>
    <w:rsid w:val="00F45F9D"/>
    <w:rsid w:val="00F47958"/>
    <w:rsid w:val="00F51224"/>
    <w:rsid w:val="00F53019"/>
    <w:rsid w:val="00F56248"/>
    <w:rsid w:val="00F57645"/>
    <w:rsid w:val="00F61397"/>
    <w:rsid w:val="00F61F43"/>
    <w:rsid w:val="00F65411"/>
    <w:rsid w:val="00F66425"/>
    <w:rsid w:val="00F66C87"/>
    <w:rsid w:val="00F710FC"/>
    <w:rsid w:val="00F7161F"/>
    <w:rsid w:val="00F72AEA"/>
    <w:rsid w:val="00F73E58"/>
    <w:rsid w:val="00F7406E"/>
    <w:rsid w:val="00F74249"/>
    <w:rsid w:val="00F75473"/>
    <w:rsid w:val="00F838BA"/>
    <w:rsid w:val="00F839BB"/>
    <w:rsid w:val="00F84751"/>
    <w:rsid w:val="00F85075"/>
    <w:rsid w:val="00F85AD4"/>
    <w:rsid w:val="00F917AE"/>
    <w:rsid w:val="00F93E48"/>
    <w:rsid w:val="00F95D50"/>
    <w:rsid w:val="00F96AA9"/>
    <w:rsid w:val="00FA1142"/>
    <w:rsid w:val="00FA2073"/>
    <w:rsid w:val="00FA2A0D"/>
    <w:rsid w:val="00FA45BD"/>
    <w:rsid w:val="00FA45C2"/>
    <w:rsid w:val="00FA521B"/>
    <w:rsid w:val="00FA7E0A"/>
    <w:rsid w:val="00FB0B72"/>
    <w:rsid w:val="00FB0CB0"/>
    <w:rsid w:val="00FB1797"/>
    <w:rsid w:val="00FC256C"/>
    <w:rsid w:val="00FC789F"/>
    <w:rsid w:val="00FC7E63"/>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 w:type="paragraph" w:styleId="FootnoteText">
    <w:name w:val="footnote text"/>
    <w:basedOn w:val="Normal"/>
    <w:link w:val="FootnoteTextChar"/>
    <w:rsid w:val="005C1FA8"/>
    <w:rPr>
      <w:sz w:val="20"/>
      <w:szCs w:val="20"/>
    </w:rPr>
  </w:style>
  <w:style w:type="character" w:customStyle="1" w:styleId="FootnoteTextChar">
    <w:name w:val="Footnote Text Char"/>
    <w:basedOn w:val="DefaultParagraphFont"/>
    <w:link w:val="FootnoteText"/>
    <w:rsid w:val="005C1FA8"/>
  </w:style>
  <w:style w:type="character" w:styleId="FootnoteReference">
    <w:name w:val="footnote reference"/>
    <w:basedOn w:val="DefaultParagraphFont"/>
    <w:rsid w:val="005C1FA8"/>
    <w:rPr>
      <w:vertAlign w:val="superscript"/>
    </w:rPr>
  </w:style>
  <w:style w:type="paragraph" w:styleId="BalloonText">
    <w:name w:val="Balloon Text"/>
    <w:basedOn w:val="Normal"/>
    <w:link w:val="BalloonTextChar"/>
    <w:rsid w:val="002D3700"/>
    <w:rPr>
      <w:rFonts w:ascii="Tahoma" w:hAnsi="Tahoma" w:cs="Tahoma"/>
      <w:sz w:val="16"/>
      <w:szCs w:val="16"/>
    </w:rPr>
  </w:style>
  <w:style w:type="character" w:customStyle="1" w:styleId="BalloonTextChar">
    <w:name w:val="Balloon Text Char"/>
    <w:basedOn w:val="DefaultParagraphFont"/>
    <w:link w:val="BalloonText"/>
    <w:rsid w:val="002D3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FCF"/>
    <w:pPr>
      <w:ind w:left="720"/>
      <w:contextualSpacing/>
    </w:pPr>
  </w:style>
  <w:style w:type="paragraph" w:styleId="Header">
    <w:name w:val="header"/>
    <w:basedOn w:val="Normal"/>
    <w:link w:val="HeaderChar"/>
    <w:rsid w:val="00D34D43"/>
    <w:pPr>
      <w:tabs>
        <w:tab w:val="center" w:pos="4680"/>
        <w:tab w:val="right" w:pos="9360"/>
      </w:tabs>
    </w:pPr>
  </w:style>
  <w:style w:type="character" w:customStyle="1" w:styleId="HeaderChar">
    <w:name w:val="Header Char"/>
    <w:basedOn w:val="DefaultParagraphFont"/>
    <w:link w:val="Header"/>
    <w:rsid w:val="00D34D43"/>
    <w:rPr>
      <w:sz w:val="24"/>
      <w:szCs w:val="24"/>
    </w:rPr>
  </w:style>
  <w:style w:type="paragraph" w:styleId="Footer">
    <w:name w:val="footer"/>
    <w:basedOn w:val="Normal"/>
    <w:link w:val="FooterChar"/>
    <w:uiPriority w:val="99"/>
    <w:rsid w:val="00D34D43"/>
    <w:pPr>
      <w:tabs>
        <w:tab w:val="center" w:pos="4680"/>
        <w:tab w:val="right" w:pos="9360"/>
      </w:tabs>
    </w:pPr>
  </w:style>
  <w:style w:type="character" w:customStyle="1" w:styleId="FooterChar">
    <w:name w:val="Footer Char"/>
    <w:basedOn w:val="DefaultParagraphFont"/>
    <w:link w:val="Footer"/>
    <w:uiPriority w:val="99"/>
    <w:rsid w:val="00D34D43"/>
    <w:rPr>
      <w:sz w:val="24"/>
      <w:szCs w:val="24"/>
    </w:rPr>
  </w:style>
  <w:style w:type="paragraph" w:styleId="FootnoteText">
    <w:name w:val="footnote text"/>
    <w:basedOn w:val="Normal"/>
    <w:link w:val="FootnoteTextChar"/>
    <w:rsid w:val="005C1FA8"/>
    <w:rPr>
      <w:sz w:val="20"/>
      <w:szCs w:val="20"/>
    </w:rPr>
  </w:style>
  <w:style w:type="character" w:customStyle="1" w:styleId="FootnoteTextChar">
    <w:name w:val="Footnote Text Char"/>
    <w:basedOn w:val="DefaultParagraphFont"/>
    <w:link w:val="FootnoteText"/>
    <w:rsid w:val="005C1FA8"/>
  </w:style>
  <w:style w:type="character" w:styleId="FootnoteReference">
    <w:name w:val="footnote reference"/>
    <w:basedOn w:val="DefaultParagraphFont"/>
    <w:rsid w:val="005C1FA8"/>
    <w:rPr>
      <w:vertAlign w:val="superscript"/>
    </w:rPr>
  </w:style>
  <w:style w:type="paragraph" w:styleId="BalloonText">
    <w:name w:val="Balloon Text"/>
    <w:basedOn w:val="Normal"/>
    <w:link w:val="BalloonTextChar"/>
    <w:rsid w:val="002D3700"/>
    <w:rPr>
      <w:rFonts w:ascii="Tahoma" w:hAnsi="Tahoma" w:cs="Tahoma"/>
      <w:sz w:val="16"/>
      <w:szCs w:val="16"/>
    </w:rPr>
  </w:style>
  <w:style w:type="character" w:customStyle="1" w:styleId="BalloonTextChar">
    <w:name w:val="Balloon Text Char"/>
    <w:basedOn w:val="DefaultParagraphFont"/>
    <w:link w:val="BalloonText"/>
    <w:rsid w:val="002D3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66A9-E9B2-454F-A097-425F8E14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sandra elizabeth oldynski</cp:lastModifiedBy>
  <cp:revision>2</cp:revision>
  <cp:lastPrinted>2014-03-11T15:48:00Z</cp:lastPrinted>
  <dcterms:created xsi:type="dcterms:W3CDTF">2014-03-11T15:50:00Z</dcterms:created>
  <dcterms:modified xsi:type="dcterms:W3CDTF">2014-03-11T15:50:00Z</dcterms:modified>
</cp:coreProperties>
</file>