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C2" w:rsidRDefault="007767C2" w:rsidP="007767C2">
      <w:pPr>
        <w:jc w:val="center"/>
        <w:rPr>
          <w:b/>
        </w:rPr>
      </w:pPr>
      <w:r>
        <w:rPr>
          <w:b/>
        </w:rPr>
        <w:t>BEFORE THE</w:t>
      </w:r>
    </w:p>
    <w:p w:rsidR="007767C2" w:rsidRDefault="007767C2" w:rsidP="007767C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767C2" w:rsidRDefault="007767C2" w:rsidP="007767C2"/>
    <w:p w:rsidR="007767C2" w:rsidRDefault="007767C2" w:rsidP="007767C2"/>
    <w:p w:rsidR="007767C2" w:rsidRDefault="007767C2" w:rsidP="007767C2"/>
    <w:p w:rsidR="007767C2" w:rsidRDefault="007767C2" w:rsidP="007767C2">
      <w:r>
        <w:t xml:space="preserve">Roderick Hairston 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7767C2" w:rsidRDefault="007767C2" w:rsidP="00776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7767C2" w:rsidRDefault="007767C2" w:rsidP="007767C2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  <w:t>F-2013-2383061</w:t>
      </w:r>
    </w:p>
    <w:p w:rsidR="007767C2" w:rsidRDefault="007767C2" w:rsidP="007767C2">
      <w:pPr>
        <w:ind w:left="5040"/>
      </w:pPr>
      <w:r>
        <w:t>:</w:t>
      </w:r>
    </w:p>
    <w:p w:rsidR="007767C2" w:rsidRDefault="007767C2" w:rsidP="007767C2">
      <w:r>
        <w:t>Duquesne Light Company</w:t>
      </w:r>
      <w:r>
        <w:tab/>
        <w:t xml:space="preserve"> </w:t>
      </w:r>
      <w:r>
        <w:tab/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>This Initial Decision dismisse</w:t>
      </w:r>
      <w:r w:rsidR="001F0CEB">
        <w:t>s</w:t>
      </w:r>
      <w:r>
        <w:t xml:space="preserve"> the formal complaint filed by </w:t>
      </w:r>
      <w:r w:rsidR="00EB73EC">
        <w:t xml:space="preserve">Roderick Hairston </w:t>
      </w:r>
      <w:r w:rsidR="003168E5">
        <w:t>(</w:t>
      </w:r>
      <w:r>
        <w:t>Complainant</w:t>
      </w:r>
      <w:r w:rsidR="00EB73EC">
        <w:t>) because he</w:t>
      </w:r>
      <w:r>
        <w:t xml:space="preserve"> failed to appear for the initial hearing to prosecute </w:t>
      </w:r>
      <w:r w:rsidR="00EB73EC">
        <w:t>his</w:t>
      </w:r>
      <w:r>
        <w:t xml:space="preserve"> complaint</w:t>
      </w:r>
      <w:r w:rsidR="00722617">
        <w:t xml:space="preserve"> and thus failed to satisfy </w:t>
      </w:r>
      <w:r w:rsidR="00EB73EC">
        <w:t>his</w:t>
      </w:r>
      <w:r w:rsidR="00722617">
        <w:t xml:space="preserve"> burden of proof</w:t>
      </w:r>
      <w:r>
        <w:t xml:space="preserve">.  </w:t>
      </w:r>
      <w:r>
        <w:rPr>
          <w:i/>
        </w:rPr>
        <w:t>See</w:t>
      </w:r>
      <w:r>
        <w:t xml:space="preserve"> </w:t>
      </w:r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E40E7D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AD6DCE">
        <w:t>September 6</w:t>
      </w:r>
      <w:r w:rsidR="003168E5">
        <w:t xml:space="preserve">, 2013,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526FB0">
        <w:t xml:space="preserve">Duquesne Light Company </w:t>
      </w:r>
      <w:r>
        <w:t>(Respondent</w:t>
      </w:r>
      <w:r w:rsidR="003168E5">
        <w:t xml:space="preserve"> or </w:t>
      </w:r>
      <w:r w:rsidR="00526FB0">
        <w:t>Duquesne Light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proofErr w:type="gramStart"/>
      <w:r w:rsidR="00AD6DCE">
        <w:t>F-2013-2383061</w:t>
      </w:r>
      <w:r w:rsidR="00526FB0">
        <w:t>.</w:t>
      </w:r>
      <w:proofErr w:type="gramEnd"/>
      <w:r w:rsidR="00526FB0">
        <w:t xml:space="preserve">  </w:t>
      </w:r>
      <w:r w:rsidR="00E24346">
        <w:t xml:space="preserve">Complainant timely appealed a decision made by the Commission’s Bureau of Consumer Services (BCS) on his informal complaint at BCS Case No. 3137532.  In his formal complaint, </w:t>
      </w:r>
      <w:r w:rsidR="00AD6DCE">
        <w:t>Complainant alleged he was billed for electric utility service provided by Respondent to an address where he never resid</w:t>
      </w:r>
      <w:r w:rsidR="00FC5A62">
        <w:t xml:space="preserve">ed.  As relief, Complainant requests that the bill be paid off so that he can pay his deposit for his new residence and obtain electric utility service there.  </w:t>
      </w:r>
      <w:r w:rsidR="001F256D">
        <w:t xml:space="preserve">On </w:t>
      </w:r>
      <w:r w:rsidR="00A84E44">
        <w:t>October 7,</w:t>
      </w:r>
      <w:r w:rsidR="00732090">
        <w:t xml:space="preserve"> 2013, Duquesne Light</w:t>
      </w:r>
      <w:r w:rsidR="00AF0483">
        <w:t xml:space="preserve"> </w:t>
      </w:r>
      <w:r w:rsidR="001F256D">
        <w:t>filed its Answer</w:t>
      </w:r>
      <w:r w:rsidR="00732090">
        <w:t>.  Duquesne Light request</w:t>
      </w:r>
      <w:r w:rsidR="00722617">
        <w:t>ed</w:t>
      </w:r>
      <w:r w:rsidR="00732090">
        <w:t xml:space="preserve"> that the relief sought by Complainant be denied and that the complaint be dismissed with prejudice.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On </w:t>
      </w:r>
      <w:r w:rsidR="00E24346">
        <w:t>October 25</w:t>
      </w:r>
      <w:r w:rsidR="00A84E44">
        <w:t xml:space="preserve">, 2013, </w:t>
      </w:r>
      <w:r w:rsidR="00B675AA">
        <w:t xml:space="preserve">a Hearing Notice was sent to </w:t>
      </w:r>
      <w:r w:rsidR="00E24346">
        <w:t>Complainant</w:t>
      </w:r>
      <w:r>
        <w:t xml:space="preserve"> and Duquesne Light </w:t>
      </w:r>
      <w:r w:rsidR="00B675AA">
        <w:t>(“the parties”) scheduling an initial hearing for</w:t>
      </w:r>
      <w:r w:rsidR="008D71D2">
        <w:t xml:space="preserve"> </w:t>
      </w:r>
      <w:r w:rsidR="00E24346">
        <w:t xml:space="preserve">Friday, December 6, 2013, </w:t>
      </w:r>
      <w:r w:rsidR="00B675AA">
        <w:t xml:space="preserve">at 10:00 a.m.  </w:t>
      </w:r>
      <w:r w:rsidR="00E40E7D">
        <w:t xml:space="preserve">A Prehearing Order was issued by me on </w:t>
      </w:r>
      <w:r w:rsidR="00E24346">
        <w:t>October 25</w:t>
      </w:r>
      <w:r w:rsidR="008D71D2">
        <w:t>, 2013</w:t>
      </w:r>
      <w:r>
        <w:t>,</w:t>
      </w:r>
      <w:r w:rsidR="00E40E7D">
        <w:t xml:space="preserve"> </w:t>
      </w:r>
      <w:r w:rsidR="00E569F5">
        <w:t xml:space="preserve">setting 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E24346">
        <w:t>3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13605" w:rsidRDefault="00553AD1" w:rsidP="007E77FB">
      <w:pPr>
        <w:tabs>
          <w:tab w:val="left" w:pos="2160"/>
        </w:tabs>
        <w:spacing w:line="360" w:lineRule="auto"/>
        <w:ind w:firstLine="1440"/>
      </w:pPr>
      <w:r>
        <w:t xml:space="preserve">The initial hearing convened on </w:t>
      </w:r>
      <w:r w:rsidR="00E24346">
        <w:t>December 6, 2013</w:t>
      </w:r>
      <w:r w:rsidR="00AF0483">
        <w:t>,</w:t>
      </w:r>
      <w:r>
        <w:t xml:space="preserve"> as scheduled.  </w:t>
      </w:r>
      <w:r w:rsidR="00722617">
        <w:t>Complainant w</w:t>
      </w:r>
      <w:r w:rsidR="00E24346">
        <w:t>as</w:t>
      </w:r>
      <w:r w:rsidR="00722617">
        <w:t xml:space="preserve"> not present in the hearing room at 10:00 a.m.  A brief recess of</w:t>
      </w:r>
      <w:r w:rsidR="00E24346">
        <w:t xml:space="preserve"> the hearing was taken at 10:02</w:t>
      </w:r>
      <w:r w:rsidR="00722617">
        <w:t xml:space="preserve"> a.m.  The hearing reconvened at 10:2</w:t>
      </w:r>
      <w:r w:rsidR="00E24346">
        <w:t>1</w:t>
      </w:r>
      <w:r w:rsidR="00722617">
        <w:t xml:space="preserve"> a.m.  Complainant w</w:t>
      </w:r>
      <w:r w:rsidR="00E24346">
        <w:t>as</w:t>
      </w:r>
      <w:r w:rsidR="00722617">
        <w:t xml:space="preserve"> </w:t>
      </w:r>
      <w:r w:rsidR="00F350FE">
        <w:t xml:space="preserve">not present for the hearing and no representative appeared on </w:t>
      </w:r>
      <w:r w:rsidR="00E24346">
        <w:t>his b</w:t>
      </w:r>
      <w:r w:rsidR="00F350FE">
        <w:t>ehalf</w:t>
      </w:r>
      <w:r w:rsidR="00941FB5">
        <w:t>.</w:t>
      </w:r>
      <w:r w:rsidR="00F350FE">
        <w:t xml:space="preserve">  </w:t>
      </w:r>
      <w:r>
        <w:t xml:space="preserve">Counsel for </w:t>
      </w:r>
      <w:r w:rsidR="00E92B97">
        <w:t>Duquesne Light, Jennifer</w:t>
      </w:r>
      <w:r w:rsidR="00F13605">
        <w:t> </w:t>
      </w:r>
      <w:r w:rsidR="00E92B97">
        <w:t xml:space="preserve">L. </w:t>
      </w:r>
    </w:p>
    <w:p w:rsidR="00553AD1" w:rsidRDefault="00E92B97" w:rsidP="00F13605">
      <w:pPr>
        <w:tabs>
          <w:tab w:val="left" w:pos="2160"/>
        </w:tabs>
        <w:spacing w:line="360" w:lineRule="auto"/>
      </w:pPr>
      <w:r>
        <w:t xml:space="preserve">Allison, Esquire, </w:t>
      </w:r>
      <w:r w:rsidR="00F350FE">
        <w:t>was present</w:t>
      </w:r>
      <w:r w:rsidR="00722617">
        <w:t xml:space="preserve"> 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Duquesne Light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D43BDE">
        <w:t xml:space="preserve">The record consists of a </w:t>
      </w:r>
      <w:r w:rsidR="00E24346">
        <w:t>7</w:t>
      </w:r>
      <w:r w:rsidR="00F45205">
        <w:t xml:space="preserve">-page hearing transcript of the initial hearing held on </w:t>
      </w:r>
      <w:r w:rsidR="00E24346">
        <w:t>December 6, 2013.</w:t>
      </w:r>
      <w:r w:rsidR="00722617">
        <w:t xml:space="preserve">  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E24346">
        <w:t>December 19</w:t>
      </w:r>
      <w:r w:rsidR="00722617">
        <w:t xml:space="preserve">, 2013.  </w:t>
      </w:r>
      <w:r w:rsidR="00553AD1">
        <w:t xml:space="preserve">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722617">
        <w:t xml:space="preserve">September </w:t>
      </w:r>
      <w:r w:rsidR="0035455F">
        <w:t>6</w:t>
      </w:r>
      <w:r w:rsidR="00722617">
        <w:t xml:space="preserve">, 2013, </w:t>
      </w:r>
      <w:r w:rsidR="007C7A8B">
        <w:t>Complainant filed a formal complaint against</w:t>
      </w:r>
      <w:r w:rsidR="00E40B8B">
        <w:t xml:space="preserve"> </w:t>
      </w:r>
      <w:r w:rsidR="005A347B">
        <w:t>Duquesne Light.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 xml:space="preserve">A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722617">
        <w:t xml:space="preserve">October </w:t>
      </w:r>
      <w:r w:rsidR="0035455F">
        <w:t>25</w:t>
      </w:r>
      <w:r w:rsidR="00722617">
        <w:t xml:space="preserve">, </w:t>
      </w:r>
      <w:r w:rsidR="005A347B">
        <w:t xml:space="preserve">2013, </w:t>
      </w:r>
      <w:r w:rsidR="007143CB">
        <w:t xml:space="preserve">scheduling the initial hearing for </w:t>
      </w:r>
      <w:r w:rsidR="0035455F">
        <w:t xml:space="preserve">Friday, December 6, 2013, </w:t>
      </w:r>
      <w:r w:rsidR="007143CB">
        <w:t xml:space="preserve">at 10:00 a.m.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722617">
        <w:t xml:space="preserve">October </w:t>
      </w:r>
      <w:r w:rsidR="0035455F">
        <w:t>25</w:t>
      </w:r>
      <w:r w:rsidR="00722617">
        <w:t>, 2013.  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3.</w:t>
      </w:r>
      <w:r>
        <w:tab/>
        <w:t>Complainant</w:t>
      </w:r>
      <w:r w:rsidR="00722617">
        <w:t xml:space="preserve"> w</w:t>
      </w:r>
      <w:r w:rsidR="005A1189">
        <w:t>as</w:t>
      </w:r>
      <w:r>
        <w:t xml:space="preserve"> not present for the scheduled initial hearing on </w:t>
      </w:r>
      <w:r w:rsidR="005A1189">
        <w:t>December 6, 2013.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5A1189">
        <w:t xml:space="preserve"> his</w:t>
      </w:r>
      <w:r w:rsidR="005A347B">
        <w:t xml:space="preserve"> 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5A1189">
        <w:t xml:space="preserve">December 6, 2013 </w:t>
      </w:r>
      <w:r w:rsidR="007143CB">
        <w:t xml:space="preserve">initial 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 xml:space="preserve">ub. 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</w:t>
      </w:r>
      <w:proofErr w:type="spellStart"/>
      <w:r w:rsidRPr="0002002C">
        <w:rPr>
          <w:sz w:val="24"/>
          <w:szCs w:val="24"/>
        </w:rPr>
        <w:t>Pa.Cmwlth</w:t>
      </w:r>
      <w:proofErr w:type="spellEnd"/>
      <w:r w:rsidRPr="0002002C">
        <w:rPr>
          <w:sz w:val="24"/>
          <w:szCs w:val="24"/>
        </w:rPr>
        <w:t xml:space="preserve">. 1984).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Pr="0002002C">
        <w:t>hearing in this case was sent to Complainant on</w:t>
      </w:r>
      <w:r>
        <w:t xml:space="preserve"> </w:t>
      </w:r>
      <w:r w:rsidR="00A034A9">
        <w:t xml:space="preserve">October </w:t>
      </w:r>
      <w:r w:rsidR="005A1189">
        <w:t>25</w:t>
      </w:r>
      <w:r w:rsidR="00A034A9">
        <w:t>, 2013,</w:t>
      </w:r>
      <w:r w:rsidR="00F2338E">
        <w:t xml:space="preserve"> 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5A1189">
        <w:t>October 25</w:t>
      </w:r>
      <w:r w:rsidR="00A034A9">
        <w:t>, 2013</w:t>
      </w:r>
      <w:r w:rsidR="001A4D43">
        <w:t xml:space="preserve">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5A1189">
        <w:t>3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</w:t>
      </w:r>
      <w:r w:rsidR="00DC77AA">
        <w:t xml:space="preserve"> </w:t>
      </w:r>
      <w:r w:rsidRPr="0002002C">
        <w:lastRenderedPageBreak/>
        <w:t>Superior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 Superior Ct. 221, 444 A.2d 658 (1982).</w:t>
      </w:r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5A1189">
        <w:rPr>
          <w:sz w:val="24"/>
          <w:szCs w:val="24"/>
        </w:rPr>
        <w:t xml:space="preserve">December 6, 2013.  </w:t>
      </w:r>
      <w:r w:rsidR="00AA503B">
        <w:rPr>
          <w:sz w:val="24"/>
          <w:szCs w:val="24"/>
        </w:rPr>
        <w:t>Complainant</w:t>
      </w:r>
      <w:r w:rsidR="005A1189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A034A9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3C3B15">
        <w:t>s</w:t>
      </w:r>
      <w:r w:rsidRPr="004E7308">
        <w:t xml:space="preserve"> the burden of proof.  66 </w:t>
      </w:r>
      <w:proofErr w:type="spellStart"/>
      <w:r w:rsidRPr="004E7308">
        <w:t>Pa.C.S</w:t>
      </w:r>
      <w:proofErr w:type="spellEnd"/>
      <w:r w:rsidRPr="004E7308">
        <w:t>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5A1189">
        <w:t>his</w:t>
      </w:r>
      <w:r w:rsidR="005A347B">
        <w:t xml:space="preserve"> complaint</w:t>
      </w:r>
      <w:r>
        <w:t>, Complainant</w:t>
      </w:r>
      <w:r w:rsidR="005A1189">
        <w:t xml:space="preserve"> has</w:t>
      </w:r>
      <w:r>
        <w:t xml:space="preserve"> failed to meet this burden.  Complainant</w:t>
      </w:r>
      <w:r w:rsidR="005A1189">
        <w:t>’s</w:t>
      </w:r>
      <w:r>
        <w:t xml:space="preserve"> failure to appear is unexcused.  </w:t>
      </w:r>
      <w:r w:rsidR="00AA503B">
        <w:t>Complainant</w:t>
      </w:r>
      <w:r w:rsidR="005A1189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</w:t>
      </w:r>
    </w:p>
    <w:p w:rsidR="00D23F42" w:rsidRPr="004E7308" w:rsidRDefault="00D23F42" w:rsidP="00D23F42">
      <w:pPr>
        <w:spacing w:line="360" w:lineRule="auto"/>
        <w:ind w:firstLine="1440"/>
      </w:pPr>
      <w:r>
        <w:rPr>
          <w:spacing w:val="-3"/>
        </w:rPr>
        <w:t xml:space="preserve"> </w:t>
      </w:r>
      <w:r>
        <w:t xml:space="preserve">   </w:t>
      </w:r>
      <w:r w:rsidRPr="004E7308">
        <w:t xml:space="preserve">  </w:t>
      </w: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r w:rsidRPr="00006FBE">
        <w:t>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>, 645 A.2d 944 (</w:t>
      </w:r>
      <w:proofErr w:type="spellStart"/>
      <w:r w:rsidR="00CD16D9">
        <w:t>Pa.Cmwlth</w:t>
      </w:r>
      <w:proofErr w:type="spellEnd"/>
      <w:r w:rsidR="00CD16D9">
        <w:t xml:space="preserve">. Ct. </w:t>
      </w:r>
      <w:r>
        <w:t>1994).</w:t>
      </w:r>
    </w:p>
    <w:p w:rsidR="00D23F42" w:rsidRDefault="00D23F42" w:rsidP="00D23F42">
      <w:pPr>
        <w:spacing w:line="360" w:lineRule="auto"/>
      </w:pPr>
      <w:r>
        <w:lastRenderedPageBreak/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85066" w:rsidRDefault="00D85066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5A1189">
        <w:t xml:space="preserve"> has</w:t>
      </w:r>
      <w:r w:rsidR="00AA503B">
        <w:t xml:space="preserve"> </w:t>
      </w:r>
      <w:r w:rsidR="00DC5FAB">
        <w:t xml:space="preserve">failed to meet </w:t>
      </w:r>
      <w:r w:rsidR="005A1189">
        <w:t>his</w:t>
      </w:r>
      <w:r>
        <w:t xml:space="preserve"> burden of proving that</w:t>
      </w:r>
      <w:r w:rsidR="00335305">
        <w:t xml:space="preserve"> </w:t>
      </w:r>
      <w:r w:rsidR="005A1189">
        <w:t>he</w:t>
      </w:r>
      <w:r w:rsidR="00A034A9">
        <w:t xml:space="preserve"> </w:t>
      </w:r>
      <w:bookmarkStart w:id="0" w:name="_GoBack"/>
      <w:bookmarkEnd w:id="0"/>
      <w:r w:rsidR="00DE6618">
        <w:t>is</w:t>
      </w:r>
      <w:r>
        <w:t xml:space="preserve"> entitled to the relief</w:t>
      </w:r>
      <w:r w:rsidR="00AA503B">
        <w:t xml:space="preserve"> </w:t>
      </w:r>
      <w:r w:rsidR="005A1189">
        <w:t>he</w:t>
      </w:r>
      <w:r w:rsidR="0072314D">
        <w:t xml:space="preserve"> seek</w:t>
      </w:r>
      <w:r w:rsidR="00AA503B">
        <w:t>s</w:t>
      </w:r>
      <w:r>
        <w:t xml:space="preserve"> from the Commission.  66 </w:t>
      </w:r>
      <w:proofErr w:type="spellStart"/>
      <w:r>
        <w:t>Pa.C.S</w:t>
      </w:r>
      <w:proofErr w:type="spellEnd"/>
      <w:r>
        <w:t xml:space="preserve">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5A347B">
        <w:t>Duquesne Light Company to dismiss the c</w:t>
      </w:r>
      <w:r>
        <w:t xml:space="preserve">omplaint of </w:t>
      </w:r>
      <w:r w:rsidR="005A1189">
        <w:t>Roderick Hairston</w:t>
      </w:r>
      <w:r w:rsidR="00B75A8D">
        <w:t xml:space="preserve"> </w:t>
      </w:r>
      <w:r>
        <w:t xml:space="preserve">at Docket No. </w:t>
      </w:r>
      <w:r w:rsidR="005A1189">
        <w:t>F-2013-2383061</w:t>
      </w:r>
      <w:r w:rsidR="007A40B3">
        <w:t xml:space="preserve">, made at the </w:t>
      </w:r>
      <w:r w:rsidR="00CC3D20">
        <w:t xml:space="preserve">initial </w:t>
      </w:r>
      <w:r w:rsidR="00686A40">
        <w:t xml:space="preserve">hearing on </w:t>
      </w:r>
      <w:r w:rsidR="005A1189">
        <w:t xml:space="preserve">December 6, 2013,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5A1189">
        <w:t>Roderick Hairston a</w:t>
      </w:r>
      <w:r w:rsidR="00D23F42">
        <w:t xml:space="preserve">gainst </w:t>
      </w:r>
      <w:r w:rsidR="005A347B">
        <w:t>Duquesne Light Company</w:t>
      </w:r>
      <w:r w:rsidR="00335305">
        <w:t xml:space="preserve"> a</w:t>
      </w:r>
      <w:r w:rsidR="00D23F42">
        <w:t xml:space="preserve">t Docket No. </w:t>
      </w:r>
      <w:r w:rsidR="005A1189">
        <w:t>F-2013-2383061</w:t>
      </w:r>
      <w:r>
        <w:t xml:space="preserve"> 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D23F42" w:rsidRDefault="004357B2" w:rsidP="00856662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5A1189">
        <w:t>F-2013-2383061</w:t>
      </w:r>
      <w:r w:rsidR="00AA503B">
        <w:t xml:space="preserve">, </w:t>
      </w:r>
      <w:r>
        <w:t>be marked closed.</w:t>
      </w:r>
    </w:p>
    <w:p w:rsidR="00BA49C0" w:rsidRDefault="00BA49C0" w:rsidP="00C45D88">
      <w:pPr>
        <w:ind w:firstLine="5760"/>
      </w:pPr>
    </w:p>
    <w:p w:rsidR="00DF698C" w:rsidRDefault="00DF698C" w:rsidP="00C45D88">
      <w:pPr>
        <w:ind w:firstLine="5760"/>
      </w:pPr>
    </w:p>
    <w:p w:rsidR="00BA49C0" w:rsidRDefault="00BA49C0" w:rsidP="00C45D88">
      <w:pPr>
        <w:ind w:firstLine="5760"/>
      </w:pPr>
    </w:p>
    <w:p w:rsidR="00680786" w:rsidRDefault="00680786" w:rsidP="00C45D88">
      <w:pPr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5A1189" w:rsidRPr="005A1189">
        <w:rPr>
          <w:u w:val="single"/>
        </w:rPr>
        <w:t xml:space="preserve">March </w:t>
      </w:r>
      <w:r w:rsidR="002F15DF">
        <w:rPr>
          <w:u w:val="single"/>
        </w:rPr>
        <w:t>5</w:t>
      </w:r>
      <w:r w:rsidR="00A034A9" w:rsidRPr="005A1189">
        <w:rPr>
          <w:u w:val="single"/>
        </w:rPr>
        <w:t>, 2014</w:t>
      </w:r>
      <w:r w:rsidR="00686A40">
        <w:tab/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DF698C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443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091CCB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F8" w:rsidRDefault="00574EF8">
      <w:r>
        <w:separator/>
      </w:r>
    </w:p>
  </w:endnote>
  <w:endnote w:type="continuationSeparator" w:id="0">
    <w:p w:rsidR="00574EF8" w:rsidRDefault="0057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DE6618">
      <w:rPr>
        <w:rStyle w:val="PageNumber"/>
        <w:noProof/>
        <w:sz w:val="20"/>
        <w:szCs w:val="20"/>
      </w:rPr>
      <w:t>5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F8" w:rsidRDefault="00574EF8">
      <w:r>
        <w:separator/>
      </w:r>
    </w:p>
  </w:footnote>
  <w:footnote w:type="continuationSeparator" w:id="0">
    <w:p w:rsidR="00574EF8" w:rsidRDefault="00574EF8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3779"/>
    <w:rsid w:val="000533C4"/>
    <w:rsid w:val="00061FBF"/>
    <w:rsid w:val="00063405"/>
    <w:rsid w:val="00064819"/>
    <w:rsid w:val="00065907"/>
    <w:rsid w:val="00074F6E"/>
    <w:rsid w:val="00091CCB"/>
    <w:rsid w:val="00093112"/>
    <w:rsid w:val="000A3B58"/>
    <w:rsid w:val="000A6BEF"/>
    <w:rsid w:val="000B2B35"/>
    <w:rsid w:val="000D0ECB"/>
    <w:rsid w:val="000D24B3"/>
    <w:rsid w:val="000D6AB0"/>
    <w:rsid w:val="000E654A"/>
    <w:rsid w:val="00101316"/>
    <w:rsid w:val="00105FFF"/>
    <w:rsid w:val="00116A56"/>
    <w:rsid w:val="0013431D"/>
    <w:rsid w:val="00142D0D"/>
    <w:rsid w:val="00156948"/>
    <w:rsid w:val="0016346B"/>
    <w:rsid w:val="001652F1"/>
    <w:rsid w:val="00167F66"/>
    <w:rsid w:val="001814F0"/>
    <w:rsid w:val="00191265"/>
    <w:rsid w:val="0019298D"/>
    <w:rsid w:val="00194AFB"/>
    <w:rsid w:val="00196A97"/>
    <w:rsid w:val="00197D0C"/>
    <w:rsid w:val="001A3517"/>
    <w:rsid w:val="001A4D43"/>
    <w:rsid w:val="001B3491"/>
    <w:rsid w:val="001B76CB"/>
    <w:rsid w:val="001E2E86"/>
    <w:rsid w:val="001F0CEB"/>
    <w:rsid w:val="001F256D"/>
    <w:rsid w:val="0020401E"/>
    <w:rsid w:val="00205198"/>
    <w:rsid w:val="0021043C"/>
    <w:rsid w:val="00211877"/>
    <w:rsid w:val="00216A52"/>
    <w:rsid w:val="00217976"/>
    <w:rsid w:val="002222B7"/>
    <w:rsid w:val="00222E8C"/>
    <w:rsid w:val="0022686E"/>
    <w:rsid w:val="002468D1"/>
    <w:rsid w:val="00253591"/>
    <w:rsid w:val="00257995"/>
    <w:rsid w:val="0026434C"/>
    <w:rsid w:val="00272C7D"/>
    <w:rsid w:val="00297E37"/>
    <w:rsid w:val="002A0076"/>
    <w:rsid w:val="002A1D09"/>
    <w:rsid w:val="002B0B4F"/>
    <w:rsid w:val="002D3761"/>
    <w:rsid w:val="002F13FB"/>
    <w:rsid w:val="002F15DF"/>
    <w:rsid w:val="002F3CB9"/>
    <w:rsid w:val="002F56A9"/>
    <w:rsid w:val="00300434"/>
    <w:rsid w:val="00313095"/>
    <w:rsid w:val="003168E5"/>
    <w:rsid w:val="00325212"/>
    <w:rsid w:val="003265E1"/>
    <w:rsid w:val="00327141"/>
    <w:rsid w:val="00335305"/>
    <w:rsid w:val="0035455F"/>
    <w:rsid w:val="00363EE8"/>
    <w:rsid w:val="00374FED"/>
    <w:rsid w:val="00386BF2"/>
    <w:rsid w:val="00387942"/>
    <w:rsid w:val="0039415D"/>
    <w:rsid w:val="003954D8"/>
    <w:rsid w:val="003A2271"/>
    <w:rsid w:val="003A5378"/>
    <w:rsid w:val="003A5B3D"/>
    <w:rsid w:val="003B0002"/>
    <w:rsid w:val="003B501C"/>
    <w:rsid w:val="003B5C35"/>
    <w:rsid w:val="003B75A4"/>
    <w:rsid w:val="003C3B15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30B2A"/>
    <w:rsid w:val="00432242"/>
    <w:rsid w:val="004357B2"/>
    <w:rsid w:val="00443283"/>
    <w:rsid w:val="00443980"/>
    <w:rsid w:val="0045468D"/>
    <w:rsid w:val="004549C9"/>
    <w:rsid w:val="00461DCC"/>
    <w:rsid w:val="00471FA3"/>
    <w:rsid w:val="004739BA"/>
    <w:rsid w:val="00480C18"/>
    <w:rsid w:val="0048437A"/>
    <w:rsid w:val="0048479C"/>
    <w:rsid w:val="004861A5"/>
    <w:rsid w:val="004C2BBB"/>
    <w:rsid w:val="004C7D87"/>
    <w:rsid w:val="004D0DAF"/>
    <w:rsid w:val="004E367C"/>
    <w:rsid w:val="004F40AC"/>
    <w:rsid w:val="004F72BC"/>
    <w:rsid w:val="00501522"/>
    <w:rsid w:val="00526FB0"/>
    <w:rsid w:val="00530282"/>
    <w:rsid w:val="00533C74"/>
    <w:rsid w:val="005373CA"/>
    <w:rsid w:val="005442EE"/>
    <w:rsid w:val="0054653B"/>
    <w:rsid w:val="00553AD1"/>
    <w:rsid w:val="00574C53"/>
    <w:rsid w:val="00574EF8"/>
    <w:rsid w:val="0057750E"/>
    <w:rsid w:val="005802AD"/>
    <w:rsid w:val="00580420"/>
    <w:rsid w:val="00582A9D"/>
    <w:rsid w:val="00590694"/>
    <w:rsid w:val="005921CF"/>
    <w:rsid w:val="005A1189"/>
    <w:rsid w:val="005A347B"/>
    <w:rsid w:val="005A76CA"/>
    <w:rsid w:val="005C4D01"/>
    <w:rsid w:val="005D78E6"/>
    <w:rsid w:val="005E1E65"/>
    <w:rsid w:val="005E2727"/>
    <w:rsid w:val="005F1661"/>
    <w:rsid w:val="005F27A2"/>
    <w:rsid w:val="005F3DCC"/>
    <w:rsid w:val="00605AE2"/>
    <w:rsid w:val="006132EB"/>
    <w:rsid w:val="00617F65"/>
    <w:rsid w:val="0064102A"/>
    <w:rsid w:val="00644168"/>
    <w:rsid w:val="0064513F"/>
    <w:rsid w:val="00645EA9"/>
    <w:rsid w:val="00680786"/>
    <w:rsid w:val="00686A40"/>
    <w:rsid w:val="006905D4"/>
    <w:rsid w:val="0069297A"/>
    <w:rsid w:val="006C0DD9"/>
    <w:rsid w:val="006C3904"/>
    <w:rsid w:val="006C56B6"/>
    <w:rsid w:val="006D6FFC"/>
    <w:rsid w:val="006E5464"/>
    <w:rsid w:val="006F3EB8"/>
    <w:rsid w:val="00701D17"/>
    <w:rsid w:val="0070750F"/>
    <w:rsid w:val="007143CB"/>
    <w:rsid w:val="00716AAB"/>
    <w:rsid w:val="00722617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608E9"/>
    <w:rsid w:val="0077274A"/>
    <w:rsid w:val="007767C2"/>
    <w:rsid w:val="00781204"/>
    <w:rsid w:val="007A40B3"/>
    <w:rsid w:val="007C17ED"/>
    <w:rsid w:val="007C7A8B"/>
    <w:rsid w:val="007E13D5"/>
    <w:rsid w:val="007E5F42"/>
    <w:rsid w:val="007E77FB"/>
    <w:rsid w:val="007E7B14"/>
    <w:rsid w:val="007E7DBF"/>
    <w:rsid w:val="008533A8"/>
    <w:rsid w:val="0085581D"/>
    <w:rsid w:val="00856662"/>
    <w:rsid w:val="00856DAD"/>
    <w:rsid w:val="00865889"/>
    <w:rsid w:val="0087380C"/>
    <w:rsid w:val="00885594"/>
    <w:rsid w:val="008C7F86"/>
    <w:rsid w:val="008D6876"/>
    <w:rsid w:val="008D71D2"/>
    <w:rsid w:val="008F01B8"/>
    <w:rsid w:val="008F05CC"/>
    <w:rsid w:val="008F1584"/>
    <w:rsid w:val="00903A9E"/>
    <w:rsid w:val="00930367"/>
    <w:rsid w:val="0093120A"/>
    <w:rsid w:val="00931573"/>
    <w:rsid w:val="0094012D"/>
    <w:rsid w:val="00941FB5"/>
    <w:rsid w:val="0094332A"/>
    <w:rsid w:val="00962571"/>
    <w:rsid w:val="009635BE"/>
    <w:rsid w:val="00992187"/>
    <w:rsid w:val="00992419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A034A9"/>
    <w:rsid w:val="00A11E85"/>
    <w:rsid w:val="00A334CD"/>
    <w:rsid w:val="00A369C4"/>
    <w:rsid w:val="00A37CF0"/>
    <w:rsid w:val="00A54EF9"/>
    <w:rsid w:val="00A5539A"/>
    <w:rsid w:val="00A56705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6C96"/>
    <w:rsid w:val="00AD49EB"/>
    <w:rsid w:val="00AD6DCE"/>
    <w:rsid w:val="00AE08A1"/>
    <w:rsid w:val="00AE4605"/>
    <w:rsid w:val="00AE7EB7"/>
    <w:rsid w:val="00AF0483"/>
    <w:rsid w:val="00B00F4A"/>
    <w:rsid w:val="00B07A5E"/>
    <w:rsid w:val="00B07E22"/>
    <w:rsid w:val="00B16009"/>
    <w:rsid w:val="00B16BCA"/>
    <w:rsid w:val="00B215F9"/>
    <w:rsid w:val="00B21AE6"/>
    <w:rsid w:val="00B57879"/>
    <w:rsid w:val="00B6058A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C13586"/>
    <w:rsid w:val="00C17209"/>
    <w:rsid w:val="00C23039"/>
    <w:rsid w:val="00C37D9B"/>
    <w:rsid w:val="00C4113B"/>
    <w:rsid w:val="00C45D88"/>
    <w:rsid w:val="00C66E5F"/>
    <w:rsid w:val="00C90B86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4FF5"/>
    <w:rsid w:val="00CD69DD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1BFE"/>
    <w:rsid w:val="00D43BDE"/>
    <w:rsid w:val="00D604D8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3436"/>
    <w:rsid w:val="00DE52AB"/>
    <w:rsid w:val="00DE6618"/>
    <w:rsid w:val="00DF52C3"/>
    <w:rsid w:val="00DF698C"/>
    <w:rsid w:val="00DF7D4A"/>
    <w:rsid w:val="00E0129D"/>
    <w:rsid w:val="00E06BD3"/>
    <w:rsid w:val="00E24346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B73EC"/>
    <w:rsid w:val="00EC6197"/>
    <w:rsid w:val="00EE6105"/>
    <w:rsid w:val="00F00004"/>
    <w:rsid w:val="00F13605"/>
    <w:rsid w:val="00F20382"/>
    <w:rsid w:val="00F2338E"/>
    <w:rsid w:val="00F270AE"/>
    <w:rsid w:val="00F32A86"/>
    <w:rsid w:val="00F350FE"/>
    <w:rsid w:val="00F35CDE"/>
    <w:rsid w:val="00F40A41"/>
    <w:rsid w:val="00F45205"/>
    <w:rsid w:val="00F616A7"/>
    <w:rsid w:val="00F8162E"/>
    <w:rsid w:val="00F866BD"/>
    <w:rsid w:val="00F9094D"/>
    <w:rsid w:val="00F93D78"/>
    <w:rsid w:val="00F97F68"/>
    <w:rsid w:val="00FC1453"/>
    <w:rsid w:val="00FC5A62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625E-FE95-4240-A473-62AB1FD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11</cp:revision>
  <cp:lastPrinted>2014-03-05T13:30:00Z</cp:lastPrinted>
  <dcterms:created xsi:type="dcterms:W3CDTF">2014-03-04T19:22:00Z</dcterms:created>
  <dcterms:modified xsi:type="dcterms:W3CDTF">2014-03-05T13:50:00Z</dcterms:modified>
</cp:coreProperties>
</file>