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:rsidR="00776AD2" w:rsidRPr="00F514FB" w:rsidRDefault="00776AD2" w:rsidP="00776AD2">
      <w:pPr>
        <w:tabs>
          <w:tab w:val="left" w:pos="-720"/>
        </w:tabs>
        <w:suppressAutoHyphens/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4428"/>
      </w:tblGrid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 xml:space="preserve">Public Meeting held </w:t>
            </w:r>
            <w:r w:rsidR="00326C9E">
              <w:rPr>
                <w:sz w:val="26"/>
                <w:szCs w:val="26"/>
              </w:rPr>
              <w:t>February 20, 2014</w:t>
            </w: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Robert F. Powelson,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John F. Coleman, Jr., Vice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James H. Cawley</w:t>
            </w:r>
          </w:p>
          <w:p w:rsidR="00776AD2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Pamela A. Witmer</w:t>
            </w:r>
          </w:p>
          <w:p w:rsidR="00EC3BE4" w:rsidRPr="00F04BBF" w:rsidRDefault="00EC3BE4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Gladys M. Brown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326C9E" w:rsidRDefault="00326C9E" w:rsidP="00326C9E">
            <w:pPr>
              <w:tabs>
                <w:tab w:val="left" w:pos="705"/>
              </w:tabs>
              <w:rPr>
                <w:sz w:val="26"/>
                <w:szCs w:val="26"/>
              </w:rPr>
            </w:pPr>
            <w:r w:rsidRPr="00326C9E">
              <w:rPr>
                <w:sz w:val="26"/>
                <w:szCs w:val="26"/>
              </w:rPr>
              <w:t xml:space="preserve">Pennsylvania Public Utility Commission, </w:t>
            </w:r>
          </w:p>
          <w:p w:rsidR="00326C9E" w:rsidRDefault="00326C9E" w:rsidP="00326C9E">
            <w:pPr>
              <w:tabs>
                <w:tab w:val="left" w:pos="705"/>
              </w:tabs>
              <w:rPr>
                <w:sz w:val="26"/>
                <w:szCs w:val="26"/>
              </w:rPr>
            </w:pPr>
            <w:r w:rsidRPr="00326C9E">
              <w:rPr>
                <w:sz w:val="26"/>
                <w:szCs w:val="26"/>
              </w:rPr>
              <w:t xml:space="preserve">The Office of Consumer Advocate, </w:t>
            </w:r>
            <w:r>
              <w:rPr>
                <w:sz w:val="26"/>
                <w:szCs w:val="26"/>
              </w:rPr>
              <w:tab/>
            </w:r>
          </w:p>
          <w:p w:rsidR="00326C9E" w:rsidRDefault="00326C9E" w:rsidP="00326C9E">
            <w:pPr>
              <w:tabs>
                <w:tab w:val="left" w:pos="705"/>
              </w:tabs>
              <w:rPr>
                <w:sz w:val="26"/>
                <w:szCs w:val="26"/>
              </w:rPr>
            </w:pPr>
            <w:r w:rsidRPr="00326C9E">
              <w:rPr>
                <w:sz w:val="26"/>
                <w:szCs w:val="26"/>
              </w:rPr>
              <w:t>The Office of Small Business Advocate,</w:t>
            </w:r>
            <w:r>
              <w:rPr>
                <w:sz w:val="26"/>
                <w:szCs w:val="26"/>
              </w:rPr>
              <w:tab/>
            </w:r>
          </w:p>
          <w:p w:rsidR="00776AD2" w:rsidRDefault="00371535" w:rsidP="00371535">
            <w:pPr>
              <w:tabs>
                <w:tab w:val="left" w:pos="70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and Vincent E. Collier 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="00326C9E" w:rsidRPr="00326C9E">
              <w:rPr>
                <w:sz w:val="26"/>
                <w:szCs w:val="26"/>
              </w:rPr>
              <w:fldChar w:fldCharType="begin"/>
            </w:r>
            <w:r w:rsidR="00326C9E" w:rsidRPr="00326C9E">
              <w:rPr>
                <w:sz w:val="26"/>
                <w:szCs w:val="26"/>
              </w:rPr>
              <w:instrText>fillin "Complainant's Name" \d ""</w:instrText>
            </w:r>
            <w:r w:rsidR="00326C9E" w:rsidRPr="00326C9E">
              <w:rPr>
                <w:sz w:val="26"/>
                <w:szCs w:val="26"/>
              </w:rPr>
              <w:fldChar w:fldCharType="end"/>
            </w:r>
          </w:p>
          <w:p w:rsidR="00371535" w:rsidRPr="00F04BBF" w:rsidRDefault="00371535" w:rsidP="00371535">
            <w:pPr>
              <w:tabs>
                <w:tab w:val="left" w:pos="705"/>
              </w:tabs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Default="00326C9E" w:rsidP="00326C9E">
            <w:pPr>
              <w:jc w:val="right"/>
              <w:rPr>
                <w:sz w:val="26"/>
                <w:szCs w:val="26"/>
              </w:rPr>
            </w:pPr>
            <w:r w:rsidRPr="00326C9E">
              <w:rPr>
                <w:sz w:val="26"/>
                <w:szCs w:val="26"/>
              </w:rPr>
              <w:t>R-2013-2360798</w:t>
            </w:r>
          </w:p>
          <w:p w:rsidR="00326C9E" w:rsidRPr="00326C9E" w:rsidRDefault="00326C9E" w:rsidP="00326C9E">
            <w:pPr>
              <w:jc w:val="right"/>
              <w:rPr>
                <w:sz w:val="26"/>
                <w:szCs w:val="26"/>
              </w:rPr>
            </w:pPr>
            <w:r w:rsidRPr="00326C9E">
              <w:rPr>
                <w:sz w:val="26"/>
                <w:szCs w:val="26"/>
              </w:rPr>
              <w:t>C-2013-2363612</w:t>
            </w:r>
          </w:p>
          <w:p w:rsidR="00326C9E" w:rsidRPr="00326C9E" w:rsidRDefault="00326C9E" w:rsidP="00326C9E">
            <w:pPr>
              <w:jc w:val="right"/>
              <w:rPr>
                <w:sz w:val="26"/>
                <w:szCs w:val="26"/>
              </w:rPr>
            </w:pPr>
            <w:r w:rsidRPr="00326C9E">
              <w:rPr>
                <w:sz w:val="26"/>
                <w:szCs w:val="26"/>
              </w:rPr>
              <w:t>C-2013-2363728</w:t>
            </w:r>
          </w:p>
          <w:p w:rsidR="00326C9E" w:rsidRPr="00F04BBF" w:rsidRDefault="00326C9E" w:rsidP="00326C9E">
            <w:pPr>
              <w:jc w:val="right"/>
              <w:rPr>
                <w:sz w:val="26"/>
                <w:szCs w:val="26"/>
              </w:rPr>
            </w:pPr>
            <w:r w:rsidRPr="00326C9E">
              <w:rPr>
                <w:sz w:val="26"/>
                <w:szCs w:val="26"/>
              </w:rPr>
              <w:t>C-2013-2364726</w:t>
            </w: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326C9E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v.</w:t>
            </w:r>
          </w:p>
          <w:p w:rsidR="00776AD2" w:rsidRPr="00F04BBF" w:rsidRDefault="00776AD2" w:rsidP="00326C9E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326C9E" w:rsidP="001F76D9">
            <w:pPr>
              <w:tabs>
                <w:tab w:val="left" w:pos="705"/>
              </w:tabs>
              <w:rPr>
                <w:sz w:val="26"/>
                <w:szCs w:val="26"/>
              </w:rPr>
            </w:pPr>
            <w:r w:rsidRPr="00326C9E">
              <w:rPr>
                <w:sz w:val="26"/>
                <w:szCs w:val="26"/>
              </w:rPr>
              <w:t>The Columbia Water Company</w:t>
            </w:r>
            <w:r w:rsidRPr="00F04BB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</w:tbl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F514FB">
          <w:rPr>
            <w:b/>
            <w:sz w:val="26"/>
            <w:szCs w:val="26"/>
          </w:rPr>
          <w:t>AND</w:t>
        </w:r>
      </w:smartTag>
      <w:r w:rsidRPr="00F514FB">
        <w:rPr>
          <w:b/>
          <w:sz w:val="26"/>
          <w:szCs w:val="26"/>
        </w:rPr>
        <w:t xml:space="preserve"> ORDER</w:t>
      </w: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0F1318" w:rsidRPr="00027664" w:rsidRDefault="000F1318" w:rsidP="003E22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proofErr w:type="gramStart"/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>nsideration and disposition is the</w:t>
      </w:r>
      <w:r w:rsidRPr="00027664">
        <w:rPr>
          <w:sz w:val="26"/>
        </w:rPr>
        <w:t xml:space="preserve"> Petition for Reconsideration (Petition), filed by</w:t>
      </w:r>
      <w:r w:rsidR="00F248A4">
        <w:rPr>
          <w:sz w:val="26"/>
        </w:rPr>
        <w:t xml:space="preserve"> </w:t>
      </w:r>
      <w:r w:rsidR="00326C9E">
        <w:rPr>
          <w:sz w:val="26"/>
        </w:rPr>
        <w:t>the Office of Consumer Advocate</w:t>
      </w:r>
      <w:r w:rsidR="001F76D9">
        <w:rPr>
          <w:sz w:val="26"/>
        </w:rPr>
        <w:t xml:space="preserve"> </w:t>
      </w:r>
      <w:r w:rsidR="004D78EC">
        <w:rPr>
          <w:sz w:val="26"/>
        </w:rPr>
        <w:t>(</w:t>
      </w:r>
      <w:r w:rsidR="00326C9E">
        <w:rPr>
          <w:sz w:val="26"/>
        </w:rPr>
        <w:t>OCA</w:t>
      </w:r>
      <w:r w:rsidR="004D78EC">
        <w:rPr>
          <w:sz w:val="26"/>
        </w:rPr>
        <w:t>)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 w:rsidR="003E22CB">
        <w:rPr>
          <w:sz w:val="26"/>
        </w:rPr>
        <w:t xml:space="preserve"> </w:t>
      </w:r>
      <w:r w:rsidR="00326C9E">
        <w:rPr>
          <w:sz w:val="26"/>
        </w:rPr>
        <w:t>February 7, 2014</w:t>
      </w:r>
      <w:r w:rsidR="00AA548E">
        <w:rPr>
          <w:sz w:val="26"/>
        </w:rPr>
        <w:t>, seeking reconsideration 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Opinion and Order entered </w:t>
      </w:r>
      <w:r w:rsidR="00EC3BE4">
        <w:rPr>
          <w:sz w:val="26"/>
        </w:rPr>
        <w:t xml:space="preserve">on </w:t>
      </w:r>
      <w:r w:rsidR="00326C9E">
        <w:rPr>
          <w:sz w:val="26"/>
        </w:rPr>
        <w:t>January 23, 2014</w:t>
      </w:r>
      <w:r w:rsidRPr="00027664">
        <w:rPr>
          <w:sz w:val="26"/>
        </w:rPr>
        <w:t>, relative to the above-captioned proceedings.</w:t>
      </w:r>
      <w:proofErr w:type="gramEnd"/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3E22CB" w:rsidP="00326C9E">
      <w:pPr>
        <w:widowControl/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lastRenderedPageBreak/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="000F1318" w:rsidRPr="00027664">
        <w:rPr>
          <w:sz w:val="26"/>
        </w:rPr>
        <w:noBreakHyphen/>
        <w:t>day period within which the Commission must act upon this Petition for Reconsideration in</w:t>
      </w:r>
      <w:r w:rsidR="006E0927">
        <w:rPr>
          <w:sz w:val="26"/>
        </w:rPr>
        <w:t xml:space="preserve"> order to preserve jurisdiction</w:t>
      </w:r>
      <w:r w:rsidR="000C0A65">
        <w:rPr>
          <w:sz w:val="26"/>
        </w:rPr>
        <w:t xml:space="preserve"> end</w:t>
      </w:r>
      <w:r w:rsidR="000F1318" w:rsidRPr="00027664">
        <w:rPr>
          <w:sz w:val="26"/>
        </w:rPr>
        <w:t>s</w:t>
      </w:r>
      <w:r w:rsidR="000C0A65">
        <w:rPr>
          <w:sz w:val="26"/>
        </w:rPr>
        <w:t xml:space="preserve"> on</w:t>
      </w:r>
      <w:r w:rsidR="008B6B0E">
        <w:rPr>
          <w:sz w:val="26"/>
        </w:rPr>
        <w:t xml:space="preserve"> </w:t>
      </w:r>
      <w:r w:rsidR="00326C9E">
        <w:rPr>
          <w:sz w:val="26"/>
        </w:rPr>
        <w:t>February 24, 2014</w:t>
      </w:r>
      <w:r w:rsidR="000F1318" w:rsidRPr="00027664">
        <w:rPr>
          <w:sz w:val="26"/>
        </w:rPr>
        <w:t>.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0F1318" w:rsidP="000F1318">
      <w:pPr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>That the Petition for Reconsideration filed on</w:t>
      </w:r>
      <w:r w:rsidR="00641F38">
        <w:rPr>
          <w:sz w:val="26"/>
          <w:szCs w:val="26"/>
        </w:rPr>
        <w:t xml:space="preserve"> </w:t>
      </w:r>
      <w:r w:rsidR="00326C9E">
        <w:rPr>
          <w:sz w:val="26"/>
          <w:szCs w:val="26"/>
        </w:rPr>
        <w:t>February 7, 2014</w:t>
      </w:r>
      <w:r w:rsidR="00214830">
        <w:rPr>
          <w:sz w:val="26"/>
          <w:szCs w:val="26"/>
        </w:rPr>
        <w:t xml:space="preserve">, </w:t>
      </w:r>
      <w:r w:rsidRPr="00027664">
        <w:rPr>
          <w:sz w:val="26"/>
          <w:szCs w:val="26"/>
        </w:rPr>
        <w:t>by</w:t>
      </w:r>
      <w:r w:rsidR="00214830">
        <w:rPr>
          <w:sz w:val="26"/>
          <w:szCs w:val="26"/>
        </w:rPr>
        <w:t xml:space="preserve"> </w:t>
      </w:r>
      <w:r w:rsidR="00326C9E">
        <w:rPr>
          <w:sz w:val="26"/>
          <w:szCs w:val="26"/>
        </w:rPr>
        <w:t>the Office of Consumer Advocate</w:t>
      </w:r>
      <w:r w:rsidRPr="00027664">
        <w:rPr>
          <w:sz w:val="26"/>
          <w:szCs w:val="26"/>
        </w:rPr>
        <w:t>, is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51499F" w:rsidP="00600F6F">
      <w:pPr>
        <w:spacing w:line="360" w:lineRule="auto"/>
        <w:ind w:firstLine="5760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A794AB9" wp14:editId="4A349664">
            <wp:simplePos x="0" y="0"/>
            <wp:positionH relativeFrom="column">
              <wp:posOffset>3431540</wp:posOffset>
            </wp:positionH>
            <wp:positionV relativeFrom="paragraph">
              <wp:posOffset>92710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F1318"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</w:p>
    <w:p w:rsidR="000F1318" w:rsidRDefault="000F1318" w:rsidP="000F1318">
      <w:pPr>
        <w:rPr>
          <w:sz w:val="26"/>
          <w:szCs w:val="26"/>
        </w:rPr>
      </w:pPr>
    </w:p>
    <w:p w:rsidR="00600F6F" w:rsidRPr="00027664" w:rsidRDefault="00600F6F" w:rsidP="00600F6F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F1318" w:rsidRPr="00027664" w:rsidRDefault="000F1318" w:rsidP="00600F6F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776AD2">
        <w:rPr>
          <w:sz w:val="26"/>
          <w:szCs w:val="26"/>
        </w:rPr>
        <w:t xml:space="preserve">  </w:t>
      </w:r>
      <w:r w:rsidR="00326C9E">
        <w:rPr>
          <w:sz w:val="26"/>
          <w:szCs w:val="26"/>
        </w:rPr>
        <w:t>February 20, 2014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51499F">
        <w:rPr>
          <w:sz w:val="26"/>
          <w:szCs w:val="26"/>
        </w:rPr>
        <w:t>February 20, 2014</w:t>
      </w:r>
    </w:p>
    <w:p w:rsidR="000F1318" w:rsidRPr="00027664" w:rsidRDefault="000F1318" w:rsidP="000F131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p w:rsidR="00F272E7" w:rsidRDefault="00F272E7" w:rsidP="00962690">
      <w:pPr>
        <w:widowControl/>
        <w:jc w:val="center"/>
        <w:rPr>
          <w:b/>
          <w:sz w:val="26"/>
        </w:rPr>
      </w:pPr>
    </w:p>
    <w:sectPr w:rsidR="00F272E7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C59" w:rsidRDefault="00CB5C59">
      <w:r>
        <w:separator/>
      </w:r>
    </w:p>
  </w:endnote>
  <w:endnote w:type="continuationSeparator" w:id="0">
    <w:p w:rsidR="00CB5C59" w:rsidRDefault="00CB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51499F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C59" w:rsidRDefault="00CB5C59">
      <w:r>
        <w:separator/>
      </w:r>
    </w:p>
  </w:footnote>
  <w:footnote w:type="continuationSeparator" w:id="0">
    <w:p w:rsidR="00CB5C59" w:rsidRDefault="00CB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0A65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6D9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26C9E"/>
    <w:rsid w:val="003336F9"/>
    <w:rsid w:val="00337DFD"/>
    <w:rsid w:val="00340C45"/>
    <w:rsid w:val="00343BD1"/>
    <w:rsid w:val="00345135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1535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499F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B1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67D53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4D8B"/>
    <w:rsid w:val="00B068F4"/>
    <w:rsid w:val="00B075DE"/>
    <w:rsid w:val="00B07E37"/>
    <w:rsid w:val="00B10716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B5C59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3BE4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07C8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Farner, Joyce</cp:lastModifiedBy>
  <cp:revision>3</cp:revision>
  <cp:lastPrinted>2014-02-20T12:20:00Z</cp:lastPrinted>
  <dcterms:created xsi:type="dcterms:W3CDTF">2014-02-10T14:11:00Z</dcterms:created>
  <dcterms:modified xsi:type="dcterms:W3CDTF">2014-02-20T12:20:00Z</dcterms:modified>
</cp:coreProperties>
</file>