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3F5DDC">
        <w:trPr>
          <w:trHeight w:val="990"/>
        </w:trPr>
        <w:tc>
          <w:tcPr>
            <w:tcW w:w="1363" w:type="dxa"/>
          </w:tcPr>
          <w:p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653BA2" w:rsidP="00653BA2">
      <w:pPr>
        <w:jc w:val="center"/>
      </w:pPr>
      <w:r>
        <w:t>March 17, 2014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MR PAUL E RUSSELL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ASSOCIATE GENERAL COUNSEL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PPL ELECTRIC UTILITIES CORPORATION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67519A" w:rsidRDefault="003F5DDC" w:rsidP="003F5DD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3F5DDC">
        <w:rPr>
          <w:rFonts w:ascii="Arial" w:hAnsi="Arial" w:cs="Arial"/>
          <w:b/>
          <w:spacing w:val="-2"/>
          <w:sz w:val="24"/>
          <w:szCs w:val="24"/>
        </w:rPr>
        <w:t xml:space="preserve"> six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2013</w:t>
      </w:r>
    </w:p>
    <w:p w:rsidR="0067519A" w:rsidRPr="004B6C39" w:rsidRDefault="003F5DDC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M-2014-</w:t>
      </w:r>
      <w:r w:rsidR="00775E26">
        <w:rPr>
          <w:rFonts w:ascii="Arial" w:hAnsi="Arial" w:cs="Arial"/>
          <w:b/>
          <w:sz w:val="24"/>
          <w:szCs w:val="24"/>
        </w:rPr>
        <w:t>2405341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>Mr. Russell: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>d PPL Electric Utilities Corporation’s Distribution System Improvement Charge’s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six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75E26">
        <w:rPr>
          <w:rFonts w:ascii="Arial" w:hAnsi="Arial" w:cs="Arial"/>
          <w:sz w:val="24"/>
          <w:szCs w:val="24"/>
        </w:rPr>
        <w:t>December 31, 2013.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January 30, 2014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is expressly subject to such further review and revision as may be found necessary as the result of a subsequent Commission audit pursuant to Section 1307(d) of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the Public Utility Code, 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234B3A" w:rsidRPr="00234B3A">
        <w:rPr>
          <w:rFonts w:ascii="Arial" w:hAnsi="Arial" w:cs="Arial"/>
          <w:spacing w:val="-2"/>
          <w:sz w:val="24"/>
          <w:szCs w:val="24"/>
        </w:rPr>
        <w:t>. §1307(d),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75E26">
        <w:rPr>
          <w:rFonts w:ascii="Arial" w:hAnsi="Arial" w:cs="Arial"/>
          <w:spacing w:val="-2"/>
          <w:sz w:val="24"/>
          <w:szCs w:val="24"/>
        </w:rPr>
        <w:t>M-2014-2405341</w:t>
      </w:r>
      <w:r w:rsidR="00775E26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653BA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F7F48E" wp14:editId="136D988C">
            <wp:simplePos x="0" y="0"/>
            <wp:positionH relativeFrom="column">
              <wp:posOffset>2814320</wp:posOffset>
            </wp:positionH>
            <wp:positionV relativeFrom="paragraph">
              <wp:posOffset>52070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775E26" w:rsidRPr="00775E26">
        <w:rPr>
          <w:rFonts w:ascii="Arial" w:hAnsi="Arial" w:cs="Arial"/>
          <w:sz w:val="24"/>
          <w:szCs w:val="24"/>
        </w:rPr>
        <w:t>Keith L. Mather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75E26">
        <w:rPr>
          <w:rFonts w:ascii="Arial" w:hAnsi="Arial" w:cs="Arial"/>
          <w:sz w:val="24"/>
          <w:szCs w:val="24"/>
        </w:rPr>
        <w:t>(717) 772-3440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3F5DDC"/>
    <w:rsid w:val="004B6C39"/>
    <w:rsid w:val="0051362E"/>
    <w:rsid w:val="00653BA2"/>
    <w:rsid w:val="0067519A"/>
    <w:rsid w:val="00681A5F"/>
    <w:rsid w:val="00693012"/>
    <w:rsid w:val="00742334"/>
    <w:rsid w:val="00775E26"/>
    <w:rsid w:val="00805353"/>
    <w:rsid w:val="0089188B"/>
    <w:rsid w:val="008935A5"/>
    <w:rsid w:val="008F62B1"/>
    <w:rsid w:val="008F7FD2"/>
    <w:rsid w:val="00A46FF8"/>
    <w:rsid w:val="00A76B9C"/>
    <w:rsid w:val="00AB731C"/>
    <w:rsid w:val="00B3496B"/>
    <w:rsid w:val="00B67377"/>
    <w:rsid w:val="00C0162A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F7A8-FBD6-4E9E-9B2D-0FE75FB7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3</cp:revision>
  <dcterms:created xsi:type="dcterms:W3CDTF">2014-03-06T13:39:00Z</dcterms:created>
  <dcterms:modified xsi:type="dcterms:W3CDTF">2014-03-17T18:19:00Z</dcterms:modified>
</cp:coreProperties>
</file>