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036" w:rsidRPr="00142DD4" w:rsidRDefault="00A80036" w:rsidP="00FA12D3">
      <w:pPr>
        <w:pStyle w:val="Title"/>
        <w:rPr>
          <w:szCs w:val="24"/>
        </w:rPr>
      </w:pPr>
      <w:r w:rsidRPr="00142DD4">
        <w:rPr>
          <w:szCs w:val="24"/>
        </w:rPr>
        <w:t>BEFORE THE</w:t>
      </w:r>
    </w:p>
    <w:p w:rsidR="00A80036" w:rsidRPr="00142DD4" w:rsidRDefault="00A80036" w:rsidP="00FA12D3">
      <w:pPr>
        <w:pStyle w:val="Subtitle"/>
        <w:rPr>
          <w:szCs w:val="24"/>
        </w:rPr>
      </w:pPr>
      <w:r w:rsidRPr="00142DD4">
        <w:rPr>
          <w:szCs w:val="24"/>
        </w:rPr>
        <w:t>PENNSYLVANIA PUBLIC UTILITY COMMISSION</w:t>
      </w:r>
    </w:p>
    <w:p w:rsidR="00631AD8" w:rsidRPr="00142DD4" w:rsidRDefault="00631AD8" w:rsidP="00FA12D3">
      <w:pPr>
        <w:rPr>
          <w:szCs w:val="24"/>
        </w:rPr>
      </w:pPr>
    </w:p>
    <w:p w:rsidR="00E92075" w:rsidRPr="00142DD4" w:rsidRDefault="00E92075" w:rsidP="00FA12D3">
      <w:pPr>
        <w:rPr>
          <w:szCs w:val="24"/>
        </w:rPr>
      </w:pPr>
    </w:p>
    <w:p w:rsidR="00CD3992" w:rsidRPr="00142DD4" w:rsidRDefault="00CD3992" w:rsidP="00CD3992">
      <w:r w:rsidRPr="00142DD4">
        <w:t>Application of PPL Electric Utilities Corporation</w:t>
      </w:r>
      <w:r w:rsidRPr="00142DD4">
        <w:tab/>
        <w:t>:</w:t>
      </w:r>
    </w:p>
    <w:p w:rsidR="00CD3992" w:rsidRPr="00142DD4" w:rsidRDefault="00CD3992" w:rsidP="00CD3992">
      <w:r w:rsidRPr="00142DD4">
        <w:t xml:space="preserve">filed pursuant to 52 Pa. Code Chapter 57, </w:t>
      </w:r>
      <w:r w:rsidRPr="00142DD4">
        <w:tab/>
      </w:r>
      <w:r w:rsidRPr="00142DD4">
        <w:tab/>
        <w:t>:</w:t>
      </w:r>
      <w:r w:rsidRPr="00142DD4">
        <w:tab/>
      </w:r>
      <w:r w:rsidRPr="00142DD4">
        <w:tab/>
      </w:r>
    </w:p>
    <w:p w:rsidR="00CD3992" w:rsidRPr="00142DD4" w:rsidRDefault="00CD3992" w:rsidP="00CD3992">
      <w:r w:rsidRPr="00142DD4">
        <w:t>Subchapter G, for approval of the siting and</w:t>
      </w:r>
      <w:r w:rsidRPr="00142DD4">
        <w:tab/>
      </w:r>
      <w:r w:rsidRPr="00142DD4">
        <w:tab/>
        <w:t>:</w:t>
      </w:r>
    </w:p>
    <w:p w:rsidR="00CD3992" w:rsidRPr="00142DD4" w:rsidRDefault="00CD3992" w:rsidP="00CD3992">
      <w:r w:rsidRPr="00142DD4">
        <w:t>construction of the double-circuit 138/69 kV</w:t>
      </w:r>
      <w:r w:rsidRPr="00142DD4">
        <w:tab/>
      </w:r>
      <w:r w:rsidRPr="00142DD4">
        <w:tab/>
        <w:t>:</w:t>
      </w:r>
    </w:p>
    <w:p w:rsidR="00CD3992" w:rsidRPr="00142DD4" w:rsidRDefault="00CD3992" w:rsidP="00CD3992">
      <w:r w:rsidRPr="00142DD4">
        <w:t>Honey Brook-Twin Valley transmission line</w:t>
      </w:r>
      <w:r w:rsidRPr="00142DD4">
        <w:tab/>
      </w:r>
      <w:r w:rsidRPr="00142DD4">
        <w:tab/>
        <w:t>:</w:t>
      </w:r>
      <w:r w:rsidRPr="00142DD4">
        <w:tab/>
      </w:r>
      <w:r w:rsidRPr="00142DD4">
        <w:tab/>
        <w:t>A-2013-2392102</w:t>
      </w:r>
    </w:p>
    <w:p w:rsidR="00CD3992" w:rsidRPr="00142DD4" w:rsidRDefault="00CD3992" w:rsidP="00CD3992">
      <w:r w:rsidRPr="00142DD4">
        <w:t xml:space="preserve">in portions of Caernarvon Township, Berks </w:t>
      </w:r>
      <w:r w:rsidRPr="00142DD4">
        <w:tab/>
      </w:r>
      <w:r w:rsidRPr="00142DD4">
        <w:tab/>
        <w:t>:</w:t>
      </w:r>
    </w:p>
    <w:p w:rsidR="00CD3992" w:rsidRPr="00142DD4" w:rsidRDefault="00CD3992" w:rsidP="00CD3992">
      <w:r w:rsidRPr="00142DD4">
        <w:t xml:space="preserve">County, Honey Brook Township, Chester County </w:t>
      </w:r>
      <w:r w:rsidRPr="00142DD4">
        <w:tab/>
        <w:t>:</w:t>
      </w:r>
    </w:p>
    <w:p w:rsidR="00CD3992" w:rsidRPr="00142DD4" w:rsidRDefault="00CD3992" w:rsidP="00CD3992">
      <w:r w:rsidRPr="00142DD4">
        <w:t xml:space="preserve">and Caernarvon Township, Lancaster County, </w:t>
      </w:r>
      <w:r w:rsidRPr="00142DD4">
        <w:tab/>
        <w:t>:</w:t>
      </w:r>
    </w:p>
    <w:p w:rsidR="00CD3992" w:rsidRPr="00142DD4" w:rsidRDefault="00CD3992" w:rsidP="00CD3992">
      <w:r w:rsidRPr="00142DD4">
        <w:t>Pennsylvania</w:t>
      </w:r>
      <w:r w:rsidRPr="00142DD4">
        <w:tab/>
      </w:r>
      <w:r w:rsidRPr="00142DD4">
        <w:tab/>
      </w:r>
      <w:r w:rsidRPr="00142DD4">
        <w:tab/>
      </w:r>
      <w:r w:rsidRPr="00142DD4">
        <w:tab/>
      </w:r>
      <w:r w:rsidRPr="00142DD4">
        <w:tab/>
        <w:t xml:space="preserve"> </w:t>
      </w:r>
      <w:r w:rsidRPr="00142DD4">
        <w:tab/>
        <w:t>:</w:t>
      </w:r>
    </w:p>
    <w:p w:rsidR="00CD3992" w:rsidRPr="00142DD4" w:rsidRDefault="00CD3992" w:rsidP="00CD3992">
      <w:pPr>
        <w:rPr>
          <w:spacing w:val="-3"/>
        </w:rPr>
      </w:pPr>
    </w:p>
    <w:p w:rsidR="00FD681A" w:rsidRPr="00142DD4" w:rsidRDefault="00FD681A" w:rsidP="00CD3992">
      <w:pPr>
        <w:rPr>
          <w:spacing w:val="-3"/>
        </w:rPr>
      </w:pPr>
    </w:p>
    <w:p w:rsidR="003B2C49" w:rsidRPr="00142DD4" w:rsidRDefault="00A80036" w:rsidP="00FA12D3">
      <w:pPr>
        <w:pStyle w:val="Heading1"/>
        <w:rPr>
          <w:b/>
          <w:szCs w:val="24"/>
        </w:rPr>
      </w:pPr>
      <w:r w:rsidRPr="00142DD4">
        <w:rPr>
          <w:b/>
          <w:szCs w:val="24"/>
        </w:rPr>
        <w:t>ORDER</w:t>
      </w:r>
      <w:r w:rsidR="00C519DD" w:rsidRPr="00142DD4">
        <w:rPr>
          <w:b/>
          <w:szCs w:val="24"/>
        </w:rPr>
        <w:t xml:space="preserve"> </w:t>
      </w:r>
      <w:r w:rsidR="003B2C49" w:rsidRPr="00142DD4">
        <w:rPr>
          <w:b/>
          <w:szCs w:val="24"/>
        </w:rPr>
        <w:t xml:space="preserve">SUSPENDING LITIGATION SCHEDULE </w:t>
      </w:r>
    </w:p>
    <w:p w:rsidR="00A80036" w:rsidRPr="00142DD4" w:rsidRDefault="003B2C49" w:rsidP="00FA12D3">
      <w:pPr>
        <w:pStyle w:val="Heading1"/>
        <w:rPr>
          <w:b/>
          <w:szCs w:val="24"/>
        </w:rPr>
      </w:pPr>
      <w:r w:rsidRPr="00142DD4">
        <w:rPr>
          <w:b/>
          <w:szCs w:val="24"/>
        </w:rPr>
        <w:t xml:space="preserve">AND </w:t>
      </w:r>
      <w:r w:rsidR="00E201AB" w:rsidRPr="00142DD4">
        <w:rPr>
          <w:b/>
          <w:szCs w:val="24"/>
        </w:rPr>
        <w:t>REASSIGNING APPLICATION</w:t>
      </w:r>
    </w:p>
    <w:p w:rsidR="00A80036" w:rsidRPr="00142DD4" w:rsidRDefault="00A80036" w:rsidP="00FA12D3">
      <w:pPr>
        <w:jc w:val="center"/>
        <w:rPr>
          <w:szCs w:val="24"/>
        </w:rPr>
      </w:pPr>
    </w:p>
    <w:p w:rsidR="00E92075" w:rsidRPr="00142DD4" w:rsidRDefault="00E92075" w:rsidP="00FA12D3">
      <w:pPr>
        <w:jc w:val="center"/>
        <w:rPr>
          <w:szCs w:val="24"/>
        </w:rPr>
      </w:pPr>
    </w:p>
    <w:p w:rsidR="0009457E" w:rsidRPr="00142DD4" w:rsidRDefault="0009457E" w:rsidP="0009457E">
      <w:pPr>
        <w:spacing w:line="360" w:lineRule="auto"/>
        <w:ind w:firstLine="1440"/>
      </w:pPr>
      <w:r w:rsidRPr="00142DD4">
        <w:t xml:space="preserve">On November 7, 2013, PPL Electric Utilities Corporation (PPL) filed its application with the Pennsylvania Public Utility Commission (Commission) for authority to construct its proposed 138/69 kV Honey Brook-Twin Valley transmission line.  The proposed 138/69 kV transmission line is approximately 5.3 miles in length  and will pass through portions of Caernarvon Township, Berks County, Honey Brook Township, Chester County and Caernarvon Township, Lancaster County.  </w:t>
      </w:r>
    </w:p>
    <w:p w:rsidR="0009457E" w:rsidRPr="00142DD4" w:rsidRDefault="0009457E" w:rsidP="0009457E">
      <w:pPr>
        <w:spacing w:line="360" w:lineRule="auto"/>
      </w:pPr>
    </w:p>
    <w:p w:rsidR="0009457E" w:rsidRPr="00142DD4" w:rsidRDefault="0009457E" w:rsidP="0009457E">
      <w:pPr>
        <w:spacing w:line="360" w:lineRule="auto"/>
        <w:ind w:firstLine="1440"/>
      </w:pPr>
      <w:r w:rsidRPr="00142DD4">
        <w:t xml:space="preserve">By notice dated November 21, 2013, the Commission scheduled a prehearing conference for this matter on January 16, 2014 at 10:00 a.m. in Hearing Room 3 of the Commonwealth Keystone Building in Harrisburg and assigned the case to me.  I issued Prehearing Order #1 setting forth the procedural matters to be addressed at the prehearing conference.  </w:t>
      </w:r>
    </w:p>
    <w:p w:rsidR="0009457E" w:rsidRPr="00142DD4" w:rsidRDefault="0009457E" w:rsidP="0009457E">
      <w:pPr>
        <w:spacing w:line="360" w:lineRule="auto"/>
      </w:pPr>
    </w:p>
    <w:p w:rsidR="0009457E" w:rsidRPr="00142DD4" w:rsidRDefault="0009457E" w:rsidP="0009457E">
      <w:pPr>
        <w:spacing w:line="360" w:lineRule="auto"/>
        <w:ind w:firstLine="1440"/>
      </w:pPr>
      <w:r w:rsidRPr="00142DD4">
        <w:rPr>
          <w:bCs/>
          <w:spacing w:val="-3"/>
        </w:rPr>
        <w:t>Notice of PPL’s application</w:t>
      </w:r>
      <w:r w:rsidRPr="00142DD4">
        <w:t xml:space="preserve"> </w:t>
      </w:r>
      <w:r w:rsidRPr="00142DD4">
        <w:rPr>
          <w:bCs/>
          <w:spacing w:val="-3"/>
        </w:rPr>
        <w:t>was published in the December 7, 2013</w:t>
      </w:r>
      <w:r w:rsidR="00E66A70">
        <w:rPr>
          <w:bCs/>
          <w:spacing w:val="-3"/>
        </w:rPr>
        <w:t>,</w:t>
      </w:r>
      <w:r w:rsidRPr="00142DD4">
        <w:rPr>
          <w:bCs/>
          <w:spacing w:val="-3"/>
        </w:rPr>
        <w:t xml:space="preserve"> </w:t>
      </w:r>
      <w:r w:rsidRPr="00142DD4">
        <w:rPr>
          <w:bCs/>
          <w:spacing w:val="-3"/>
          <w:u w:val="single"/>
        </w:rPr>
        <w:t>Pennsylvania Bulletin</w:t>
      </w:r>
      <w:r w:rsidRPr="00142DD4">
        <w:rPr>
          <w:bCs/>
          <w:spacing w:val="-3"/>
        </w:rPr>
        <w:t xml:space="preserve"> at 43 </w:t>
      </w:r>
      <w:r w:rsidRPr="00142DD4">
        <w:rPr>
          <w:bCs/>
          <w:spacing w:val="-3"/>
          <w:u w:val="single"/>
        </w:rPr>
        <w:t>Pa.B.</w:t>
      </w:r>
      <w:r w:rsidRPr="00142DD4">
        <w:rPr>
          <w:bCs/>
          <w:spacing w:val="-3"/>
        </w:rPr>
        <w:t xml:space="preserve"> 7201, specifying a deadline of January 9, 2014 for filing protests to the application or petitions to intervene in the proceeding.  The notice also stated that I would preside over a prehearing conference to be held on January 16, 2014 at 10:00 a.m. in Hearing Room 3 of the Commonwealth Keystone Building in Harrisburg.</w:t>
      </w:r>
    </w:p>
    <w:p w:rsidR="0009457E" w:rsidRPr="00142DD4" w:rsidRDefault="0009457E" w:rsidP="0009457E">
      <w:pPr>
        <w:spacing w:line="360" w:lineRule="auto"/>
      </w:pPr>
    </w:p>
    <w:p w:rsidR="0009457E" w:rsidRPr="00142DD4" w:rsidRDefault="0009457E" w:rsidP="0009457E">
      <w:pPr>
        <w:tabs>
          <w:tab w:val="left" w:pos="-720"/>
        </w:tabs>
        <w:suppressAutoHyphens/>
        <w:spacing w:line="360" w:lineRule="auto"/>
        <w:rPr>
          <w:spacing w:val="-3"/>
        </w:rPr>
      </w:pPr>
      <w:r w:rsidRPr="00142DD4">
        <w:rPr>
          <w:spacing w:val="-3"/>
        </w:rPr>
        <w:tab/>
      </w:r>
      <w:r w:rsidRPr="00142DD4">
        <w:rPr>
          <w:spacing w:val="-3"/>
        </w:rPr>
        <w:tab/>
        <w:t xml:space="preserve">On December 11, 2013, the Berks County Planning Commission (Berks Planning) filed a letter containing comments to PPL’s proposed project.  The letter compliments PPL for making improvements that will enhance electric service to the area.  The letter also points out some land development, erosion, sedimentation and storm water management issues that PPL should consider.  Finally the letter points out that some of the property over which the proposed transmission line will be located is subject to certain agricultural preservation easements.  </w:t>
      </w:r>
    </w:p>
    <w:p w:rsidR="0009457E" w:rsidRPr="00142DD4" w:rsidRDefault="0009457E" w:rsidP="0009457E">
      <w:pPr>
        <w:tabs>
          <w:tab w:val="left" w:pos="-720"/>
        </w:tabs>
        <w:suppressAutoHyphens/>
        <w:spacing w:line="360" w:lineRule="auto"/>
        <w:rPr>
          <w:spacing w:val="-3"/>
        </w:rPr>
      </w:pPr>
    </w:p>
    <w:p w:rsidR="0009457E" w:rsidRPr="00142DD4" w:rsidRDefault="0009457E" w:rsidP="0009457E">
      <w:pPr>
        <w:tabs>
          <w:tab w:val="left" w:pos="-720"/>
        </w:tabs>
        <w:suppressAutoHyphens/>
        <w:spacing w:line="360" w:lineRule="auto"/>
        <w:rPr>
          <w:spacing w:val="-3"/>
        </w:rPr>
      </w:pPr>
      <w:r w:rsidRPr="00142DD4">
        <w:rPr>
          <w:spacing w:val="-3"/>
        </w:rPr>
        <w:tab/>
      </w:r>
      <w:r w:rsidRPr="00142DD4">
        <w:rPr>
          <w:spacing w:val="-3"/>
        </w:rPr>
        <w:tab/>
        <w:t>On December 16, 2013, Michael and Patricia Fleck (Fleck</w:t>
      </w:r>
      <w:r w:rsidR="00E66A70">
        <w:rPr>
          <w:spacing w:val="-3"/>
        </w:rPr>
        <w:t>s</w:t>
      </w:r>
      <w:r w:rsidRPr="00142DD4">
        <w:rPr>
          <w:spacing w:val="-3"/>
        </w:rPr>
        <w:t xml:space="preserve">) filed a letter formally objecting to PPL’s construction of the proposed transmission line.  According to the letter, the proposed transmission line will be located less than 300 feet from their house.  The Flecks contend that the proposed transmission line will have negative effects on their safety and health as well as a negative impact on the value of their property.  The Flecks request that the PPL explore alternative routes for the proposed transmission line. </w:t>
      </w:r>
    </w:p>
    <w:p w:rsidR="0009457E" w:rsidRPr="00142DD4" w:rsidRDefault="0009457E" w:rsidP="0009457E">
      <w:pPr>
        <w:spacing w:line="360" w:lineRule="auto"/>
        <w:rPr>
          <w:color w:val="000000"/>
        </w:rPr>
      </w:pPr>
    </w:p>
    <w:p w:rsidR="0009457E" w:rsidRPr="00142DD4" w:rsidRDefault="0009457E" w:rsidP="00E66A70">
      <w:pPr>
        <w:spacing w:line="360" w:lineRule="auto"/>
      </w:pPr>
      <w:r w:rsidRPr="00142DD4">
        <w:tab/>
      </w:r>
      <w:r w:rsidRPr="00142DD4">
        <w:tab/>
        <w:t>I conducted a prehearing conference on January 16, 2014 at 10:00 a.m. in Harrisburg.  Present was counsel for PPL.</w:t>
      </w:r>
      <w:r w:rsidRPr="00142DD4">
        <w:rPr>
          <w:spacing w:val="-3"/>
        </w:rPr>
        <w:t xml:space="preserve">  At the prehearing conference, PPL did not </w:t>
      </w:r>
      <w:r w:rsidR="000E2B0C" w:rsidRPr="00142DD4">
        <w:rPr>
          <w:spacing w:val="-3"/>
        </w:rPr>
        <w:t>oppose</w:t>
      </w:r>
      <w:r w:rsidRPr="00142DD4">
        <w:rPr>
          <w:spacing w:val="-3"/>
        </w:rPr>
        <w:t xml:space="preserve"> Berks Planning</w:t>
      </w:r>
      <w:r w:rsidR="00E66A70">
        <w:rPr>
          <w:spacing w:val="-3"/>
        </w:rPr>
        <w:t>’s</w:t>
      </w:r>
      <w:r w:rsidRPr="00142DD4">
        <w:rPr>
          <w:spacing w:val="-3"/>
        </w:rPr>
        <w:t xml:space="preserve"> or </w:t>
      </w:r>
      <w:r w:rsidR="00E66A70">
        <w:rPr>
          <w:spacing w:val="-3"/>
        </w:rPr>
        <w:t xml:space="preserve">the </w:t>
      </w:r>
      <w:r w:rsidRPr="00142DD4">
        <w:rPr>
          <w:spacing w:val="-3"/>
        </w:rPr>
        <w:t>Fleck</w:t>
      </w:r>
      <w:r w:rsidR="00E66A70">
        <w:rPr>
          <w:spacing w:val="-3"/>
        </w:rPr>
        <w:t>s’</w:t>
      </w:r>
      <w:r w:rsidRPr="00142DD4">
        <w:rPr>
          <w:spacing w:val="-3"/>
        </w:rPr>
        <w:t xml:space="preserve"> objections.  </w:t>
      </w:r>
      <w:r w:rsidRPr="00142DD4">
        <w:t xml:space="preserve">As a result of the prehearing conference, I issued Prehearing Order #2 on January 17, 2014.  Prehearing Order #2 granted the Berks Planning and </w:t>
      </w:r>
      <w:r w:rsidR="00E66A70">
        <w:t xml:space="preserve">the </w:t>
      </w:r>
      <w:r w:rsidRPr="00142DD4">
        <w:t>Fleck</w:t>
      </w:r>
      <w:r w:rsidR="00E66A70">
        <w:t>s</w:t>
      </w:r>
      <w:r w:rsidRPr="00142DD4">
        <w:t xml:space="preserve"> protests or petitions to intervene and established a litigation schedule.  </w:t>
      </w:r>
    </w:p>
    <w:p w:rsidR="0009457E" w:rsidRPr="00142DD4" w:rsidRDefault="0009457E" w:rsidP="0009457E">
      <w:pPr>
        <w:tabs>
          <w:tab w:val="left" w:pos="-720"/>
        </w:tabs>
        <w:suppressAutoHyphens/>
        <w:spacing w:line="360" w:lineRule="auto"/>
      </w:pPr>
    </w:p>
    <w:p w:rsidR="0009457E" w:rsidRPr="00142DD4" w:rsidRDefault="0009457E" w:rsidP="0009457E">
      <w:pPr>
        <w:suppressAutoHyphens/>
        <w:spacing w:line="360" w:lineRule="auto"/>
        <w:ind w:firstLine="1440"/>
      </w:pPr>
      <w:r w:rsidRPr="00142DD4">
        <w:t xml:space="preserve">By notice dated January 31, 2014, the Commission scheduled evidentiary hearings on </w:t>
      </w:r>
      <w:r w:rsidR="00DC25A4" w:rsidRPr="00142DD4">
        <w:t>April 14 and 15</w:t>
      </w:r>
      <w:r w:rsidRPr="00142DD4">
        <w:t xml:space="preserve">, 2014 at 10:00 a.m. in Hearing Room 3, Commonwealth Keystone Building, Harrisburg.  </w:t>
      </w:r>
    </w:p>
    <w:p w:rsidR="00E66A70" w:rsidRDefault="00E66A70" w:rsidP="000E2B0C">
      <w:pPr>
        <w:spacing w:line="360" w:lineRule="auto"/>
        <w:ind w:firstLine="1440"/>
      </w:pPr>
    </w:p>
    <w:p w:rsidR="000E2B0C" w:rsidRPr="00142DD4" w:rsidRDefault="000E2B0C" w:rsidP="000E2B0C">
      <w:pPr>
        <w:spacing w:line="360" w:lineRule="auto"/>
        <w:ind w:firstLine="1440"/>
      </w:pPr>
      <w:r w:rsidRPr="00142DD4">
        <w:t xml:space="preserve">On January 31, 2014, PPL served the following prepared direct testimony on </w:t>
      </w:r>
      <w:r w:rsidRPr="00142DD4">
        <w:rPr>
          <w:spacing w:val="-3"/>
        </w:rPr>
        <w:t>Berks Planning and Fleck</w:t>
      </w:r>
      <w:r w:rsidRPr="00142DD4">
        <w:t xml:space="preserve">: </w:t>
      </w:r>
    </w:p>
    <w:p w:rsidR="000E2B0C" w:rsidRPr="00142DD4" w:rsidRDefault="000E2B0C" w:rsidP="000E2B0C">
      <w:pPr>
        <w:spacing w:line="360" w:lineRule="auto"/>
        <w:ind w:firstLine="1440"/>
      </w:pPr>
    </w:p>
    <w:p w:rsidR="000E2B0C" w:rsidRPr="00142DD4" w:rsidRDefault="000E2B0C" w:rsidP="00FD681A">
      <w:pPr>
        <w:ind w:left="1440"/>
      </w:pPr>
      <w:r w:rsidRPr="00142DD4">
        <w:t>PPL Statement No. 1; Direct Testimony of Douglas J. Grossman</w:t>
      </w:r>
    </w:p>
    <w:p w:rsidR="000E2B0C" w:rsidRPr="00142DD4" w:rsidRDefault="000E2B0C" w:rsidP="00FD681A">
      <w:pPr>
        <w:ind w:left="1440"/>
      </w:pPr>
      <w:r w:rsidRPr="00142DD4">
        <w:t>PPL Statement No. 2; Direct Testimony and Exhibits of Kenneth L. Hampton</w:t>
      </w:r>
    </w:p>
    <w:p w:rsidR="000E2B0C" w:rsidRPr="00142DD4" w:rsidRDefault="000E2B0C" w:rsidP="00FD681A">
      <w:pPr>
        <w:ind w:left="1440"/>
      </w:pPr>
      <w:r w:rsidRPr="00142DD4">
        <w:t xml:space="preserve">PPL Statement No. 3; Direct Testimony of Peter Sparhawk </w:t>
      </w:r>
    </w:p>
    <w:p w:rsidR="000E2B0C" w:rsidRPr="00142DD4" w:rsidRDefault="000E2B0C" w:rsidP="00FD681A">
      <w:pPr>
        <w:ind w:left="1440"/>
      </w:pPr>
      <w:r w:rsidRPr="00142DD4">
        <w:t>PPL Statement No. 4; Direct Testimony of Kyle D. Swartzentruber</w:t>
      </w:r>
    </w:p>
    <w:p w:rsidR="000E2B0C" w:rsidRPr="00142DD4" w:rsidRDefault="000E2B0C" w:rsidP="00FD681A">
      <w:pPr>
        <w:ind w:left="1440"/>
      </w:pPr>
      <w:r w:rsidRPr="00142DD4">
        <w:lastRenderedPageBreak/>
        <w:t xml:space="preserve">PPL Statement No. 5; Direct Testimony of </w:t>
      </w:r>
      <w:r w:rsidR="00EA04B6" w:rsidRPr="00142DD4">
        <w:t>JoMarie Jenkins</w:t>
      </w:r>
    </w:p>
    <w:p w:rsidR="00EA04B6" w:rsidRPr="00142DD4" w:rsidRDefault="00EA04B6" w:rsidP="00FD681A">
      <w:pPr>
        <w:ind w:left="1440"/>
      </w:pPr>
      <w:r w:rsidRPr="00142DD4">
        <w:t>PPL Statement No. 6; Direct Testimony and Exhibits of Dennis Braun</w:t>
      </w:r>
    </w:p>
    <w:p w:rsidR="0009457E" w:rsidRPr="00142DD4" w:rsidRDefault="0009457E" w:rsidP="00FD681A">
      <w:pPr>
        <w:suppressAutoHyphens/>
      </w:pPr>
    </w:p>
    <w:p w:rsidR="0009457E" w:rsidRPr="00142DD4" w:rsidRDefault="0009457E" w:rsidP="0009457E">
      <w:pPr>
        <w:pStyle w:val="PlainText"/>
        <w:spacing w:line="360" w:lineRule="auto"/>
        <w:ind w:firstLine="1440"/>
        <w:rPr>
          <w:rFonts w:ascii="Times New Roman" w:hAnsi="Times New Roman"/>
          <w:sz w:val="24"/>
        </w:rPr>
      </w:pPr>
      <w:r w:rsidRPr="00142DD4">
        <w:rPr>
          <w:rFonts w:ascii="Times New Roman" w:hAnsi="Times New Roman"/>
          <w:sz w:val="24"/>
        </w:rPr>
        <w:t xml:space="preserve">On February 21, 2014, I received an email from Robert Fleck.  The email indicated that the Flecks were withdrawing their protest.  Since the email did not indicate that it had been sent to the counsel for PPL, I copied </w:t>
      </w:r>
      <w:r w:rsidR="00E66A70">
        <w:rPr>
          <w:rFonts w:ascii="Times New Roman" w:hAnsi="Times New Roman"/>
          <w:sz w:val="24"/>
        </w:rPr>
        <w:t>Christopher T.</w:t>
      </w:r>
      <w:r w:rsidRPr="00142DD4">
        <w:rPr>
          <w:rFonts w:ascii="Times New Roman" w:hAnsi="Times New Roman"/>
          <w:sz w:val="24"/>
        </w:rPr>
        <w:t xml:space="preserve"> Wright,</w:t>
      </w:r>
      <w:r w:rsidR="00E66A70">
        <w:rPr>
          <w:rFonts w:ascii="Times New Roman" w:hAnsi="Times New Roman"/>
          <w:sz w:val="24"/>
        </w:rPr>
        <w:t xml:space="preserve"> Esquire, </w:t>
      </w:r>
      <w:r w:rsidRPr="00142DD4">
        <w:rPr>
          <w:rFonts w:ascii="Times New Roman" w:hAnsi="Times New Roman"/>
          <w:sz w:val="24"/>
        </w:rPr>
        <w:t xml:space="preserve">counsel for PPL, in my response to the Flecks’ email since the email to me could be construed as an ex parte communication prohibited by 66 Pa.C.S. </w:t>
      </w:r>
      <w:proofErr w:type="gramStart"/>
      <w:r w:rsidRPr="00142DD4">
        <w:rPr>
          <w:rFonts w:ascii="Times New Roman" w:hAnsi="Times New Roman"/>
          <w:sz w:val="24"/>
        </w:rPr>
        <w:t>334(c).</w:t>
      </w:r>
      <w:proofErr w:type="gramEnd"/>
      <w:r w:rsidRPr="00142DD4">
        <w:rPr>
          <w:rFonts w:ascii="Times New Roman" w:hAnsi="Times New Roman"/>
          <w:sz w:val="24"/>
        </w:rPr>
        <w:t xml:space="preserve">  I also cause</w:t>
      </w:r>
      <w:r w:rsidR="00E66A70">
        <w:rPr>
          <w:rFonts w:ascii="Times New Roman" w:hAnsi="Times New Roman"/>
          <w:sz w:val="24"/>
        </w:rPr>
        <w:t>d</w:t>
      </w:r>
      <w:r w:rsidRPr="00142DD4">
        <w:rPr>
          <w:rFonts w:ascii="Times New Roman" w:hAnsi="Times New Roman"/>
          <w:sz w:val="24"/>
        </w:rPr>
        <w:t xml:space="preserve"> a copy of my response and </w:t>
      </w:r>
      <w:r w:rsidR="00E66A70">
        <w:rPr>
          <w:rFonts w:ascii="Times New Roman" w:hAnsi="Times New Roman"/>
          <w:sz w:val="24"/>
        </w:rPr>
        <w:t xml:space="preserve">the </w:t>
      </w:r>
      <w:r w:rsidRPr="00142DD4">
        <w:rPr>
          <w:rFonts w:ascii="Times New Roman" w:hAnsi="Times New Roman"/>
          <w:sz w:val="24"/>
        </w:rPr>
        <w:t>Flecks</w:t>
      </w:r>
      <w:r w:rsidR="00E66A70">
        <w:rPr>
          <w:rFonts w:ascii="Times New Roman" w:hAnsi="Times New Roman"/>
          <w:sz w:val="24"/>
        </w:rPr>
        <w:t>’</w:t>
      </w:r>
      <w:r w:rsidRPr="00142DD4">
        <w:rPr>
          <w:rFonts w:ascii="Times New Roman" w:hAnsi="Times New Roman"/>
          <w:sz w:val="24"/>
        </w:rPr>
        <w:t xml:space="preserve"> email to be filed with the Commission's Secretary.</w:t>
      </w:r>
    </w:p>
    <w:p w:rsidR="0009457E" w:rsidRPr="00142DD4" w:rsidRDefault="0009457E" w:rsidP="0009457E">
      <w:pPr>
        <w:pStyle w:val="PlainText"/>
        <w:spacing w:line="360" w:lineRule="auto"/>
        <w:rPr>
          <w:rFonts w:ascii="Times New Roman" w:hAnsi="Times New Roman"/>
          <w:sz w:val="24"/>
        </w:rPr>
      </w:pPr>
    </w:p>
    <w:p w:rsidR="0009457E" w:rsidRPr="00142DD4" w:rsidRDefault="0009457E" w:rsidP="0009457E">
      <w:pPr>
        <w:suppressAutoHyphens/>
        <w:spacing w:line="360" w:lineRule="auto"/>
        <w:ind w:firstLine="1440"/>
      </w:pPr>
      <w:r w:rsidRPr="00142DD4">
        <w:t xml:space="preserve">In my response, I informed </w:t>
      </w:r>
      <w:r w:rsidR="00E66A70">
        <w:t xml:space="preserve">the </w:t>
      </w:r>
      <w:r w:rsidRPr="00142DD4">
        <w:t>Fleck</w:t>
      </w:r>
      <w:r w:rsidR="00E66A70">
        <w:t>s</w:t>
      </w:r>
      <w:r w:rsidRPr="00142DD4">
        <w:t xml:space="preserve"> that I would treat </w:t>
      </w:r>
      <w:r w:rsidR="00E66A70">
        <w:t>their</w:t>
      </w:r>
      <w:r w:rsidRPr="00142DD4">
        <w:t xml:space="preserve"> email as a notice of withdrawal of </w:t>
      </w:r>
      <w:r w:rsidR="00E66A70">
        <w:t>their</w:t>
      </w:r>
      <w:r w:rsidRPr="00142DD4">
        <w:t xml:space="preserve"> protest to PPL's application, pursuant to 52 Pa.Code 5.94(b).  I further informed </w:t>
      </w:r>
      <w:r w:rsidR="00E66A70">
        <w:t xml:space="preserve">the </w:t>
      </w:r>
      <w:r w:rsidRPr="00142DD4">
        <w:t>Fleck</w:t>
      </w:r>
      <w:r w:rsidR="00E66A70">
        <w:t>s</w:t>
      </w:r>
      <w:r w:rsidRPr="00142DD4">
        <w:t xml:space="preserve"> that, pursuant to 52 </w:t>
      </w:r>
      <w:proofErr w:type="spellStart"/>
      <w:r w:rsidRPr="00142DD4">
        <w:t>Pa.Code</w:t>
      </w:r>
      <w:proofErr w:type="spellEnd"/>
      <w:r w:rsidRPr="00142DD4">
        <w:t xml:space="preserve"> 5.94(b), </w:t>
      </w:r>
      <w:r w:rsidR="00E66A70">
        <w:t>their</w:t>
      </w:r>
      <w:r w:rsidRPr="00142DD4">
        <w:t xml:space="preserve"> protest would be treated as withdrawn without further action of the Commission.  </w:t>
      </w:r>
    </w:p>
    <w:p w:rsidR="0009457E" w:rsidRPr="00142DD4" w:rsidRDefault="0009457E" w:rsidP="0009457E">
      <w:pPr>
        <w:suppressAutoHyphens/>
        <w:spacing w:line="360" w:lineRule="auto"/>
        <w:ind w:firstLine="1440"/>
      </w:pPr>
    </w:p>
    <w:p w:rsidR="00773973" w:rsidRPr="00142DD4" w:rsidRDefault="0009457E" w:rsidP="0009457E">
      <w:pPr>
        <w:spacing w:line="360" w:lineRule="auto"/>
        <w:ind w:firstLine="1440"/>
      </w:pPr>
      <w:r w:rsidRPr="00142DD4">
        <w:t xml:space="preserve">On March 17, 2014, I received a letter dated March 12, 2014 from </w:t>
      </w:r>
      <w:r w:rsidRPr="00142DD4">
        <w:rPr>
          <w:spacing w:val="-3"/>
        </w:rPr>
        <w:t xml:space="preserve">Berks Planning.  The letter indicated that Berks Planning </w:t>
      </w:r>
      <w:r w:rsidR="00E66A70">
        <w:rPr>
          <w:spacing w:val="-3"/>
        </w:rPr>
        <w:t xml:space="preserve">had not intended </w:t>
      </w:r>
      <w:r w:rsidRPr="00142DD4">
        <w:rPr>
          <w:spacing w:val="-3"/>
        </w:rPr>
        <w:t>to formally intervene in the application proceeding.  The letter requested that the Berks Planning protest be withdrawn.</w:t>
      </w:r>
      <w:r w:rsidR="00E66A70">
        <w:rPr>
          <w:spacing w:val="-3"/>
        </w:rPr>
        <w:t xml:space="preserve">  </w:t>
      </w:r>
      <w:r w:rsidR="00E66A70" w:rsidRPr="00142DD4">
        <w:t>I cause</w:t>
      </w:r>
      <w:r w:rsidR="00E66A70">
        <w:t>d</w:t>
      </w:r>
      <w:r w:rsidR="00E66A70" w:rsidRPr="00142DD4">
        <w:t xml:space="preserve"> a copy of </w:t>
      </w:r>
      <w:r w:rsidR="00E66A70">
        <w:t>the Berks Planning letter</w:t>
      </w:r>
      <w:r w:rsidR="00E66A70" w:rsidRPr="00142DD4">
        <w:t xml:space="preserve"> to be filed with the Commission's Secretary</w:t>
      </w:r>
      <w:r w:rsidR="00E66A70">
        <w:rPr>
          <w:spacing w:val="-3"/>
        </w:rPr>
        <w:t xml:space="preserve">  </w:t>
      </w:r>
      <w:r w:rsidRPr="00142DD4">
        <w:rPr>
          <w:spacing w:val="-3"/>
        </w:rPr>
        <w:t xml:space="preserve">  Pursuant </w:t>
      </w:r>
      <w:r w:rsidRPr="00142DD4">
        <w:t>to 52 Pa.Code 5.94(b), the Berks Planning protest will be treated as withdrawn without further action of the Commission.</w:t>
      </w:r>
    </w:p>
    <w:p w:rsidR="0009457E" w:rsidRPr="00142DD4" w:rsidRDefault="0009457E" w:rsidP="0009457E">
      <w:pPr>
        <w:spacing w:line="360" w:lineRule="auto"/>
        <w:ind w:firstLine="1440"/>
      </w:pPr>
    </w:p>
    <w:p w:rsidR="007D1C02" w:rsidRDefault="00E66A70" w:rsidP="0009457E">
      <w:pPr>
        <w:spacing w:line="360" w:lineRule="auto"/>
        <w:ind w:firstLine="1440"/>
      </w:pPr>
      <w:r>
        <w:t>After receiving the Berks Planning letter, c</w:t>
      </w:r>
      <w:r w:rsidR="00EA04B6" w:rsidRPr="00142DD4">
        <w:t xml:space="preserve">ounsel for PPL </w:t>
      </w:r>
      <w:r>
        <w:t xml:space="preserve">contacted me and </w:t>
      </w:r>
      <w:r w:rsidR="00EA04B6" w:rsidRPr="00142DD4">
        <w:t xml:space="preserve">requested that I </w:t>
      </w:r>
      <w:r w:rsidR="004C00D4" w:rsidRPr="00142DD4">
        <w:t xml:space="preserve">treat the application as unopposed and </w:t>
      </w:r>
      <w:r w:rsidR="00EA04B6" w:rsidRPr="00142DD4">
        <w:t>refer this matter to the Commission’s Bureau of Technical Utility Services</w:t>
      </w:r>
      <w:r>
        <w:t xml:space="preserve"> for further action</w:t>
      </w:r>
      <w:r w:rsidR="00EA04B6" w:rsidRPr="00142DD4">
        <w:t>.</w:t>
      </w:r>
      <w:r>
        <w:t xml:space="preserve">  Such a course of action is appropriate</w:t>
      </w:r>
      <w:r w:rsidR="007D1C02">
        <w:t xml:space="preserve"> because PPL provided notice of the filing of its applications to the entities with an interest in the application as set forth in the Commission’s regulations and those entities have declined to participate in this proceeding.</w:t>
      </w:r>
      <w:r w:rsidR="00EA04B6" w:rsidRPr="00142DD4">
        <w:t xml:space="preserve">  </w:t>
      </w:r>
    </w:p>
    <w:p w:rsidR="007D1C02" w:rsidRDefault="007D1C02" w:rsidP="0009457E">
      <w:pPr>
        <w:spacing w:line="360" w:lineRule="auto"/>
        <w:ind w:firstLine="1440"/>
      </w:pPr>
    </w:p>
    <w:p w:rsidR="007D1C02" w:rsidRDefault="00EA04B6" w:rsidP="0009457E">
      <w:pPr>
        <w:spacing w:line="360" w:lineRule="auto"/>
        <w:ind w:firstLine="1440"/>
      </w:pPr>
      <w:r w:rsidRPr="00142DD4">
        <w:t>PPL served copies of this application on all involved governmental agencies and municipalities as required by 52 Pa. Code § 57.74</w:t>
      </w:r>
      <w:r w:rsidR="004C00D4" w:rsidRPr="00142DD4">
        <w:t xml:space="preserve">.  PPL also served notice of the application and relevant maps on all affected property owners as required by 52 Pa.Code § 57.74.  These entities </w:t>
      </w:r>
      <w:r w:rsidR="004C00D4" w:rsidRPr="00142DD4">
        <w:lastRenderedPageBreak/>
        <w:t xml:space="preserve">received notice of the prehearing conference and had an opportunity to be heard as required to provide due process.  </w:t>
      </w:r>
      <w:r w:rsidR="004C00D4" w:rsidRPr="00142DD4">
        <w:rPr>
          <w:u w:val="single"/>
        </w:rPr>
        <w:t>Schneider v. Pa. Pub. Util. Comm’n</w:t>
      </w:r>
      <w:r w:rsidR="004C00D4" w:rsidRPr="00142DD4">
        <w:t xml:space="preserve">, 479 A.2d 10 (Pa. Cmwlth 1984).  No entities or individuals other than Berks Planning and </w:t>
      </w:r>
      <w:r w:rsidR="007D1C02">
        <w:t xml:space="preserve">the </w:t>
      </w:r>
      <w:r w:rsidR="004C00D4" w:rsidRPr="00142DD4">
        <w:t>Fleck</w:t>
      </w:r>
      <w:r w:rsidR="007D1C02">
        <w:t>s</w:t>
      </w:r>
      <w:r w:rsidR="004C00D4" w:rsidRPr="00142DD4">
        <w:t xml:space="preserve"> indicated any opposition to PPL’s application either by appearing at the prehearing conference or by filing a protest or petition to intervene.  </w:t>
      </w:r>
      <w:r w:rsidR="007D1C02">
        <w:t>As noted above, Berks Planning and the Flecks have withdrawn their protests and no longer oppose PPL’s application.</w:t>
      </w:r>
    </w:p>
    <w:p w:rsidR="007D1C02" w:rsidRDefault="007D1C02" w:rsidP="0009457E">
      <w:pPr>
        <w:spacing w:line="360" w:lineRule="auto"/>
        <w:ind w:firstLine="1440"/>
      </w:pPr>
    </w:p>
    <w:p w:rsidR="004C00D4" w:rsidRPr="00142DD4" w:rsidRDefault="004C00D4" w:rsidP="0009457E">
      <w:pPr>
        <w:spacing w:line="360" w:lineRule="auto"/>
        <w:ind w:firstLine="1440"/>
      </w:pPr>
      <w:r w:rsidRPr="00142DD4">
        <w:t>Treating PPL’s application as unopposed is appropriate in these circumstances and will dispense with the need for hearings and briefs, saving PPL, and ultimately its customers, costs in time and money.  I will therefore refer th</w:t>
      </w:r>
      <w:r w:rsidR="007D1C02">
        <w:t>is</w:t>
      </w:r>
      <w:r w:rsidRPr="00142DD4">
        <w:t xml:space="preserve"> matter to the Commission’s Bureau of Technical Utility Services.</w:t>
      </w:r>
    </w:p>
    <w:p w:rsidR="004C00D4" w:rsidRPr="00142DD4" w:rsidRDefault="004C00D4" w:rsidP="0009457E">
      <w:pPr>
        <w:spacing w:line="360" w:lineRule="auto"/>
        <w:ind w:firstLine="1440"/>
      </w:pPr>
    </w:p>
    <w:p w:rsidR="00FC611D" w:rsidRPr="00142DD4" w:rsidRDefault="004C00D4" w:rsidP="00DC25A4">
      <w:pPr>
        <w:spacing w:line="360" w:lineRule="auto"/>
        <w:ind w:firstLine="1440"/>
      </w:pPr>
      <w:r w:rsidRPr="00142DD4">
        <w:t xml:space="preserve">Since I am referring </w:t>
      </w:r>
      <w:r w:rsidR="00DC25A4" w:rsidRPr="00142DD4">
        <w:t>this matter to the Commission’s Bureau of Technical Utility Services, it is also appropriate to suspend the litigation schedule</w:t>
      </w:r>
      <w:r w:rsidR="007D1C02">
        <w:t xml:space="preserve"> established for this proceeding </w:t>
      </w:r>
      <w:r w:rsidR="00DC25A4" w:rsidRPr="00142DD4">
        <w:t xml:space="preserve">and cancel the hearings set for April 14 and 15, 2014.  I will suspend the litigation schedule set forth in Prehearing Order #2 </w:t>
      </w:r>
      <w:r w:rsidR="00FC611D" w:rsidRPr="00142DD4">
        <w:t>and cancel the hearings scheduled for April 14 and 15, 2014.</w:t>
      </w:r>
    </w:p>
    <w:p w:rsidR="00FC5E73" w:rsidRPr="00142DD4" w:rsidRDefault="00DC25A4" w:rsidP="00DC25A4">
      <w:pPr>
        <w:spacing w:line="360" w:lineRule="auto"/>
        <w:ind w:firstLine="1440"/>
      </w:pPr>
      <w:r w:rsidRPr="00142DD4">
        <w:t xml:space="preserve"> </w:t>
      </w:r>
      <w:r w:rsidR="00D44576" w:rsidRPr="00142DD4">
        <w:t xml:space="preserve">  </w:t>
      </w:r>
    </w:p>
    <w:p w:rsidR="00A80036" w:rsidRPr="00142DD4" w:rsidRDefault="00A80036" w:rsidP="00FA12D3">
      <w:pPr>
        <w:pStyle w:val="Heading1"/>
        <w:spacing w:line="360" w:lineRule="auto"/>
        <w:rPr>
          <w:szCs w:val="24"/>
        </w:rPr>
      </w:pPr>
      <w:r w:rsidRPr="00142DD4">
        <w:rPr>
          <w:szCs w:val="24"/>
        </w:rPr>
        <w:t>ORDER</w:t>
      </w:r>
    </w:p>
    <w:p w:rsidR="00426E45" w:rsidRPr="00142DD4" w:rsidRDefault="00426E45" w:rsidP="00885D34">
      <w:pPr>
        <w:spacing w:line="360" w:lineRule="auto"/>
        <w:jc w:val="center"/>
        <w:rPr>
          <w:szCs w:val="24"/>
        </w:rPr>
      </w:pPr>
    </w:p>
    <w:p w:rsidR="00A80036" w:rsidRPr="00142DD4" w:rsidRDefault="00A80036" w:rsidP="00FA12D3">
      <w:pPr>
        <w:spacing w:line="360" w:lineRule="auto"/>
        <w:rPr>
          <w:szCs w:val="24"/>
        </w:rPr>
      </w:pPr>
      <w:r w:rsidRPr="00142DD4">
        <w:rPr>
          <w:szCs w:val="24"/>
        </w:rPr>
        <w:tab/>
      </w:r>
      <w:r w:rsidRPr="00142DD4">
        <w:rPr>
          <w:szCs w:val="24"/>
        </w:rPr>
        <w:tab/>
        <w:t>THEREFORE,</w:t>
      </w:r>
    </w:p>
    <w:p w:rsidR="00631AD8" w:rsidRPr="00142DD4" w:rsidRDefault="00631AD8" w:rsidP="00885D34">
      <w:pPr>
        <w:spacing w:line="360" w:lineRule="auto"/>
        <w:rPr>
          <w:szCs w:val="24"/>
        </w:rPr>
      </w:pPr>
    </w:p>
    <w:p w:rsidR="00A80036" w:rsidRPr="00142DD4" w:rsidRDefault="00A80036" w:rsidP="00FA12D3">
      <w:pPr>
        <w:spacing w:line="360" w:lineRule="auto"/>
        <w:rPr>
          <w:szCs w:val="24"/>
        </w:rPr>
      </w:pPr>
      <w:r w:rsidRPr="00142DD4">
        <w:rPr>
          <w:szCs w:val="24"/>
        </w:rPr>
        <w:tab/>
      </w:r>
      <w:r w:rsidRPr="00142DD4">
        <w:rPr>
          <w:szCs w:val="24"/>
        </w:rPr>
        <w:tab/>
        <w:t>IT IS ORDERED:</w:t>
      </w:r>
    </w:p>
    <w:p w:rsidR="00A80036" w:rsidRPr="00142DD4" w:rsidRDefault="00A80036" w:rsidP="00885D34">
      <w:pPr>
        <w:spacing w:line="360" w:lineRule="auto"/>
        <w:rPr>
          <w:szCs w:val="24"/>
        </w:rPr>
      </w:pPr>
    </w:p>
    <w:p w:rsidR="00FC611D" w:rsidRPr="00142DD4" w:rsidRDefault="00B21403" w:rsidP="00633824">
      <w:pPr>
        <w:spacing w:line="360" w:lineRule="auto"/>
        <w:rPr>
          <w:szCs w:val="24"/>
        </w:rPr>
      </w:pPr>
      <w:r w:rsidRPr="00142DD4">
        <w:rPr>
          <w:szCs w:val="24"/>
        </w:rPr>
        <w:tab/>
      </w:r>
      <w:r w:rsidRPr="00142DD4">
        <w:rPr>
          <w:szCs w:val="24"/>
        </w:rPr>
        <w:tab/>
      </w:r>
      <w:r w:rsidR="00FC611D" w:rsidRPr="00142DD4">
        <w:rPr>
          <w:szCs w:val="24"/>
        </w:rPr>
        <w:t>1.</w:t>
      </w:r>
      <w:r w:rsidR="00FC611D" w:rsidRPr="00142DD4">
        <w:rPr>
          <w:szCs w:val="24"/>
        </w:rPr>
        <w:tab/>
        <w:t xml:space="preserve">That the litigation schedule </w:t>
      </w:r>
      <w:r w:rsidR="003B2C49" w:rsidRPr="00142DD4">
        <w:rPr>
          <w:szCs w:val="24"/>
        </w:rPr>
        <w:t xml:space="preserve">set forth in Prehearing Order #2, issued January 17, 2014, </w:t>
      </w:r>
      <w:r w:rsidR="00142DD4" w:rsidRPr="00142DD4">
        <w:rPr>
          <w:szCs w:val="24"/>
        </w:rPr>
        <w:t xml:space="preserve">at Docket No. </w:t>
      </w:r>
      <w:r w:rsidR="00142DD4" w:rsidRPr="00142DD4">
        <w:t>A-2013-2392102</w:t>
      </w:r>
      <w:r w:rsidR="003B2C49" w:rsidRPr="00142DD4">
        <w:rPr>
          <w:szCs w:val="24"/>
        </w:rPr>
        <w:t xml:space="preserve"> is suspended. </w:t>
      </w:r>
    </w:p>
    <w:p w:rsidR="00FC611D" w:rsidRPr="00142DD4" w:rsidRDefault="00FC611D" w:rsidP="00633824">
      <w:pPr>
        <w:spacing w:line="360" w:lineRule="auto"/>
        <w:rPr>
          <w:szCs w:val="24"/>
        </w:rPr>
      </w:pPr>
    </w:p>
    <w:p w:rsidR="00395875" w:rsidRPr="00142DD4" w:rsidRDefault="003B2C49" w:rsidP="003B2C49">
      <w:pPr>
        <w:spacing w:line="360" w:lineRule="auto"/>
        <w:ind w:firstLine="1440"/>
        <w:rPr>
          <w:szCs w:val="24"/>
        </w:rPr>
      </w:pPr>
      <w:r w:rsidRPr="00142DD4">
        <w:rPr>
          <w:szCs w:val="24"/>
        </w:rPr>
        <w:t>2</w:t>
      </w:r>
      <w:r w:rsidR="00B21403" w:rsidRPr="00142DD4">
        <w:rPr>
          <w:szCs w:val="24"/>
        </w:rPr>
        <w:t>.</w:t>
      </w:r>
      <w:r w:rsidR="00B21403" w:rsidRPr="00142DD4">
        <w:rPr>
          <w:szCs w:val="24"/>
        </w:rPr>
        <w:tab/>
      </w:r>
      <w:r w:rsidR="00395875" w:rsidRPr="00142DD4">
        <w:rPr>
          <w:szCs w:val="24"/>
        </w:rPr>
        <w:t xml:space="preserve">That the </w:t>
      </w:r>
      <w:r w:rsidR="00633824" w:rsidRPr="00142DD4">
        <w:rPr>
          <w:szCs w:val="24"/>
        </w:rPr>
        <w:t>hearing</w:t>
      </w:r>
      <w:r w:rsidRPr="00142DD4">
        <w:rPr>
          <w:szCs w:val="24"/>
        </w:rPr>
        <w:t>s</w:t>
      </w:r>
      <w:r w:rsidR="00633824" w:rsidRPr="00142DD4">
        <w:rPr>
          <w:szCs w:val="24"/>
        </w:rPr>
        <w:t xml:space="preserve"> scheduled for </w:t>
      </w:r>
      <w:r w:rsidRPr="00142DD4">
        <w:t xml:space="preserve">April 14 and 15, 2014 </w:t>
      </w:r>
      <w:r w:rsidR="00142DD4" w:rsidRPr="00142DD4">
        <w:rPr>
          <w:szCs w:val="24"/>
        </w:rPr>
        <w:t xml:space="preserve">at Docket No. </w:t>
      </w:r>
      <w:r w:rsidR="00142DD4" w:rsidRPr="00142DD4">
        <w:t>A-2013-2392102</w:t>
      </w:r>
      <w:r w:rsidRPr="00142DD4">
        <w:t xml:space="preserve"> </w:t>
      </w:r>
      <w:proofErr w:type="gramStart"/>
      <w:r w:rsidRPr="00142DD4">
        <w:t>are</w:t>
      </w:r>
      <w:proofErr w:type="gramEnd"/>
      <w:r w:rsidRPr="00142DD4">
        <w:t xml:space="preserve"> </w:t>
      </w:r>
      <w:r w:rsidR="00633824" w:rsidRPr="00142DD4">
        <w:rPr>
          <w:szCs w:val="24"/>
        </w:rPr>
        <w:t>cancelled.</w:t>
      </w:r>
    </w:p>
    <w:p w:rsidR="00633824" w:rsidRPr="00142DD4" w:rsidRDefault="00633824" w:rsidP="00633824">
      <w:pPr>
        <w:spacing w:line="360" w:lineRule="auto"/>
        <w:rPr>
          <w:szCs w:val="24"/>
        </w:rPr>
      </w:pPr>
    </w:p>
    <w:p w:rsidR="00633824" w:rsidRPr="00142DD4" w:rsidRDefault="00633824" w:rsidP="00633824">
      <w:pPr>
        <w:spacing w:line="360" w:lineRule="auto"/>
        <w:rPr>
          <w:szCs w:val="24"/>
        </w:rPr>
      </w:pPr>
      <w:r w:rsidRPr="00142DD4">
        <w:rPr>
          <w:szCs w:val="24"/>
        </w:rPr>
        <w:tab/>
      </w:r>
      <w:r w:rsidRPr="00142DD4">
        <w:rPr>
          <w:szCs w:val="24"/>
        </w:rPr>
        <w:tab/>
      </w:r>
      <w:r w:rsidR="003B2C49" w:rsidRPr="00142DD4">
        <w:rPr>
          <w:szCs w:val="24"/>
        </w:rPr>
        <w:t>3</w:t>
      </w:r>
      <w:r w:rsidRPr="00142DD4">
        <w:rPr>
          <w:szCs w:val="24"/>
        </w:rPr>
        <w:t>.</w:t>
      </w:r>
      <w:r w:rsidRPr="00142DD4">
        <w:rPr>
          <w:szCs w:val="24"/>
        </w:rPr>
        <w:tab/>
        <w:t>That the application</w:t>
      </w:r>
      <w:r w:rsidR="008558A1" w:rsidRPr="00142DD4">
        <w:rPr>
          <w:szCs w:val="24"/>
        </w:rPr>
        <w:t xml:space="preserve"> of </w:t>
      </w:r>
      <w:r w:rsidR="003B2C49" w:rsidRPr="00142DD4">
        <w:rPr>
          <w:szCs w:val="24"/>
        </w:rPr>
        <w:t xml:space="preserve">PPL Electric Utilities Corporation at Docket No. </w:t>
      </w:r>
      <w:r w:rsidR="003B2C49" w:rsidRPr="00142DD4">
        <w:t>A-2013-2392102</w:t>
      </w:r>
      <w:r w:rsidR="00CB6281" w:rsidRPr="00142DD4">
        <w:rPr>
          <w:szCs w:val="24"/>
        </w:rPr>
        <w:t xml:space="preserve"> </w:t>
      </w:r>
      <w:r w:rsidR="003B2C49" w:rsidRPr="00142DD4">
        <w:t xml:space="preserve">for authority to construct its proposed 138/69 kV Honey Brook-Twin Valley </w:t>
      </w:r>
      <w:r w:rsidR="003B2C49" w:rsidRPr="00142DD4">
        <w:lastRenderedPageBreak/>
        <w:t xml:space="preserve">transmission line through portions of Caernarvon Township, Berks County, Honey Brook Township, Chester County and Caernarvon Township, Lancaster County </w:t>
      </w:r>
      <w:r w:rsidR="00F52C7A" w:rsidRPr="00142DD4">
        <w:rPr>
          <w:szCs w:val="24"/>
        </w:rPr>
        <w:t xml:space="preserve">is reassigned from the Pennsylvania Public Utility Commission’s Office of Administrative Law Judge to the Pennsylvania Public Utility Commission’s Bureau of </w:t>
      </w:r>
      <w:r w:rsidR="008545D3" w:rsidRPr="00142DD4">
        <w:rPr>
          <w:spacing w:val="-3"/>
        </w:rPr>
        <w:t>Technical Utility Services</w:t>
      </w:r>
      <w:r w:rsidR="00F52C7A" w:rsidRPr="00142DD4">
        <w:rPr>
          <w:szCs w:val="24"/>
        </w:rPr>
        <w:t xml:space="preserve"> </w:t>
      </w:r>
      <w:r w:rsidR="003B2C49" w:rsidRPr="00142DD4">
        <w:rPr>
          <w:szCs w:val="24"/>
        </w:rPr>
        <w:t xml:space="preserve">as an unopposed application </w:t>
      </w:r>
      <w:r w:rsidR="00F52C7A" w:rsidRPr="00142DD4">
        <w:rPr>
          <w:szCs w:val="24"/>
        </w:rPr>
        <w:t xml:space="preserve">for </w:t>
      </w:r>
      <w:r w:rsidR="007D1C02">
        <w:rPr>
          <w:szCs w:val="24"/>
        </w:rPr>
        <w:t xml:space="preserve">further </w:t>
      </w:r>
      <w:r w:rsidR="003B2C49" w:rsidRPr="00142DD4">
        <w:rPr>
          <w:szCs w:val="24"/>
        </w:rPr>
        <w:t>action</w:t>
      </w:r>
      <w:r w:rsidR="00F52C7A" w:rsidRPr="00142DD4">
        <w:rPr>
          <w:spacing w:val="-3"/>
        </w:rPr>
        <w:t>.</w:t>
      </w:r>
    </w:p>
    <w:p w:rsidR="00E92075" w:rsidRPr="00142DD4" w:rsidRDefault="00E92075" w:rsidP="00FA12D3">
      <w:pPr>
        <w:rPr>
          <w:szCs w:val="24"/>
        </w:rPr>
      </w:pPr>
    </w:p>
    <w:p w:rsidR="00D25F81" w:rsidRPr="00142DD4" w:rsidRDefault="00D25F81" w:rsidP="00FA12D3">
      <w:pPr>
        <w:rPr>
          <w:szCs w:val="24"/>
        </w:rPr>
      </w:pPr>
    </w:p>
    <w:p w:rsidR="00D25F81" w:rsidRPr="00142DD4" w:rsidRDefault="00D25F81" w:rsidP="00FA12D3">
      <w:pPr>
        <w:rPr>
          <w:szCs w:val="24"/>
        </w:rPr>
      </w:pPr>
    </w:p>
    <w:p w:rsidR="00E404E0" w:rsidRPr="00142DD4" w:rsidRDefault="00E404E0" w:rsidP="00FA12D3">
      <w:pPr>
        <w:rPr>
          <w:szCs w:val="24"/>
        </w:rPr>
      </w:pPr>
    </w:p>
    <w:p w:rsidR="00A80036" w:rsidRPr="00142DD4" w:rsidRDefault="00A80036" w:rsidP="00FA12D3">
      <w:pPr>
        <w:rPr>
          <w:szCs w:val="24"/>
        </w:rPr>
      </w:pPr>
      <w:r w:rsidRPr="00142DD4">
        <w:rPr>
          <w:szCs w:val="24"/>
        </w:rPr>
        <w:t xml:space="preserve">Date: </w:t>
      </w:r>
      <w:r w:rsidR="008545D3" w:rsidRPr="00142DD4">
        <w:rPr>
          <w:szCs w:val="24"/>
          <w:u w:val="single"/>
        </w:rPr>
        <w:t>Ma</w:t>
      </w:r>
      <w:r w:rsidR="00FD681A" w:rsidRPr="00142DD4">
        <w:rPr>
          <w:szCs w:val="24"/>
          <w:u w:val="single"/>
        </w:rPr>
        <w:t>rch 2</w:t>
      </w:r>
      <w:r w:rsidR="008545D3" w:rsidRPr="00142DD4">
        <w:rPr>
          <w:szCs w:val="24"/>
          <w:u w:val="single"/>
        </w:rPr>
        <w:t>0, 201</w:t>
      </w:r>
      <w:r w:rsidR="00FD681A" w:rsidRPr="00142DD4">
        <w:rPr>
          <w:szCs w:val="24"/>
          <w:u w:val="single"/>
        </w:rPr>
        <w:t>4</w:t>
      </w:r>
      <w:r w:rsidR="00E92075" w:rsidRPr="00142DD4">
        <w:rPr>
          <w:szCs w:val="24"/>
        </w:rPr>
        <w:tab/>
      </w:r>
      <w:r w:rsidR="009C3C29" w:rsidRPr="00142DD4">
        <w:rPr>
          <w:szCs w:val="24"/>
        </w:rPr>
        <w:tab/>
      </w:r>
      <w:r w:rsidR="00631AD8" w:rsidRPr="00142DD4">
        <w:rPr>
          <w:szCs w:val="24"/>
        </w:rPr>
        <w:tab/>
      </w:r>
      <w:r w:rsidR="00631AD8" w:rsidRPr="00142DD4">
        <w:rPr>
          <w:szCs w:val="24"/>
        </w:rPr>
        <w:tab/>
      </w:r>
      <w:r w:rsidRPr="00142DD4">
        <w:rPr>
          <w:szCs w:val="24"/>
        </w:rPr>
        <w:t>____________________________________</w:t>
      </w:r>
    </w:p>
    <w:p w:rsidR="00A80036" w:rsidRPr="00142DD4" w:rsidRDefault="00A80036" w:rsidP="00FA12D3">
      <w:pPr>
        <w:rPr>
          <w:szCs w:val="24"/>
        </w:rPr>
      </w:pPr>
      <w:r w:rsidRPr="00142DD4">
        <w:rPr>
          <w:szCs w:val="24"/>
        </w:rPr>
        <w:tab/>
      </w:r>
      <w:r w:rsidRPr="00142DD4">
        <w:rPr>
          <w:szCs w:val="24"/>
        </w:rPr>
        <w:tab/>
      </w:r>
      <w:r w:rsidRPr="00142DD4">
        <w:rPr>
          <w:szCs w:val="24"/>
        </w:rPr>
        <w:tab/>
      </w:r>
      <w:r w:rsidRPr="00142DD4">
        <w:rPr>
          <w:szCs w:val="24"/>
        </w:rPr>
        <w:tab/>
      </w:r>
      <w:r w:rsidRPr="00142DD4">
        <w:rPr>
          <w:szCs w:val="24"/>
        </w:rPr>
        <w:tab/>
      </w:r>
      <w:r w:rsidRPr="00142DD4">
        <w:rPr>
          <w:szCs w:val="24"/>
        </w:rPr>
        <w:tab/>
      </w:r>
      <w:r w:rsidR="00E92075" w:rsidRPr="00142DD4">
        <w:rPr>
          <w:szCs w:val="24"/>
        </w:rPr>
        <w:t>David A. Salapa</w:t>
      </w:r>
    </w:p>
    <w:p w:rsidR="00A3044C" w:rsidRDefault="00A80036" w:rsidP="003B2C49">
      <w:pPr>
        <w:pStyle w:val="Footer"/>
        <w:tabs>
          <w:tab w:val="clear" w:pos="4320"/>
          <w:tab w:val="clear" w:pos="8640"/>
        </w:tabs>
        <w:rPr>
          <w:szCs w:val="24"/>
        </w:rPr>
        <w:sectPr w:rsidR="00A3044C" w:rsidSect="00A3044C">
          <w:footerReference w:type="default" r:id="rId8"/>
          <w:pgSz w:w="12240" w:h="15840"/>
          <w:pgMar w:top="1440" w:right="1440" w:bottom="1440" w:left="1440" w:header="720" w:footer="720" w:gutter="0"/>
          <w:cols w:space="720"/>
          <w:titlePg/>
          <w:docGrid w:linePitch="360"/>
        </w:sectPr>
      </w:pPr>
      <w:r w:rsidRPr="00142DD4">
        <w:rPr>
          <w:szCs w:val="24"/>
        </w:rPr>
        <w:tab/>
      </w:r>
      <w:r w:rsidRPr="00142DD4">
        <w:rPr>
          <w:szCs w:val="24"/>
        </w:rPr>
        <w:tab/>
      </w:r>
      <w:r w:rsidRPr="00142DD4">
        <w:rPr>
          <w:szCs w:val="24"/>
        </w:rPr>
        <w:tab/>
      </w:r>
      <w:r w:rsidRPr="00142DD4">
        <w:rPr>
          <w:szCs w:val="24"/>
        </w:rPr>
        <w:tab/>
      </w:r>
      <w:r w:rsidRPr="00142DD4">
        <w:rPr>
          <w:szCs w:val="24"/>
        </w:rPr>
        <w:tab/>
      </w:r>
      <w:r w:rsidRPr="00142DD4">
        <w:rPr>
          <w:szCs w:val="24"/>
        </w:rPr>
        <w:tab/>
        <w:t>Administrative Law Judge</w:t>
      </w:r>
    </w:p>
    <w:p w:rsidR="00A3044C" w:rsidRPr="00A3044C" w:rsidRDefault="00A3044C" w:rsidP="00A3044C">
      <w:pPr>
        <w:spacing w:after="240"/>
        <w:contextualSpacing/>
        <w:rPr>
          <w:rFonts w:ascii="Arial monospaced for SAP" w:eastAsiaTheme="minorEastAsia" w:hAnsi="Arial monospaced for SAP" w:cstheme="minorBidi"/>
          <w:b/>
          <w:szCs w:val="24"/>
          <w:u w:val="single"/>
        </w:rPr>
      </w:pPr>
      <w:r w:rsidRPr="00A3044C">
        <w:rPr>
          <w:rFonts w:ascii="Arial monospaced for SAP" w:eastAsiaTheme="minorEastAsia" w:hAnsi="Arial monospaced for SAP" w:cstheme="minorBidi"/>
          <w:b/>
          <w:szCs w:val="24"/>
          <w:u w:val="single"/>
        </w:rPr>
        <w:lastRenderedPageBreak/>
        <w:t xml:space="preserve">A-2013-2392101-Application of PPL Electric Utilities Corporation Filed Pursuant to 52 </w:t>
      </w:r>
      <w:proofErr w:type="spellStart"/>
      <w:r w:rsidRPr="00A3044C">
        <w:rPr>
          <w:rFonts w:ascii="Arial monospaced for SAP" w:eastAsiaTheme="minorEastAsia" w:hAnsi="Arial monospaced for SAP" w:cstheme="minorBidi"/>
          <w:b/>
          <w:szCs w:val="24"/>
          <w:u w:val="single"/>
        </w:rPr>
        <w:t>Pa.Code</w:t>
      </w:r>
      <w:proofErr w:type="spellEnd"/>
      <w:r w:rsidRPr="00A3044C">
        <w:rPr>
          <w:rFonts w:ascii="Arial monospaced for SAP" w:eastAsiaTheme="minorEastAsia" w:hAnsi="Arial monospaced for SAP" w:cstheme="minorBidi"/>
          <w:b/>
          <w:szCs w:val="24"/>
          <w:u w:val="single"/>
        </w:rPr>
        <w:t xml:space="preserve"> Chapter 57, Subchapter G, for Approval of the Siting and Construction of the Double-Circuit 138/69 kV Honey Brook-Twin Valley Transmission Line in Portions of Caernarvon Township in Berks County, Honey Brook Township in Chester County and Caernarvon Township in Lancaster County, Pennsylvania</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 xml:space="preserve">John H </w:t>
      </w:r>
      <w:proofErr w:type="spellStart"/>
      <w:r w:rsidRPr="00A3044C">
        <w:rPr>
          <w:rFonts w:ascii="Arial monospaced for SAP" w:eastAsiaTheme="minorEastAsia" w:hAnsi="Arial monospaced for SAP" w:cstheme="minorBidi"/>
          <w:sz w:val="22"/>
          <w:szCs w:val="22"/>
        </w:rPr>
        <w:t>Isom</w:t>
      </w:r>
      <w:proofErr w:type="spellEnd"/>
      <w:r w:rsidRPr="00A3044C">
        <w:rPr>
          <w:rFonts w:ascii="Arial monospaced for SAP" w:eastAsiaTheme="minorEastAsia" w:hAnsi="Arial monospaced for SAP" w:cstheme="minorBidi"/>
          <w:sz w:val="22"/>
          <w:szCs w:val="22"/>
        </w:rPr>
        <w:t xml:space="preserve"> Esquire</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Christopher T Wright Esquire</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Post &amp; Schell PC</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17 N Second Street 12</w:t>
      </w:r>
      <w:r w:rsidRPr="00A3044C">
        <w:rPr>
          <w:rFonts w:ascii="Arial monospaced for SAP" w:eastAsiaTheme="minorEastAsia" w:hAnsi="Arial monospaced for SAP" w:cstheme="minorBidi"/>
          <w:sz w:val="22"/>
          <w:szCs w:val="22"/>
          <w:vertAlign w:val="superscript"/>
        </w:rPr>
        <w:t>th</w:t>
      </w:r>
      <w:r w:rsidRPr="00A3044C">
        <w:rPr>
          <w:rFonts w:ascii="Arial monospaced for SAP" w:eastAsiaTheme="minorEastAsia" w:hAnsi="Arial monospaced for SAP" w:cstheme="minorBidi"/>
          <w:sz w:val="22"/>
          <w:szCs w:val="22"/>
        </w:rPr>
        <w:t xml:space="preserve"> Floor</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Harrisburg PA  17101-1601</w:t>
      </w:r>
    </w:p>
    <w:p w:rsidR="00A3044C" w:rsidRPr="00A3044C" w:rsidRDefault="00A3044C" w:rsidP="00A3044C">
      <w:pPr>
        <w:spacing w:after="240"/>
        <w:contextualSpacing/>
        <w:rPr>
          <w:rFonts w:ascii="Arial monospaced for SAP" w:eastAsiaTheme="minorEastAsia" w:hAnsi="Arial monospaced for SAP" w:cstheme="minorBidi"/>
          <w:b/>
          <w:sz w:val="22"/>
          <w:szCs w:val="22"/>
          <w:u w:val="single"/>
        </w:rPr>
      </w:pPr>
      <w:proofErr w:type="spellStart"/>
      <w:proofErr w:type="gramStart"/>
      <w:r w:rsidRPr="00A3044C">
        <w:rPr>
          <w:rFonts w:ascii="Arial monospaced for SAP" w:eastAsiaTheme="minorEastAsia" w:hAnsi="Arial monospaced for SAP" w:cstheme="minorBidi"/>
          <w:b/>
          <w:sz w:val="22"/>
          <w:szCs w:val="22"/>
          <w:u w:val="single"/>
        </w:rPr>
        <w:t>eServe</w:t>
      </w:r>
      <w:proofErr w:type="spellEnd"/>
      <w:proofErr w:type="gramEnd"/>
    </w:p>
    <w:p w:rsidR="00A3044C" w:rsidRPr="00A3044C" w:rsidRDefault="00A3044C" w:rsidP="00A3044C">
      <w:pPr>
        <w:spacing w:after="240"/>
        <w:contextualSpacing/>
        <w:rPr>
          <w:rFonts w:ascii="Arial monospaced for SAP" w:eastAsiaTheme="minorEastAsia" w:hAnsi="Arial monospaced for SAP" w:cstheme="minorBidi"/>
          <w:sz w:val="22"/>
          <w:szCs w:val="22"/>
        </w:rPr>
      </w:pPr>
    </w:p>
    <w:p w:rsidR="00A3044C" w:rsidRPr="00A3044C" w:rsidRDefault="00A3044C" w:rsidP="00A3044C">
      <w:pPr>
        <w:spacing w:after="240"/>
        <w:contextualSpacing/>
        <w:rPr>
          <w:rFonts w:ascii="Arial monospaced for SAP" w:eastAsiaTheme="minorEastAsia" w:hAnsi="Arial monospaced for SAP" w:cstheme="minorBidi"/>
          <w:sz w:val="22"/>
          <w:szCs w:val="22"/>
        </w:rPr>
      </w:pP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Paul E Russell Esquire</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PPL Services Corporation</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Office of General Counsel</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Two North Ninth Street</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Allentown PA  18106</w:t>
      </w:r>
    </w:p>
    <w:p w:rsidR="00A3044C" w:rsidRPr="00A3044C" w:rsidRDefault="00A3044C" w:rsidP="00A3044C">
      <w:pPr>
        <w:spacing w:after="240"/>
        <w:contextualSpacing/>
        <w:rPr>
          <w:rFonts w:ascii="Arial monospaced for SAP" w:eastAsiaTheme="minorEastAsia" w:hAnsi="Arial monospaced for SAP" w:cstheme="minorBidi"/>
          <w:b/>
          <w:sz w:val="22"/>
          <w:szCs w:val="22"/>
          <w:u w:val="single"/>
        </w:rPr>
      </w:pPr>
      <w:proofErr w:type="spellStart"/>
      <w:proofErr w:type="gramStart"/>
      <w:r w:rsidRPr="00A3044C">
        <w:rPr>
          <w:rFonts w:ascii="Arial monospaced for SAP" w:eastAsiaTheme="minorEastAsia" w:hAnsi="Arial monospaced for SAP" w:cstheme="minorBidi"/>
          <w:b/>
          <w:sz w:val="22"/>
          <w:szCs w:val="22"/>
          <w:u w:val="single"/>
        </w:rPr>
        <w:t>eServe</w:t>
      </w:r>
      <w:proofErr w:type="spellEnd"/>
      <w:proofErr w:type="gramEnd"/>
    </w:p>
    <w:p w:rsidR="00A3044C" w:rsidRPr="00A3044C" w:rsidRDefault="00A3044C" w:rsidP="00A3044C">
      <w:pPr>
        <w:spacing w:after="240"/>
        <w:contextualSpacing/>
        <w:rPr>
          <w:rFonts w:ascii="Arial monospaced for SAP" w:eastAsiaTheme="minorEastAsia" w:hAnsi="Arial monospaced for SAP" w:cstheme="minorBidi"/>
          <w:sz w:val="22"/>
          <w:szCs w:val="22"/>
        </w:rPr>
      </w:pPr>
    </w:p>
    <w:p w:rsidR="00A3044C" w:rsidRPr="00A3044C" w:rsidRDefault="00A3044C" w:rsidP="00A3044C">
      <w:pPr>
        <w:spacing w:after="240"/>
        <w:contextualSpacing/>
        <w:rPr>
          <w:rFonts w:ascii="Arial monospaced for SAP" w:eastAsiaTheme="minorEastAsia" w:hAnsi="Arial monospaced for SAP" w:cstheme="minorBidi"/>
          <w:sz w:val="22"/>
          <w:szCs w:val="22"/>
        </w:rPr>
      </w:pP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 xml:space="preserve">David B </w:t>
      </w:r>
      <w:proofErr w:type="spellStart"/>
      <w:r w:rsidRPr="00A3044C">
        <w:rPr>
          <w:rFonts w:ascii="Arial monospaced for SAP" w:eastAsiaTheme="minorEastAsia" w:hAnsi="Arial monospaced for SAP" w:cstheme="minorBidi"/>
          <w:sz w:val="22"/>
          <w:szCs w:val="22"/>
        </w:rPr>
        <w:t>MacGregor</w:t>
      </w:r>
      <w:proofErr w:type="spellEnd"/>
      <w:r w:rsidRPr="00A3044C">
        <w:rPr>
          <w:rFonts w:ascii="Arial monospaced for SAP" w:eastAsiaTheme="minorEastAsia" w:hAnsi="Arial monospaced for SAP" w:cstheme="minorBidi"/>
          <w:sz w:val="22"/>
          <w:szCs w:val="22"/>
        </w:rPr>
        <w:t xml:space="preserve"> Esquire</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Post &amp; Schell PC</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Four Penn Center</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1600 JFK Boulevard</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Philadelphia PA  19103-2808</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p>
    <w:p w:rsidR="00A3044C" w:rsidRPr="00A3044C" w:rsidRDefault="00A3044C" w:rsidP="00A3044C">
      <w:pPr>
        <w:spacing w:after="240"/>
        <w:contextualSpacing/>
        <w:rPr>
          <w:rFonts w:ascii="Arial monospaced for SAP" w:eastAsiaTheme="minorEastAsia" w:hAnsi="Arial monospaced for SAP" w:cstheme="minorBidi"/>
          <w:sz w:val="22"/>
          <w:szCs w:val="22"/>
        </w:rPr>
      </w:pP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 xml:space="preserve">Glenn R Knoblauch Exec </w:t>
      </w:r>
      <w:proofErr w:type="spellStart"/>
      <w:r w:rsidRPr="00A3044C">
        <w:rPr>
          <w:rFonts w:ascii="Arial monospaced for SAP" w:eastAsiaTheme="minorEastAsia" w:hAnsi="Arial monospaced for SAP" w:cstheme="minorBidi"/>
          <w:sz w:val="22"/>
          <w:szCs w:val="22"/>
        </w:rPr>
        <w:t>Dir</w:t>
      </w:r>
      <w:proofErr w:type="spellEnd"/>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Berks County Planning Commission</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633 Court Street 14</w:t>
      </w:r>
      <w:r w:rsidRPr="00A3044C">
        <w:rPr>
          <w:rFonts w:ascii="Arial monospaced for SAP" w:eastAsiaTheme="minorEastAsia" w:hAnsi="Arial monospaced for SAP" w:cstheme="minorBidi"/>
          <w:sz w:val="22"/>
          <w:szCs w:val="22"/>
          <w:vertAlign w:val="superscript"/>
        </w:rPr>
        <w:t>th</w:t>
      </w:r>
      <w:r w:rsidRPr="00A3044C">
        <w:rPr>
          <w:rFonts w:ascii="Arial monospaced for SAP" w:eastAsiaTheme="minorEastAsia" w:hAnsi="Arial monospaced for SAP" w:cstheme="minorBidi"/>
          <w:sz w:val="22"/>
          <w:szCs w:val="22"/>
        </w:rPr>
        <w:t xml:space="preserve"> </w:t>
      </w:r>
      <w:proofErr w:type="gramStart"/>
      <w:r w:rsidRPr="00A3044C">
        <w:rPr>
          <w:rFonts w:ascii="Arial monospaced for SAP" w:eastAsiaTheme="minorEastAsia" w:hAnsi="Arial monospaced for SAP" w:cstheme="minorBidi"/>
          <w:sz w:val="22"/>
          <w:szCs w:val="22"/>
        </w:rPr>
        <w:t>Floor</w:t>
      </w:r>
      <w:proofErr w:type="gramEnd"/>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Reading PA  19604</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p>
    <w:p w:rsidR="00A3044C" w:rsidRPr="00A3044C" w:rsidRDefault="00A3044C" w:rsidP="00A3044C">
      <w:pPr>
        <w:spacing w:after="240"/>
        <w:contextualSpacing/>
        <w:rPr>
          <w:rFonts w:ascii="Arial monospaced for SAP" w:eastAsiaTheme="minorEastAsia" w:hAnsi="Arial monospaced for SAP" w:cstheme="minorBidi"/>
          <w:sz w:val="22"/>
          <w:szCs w:val="22"/>
        </w:rPr>
      </w:pPr>
    </w:p>
    <w:p w:rsidR="00A3044C" w:rsidRPr="00A3044C" w:rsidRDefault="00A3044C" w:rsidP="00A3044C">
      <w:pPr>
        <w:spacing w:after="240"/>
        <w:contextualSpacing/>
        <w:rPr>
          <w:rFonts w:ascii="Arial monospaced for SAP" w:eastAsiaTheme="minorEastAsia" w:hAnsi="Arial monospaced for SAP" w:cstheme="minorBidi"/>
          <w:sz w:val="22"/>
          <w:szCs w:val="22"/>
        </w:rPr>
      </w:pPr>
      <w:bookmarkStart w:id="0" w:name="_GoBack"/>
      <w:r w:rsidRPr="00A3044C">
        <w:rPr>
          <w:rFonts w:ascii="Arial monospaced for SAP" w:eastAsiaTheme="minorEastAsia" w:hAnsi="Arial monospaced for SAP" w:cstheme="minorBidi"/>
          <w:sz w:val="22"/>
          <w:szCs w:val="22"/>
        </w:rPr>
        <w:t>Michael &amp; Patricia Fleck</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221 Mill Road</w:t>
      </w:r>
    </w:p>
    <w:p w:rsidR="00A3044C" w:rsidRPr="00A3044C" w:rsidRDefault="00A3044C" w:rsidP="00A3044C">
      <w:pPr>
        <w:spacing w:after="240"/>
        <w:contextualSpacing/>
        <w:rPr>
          <w:rFonts w:ascii="Arial monospaced for SAP" w:eastAsiaTheme="minorEastAsia" w:hAnsi="Arial monospaced for SAP" w:cstheme="minorBidi"/>
          <w:sz w:val="22"/>
          <w:szCs w:val="22"/>
        </w:rPr>
      </w:pPr>
      <w:r w:rsidRPr="00A3044C">
        <w:rPr>
          <w:rFonts w:ascii="Arial monospaced for SAP" w:eastAsiaTheme="minorEastAsia" w:hAnsi="Arial monospaced for SAP" w:cstheme="minorBidi"/>
          <w:sz w:val="22"/>
          <w:szCs w:val="22"/>
        </w:rPr>
        <w:t>Morgantown PA  19543</w:t>
      </w:r>
    </w:p>
    <w:bookmarkEnd w:id="0"/>
    <w:p w:rsidR="00A3044C" w:rsidRPr="00A3044C" w:rsidRDefault="00A3044C" w:rsidP="00A3044C">
      <w:pPr>
        <w:spacing w:after="240"/>
        <w:contextualSpacing/>
        <w:rPr>
          <w:rFonts w:ascii="Arial monospaced for SAP" w:eastAsiaTheme="minorEastAsia" w:hAnsi="Arial monospaced for SAP" w:cstheme="minorBidi"/>
          <w:sz w:val="22"/>
          <w:szCs w:val="22"/>
        </w:rPr>
      </w:pPr>
    </w:p>
    <w:p w:rsidR="00673BF7" w:rsidRPr="00142DD4" w:rsidRDefault="00673BF7" w:rsidP="003B2C49">
      <w:pPr>
        <w:pStyle w:val="Footer"/>
        <w:tabs>
          <w:tab w:val="clear" w:pos="4320"/>
          <w:tab w:val="clear" w:pos="8640"/>
        </w:tabs>
        <w:rPr>
          <w:rFonts w:cs="Microsoft Sans Serif"/>
          <w:b/>
          <w:u w:val="single"/>
        </w:rPr>
      </w:pPr>
    </w:p>
    <w:sectPr w:rsidR="00673BF7" w:rsidRPr="00142DD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1FA" w:rsidRDefault="006761FA">
      <w:r>
        <w:separator/>
      </w:r>
    </w:p>
  </w:endnote>
  <w:endnote w:type="continuationSeparator" w:id="0">
    <w:p w:rsidR="006761FA" w:rsidRDefault="0067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753218"/>
      <w:docPartObj>
        <w:docPartGallery w:val="Page Numbers (Bottom of Page)"/>
        <w:docPartUnique/>
      </w:docPartObj>
    </w:sdtPr>
    <w:sdtEndPr>
      <w:rPr>
        <w:noProof/>
      </w:rPr>
    </w:sdtEndPr>
    <w:sdtContent>
      <w:p w:rsidR="00FD681A" w:rsidRDefault="00FD681A">
        <w:pPr>
          <w:pStyle w:val="Footer"/>
          <w:jc w:val="center"/>
        </w:pPr>
        <w:r>
          <w:fldChar w:fldCharType="begin"/>
        </w:r>
        <w:r>
          <w:instrText xml:space="preserve"> PAGE   \* MERGEFORMAT </w:instrText>
        </w:r>
        <w:r>
          <w:fldChar w:fldCharType="separate"/>
        </w:r>
        <w:r w:rsidR="0082209B">
          <w:rPr>
            <w:noProof/>
          </w:rPr>
          <w:t>5</w:t>
        </w:r>
        <w:r>
          <w:rPr>
            <w:noProof/>
          </w:rPr>
          <w:fldChar w:fldCharType="end"/>
        </w:r>
      </w:p>
    </w:sdtContent>
  </w:sdt>
  <w:p w:rsidR="003B2C49" w:rsidRDefault="003B2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44C" w:rsidRDefault="00A3044C">
    <w:pPr>
      <w:pStyle w:val="Footer"/>
      <w:jc w:val="center"/>
    </w:pPr>
  </w:p>
  <w:p w:rsidR="00A3044C" w:rsidRDefault="00A30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1FA" w:rsidRDefault="006761FA">
      <w:r>
        <w:separator/>
      </w:r>
    </w:p>
  </w:footnote>
  <w:footnote w:type="continuationSeparator" w:id="0">
    <w:p w:rsidR="006761FA" w:rsidRDefault="00676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4BF"/>
    <w:rsid w:val="000020BC"/>
    <w:rsid w:val="000050B1"/>
    <w:rsid w:val="00005C38"/>
    <w:rsid w:val="00012C12"/>
    <w:rsid w:val="000245A4"/>
    <w:rsid w:val="00027863"/>
    <w:rsid w:val="000366DE"/>
    <w:rsid w:val="00043880"/>
    <w:rsid w:val="00052612"/>
    <w:rsid w:val="00056257"/>
    <w:rsid w:val="00060277"/>
    <w:rsid w:val="00075870"/>
    <w:rsid w:val="00080683"/>
    <w:rsid w:val="0009457E"/>
    <w:rsid w:val="000A6D7D"/>
    <w:rsid w:val="000B391F"/>
    <w:rsid w:val="000E2B0C"/>
    <w:rsid w:val="000E4D5F"/>
    <w:rsid w:val="000F5110"/>
    <w:rsid w:val="00107DA8"/>
    <w:rsid w:val="00126252"/>
    <w:rsid w:val="0013600A"/>
    <w:rsid w:val="001364E3"/>
    <w:rsid w:val="00142DD4"/>
    <w:rsid w:val="00142FDB"/>
    <w:rsid w:val="001443BA"/>
    <w:rsid w:val="001453C3"/>
    <w:rsid w:val="00155483"/>
    <w:rsid w:val="001638D9"/>
    <w:rsid w:val="001715CE"/>
    <w:rsid w:val="001717BE"/>
    <w:rsid w:val="0017221A"/>
    <w:rsid w:val="001758BB"/>
    <w:rsid w:val="00180300"/>
    <w:rsid w:val="001878CD"/>
    <w:rsid w:val="00191929"/>
    <w:rsid w:val="00192876"/>
    <w:rsid w:val="001B3CA6"/>
    <w:rsid w:val="001D0500"/>
    <w:rsid w:val="001E30D1"/>
    <w:rsid w:val="001E4D8A"/>
    <w:rsid w:val="001F12D6"/>
    <w:rsid w:val="002139D2"/>
    <w:rsid w:val="00220137"/>
    <w:rsid w:val="00224949"/>
    <w:rsid w:val="0024707A"/>
    <w:rsid w:val="00251D20"/>
    <w:rsid w:val="002658F7"/>
    <w:rsid w:val="00273AC5"/>
    <w:rsid w:val="00276ABD"/>
    <w:rsid w:val="00276E3F"/>
    <w:rsid w:val="00277617"/>
    <w:rsid w:val="00281E0B"/>
    <w:rsid w:val="0028206F"/>
    <w:rsid w:val="00296565"/>
    <w:rsid w:val="00296926"/>
    <w:rsid w:val="002A445A"/>
    <w:rsid w:val="002C040B"/>
    <w:rsid w:val="002C493F"/>
    <w:rsid w:val="002D5725"/>
    <w:rsid w:val="002E0434"/>
    <w:rsid w:val="002E7A64"/>
    <w:rsid w:val="002F1653"/>
    <w:rsid w:val="002F1DBA"/>
    <w:rsid w:val="00302B09"/>
    <w:rsid w:val="003159A7"/>
    <w:rsid w:val="0034188D"/>
    <w:rsid w:val="00370F00"/>
    <w:rsid w:val="00375A3E"/>
    <w:rsid w:val="00383DCF"/>
    <w:rsid w:val="003863DE"/>
    <w:rsid w:val="00395875"/>
    <w:rsid w:val="003B1AC1"/>
    <w:rsid w:val="003B2C49"/>
    <w:rsid w:val="003D068F"/>
    <w:rsid w:val="003E0696"/>
    <w:rsid w:val="003F5C58"/>
    <w:rsid w:val="003F6D7E"/>
    <w:rsid w:val="004031B0"/>
    <w:rsid w:val="0040514E"/>
    <w:rsid w:val="004120BD"/>
    <w:rsid w:val="004142E8"/>
    <w:rsid w:val="00416EF6"/>
    <w:rsid w:val="004260DD"/>
    <w:rsid w:val="00426E45"/>
    <w:rsid w:val="00430F20"/>
    <w:rsid w:val="00445580"/>
    <w:rsid w:val="00456788"/>
    <w:rsid w:val="00461369"/>
    <w:rsid w:val="004618D9"/>
    <w:rsid w:val="00464F83"/>
    <w:rsid w:val="004673B9"/>
    <w:rsid w:val="0046786C"/>
    <w:rsid w:val="004749CA"/>
    <w:rsid w:val="004760E6"/>
    <w:rsid w:val="00476647"/>
    <w:rsid w:val="004B2FC6"/>
    <w:rsid w:val="004B39DF"/>
    <w:rsid w:val="004B4D2F"/>
    <w:rsid w:val="004C00D4"/>
    <w:rsid w:val="004D1772"/>
    <w:rsid w:val="004D2D2C"/>
    <w:rsid w:val="004E252C"/>
    <w:rsid w:val="004F41A4"/>
    <w:rsid w:val="00511A03"/>
    <w:rsid w:val="005156EA"/>
    <w:rsid w:val="00562ACB"/>
    <w:rsid w:val="005643FB"/>
    <w:rsid w:val="00572173"/>
    <w:rsid w:val="00573ECA"/>
    <w:rsid w:val="0057643A"/>
    <w:rsid w:val="005A2F48"/>
    <w:rsid w:val="005C5057"/>
    <w:rsid w:val="005D0551"/>
    <w:rsid w:val="005D6DA6"/>
    <w:rsid w:val="005E3163"/>
    <w:rsid w:val="005E66D1"/>
    <w:rsid w:val="005F0420"/>
    <w:rsid w:val="005F74A9"/>
    <w:rsid w:val="00611CD1"/>
    <w:rsid w:val="006178A2"/>
    <w:rsid w:val="00627E09"/>
    <w:rsid w:val="00631AD8"/>
    <w:rsid w:val="00633824"/>
    <w:rsid w:val="00640084"/>
    <w:rsid w:val="006427A8"/>
    <w:rsid w:val="00642DBC"/>
    <w:rsid w:val="00651E6B"/>
    <w:rsid w:val="0066673A"/>
    <w:rsid w:val="00673AB4"/>
    <w:rsid w:val="00673BF7"/>
    <w:rsid w:val="006761FA"/>
    <w:rsid w:val="006927F5"/>
    <w:rsid w:val="006944AB"/>
    <w:rsid w:val="006A3366"/>
    <w:rsid w:val="006C0A7C"/>
    <w:rsid w:val="006D2AE3"/>
    <w:rsid w:val="006D61F7"/>
    <w:rsid w:val="006D73AB"/>
    <w:rsid w:val="006F3A60"/>
    <w:rsid w:val="00706B5F"/>
    <w:rsid w:val="0071608C"/>
    <w:rsid w:val="00736248"/>
    <w:rsid w:val="007446A7"/>
    <w:rsid w:val="0074718A"/>
    <w:rsid w:val="007517E1"/>
    <w:rsid w:val="00766A36"/>
    <w:rsid w:val="00773973"/>
    <w:rsid w:val="007763E5"/>
    <w:rsid w:val="007818AE"/>
    <w:rsid w:val="00791AC1"/>
    <w:rsid w:val="007960BE"/>
    <w:rsid w:val="007C0402"/>
    <w:rsid w:val="007C3FE8"/>
    <w:rsid w:val="007C70C3"/>
    <w:rsid w:val="007D1C02"/>
    <w:rsid w:val="007D28F8"/>
    <w:rsid w:val="007D5436"/>
    <w:rsid w:val="007E0E48"/>
    <w:rsid w:val="007E29B0"/>
    <w:rsid w:val="007E7F5A"/>
    <w:rsid w:val="007F26B0"/>
    <w:rsid w:val="007F5D78"/>
    <w:rsid w:val="00810E82"/>
    <w:rsid w:val="0082209B"/>
    <w:rsid w:val="0082264B"/>
    <w:rsid w:val="00822A1D"/>
    <w:rsid w:val="00822ADB"/>
    <w:rsid w:val="00826627"/>
    <w:rsid w:val="00833738"/>
    <w:rsid w:val="008428BB"/>
    <w:rsid w:val="00853938"/>
    <w:rsid w:val="008545D3"/>
    <w:rsid w:val="008558A1"/>
    <w:rsid w:val="00885D34"/>
    <w:rsid w:val="00887299"/>
    <w:rsid w:val="008B02B9"/>
    <w:rsid w:val="008C2CE0"/>
    <w:rsid w:val="008D177A"/>
    <w:rsid w:val="008D598B"/>
    <w:rsid w:val="008F0AE6"/>
    <w:rsid w:val="008F27C0"/>
    <w:rsid w:val="009054BF"/>
    <w:rsid w:val="0091133C"/>
    <w:rsid w:val="00913A60"/>
    <w:rsid w:val="00915CBB"/>
    <w:rsid w:val="00920E7C"/>
    <w:rsid w:val="00921859"/>
    <w:rsid w:val="00931645"/>
    <w:rsid w:val="009340B2"/>
    <w:rsid w:val="00941526"/>
    <w:rsid w:val="00953306"/>
    <w:rsid w:val="00971728"/>
    <w:rsid w:val="00980502"/>
    <w:rsid w:val="009904F3"/>
    <w:rsid w:val="00991717"/>
    <w:rsid w:val="009929A2"/>
    <w:rsid w:val="009B4C85"/>
    <w:rsid w:val="009B7923"/>
    <w:rsid w:val="009C0E66"/>
    <w:rsid w:val="009C3C29"/>
    <w:rsid w:val="009D2B23"/>
    <w:rsid w:val="009D4E0F"/>
    <w:rsid w:val="009D7389"/>
    <w:rsid w:val="009F719B"/>
    <w:rsid w:val="009F7D2C"/>
    <w:rsid w:val="00A01B48"/>
    <w:rsid w:val="00A05074"/>
    <w:rsid w:val="00A1246E"/>
    <w:rsid w:val="00A1305F"/>
    <w:rsid w:val="00A274C5"/>
    <w:rsid w:val="00A3044C"/>
    <w:rsid w:val="00A4457F"/>
    <w:rsid w:val="00A473D0"/>
    <w:rsid w:val="00A701DF"/>
    <w:rsid w:val="00A73F1B"/>
    <w:rsid w:val="00A744DD"/>
    <w:rsid w:val="00A80036"/>
    <w:rsid w:val="00A83C01"/>
    <w:rsid w:val="00A866CB"/>
    <w:rsid w:val="00A9536F"/>
    <w:rsid w:val="00A956D3"/>
    <w:rsid w:val="00AA71DF"/>
    <w:rsid w:val="00AB2299"/>
    <w:rsid w:val="00AD63FB"/>
    <w:rsid w:val="00AE28E7"/>
    <w:rsid w:val="00AE6380"/>
    <w:rsid w:val="00AE7A73"/>
    <w:rsid w:val="00AF1170"/>
    <w:rsid w:val="00AF600A"/>
    <w:rsid w:val="00B12671"/>
    <w:rsid w:val="00B13FA3"/>
    <w:rsid w:val="00B20A0B"/>
    <w:rsid w:val="00B21403"/>
    <w:rsid w:val="00B243D2"/>
    <w:rsid w:val="00B24C8F"/>
    <w:rsid w:val="00B26429"/>
    <w:rsid w:val="00B31A5C"/>
    <w:rsid w:val="00B346AB"/>
    <w:rsid w:val="00B42C0A"/>
    <w:rsid w:val="00B467F2"/>
    <w:rsid w:val="00B56CDF"/>
    <w:rsid w:val="00B77B20"/>
    <w:rsid w:val="00B80BDE"/>
    <w:rsid w:val="00B82E8F"/>
    <w:rsid w:val="00B872C4"/>
    <w:rsid w:val="00B9643B"/>
    <w:rsid w:val="00BB51C8"/>
    <w:rsid w:val="00BC3ED5"/>
    <w:rsid w:val="00BD6A1E"/>
    <w:rsid w:val="00BE5302"/>
    <w:rsid w:val="00BF0603"/>
    <w:rsid w:val="00BF275B"/>
    <w:rsid w:val="00BF40C7"/>
    <w:rsid w:val="00C01116"/>
    <w:rsid w:val="00C10951"/>
    <w:rsid w:val="00C131BC"/>
    <w:rsid w:val="00C16F2A"/>
    <w:rsid w:val="00C25A58"/>
    <w:rsid w:val="00C3000D"/>
    <w:rsid w:val="00C353FD"/>
    <w:rsid w:val="00C45782"/>
    <w:rsid w:val="00C519DD"/>
    <w:rsid w:val="00C85B5D"/>
    <w:rsid w:val="00C862A7"/>
    <w:rsid w:val="00C96591"/>
    <w:rsid w:val="00CA3AF6"/>
    <w:rsid w:val="00CB1E07"/>
    <w:rsid w:val="00CB443F"/>
    <w:rsid w:val="00CB4603"/>
    <w:rsid w:val="00CB6281"/>
    <w:rsid w:val="00CC6043"/>
    <w:rsid w:val="00CD340A"/>
    <w:rsid w:val="00CD35ED"/>
    <w:rsid w:val="00CD3992"/>
    <w:rsid w:val="00CD3D05"/>
    <w:rsid w:val="00CF5C1F"/>
    <w:rsid w:val="00D01B74"/>
    <w:rsid w:val="00D203E2"/>
    <w:rsid w:val="00D25F81"/>
    <w:rsid w:val="00D307FE"/>
    <w:rsid w:val="00D40868"/>
    <w:rsid w:val="00D4442D"/>
    <w:rsid w:val="00D44576"/>
    <w:rsid w:val="00D45266"/>
    <w:rsid w:val="00D520AB"/>
    <w:rsid w:val="00D54549"/>
    <w:rsid w:val="00D66CD6"/>
    <w:rsid w:val="00D82152"/>
    <w:rsid w:val="00D823C3"/>
    <w:rsid w:val="00D83CA1"/>
    <w:rsid w:val="00DA1ABE"/>
    <w:rsid w:val="00DA62F6"/>
    <w:rsid w:val="00DB1F9E"/>
    <w:rsid w:val="00DC202D"/>
    <w:rsid w:val="00DC25A4"/>
    <w:rsid w:val="00DD1227"/>
    <w:rsid w:val="00DD466A"/>
    <w:rsid w:val="00DD57C3"/>
    <w:rsid w:val="00DD74C9"/>
    <w:rsid w:val="00DE4700"/>
    <w:rsid w:val="00DE4A15"/>
    <w:rsid w:val="00DE5E6F"/>
    <w:rsid w:val="00E071DE"/>
    <w:rsid w:val="00E07654"/>
    <w:rsid w:val="00E11E7E"/>
    <w:rsid w:val="00E12AF7"/>
    <w:rsid w:val="00E201AB"/>
    <w:rsid w:val="00E31FEB"/>
    <w:rsid w:val="00E32662"/>
    <w:rsid w:val="00E404E0"/>
    <w:rsid w:val="00E411E9"/>
    <w:rsid w:val="00E4532A"/>
    <w:rsid w:val="00E46330"/>
    <w:rsid w:val="00E5505B"/>
    <w:rsid w:val="00E63034"/>
    <w:rsid w:val="00E6309F"/>
    <w:rsid w:val="00E66A70"/>
    <w:rsid w:val="00E67682"/>
    <w:rsid w:val="00E7170E"/>
    <w:rsid w:val="00E92075"/>
    <w:rsid w:val="00E9479B"/>
    <w:rsid w:val="00EA04B6"/>
    <w:rsid w:val="00EA0D47"/>
    <w:rsid w:val="00EA2444"/>
    <w:rsid w:val="00EA7538"/>
    <w:rsid w:val="00EB0C62"/>
    <w:rsid w:val="00EB14B5"/>
    <w:rsid w:val="00EC6D84"/>
    <w:rsid w:val="00EE2DF8"/>
    <w:rsid w:val="00EF4B3A"/>
    <w:rsid w:val="00F00448"/>
    <w:rsid w:val="00F11C67"/>
    <w:rsid w:val="00F217F0"/>
    <w:rsid w:val="00F225E1"/>
    <w:rsid w:val="00F2442D"/>
    <w:rsid w:val="00F32EDC"/>
    <w:rsid w:val="00F4549E"/>
    <w:rsid w:val="00F52C7A"/>
    <w:rsid w:val="00F60FCC"/>
    <w:rsid w:val="00F67F9E"/>
    <w:rsid w:val="00F72E2C"/>
    <w:rsid w:val="00F76AAF"/>
    <w:rsid w:val="00F903AA"/>
    <w:rsid w:val="00FA070D"/>
    <w:rsid w:val="00FA12D3"/>
    <w:rsid w:val="00FA1CA6"/>
    <w:rsid w:val="00FB4ED0"/>
    <w:rsid w:val="00FB571D"/>
    <w:rsid w:val="00FC5E73"/>
    <w:rsid w:val="00FC611D"/>
    <w:rsid w:val="00FD681A"/>
    <w:rsid w:val="00FD7FB8"/>
    <w:rsid w:val="00FE0B0D"/>
    <w:rsid w:val="00FE4926"/>
    <w:rsid w:val="00FE5DDE"/>
    <w:rsid w:val="00FF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4">
    <w:name w:val="heading 4"/>
    <w:basedOn w:val="Normal"/>
    <w:next w:val="Normal"/>
    <w:link w:val="Heading4Char"/>
    <w:semiHidden/>
    <w:unhideWhenUsed/>
    <w:qFormat/>
    <w:rsid w:val="00A83C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90" w:firstLine="135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link w:val="BodyTextChar"/>
    <w:pPr>
      <w:spacing w:line="360" w:lineRule="auto"/>
    </w:pPr>
    <w:rPr>
      <w:sz w:val="26"/>
    </w:rPr>
  </w:style>
  <w:style w:type="paragraph" w:customStyle="1" w:styleId="ParaTab1">
    <w:name w:val="ParaTab 1"/>
    <w:rsid w:val="00080683"/>
    <w:pPr>
      <w:tabs>
        <w:tab w:val="left" w:pos="-720"/>
      </w:tabs>
      <w:suppressAutoHyphens/>
      <w:autoSpaceDE w:val="0"/>
      <w:autoSpaceDN w:val="0"/>
      <w:ind w:firstLine="1440"/>
    </w:pPr>
    <w:rPr>
      <w:rFonts w:ascii="CG Times" w:hAnsi="CG Times"/>
      <w:sz w:val="24"/>
      <w:szCs w:val="24"/>
    </w:rPr>
  </w:style>
  <w:style w:type="character" w:customStyle="1" w:styleId="BodyTextChar">
    <w:name w:val="Body Text Char"/>
    <w:link w:val="BodyText"/>
    <w:rsid w:val="00080683"/>
    <w:rPr>
      <w:sz w:val="26"/>
    </w:rPr>
  </w:style>
  <w:style w:type="character" w:customStyle="1" w:styleId="Heading4Char">
    <w:name w:val="Heading 4 Char"/>
    <w:link w:val="Heading4"/>
    <w:semiHidden/>
    <w:rsid w:val="00A83C01"/>
    <w:rPr>
      <w:rFonts w:ascii="Calibri" w:eastAsia="Times New Roman" w:hAnsi="Calibri" w:cs="Times New Roman"/>
      <w:b/>
      <w:bCs/>
      <w:sz w:val="28"/>
      <w:szCs w:val="28"/>
    </w:rPr>
  </w:style>
  <w:style w:type="paragraph" w:styleId="NormalWeb">
    <w:name w:val="Normal (Web)"/>
    <w:basedOn w:val="Normal"/>
    <w:rsid w:val="00A83C01"/>
    <w:pPr>
      <w:spacing w:before="100" w:beforeAutospacing="1" w:after="100" w:afterAutospacing="1"/>
    </w:pPr>
    <w:rPr>
      <w:szCs w:val="24"/>
    </w:rPr>
  </w:style>
  <w:style w:type="paragraph" w:styleId="BalloonText">
    <w:name w:val="Balloon Text"/>
    <w:basedOn w:val="Normal"/>
    <w:link w:val="BalloonTextChar"/>
    <w:rsid w:val="007446A7"/>
    <w:rPr>
      <w:rFonts w:ascii="Tahoma" w:hAnsi="Tahoma" w:cs="Tahoma"/>
      <w:sz w:val="16"/>
      <w:szCs w:val="16"/>
    </w:rPr>
  </w:style>
  <w:style w:type="character" w:customStyle="1" w:styleId="BalloonTextChar">
    <w:name w:val="Balloon Text Char"/>
    <w:link w:val="BalloonText"/>
    <w:rsid w:val="007446A7"/>
    <w:rPr>
      <w:rFonts w:ascii="Tahoma" w:hAnsi="Tahoma" w:cs="Tahoma"/>
      <w:sz w:val="16"/>
      <w:szCs w:val="16"/>
    </w:rPr>
  </w:style>
  <w:style w:type="paragraph" w:styleId="PlainText">
    <w:name w:val="Plain Text"/>
    <w:basedOn w:val="Normal"/>
    <w:link w:val="PlainTextChar"/>
    <w:uiPriority w:val="99"/>
    <w:unhideWhenUsed/>
    <w:rsid w:val="0009457E"/>
    <w:rPr>
      <w:rFonts w:ascii="Calibri" w:eastAsia="Calibri" w:hAnsi="Calibri"/>
      <w:sz w:val="22"/>
      <w:szCs w:val="21"/>
    </w:rPr>
  </w:style>
  <w:style w:type="character" w:customStyle="1" w:styleId="PlainTextChar">
    <w:name w:val="Plain Text Char"/>
    <w:basedOn w:val="DefaultParagraphFont"/>
    <w:link w:val="PlainText"/>
    <w:uiPriority w:val="99"/>
    <w:rsid w:val="0009457E"/>
    <w:rPr>
      <w:rFonts w:ascii="Calibri" w:eastAsia="Calibri" w:hAnsi="Calibri"/>
      <w:sz w:val="22"/>
      <w:szCs w:val="21"/>
    </w:rPr>
  </w:style>
  <w:style w:type="character" w:customStyle="1" w:styleId="FooterChar">
    <w:name w:val="Footer Char"/>
    <w:basedOn w:val="DefaultParagraphFont"/>
    <w:link w:val="Footer"/>
    <w:uiPriority w:val="99"/>
    <w:rsid w:val="00FD681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4">
    <w:name w:val="heading 4"/>
    <w:basedOn w:val="Normal"/>
    <w:next w:val="Normal"/>
    <w:link w:val="Heading4Char"/>
    <w:semiHidden/>
    <w:unhideWhenUsed/>
    <w:qFormat/>
    <w:rsid w:val="00A83C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90" w:firstLine="135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link w:val="BodyTextChar"/>
    <w:pPr>
      <w:spacing w:line="360" w:lineRule="auto"/>
    </w:pPr>
    <w:rPr>
      <w:sz w:val="26"/>
    </w:rPr>
  </w:style>
  <w:style w:type="paragraph" w:customStyle="1" w:styleId="ParaTab1">
    <w:name w:val="ParaTab 1"/>
    <w:rsid w:val="00080683"/>
    <w:pPr>
      <w:tabs>
        <w:tab w:val="left" w:pos="-720"/>
      </w:tabs>
      <w:suppressAutoHyphens/>
      <w:autoSpaceDE w:val="0"/>
      <w:autoSpaceDN w:val="0"/>
      <w:ind w:firstLine="1440"/>
    </w:pPr>
    <w:rPr>
      <w:rFonts w:ascii="CG Times" w:hAnsi="CG Times"/>
      <w:sz w:val="24"/>
      <w:szCs w:val="24"/>
    </w:rPr>
  </w:style>
  <w:style w:type="character" w:customStyle="1" w:styleId="BodyTextChar">
    <w:name w:val="Body Text Char"/>
    <w:link w:val="BodyText"/>
    <w:rsid w:val="00080683"/>
    <w:rPr>
      <w:sz w:val="26"/>
    </w:rPr>
  </w:style>
  <w:style w:type="character" w:customStyle="1" w:styleId="Heading4Char">
    <w:name w:val="Heading 4 Char"/>
    <w:link w:val="Heading4"/>
    <w:semiHidden/>
    <w:rsid w:val="00A83C01"/>
    <w:rPr>
      <w:rFonts w:ascii="Calibri" w:eastAsia="Times New Roman" w:hAnsi="Calibri" w:cs="Times New Roman"/>
      <w:b/>
      <w:bCs/>
      <w:sz w:val="28"/>
      <w:szCs w:val="28"/>
    </w:rPr>
  </w:style>
  <w:style w:type="paragraph" w:styleId="NormalWeb">
    <w:name w:val="Normal (Web)"/>
    <w:basedOn w:val="Normal"/>
    <w:rsid w:val="00A83C01"/>
    <w:pPr>
      <w:spacing w:before="100" w:beforeAutospacing="1" w:after="100" w:afterAutospacing="1"/>
    </w:pPr>
    <w:rPr>
      <w:szCs w:val="24"/>
    </w:rPr>
  </w:style>
  <w:style w:type="paragraph" w:styleId="BalloonText">
    <w:name w:val="Balloon Text"/>
    <w:basedOn w:val="Normal"/>
    <w:link w:val="BalloonTextChar"/>
    <w:rsid w:val="007446A7"/>
    <w:rPr>
      <w:rFonts w:ascii="Tahoma" w:hAnsi="Tahoma" w:cs="Tahoma"/>
      <w:sz w:val="16"/>
      <w:szCs w:val="16"/>
    </w:rPr>
  </w:style>
  <w:style w:type="character" w:customStyle="1" w:styleId="BalloonTextChar">
    <w:name w:val="Balloon Text Char"/>
    <w:link w:val="BalloonText"/>
    <w:rsid w:val="007446A7"/>
    <w:rPr>
      <w:rFonts w:ascii="Tahoma" w:hAnsi="Tahoma" w:cs="Tahoma"/>
      <w:sz w:val="16"/>
      <w:szCs w:val="16"/>
    </w:rPr>
  </w:style>
  <w:style w:type="paragraph" w:styleId="PlainText">
    <w:name w:val="Plain Text"/>
    <w:basedOn w:val="Normal"/>
    <w:link w:val="PlainTextChar"/>
    <w:uiPriority w:val="99"/>
    <w:unhideWhenUsed/>
    <w:rsid w:val="0009457E"/>
    <w:rPr>
      <w:rFonts w:ascii="Calibri" w:eastAsia="Calibri" w:hAnsi="Calibri"/>
      <w:sz w:val="22"/>
      <w:szCs w:val="21"/>
    </w:rPr>
  </w:style>
  <w:style w:type="character" w:customStyle="1" w:styleId="PlainTextChar">
    <w:name w:val="Plain Text Char"/>
    <w:basedOn w:val="DefaultParagraphFont"/>
    <w:link w:val="PlainText"/>
    <w:uiPriority w:val="99"/>
    <w:rsid w:val="0009457E"/>
    <w:rPr>
      <w:rFonts w:ascii="Calibri" w:eastAsia="Calibri" w:hAnsi="Calibri"/>
      <w:sz w:val="22"/>
      <w:szCs w:val="21"/>
    </w:rPr>
  </w:style>
  <w:style w:type="character" w:customStyle="1" w:styleId="FooterChar">
    <w:name w:val="Footer Char"/>
    <w:basedOn w:val="DefaultParagraphFont"/>
    <w:link w:val="Footer"/>
    <w:uiPriority w:val="99"/>
    <w:rsid w:val="00FD68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7128">
      <w:bodyDiv w:val="1"/>
      <w:marLeft w:val="0"/>
      <w:marRight w:val="0"/>
      <w:marTop w:val="0"/>
      <w:marBottom w:val="0"/>
      <w:divBdr>
        <w:top w:val="none" w:sz="0" w:space="0" w:color="auto"/>
        <w:left w:val="none" w:sz="0" w:space="0" w:color="auto"/>
        <w:bottom w:val="none" w:sz="0" w:space="0" w:color="auto"/>
        <w:right w:val="none" w:sz="0" w:space="0" w:color="auto"/>
      </w:divBdr>
    </w:div>
    <w:div w:id="35663571">
      <w:bodyDiv w:val="1"/>
      <w:marLeft w:val="0"/>
      <w:marRight w:val="0"/>
      <w:marTop w:val="0"/>
      <w:marBottom w:val="0"/>
      <w:divBdr>
        <w:top w:val="none" w:sz="0" w:space="0" w:color="auto"/>
        <w:left w:val="none" w:sz="0" w:space="0" w:color="auto"/>
        <w:bottom w:val="none" w:sz="0" w:space="0" w:color="auto"/>
        <w:right w:val="none" w:sz="0" w:space="0" w:color="auto"/>
      </w:divBdr>
    </w:div>
    <w:div w:id="189295553">
      <w:bodyDiv w:val="1"/>
      <w:marLeft w:val="0"/>
      <w:marRight w:val="0"/>
      <w:marTop w:val="0"/>
      <w:marBottom w:val="0"/>
      <w:divBdr>
        <w:top w:val="none" w:sz="0" w:space="0" w:color="auto"/>
        <w:left w:val="none" w:sz="0" w:space="0" w:color="auto"/>
        <w:bottom w:val="none" w:sz="0" w:space="0" w:color="auto"/>
        <w:right w:val="none" w:sz="0" w:space="0" w:color="auto"/>
      </w:divBdr>
    </w:div>
    <w:div w:id="224340624">
      <w:bodyDiv w:val="1"/>
      <w:marLeft w:val="0"/>
      <w:marRight w:val="0"/>
      <w:marTop w:val="0"/>
      <w:marBottom w:val="0"/>
      <w:divBdr>
        <w:top w:val="none" w:sz="0" w:space="0" w:color="auto"/>
        <w:left w:val="none" w:sz="0" w:space="0" w:color="auto"/>
        <w:bottom w:val="none" w:sz="0" w:space="0" w:color="auto"/>
        <w:right w:val="none" w:sz="0" w:space="0" w:color="auto"/>
      </w:divBdr>
    </w:div>
    <w:div w:id="283079601">
      <w:bodyDiv w:val="1"/>
      <w:marLeft w:val="0"/>
      <w:marRight w:val="0"/>
      <w:marTop w:val="0"/>
      <w:marBottom w:val="0"/>
      <w:divBdr>
        <w:top w:val="none" w:sz="0" w:space="0" w:color="auto"/>
        <w:left w:val="none" w:sz="0" w:space="0" w:color="auto"/>
        <w:bottom w:val="none" w:sz="0" w:space="0" w:color="auto"/>
        <w:right w:val="none" w:sz="0" w:space="0" w:color="auto"/>
      </w:divBdr>
    </w:div>
    <w:div w:id="418216858">
      <w:bodyDiv w:val="1"/>
      <w:marLeft w:val="0"/>
      <w:marRight w:val="0"/>
      <w:marTop w:val="0"/>
      <w:marBottom w:val="0"/>
      <w:divBdr>
        <w:top w:val="none" w:sz="0" w:space="0" w:color="auto"/>
        <w:left w:val="none" w:sz="0" w:space="0" w:color="auto"/>
        <w:bottom w:val="none" w:sz="0" w:space="0" w:color="auto"/>
        <w:right w:val="none" w:sz="0" w:space="0" w:color="auto"/>
      </w:divBdr>
    </w:div>
    <w:div w:id="485433837">
      <w:bodyDiv w:val="1"/>
      <w:marLeft w:val="0"/>
      <w:marRight w:val="0"/>
      <w:marTop w:val="0"/>
      <w:marBottom w:val="0"/>
      <w:divBdr>
        <w:top w:val="none" w:sz="0" w:space="0" w:color="auto"/>
        <w:left w:val="none" w:sz="0" w:space="0" w:color="auto"/>
        <w:bottom w:val="none" w:sz="0" w:space="0" w:color="auto"/>
        <w:right w:val="none" w:sz="0" w:space="0" w:color="auto"/>
      </w:divBdr>
    </w:div>
    <w:div w:id="618727434">
      <w:bodyDiv w:val="1"/>
      <w:marLeft w:val="0"/>
      <w:marRight w:val="0"/>
      <w:marTop w:val="0"/>
      <w:marBottom w:val="0"/>
      <w:divBdr>
        <w:top w:val="none" w:sz="0" w:space="0" w:color="auto"/>
        <w:left w:val="none" w:sz="0" w:space="0" w:color="auto"/>
        <w:bottom w:val="none" w:sz="0" w:space="0" w:color="auto"/>
        <w:right w:val="none" w:sz="0" w:space="0" w:color="auto"/>
      </w:divBdr>
    </w:div>
    <w:div w:id="725180393">
      <w:bodyDiv w:val="1"/>
      <w:marLeft w:val="0"/>
      <w:marRight w:val="0"/>
      <w:marTop w:val="0"/>
      <w:marBottom w:val="0"/>
      <w:divBdr>
        <w:top w:val="none" w:sz="0" w:space="0" w:color="auto"/>
        <w:left w:val="none" w:sz="0" w:space="0" w:color="auto"/>
        <w:bottom w:val="none" w:sz="0" w:space="0" w:color="auto"/>
        <w:right w:val="none" w:sz="0" w:space="0" w:color="auto"/>
      </w:divBdr>
    </w:div>
    <w:div w:id="896938374">
      <w:bodyDiv w:val="1"/>
      <w:marLeft w:val="0"/>
      <w:marRight w:val="0"/>
      <w:marTop w:val="0"/>
      <w:marBottom w:val="0"/>
      <w:divBdr>
        <w:top w:val="none" w:sz="0" w:space="0" w:color="auto"/>
        <w:left w:val="none" w:sz="0" w:space="0" w:color="auto"/>
        <w:bottom w:val="none" w:sz="0" w:space="0" w:color="auto"/>
        <w:right w:val="none" w:sz="0" w:space="0" w:color="auto"/>
      </w:divBdr>
    </w:div>
    <w:div w:id="919871541">
      <w:bodyDiv w:val="1"/>
      <w:marLeft w:val="0"/>
      <w:marRight w:val="0"/>
      <w:marTop w:val="0"/>
      <w:marBottom w:val="0"/>
      <w:divBdr>
        <w:top w:val="none" w:sz="0" w:space="0" w:color="auto"/>
        <w:left w:val="none" w:sz="0" w:space="0" w:color="auto"/>
        <w:bottom w:val="none" w:sz="0" w:space="0" w:color="auto"/>
        <w:right w:val="none" w:sz="0" w:space="0" w:color="auto"/>
      </w:divBdr>
    </w:div>
    <w:div w:id="943807383">
      <w:bodyDiv w:val="1"/>
      <w:marLeft w:val="0"/>
      <w:marRight w:val="0"/>
      <w:marTop w:val="0"/>
      <w:marBottom w:val="0"/>
      <w:divBdr>
        <w:top w:val="none" w:sz="0" w:space="0" w:color="auto"/>
        <w:left w:val="none" w:sz="0" w:space="0" w:color="auto"/>
        <w:bottom w:val="none" w:sz="0" w:space="0" w:color="auto"/>
        <w:right w:val="none" w:sz="0" w:space="0" w:color="auto"/>
      </w:divBdr>
    </w:div>
    <w:div w:id="986545168">
      <w:bodyDiv w:val="1"/>
      <w:marLeft w:val="0"/>
      <w:marRight w:val="0"/>
      <w:marTop w:val="0"/>
      <w:marBottom w:val="0"/>
      <w:divBdr>
        <w:top w:val="none" w:sz="0" w:space="0" w:color="auto"/>
        <w:left w:val="none" w:sz="0" w:space="0" w:color="auto"/>
        <w:bottom w:val="none" w:sz="0" w:space="0" w:color="auto"/>
        <w:right w:val="none" w:sz="0" w:space="0" w:color="auto"/>
      </w:divBdr>
    </w:div>
    <w:div w:id="1007445309">
      <w:bodyDiv w:val="1"/>
      <w:marLeft w:val="0"/>
      <w:marRight w:val="0"/>
      <w:marTop w:val="0"/>
      <w:marBottom w:val="0"/>
      <w:divBdr>
        <w:top w:val="none" w:sz="0" w:space="0" w:color="auto"/>
        <w:left w:val="none" w:sz="0" w:space="0" w:color="auto"/>
        <w:bottom w:val="none" w:sz="0" w:space="0" w:color="auto"/>
        <w:right w:val="none" w:sz="0" w:space="0" w:color="auto"/>
      </w:divBdr>
    </w:div>
    <w:div w:id="1020012744">
      <w:bodyDiv w:val="1"/>
      <w:marLeft w:val="0"/>
      <w:marRight w:val="0"/>
      <w:marTop w:val="0"/>
      <w:marBottom w:val="0"/>
      <w:divBdr>
        <w:top w:val="none" w:sz="0" w:space="0" w:color="auto"/>
        <w:left w:val="none" w:sz="0" w:space="0" w:color="auto"/>
        <w:bottom w:val="none" w:sz="0" w:space="0" w:color="auto"/>
        <w:right w:val="none" w:sz="0" w:space="0" w:color="auto"/>
      </w:divBdr>
    </w:div>
    <w:div w:id="1148547391">
      <w:bodyDiv w:val="1"/>
      <w:marLeft w:val="0"/>
      <w:marRight w:val="0"/>
      <w:marTop w:val="0"/>
      <w:marBottom w:val="0"/>
      <w:divBdr>
        <w:top w:val="none" w:sz="0" w:space="0" w:color="auto"/>
        <w:left w:val="none" w:sz="0" w:space="0" w:color="auto"/>
        <w:bottom w:val="none" w:sz="0" w:space="0" w:color="auto"/>
        <w:right w:val="none" w:sz="0" w:space="0" w:color="auto"/>
      </w:divBdr>
    </w:div>
    <w:div w:id="1394809857">
      <w:bodyDiv w:val="1"/>
      <w:marLeft w:val="0"/>
      <w:marRight w:val="0"/>
      <w:marTop w:val="0"/>
      <w:marBottom w:val="0"/>
      <w:divBdr>
        <w:top w:val="none" w:sz="0" w:space="0" w:color="auto"/>
        <w:left w:val="none" w:sz="0" w:space="0" w:color="auto"/>
        <w:bottom w:val="none" w:sz="0" w:space="0" w:color="auto"/>
        <w:right w:val="none" w:sz="0" w:space="0" w:color="auto"/>
      </w:divBdr>
    </w:div>
    <w:div w:id="1407919067">
      <w:bodyDiv w:val="1"/>
      <w:marLeft w:val="0"/>
      <w:marRight w:val="0"/>
      <w:marTop w:val="0"/>
      <w:marBottom w:val="0"/>
      <w:divBdr>
        <w:top w:val="none" w:sz="0" w:space="0" w:color="auto"/>
        <w:left w:val="none" w:sz="0" w:space="0" w:color="auto"/>
        <w:bottom w:val="none" w:sz="0" w:space="0" w:color="auto"/>
        <w:right w:val="none" w:sz="0" w:space="0" w:color="auto"/>
      </w:divBdr>
    </w:div>
    <w:div w:id="1435512145">
      <w:bodyDiv w:val="1"/>
      <w:marLeft w:val="0"/>
      <w:marRight w:val="0"/>
      <w:marTop w:val="0"/>
      <w:marBottom w:val="0"/>
      <w:divBdr>
        <w:top w:val="none" w:sz="0" w:space="0" w:color="auto"/>
        <w:left w:val="none" w:sz="0" w:space="0" w:color="auto"/>
        <w:bottom w:val="none" w:sz="0" w:space="0" w:color="auto"/>
        <w:right w:val="none" w:sz="0" w:space="0" w:color="auto"/>
      </w:divBdr>
    </w:div>
    <w:div w:id="1751540394">
      <w:bodyDiv w:val="1"/>
      <w:marLeft w:val="0"/>
      <w:marRight w:val="0"/>
      <w:marTop w:val="0"/>
      <w:marBottom w:val="0"/>
      <w:divBdr>
        <w:top w:val="none" w:sz="0" w:space="0" w:color="auto"/>
        <w:left w:val="none" w:sz="0" w:space="0" w:color="auto"/>
        <w:bottom w:val="none" w:sz="0" w:space="0" w:color="auto"/>
        <w:right w:val="none" w:sz="0" w:space="0" w:color="auto"/>
      </w:divBdr>
    </w:div>
    <w:div w:id="1855000719">
      <w:bodyDiv w:val="1"/>
      <w:marLeft w:val="0"/>
      <w:marRight w:val="0"/>
      <w:marTop w:val="0"/>
      <w:marBottom w:val="0"/>
      <w:divBdr>
        <w:top w:val="none" w:sz="0" w:space="0" w:color="auto"/>
        <w:left w:val="none" w:sz="0" w:space="0" w:color="auto"/>
        <w:bottom w:val="none" w:sz="0" w:space="0" w:color="auto"/>
        <w:right w:val="none" w:sz="0" w:space="0" w:color="auto"/>
      </w:divBdr>
    </w:div>
    <w:div w:id="19643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AB143-0F01-4CE9-B6CC-29A7408D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PUC</dc:creator>
  <cp:lastModifiedBy>Leonard, Allyson</cp:lastModifiedBy>
  <cp:revision>3</cp:revision>
  <cp:lastPrinted>2014-03-20T15:49:00Z</cp:lastPrinted>
  <dcterms:created xsi:type="dcterms:W3CDTF">2014-03-20T15:44:00Z</dcterms:created>
  <dcterms:modified xsi:type="dcterms:W3CDTF">2014-03-20T17:08:00Z</dcterms:modified>
</cp:coreProperties>
</file>