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EB" w:rsidRPr="00441505" w:rsidRDefault="00174CEB" w:rsidP="00174CEB">
      <w:pPr>
        <w:spacing w:after="0" w:line="240" w:lineRule="auto"/>
        <w:jc w:val="center"/>
        <w:rPr>
          <w:rFonts w:eastAsia="Times New Roman"/>
          <w:b/>
          <w:szCs w:val="24"/>
        </w:rPr>
      </w:pPr>
      <w:r w:rsidRPr="00441505">
        <w:rPr>
          <w:rFonts w:eastAsia="Times New Roman"/>
          <w:b/>
          <w:szCs w:val="24"/>
        </w:rPr>
        <w:t>BEFORE THE</w:t>
      </w:r>
    </w:p>
    <w:p w:rsidR="00174CEB" w:rsidRPr="00441505" w:rsidRDefault="00174CEB" w:rsidP="00174CEB">
      <w:pPr>
        <w:spacing w:after="0" w:line="240" w:lineRule="auto"/>
        <w:jc w:val="center"/>
        <w:rPr>
          <w:rFonts w:eastAsia="Times New Roman"/>
          <w:szCs w:val="24"/>
        </w:rPr>
      </w:pPr>
      <w:r w:rsidRPr="00441505">
        <w:rPr>
          <w:rFonts w:eastAsia="Times New Roman"/>
          <w:b/>
          <w:szCs w:val="24"/>
        </w:rPr>
        <w:t>PENNSYLVANIA PUBLIC UTILITY COMMISSION</w:t>
      </w:r>
    </w:p>
    <w:p w:rsidR="00174CEB" w:rsidRPr="00441505" w:rsidRDefault="00174CEB" w:rsidP="00174CEB">
      <w:pPr>
        <w:spacing w:after="0" w:line="240" w:lineRule="auto"/>
        <w:rPr>
          <w:rFonts w:eastAsia="Times New Roman"/>
          <w:szCs w:val="24"/>
        </w:rPr>
      </w:pPr>
    </w:p>
    <w:p w:rsidR="00174CEB" w:rsidRPr="00441505" w:rsidRDefault="00174CEB" w:rsidP="00174CEB">
      <w:pPr>
        <w:spacing w:after="0" w:line="240" w:lineRule="auto"/>
        <w:rPr>
          <w:rFonts w:eastAsia="Times New Roman"/>
          <w:szCs w:val="24"/>
        </w:rPr>
      </w:pPr>
    </w:p>
    <w:p w:rsidR="00174CEB" w:rsidRPr="00441505" w:rsidRDefault="00174CEB" w:rsidP="00174CEB">
      <w:pPr>
        <w:spacing w:after="0" w:line="240" w:lineRule="auto"/>
        <w:rPr>
          <w:rFonts w:eastAsia="Times New Roman"/>
          <w:szCs w:val="24"/>
        </w:rPr>
      </w:pPr>
    </w:p>
    <w:tbl>
      <w:tblPr>
        <w:tblW w:w="0" w:type="auto"/>
        <w:tblLook w:val="01E0" w:firstRow="1" w:lastRow="1" w:firstColumn="1" w:lastColumn="1" w:noHBand="0" w:noVBand="0"/>
      </w:tblPr>
      <w:tblGrid>
        <w:gridCol w:w="4428"/>
        <w:gridCol w:w="540"/>
        <w:gridCol w:w="4608"/>
      </w:tblGrid>
      <w:tr w:rsidR="00174CEB" w:rsidRPr="00441505" w:rsidTr="0059427C">
        <w:tc>
          <w:tcPr>
            <w:tcW w:w="4428" w:type="dxa"/>
          </w:tcPr>
          <w:p w:rsidR="00174CEB" w:rsidRPr="00441505" w:rsidRDefault="00174CEB" w:rsidP="0059427C">
            <w:pPr>
              <w:spacing w:after="0" w:line="240" w:lineRule="auto"/>
              <w:rPr>
                <w:rFonts w:eastAsia="Times New Roman"/>
                <w:szCs w:val="24"/>
              </w:rPr>
            </w:pPr>
            <w:r w:rsidRPr="00441505">
              <w:rPr>
                <w:rFonts w:eastAsia="Times New Roman"/>
                <w:szCs w:val="24"/>
              </w:rPr>
              <w:t>Pennsylvania Public Utility Commission</w:t>
            </w:r>
          </w:p>
          <w:p w:rsidR="00174CEB" w:rsidRPr="00441505" w:rsidRDefault="00174CEB" w:rsidP="0059427C">
            <w:pPr>
              <w:spacing w:after="0" w:line="240" w:lineRule="auto"/>
              <w:rPr>
                <w:rFonts w:eastAsia="Times New Roman"/>
                <w:szCs w:val="24"/>
              </w:rPr>
            </w:pPr>
            <w:r w:rsidRPr="00441505">
              <w:rPr>
                <w:rFonts w:eastAsia="Times New Roman"/>
                <w:szCs w:val="24"/>
              </w:rPr>
              <w:t>Office of Consumer Advocate</w:t>
            </w:r>
          </w:p>
          <w:p w:rsidR="00174CEB" w:rsidRPr="00441505" w:rsidRDefault="00174CEB" w:rsidP="0059427C">
            <w:pPr>
              <w:spacing w:after="0" w:line="240" w:lineRule="auto"/>
              <w:rPr>
                <w:rFonts w:eastAsia="Times New Roman"/>
                <w:szCs w:val="24"/>
              </w:rPr>
            </w:pPr>
            <w:r w:rsidRPr="00441505">
              <w:rPr>
                <w:rFonts w:eastAsia="Times New Roman"/>
                <w:szCs w:val="24"/>
              </w:rPr>
              <w:t>Office of Small Business Advocate</w:t>
            </w:r>
          </w:p>
          <w:p w:rsidR="00174CEB" w:rsidRPr="00441505" w:rsidRDefault="00174CEB" w:rsidP="0059427C">
            <w:pPr>
              <w:spacing w:after="0" w:line="240" w:lineRule="auto"/>
              <w:rPr>
                <w:rFonts w:eastAsia="Times New Roman"/>
                <w:szCs w:val="24"/>
              </w:rPr>
            </w:pPr>
            <w:r w:rsidRPr="00441505">
              <w:rPr>
                <w:rFonts w:eastAsia="Times New Roman"/>
                <w:szCs w:val="24"/>
              </w:rPr>
              <w:t>Jacquelyn and Robert Miller</w:t>
            </w:r>
          </w:p>
          <w:p w:rsidR="00174CEB" w:rsidRPr="00441505" w:rsidRDefault="00174CEB" w:rsidP="0059427C">
            <w:pPr>
              <w:spacing w:after="0" w:line="240" w:lineRule="auto"/>
              <w:rPr>
                <w:rFonts w:eastAsia="Times New Roman"/>
                <w:szCs w:val="24"/>
              </w:rPr>
            </w:pPr>
            <w:r w:rsidRPr="00441505">
              <w:rPr>
                <w:rFonts w:eastAsia="Times New Roman"/>
                <w:szCs w:val="24"/>
              </w:rPr>
              <w:t>Gwendolyn L. LeVert</w:t>
            </w:r>
          </w:p>
          <w:p w:rsidR="00174CEB" w:rsidRPr="00441505" w:rsidRDefault="00174CEB" w:rsidP="0059427C">
            <w:pPr>
              <w:spacing w:after="0" w:line="240" w:lineRule="auto"/>
              <w:rPr>
                <w:rFonts w:eastAsia="Times New Roman"/>
                <w:szCs w:val="24"/>
              </w:rPr>
            </w:pPr>
            <w:r w:rsidRPr="00441505">
              <w:rPr>
                <w:rFonts w:eastAsia="Times New Roman"/>
                <w:szCs w:val="24"/>
              </w:rPr>
              <w:t>Duquesne Industrial Intervenors</w:t>
            </w:r>
          </w:p>
          <w:p w:rsidR="00174CEB" w:rsidRPr="00441505" w:rsidRDefault="00174CEB" w:rsidP="0059427C">
            <w:pPr>
              <w:spacing w:after="0" w:line="240" w:lineRule="auto"/>
              <w:rPr>
                <w:rFonts w:eastAsia="Times New Roman"/>
                <w:szCs w:val="24"/>
              </w:rPr>
            </w:pPr>
            <w:r w:rsidRPr="00441505">
              <w:rPr>
                <w:rFonts w:eastAsia="Times New Roman"/>
                <w:szCs w:val="24"/>
              </w:rPr>
              <w:t>Aimee M. Dorsten</w:t>
            </w:r>
          </w:p>
          <w:p w:rsidR="00174CEB" w:rsidRPr="00441505" w:rsidRDefault="00174CEB" w:rsidP="0059427C">
            <w:pPr>
              <w:spacing w:after="0" w:line="240" w:lineRule="auto"/>
              <w:rPr>
                <w:rFonts w:eastAsia="Times New Roman"/>
                <w:szCs w:val="24"/>
              </w:rPr>
            </w:pPr>
            <w:r w:rsidRPr="00441505">
              <w:rPr>
                <w:rFonts w:eastAsia="Times New Roman"/>
                <w:szCs w:val="24"/>
              </w:rPr>
              <w:t>Connie Schiavo</w:t>
            </w:r>
          </w:p>
          <w:p w:rsidR="00174CEB" w:rsidRPr="00441505" w:rsidRDefault="00174CEB" w:rsidP="0059427C">
            <w:pPr>
              <w:spacing w:after="0" w:line="240" w:lineRule="auto"/>
              <w:rPr>
                <w:rFonts w:eastAsia="Times New Roman"/>
                <w:color w:val="000000" w:themeColor="text1"/>
                <w:szCs w:val="24"/>
              </w:rPr>
            </w:pPr>
            <w:r w:rsidRPr="00441505">
              <w:rPr>
                <w:rFonts w:eastAsia="Times New Roman"/>
                <w:color w:val="000000" w:themeColor="text1"/>
                <w:szCs w:val="24"/>
              </w:rPr>
              <w:t>NRG Power Midwest LP, NRG Energy Center Pittsburgh LLC, and Reliant Energy Northeast LLC</w:t>
            </w:r>
          </w:p>
          <w:p w:rsidR="00174CEB" w:rsidRPr="00441505" w:rsidRDefault="00174CEB" w:rsidP="0059427C">
            <w:pPr>
              <w:spacing w:after="0" w:line="240" w:lineRule="auto"/>
              <w:rPr>
                <w:rFonts w:eastAsia="Times New Roman"/>
                <w:color w:val="000000" w:themeColor="text1"/>
                <w:szCs w:val="24"/>
              </w:rPr>
            </w:pPr>
          </w:p>
          <w:p w:rsidR="00174CEB" w:rsidRPr="00441505" w:rsidRDefault="00174CEB" w:rsidP="0059427C">
            <w:pPr>
              <w:spacing w:after="0" w:line="240" w:lineRule="auto"/>
              <w:ind w:right="2052"/>
              <w:jc w:val="center"/>
              <w:rPr>
                <w:rFonts w:eastAsia="Times New Roman"/>
                <w:szCs w:val="24"/>
              </w:rPr>
            </w:pPr>
            <w:r w:rsidRPr="00441505">
              <w:rPr>
                <w:rFonts w:eastAsia="Times New Roman"/>
                <w:szCs w:val="24"/>
              </w:rPr>
              <w:t>v.</w:t>
            </w:r>
          </w:p>
          <w:p w:rsidR="00174CEB" w:rsidRPr="00441505" w:rsidRDefault="00174CEB" w:rsidP="0059427C">
            <w:pPr>
              <w:spacing w:after="0" w:line="240" w:lineRule="auto"/>
              <w:jc w:val="center"/>
              <w:rPr>
                <w:rFonts w:eastAsia="Times New Roman"/>
                <w:szCs w:val="24"/>
              </w:rPr>
            </w:pPr>
            <w:r w:rsidRPr="00441505">
              <w:rPr>
                <w:rFonts w:eastAsia="Times New Roman"/>
                <w:szCs w:val="24"/>
              </w:rPr>
              <w:t xml:space="preserve">                                                     </w:t>
            </w:r>
          </w:p>
          <w:p w:rsidR="00174CEB" w:rsidRPr="00441505" w:rsidRDefault="00174CEB" w:rsidP="0059427C">
            <w:pPr>
              <w:spacing w:after="0" w:line="240" w:lineRule="auto"/>
              <w:rPr>
                <w:rFonts w:eastAsia="Times New Roman"/>
                <w:szCs w:val="24"/>
              </w:rPr>
            </w:pPr>
            <w:r w:rsidRPr="00441505">
              <w:rPr>
                <w:rFonts w:eastAsia="Times New Roman"/>
                <w:szCs w:val="24"/>
              </w:rPr>
              <w:t>Duquesne Light Company</w:t>
            </w:r>
          </w:p>
        </w:tc>
        <w:tc>
          <w:tcPr>
            <w:tcW w:w="540" w:type="dxa"/>
            <w:hideMark/>
          </w:tcPr>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r w:rsidRPr="00441505">
              <w:rPr>
                <w:rFonts w:eastAsia="Times New Roman"/>
                <w:b/>
                <w:szCs w:val="24"/>
              </w:rPr>
              <w:br/>
              <w:t>:</w:t>
            </w:r>
            <w:r w:rsidRPr="00441505">
              <w:rPr>
                <w:rFonts w:eastAsia="Times New Roman"/>
                <w:b/>
                <w:szCs w:val="24"/>
              </w:rPr>
              <w:br/>
              <w:t>:</w:t>
            </w:r>
            <w:r w:rsidRPr="00441505">
              <w:rPr>
                <w:rFonts w:eastAsia="Times New Roman"/>
                <w:b/>
                <w:szCs w:val="24"/>
              </w:rPr>
              <w:b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p w:rsidR="00174CEB" w:rsidRPr="00441505" w:rsidRDefault="00174CEB" w:rsidP="0059427C">
            <w:pPr>
              <w:spacing w:after="0" w:line="240" w:lineRule="auto"/>
              <w:jc w:val="center"/>
              <w:rPr>
                <w:rFonts w:eastAsia="Times New Roman"/>
                <w:b/>
                <w:szCs w:val="24"/>
              </w:rPr>
            </w:pPr>
            <w:r w:rsidRPr="00441505">
              <w:rPr>
                <w:rFonts w:eastAsia="Times New Roman"/>
                <w:b/>
                <w:szCs w:val="24"/>
              </w:rPr>
              <w:t>:</w:t>
            </w:r>
          </w:p>
        </w:tc>
        <w:tc>
          <w:tcPr>
            <w:tcW w:w="4608" w:type="dxa"/>
          </w:tcPr>
          <w:p w:rsidR="00174CEB" w:rsidRPr="00441505" w:rsidRDefault="00174CEB" w:rsidP="0059427C">
            <w:pPr>
              <w:spacing w:after="0" w:line="240" w:lineRule="auto"/>
              <w:ind w:left="1512" w:hanging="1440"/>
              <w:rPr>
                <w:rFonts w:eastAsia="Times New Roman"/>
                <w:szCs w:val="24"/>
              </w:rPr>
            </w:pPr>
            <w:r w:rsidRPr="00441505">
              <w:rPr>
                <w:rFonts w:eastAsia="Times New Roman"/>
                <w:szCs w:val="24"/>
              </w:rPr>
              <w:t xml:space="preserve">    </w:t>
            </w:r>
            <w:r>
              <w:rPr>
                <w:rFonts w:eastAsia="Times New Roman"/>
                <w:szCs w:val="24"/>
              </w:rPr>
              <w:t xml:space="preserve">                    </w:t>
            </w:r>
            <w:r w:rsidRPr="00441505">
              <w:rPr>
                <w:rFonts w:eastAsia="Times New Roman"/>
                <w:szCs w:val="24"/>
              </w:rPr>
              <w:t>R-2013-2372129</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C-2013-2379084</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C-2013-2380474</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C-2013-2383835</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C-2013-2383980</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C-2013-2385292</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C-2013-2386037</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C-2013-2386284</w:t>
            </w:r>
          </w:p>
          <w:p w:rsidR="00174CEB" w:rsidRPr="00441505" w:rsidRDefault="00174CEB" w:rsidP="0059427C">
            <w:pPr>
              <w:tabs>
                <w:tab w:val="left" w:pos="1512"/>
              </w:tabs>
              <w:spacing w:after="0" w:line="240" w:lineRule="auto"/>
              <w:ind w:left="1512"/>
              <w:rPr>
                <w:rFonts w:eastAsia="Times New Roman"/>
                <w:szCs w:val="24"/>
              </w:rPr>
            </w:pPr>
            <w:r w:rsidRPr="00441505">
              <w:rPr>
                <w:rFonts w:eastAsia="Times New Roman"/>
                <w:szCs w:val="24"/>
              </w:rPr>
              <w:t>C-2013-2390562</w:t>
            </w:r>
          </w:p>
          <w:p w:rsidR="00174CEB" w:rsidRPr="00441505" w:rsidRDefault="00174CEB" w:rsidP="0059427C">
            <w:pPr>
              <w:tabs>
                <w:tab w:val="left" w:pos="1512"/>
              </w:tabs>
              <w:spacing w:after="0" w:line="240" w:lineRule="auto"/>
              <w:ind w:left="1512"/>
              <w:rPr>
                <w:rFonts w:eastAsia="Times New Roman"/>
                <w:szCs w:val="24"/>
              </w:rPr>
            </w:pPr>
          </w:p>
          <w:p w:rsidR="00174CEB" w:rsidRPr="00441505" w:rsidRDefault="00174CEB" w:rsidP="0059427C">
            <w:pPr>
              <w:tabs>
                <w:tab w:val="left" w:pos="1512"/>
              </w:tabs>
              <w:spacing w:after="0" w:line="240" w:lineRule="auto"/>
              <w:ind w:left="1512"/>
              <w:rPr>
                <w:rFonts w:eastAsia="Times New Roman"/>
                <w:szCs w:val="24"/>
              </w:rPr>
            </w:pPr>
          </w:p>
        </w:tc>
      </w:tr>
      <w:tr w:rsidR="00174CEB" w:rsidRPr="00441505" w:rsidTr="0059427C">
        <w:tc>
          <w:tcPr>
            <w:tcW w:w="4428" w:type="dxa"/>
          </w:tcPr>
          <w:p w:rsidR="00174CEB" w:rsidRPr="00441505" w:rsidRDefault="00174CEB" w:rsidP="0059427C">
            <w:pPr>
              <w:spacing w:after="0" w:line="240" w:lineRule="auto"/>
              <w:rPr>
                <w:rFonts w:eastAsia="Times New Roman"/>
                <w:szCs w:val="24"/>
              </w:rPr>
            </w:pPr>
          </w:p>
        </w:tc>
        <w:tc>
          <w:tcPr>
            <w:tcW w:w="540" w:type="dxa"/>
          </w:tcPr>
          <w:p w:rsidR="00174CEB" w:rsidRPr="00441505" w:rsidRDefault="00174CEB" w:rsidP="0059427C">
            <w:pPr>
              <w:spacing w:after="0" w:line="240" w:lineRule="auto"/>
              <w:jc w:val="center"/>
              <w:rPr>
                <w:rFonts w:eastAsia="Times New Roman"/>
                <w:b/>
                <w:szCs w:val="24"/>
              </w:rPr>
            </w:pPr>
          </w:p>
        </w:tc>
        <w:tc>
          <w:tcPr>
            <w:tcW w:w="4608" w:type="dxa"/>
          </w:tcPr>
          <w:p w:rsidR="00174CEB" w:rsidRPr="00441505" w:rsidRDefault="00174CEB" w:rsidP="0059427C">
            <w:pPr>
              <w:spacing w:after="0" w:line="240" w:lineRule="auto"/>
              <w:ind w:left="1512" w:hanging="1440"/>
              <w:rPr>
                <w:rFonts w:eastAsia="Times New Roman"/>
                <w:szCs w:val="24"/>
              </w:rPr>
            </w:pPr>
          </w:p>
        </w:tc>
      </w:tr>
    </w:tbl>
    <w:p w:rsidR="00174CEB" w:rsidRPr="00441505" w:rsidRDefault="00174CEB" w:rsidP="00174CEB">
      <w:pPr>
        <w:spacing w:after="0" w:line="240" w:lineRule="auto"/>
        <w:rPr>
          <w:rFonts w:eastAsia="Times New Roman"/>
          <w:szCs w:val="24"/>
        </w:rPr>
      </w:pPr>
    </w:p>
    <w:p w:rsidR="00174CEB" w:rsidRDefault="00174CEB" w:rsidP="000571BE">
      <w:pPr>
        <w:spacing w:after="0" w:line="240" w:lineRule="auto"/>
        <w:rPr>
          <w:rFonts w:eastAsia="Times New Roman"/>
          <w:szCs w:val="24"/>
        </w:rPr>
      </w:pPr>
    </w:p>
    <w:p w:rsidR="00174CEB" w:rsidRDefault="00174CEB" w:rsidP="000571BE">
      <w:pPr>
        <w:spacing w:after="0" w:line="240" w:lineRule="auto"/>
        <w:rPr>
          <w:rFonts w:eastAsia="Times New Roman"/>
          <w:szCs w:val="24"/>
        </w:rPr>
      </w:pPr>
    </w:p>
    <w:p w:rsidR="000571BE" w:rsidRPr="000571BE" w:rsidRDefault="00174CEB" w:rsidP="000571BE">
      <w:pPr>
        <w:spacing w:after="0" w:line="240" w:lineRule="auto"/>
        <w:jc w:val="center"/>
        <w:rPr>
          <w:b/>
          <w:u w:val="single"/>
        </w:rPr>
      </w:pPr>
      <w:r w:rsidRPr="000571BE">
        <w:rPr>
          <w:b/>
          <w:u w:val="single"/>
        </w:rPr>
        <w:t>FIFTH INTERIM ORDER</w:t>
      </w:r>
      <w:r w:rsidR="00170D7D" w:rsidRPr="000571BE">
        <w:rPr>
          <w:b/>
          <w:u w:val="single"/>
        </w:rPr>
        <w:t xml:space="preserve"> </w:t>
      </w:r>
      <w:r w:rsidR="00B62C1F" w:rsidRPr="000571BE">
        <w:rPr>
          <w:b/>
          <w:u w:val="single"/>
        </w:rPr>
        <w:t>RE</w:t>
      </w:r>
      <w:r w:rsidRPr="000571BE">
        <w:rPr>
          <w:b/>
          <w:u w:val="single"/>
        </w:rPr>
        <w:t xml:space="preserve">OPENING THE RECORD </w:t>
      </w:r>
      <w:r w:rsidR="007F1FBC" w:rsidRPr="000571BE">
        <w:rPr>
          <w:b/>
          <w:u w:val="single"/>
        </w:rPr>
        <w:t>TO RECONSIDER</w:t>
      </w:r>
      <w:r w:rsidR="00170D7D" w:rsidRPr="000571BE">
        <w:rPr>
          <w:b/>
          <w:u w:val="single"/>
        </w:rPr>
        <w:t xml:space="preserve"> </w:t>
      </w:r>
      <w:r w:rsidR="007F1FBC" w:rsidRPr="000571BE">
        <w:rPr>
          <w:b/>
          <w:u w:val="single"/>
        </w:rPr>
        <w:t>RESPONDENT</w:t>
      </w:r>
      <w:r w:rsidR="00170D7D" w:rsidRPr="000571BE">
        <w:rPr>
          <w:b/>
          <w:u w:val="single"/>
        </w:rPr>
        <w:t xml:space="preserve"> DUQUESNE LIGHT COMPANY</w:t>
      </w:r>
      <w:r w:rsidR="007F1FBC" w:rsidRPr="000571BE">
        <w:rPr>
          <w:b/>
          <w:u w:val="single"/>
        </w:rPr>
        <w:t xml:space="preserve">’S MOTION TO SEVER </w:t>
      </w:r>
      <w:r w:rsidR="00E036F5" w:rsidRPr="000571BE">
        <w:rPr>
          <w:b/>
          <w:u w:val="single"/>
        </w:rPr>
        <w:t xml:space="preserve">FROM THIS BASE RATE PROCEEDING </w:t>
      </w:r>
      <w:r w:rsidR="007F1FBC" w:rsidRPr="000571BE">
        <w:rPr>
          <w:b/>
          <w:u w:val="single"/>
        </w:rPr>
        <w:t xml:space="preserve">COMPLAINANTS NRG COMPANIES’ RIDER NO. 18 ISSUES AND </w:t>
      </w:r>
      <w:r w:rsidR="00B62C1F" w:rsidRPr="000571BE">
        <w:rPr>
          <w:b/>
          <w:u w:val="single"/>
        </w:rPr>
        <w:t>ANSWER</w:t>
      </w:r>
      <w:r w:rsidR="007F1FBC" w:rsidRPr="000571BE">
        <w:rPr>
          <w:b/>
          <w:u w:val="single"/>
        </w:rPr>
        <w:t>S THERETO</w:t>
      </w:r>
      <w:r w:rsidR="00E036F5" w:rsidRPr="000571BE">
        <w:rPr>
          <w:b/>
          <w:u w:val="single"/>
        </w:rPr>
        <w:t xml:space="preserve"> </w:t>
      </w:r>
      <w:r w:rsidR="007F1FBC" w:rsidRPr="000571BE">
        <w:rPr>
          <w:b/>
          <w:u w:val="single"/>
        </w:rPr>
        <w:t xml:space="preserve">AND GRANTING THE MOTION </w:t>
      </w:r>
      <w:r w:rsidR="00170D7D" w:rsidRPr="000571BE">
        <w:rPr>
          <w:b/>
          <w:u w:val="single"/>
        </w:rPr>
        <w:t>TO SEVER</w:t>
      </w:r>
    </w:p>
    <w:p w:rsidR="007F1FBC" w:rsidRPr="000571BE" w:rsidRDefault="007F1FBC" w:rsidP="00170D7D">
      <w:pPr>
        <w:spacing w:after="0" w:line="240" w:lineRule="auto"/>
        <w:jc w:val="center"/>
        <w:rPr>
          <w:b/>
          <w:u w:val="single"/>
        </w:rPr>
      </w:pPr>
    </w:p>
    <w:p w:rsidR="007F1FBC" w:rsidRDefault="007F1FBC" w:rsidP="000571BE">
      <w:pPr>
        <w:spacing w:after="0" w:line="240" w:lineRule="auto"/>
        <w:jc w:val="center"/>
      </w:pPr>
    </w:p>
    <w:p w:rsidR="003B5E38" w:rsidRDefault="003B5E38" w:rsidP="000571BE">
      <w:pPr>
        <w:spacing w:after="0" w:line="240" w:lineRule="auto"/>
        <w:jc w:val="center"/>
      </w:pPr>
    </w:p>
    <w:p w:rsidR="000D64D2" w:rsidRDefault="003A42BD" w:rsidP="004E7D55">
      <w:pPr>
        <w:spacing w:after="0" w:line="240" w:lineRule="auto"/>
        <w:jc w:val="center"/>
        <w:rPr>
          <w:u w:val="single"/>
        </w:rPr>
      </w:pPr>
      <w:r>
        <w:rPr>
          <w:u w:val="single"/>
        </w:rPr>
        <w:t>B</w:t>
      </w:r>
      <w:r w:rsidR="00DD706A">
        <w:rPr>
          <w:u w:val="single"/>
        </w:rPr>
        <w:t>ackground</w:t>
      </w:r>
    </w:p>
    <w:p w:rsidR="00DD33FB" w:rsidRDefault="00DD33FB" w:rsidP="004E7D55">
      <w:pPr>
        <w:spacing w:after="0" w:line="240" w:lineRule="auto"/>
        <w:jc w:val="center"/>
        <w:rPr>
          <w:rFonts w:eastAsia="Times New Roman"/>
          <w:szCs w:val="24"/>
        </w:rPr>
      </w:pPr>
    </w:p>
    <w:p w:rsidR="000571BE" w:rsidRDefault="000571BE" w:rsidP="004E7D55">
      <w:pPr>
        <w:spacing w:after="0" w:line="240" w:lineRule="auto"/>
        <w:jc w:val="center"/>
        <w:rPr>
          <w:rFonts w:eastAsia="Times New Roman"/>
          <w:szCs w:val="24"/>
        </w:rPr>
      </w:pPr>
    </w:p>
    <w:p w:rsidR="00DD33FB" w:rsidRDefault="000D64D2" w:rsidP="004E7D55">
      <w:pPr>
        <w:spacing w:after="0" w:line="360" w:lineRule="auto"/>
        <w:rPr>
          <w:rFonts w:eastAsia="Times New Roman"/>
          <w:szCs w:val="24"/>
        </w:rPr>
      </w:pPr>
      <w:r>
        <w:rPr>
          <w:rFonts w:eastAsia="Times New Roman"/>
          <w:szCs w:val="24"/>
        </w:rPr>
        <w:tab/>
      </w:r>
      <w:r>
        <w:rPr>
          <w:rFonts w:eastAsia="Times New Roman"/>
          <w:szCs w:val="24"/>
        </w:rPr>
        <w:tab/>
        <w:t xml:space="preserve">In this base rate proceeding, the litigating parties did not achieve a unanimous </w:t>
      </w:r>
    </w:p>
    <w:p w:rsidR="000D64D2" w:rsidRDefault="000D64D2" w:rsidP="004E7D55">
      <w:pPr>
        <w:spacing w:after="0" w:line="360" w:lineRule="auto"/>
        <w:rPr>
          <w:rFonts w:eastAsia="Times New Roman"/>
          <w:szCs w:val="24"/>
        </w:rPr>
      </w:pPr>
      <w:r>
        <w:rPr>
          <w:rFonts w:eastAsia="Times New Roman"/>
          <w:szCs w:val="24"/>
        </w:rPr>
        <w:t xml:space="preserve">accord.  This case involved 20 parties with distinct and competing interests: </w:t>
      </w:r>
      <w:r w:rsidR="004577AF">
        <w:rPr>
          <w:rFonts w:eastAsia="Times New Roman"/>
          <w:szCs w:val="24"/>
        </w:rPr>
        <w:t xml:space="preserve"> </w:t>
      </w:r>
      <w:r>
        <w:rPr>
          <w:rFonts w:eastAsia="Times New Roman"/>
          <w:szCs w:val="24"/>
        </w:rPr>
        <w:t xml:space="preserve">Duquesne Light Company; three statutory parties; five individual complainants; four </w:t>
      </w:r>
      <w:r w:rsidR="00E036F5">
        <w:rPr>
          <w:rFonts w:eastAsia="Times New Roman"/>
          <w:szCs w:val="24"/>
        </w:rPr>
        <w:t>corporate</w:t>
      </w:r>
      <w:r>
        <w:rPr>
          <w:rFonts w:eastAsia="Times New Roman"/>
          <w:szCs w:val="24"/>
        </w:rPr>
        <w:t xml:space="preserve"> complainants; and eight intervenors.  A public input hearing was also convened.  The litigating parties engaged in extensive discovery, filed voluminous prepared testimony and exhibits, and they submitted multiple motions, responses and briefs.  Nineteen attorneys representing the respective parties appeared for the evidentiary hearings which occurred over a three-day period in Harrisburg. </w:t>
      </w:r>
      <w:r>
        <w:rPr>
          <w:rFonts w:eastAsia="Times New Roman"/>
          <w:szCs w:val="24"/>
        </w:rPr>
        <w:lastRenderedPageBreak/>
        <w:t>Seven witnesses testified and were cross-examined.  In others words, this proceeding drew significant interest from a number of parties.</w:t>
      </w:r>
    </w:p>
    <w:p w:rsidR="000D64D2" w:rsidRDefault="000D64D2" w:rsidP="004E7D55">
      <w:pPr>
        <w:spacing w:after="0" w:line="360" w:lineRule="auto"/>
        <w:rPr>
          <w:rFonts w:eastAsia="Times New Roman"/>
          <w:szCs w:val="24"/>
        </w:rPr>
      </w:pPr>
    </w:p>
    <w:p w:rsidR="00F61905" w:rsidRDefault="000D64D2" w:rsidP="004E7D55">
      <w:pPr>
        <w:spacing w:after="0" w:line="360" w:lineRule="auto"/>
        <w:rPr>
          <w:rFonts w:eastAsia="Times New Roman"/>
          <w:szCs w:val="24"/>
        </w:rPr>
      </w:pPr>
      <w:r>
        <w:rPr>
          <w:rFonts w:eastAsia="Times New Roman"/>
          <w:szCs w:val="24"/>
        </w:rPr>
        <w:tab/>
      </w:r>
      <w:r>
        <w:rPr>
          <w:rFonts w:eastAsia="Times New Roman"/>
          <w:szCs w:val="24"/>
        </w:rPr>
        <w:tab/>
        <w:t xml:space="preserve">Investigation of </w:t>
      </w:r>
      <w:r w:rsidR="00FE7374">
        <w:rPr>
          <w:rFonts w:eastAsia="Times New Roman"/>
          <w:szCs w:val="24"/>
        </w:rPr>
        <w:t xml:space="preserve">Duquesne Light Company’s </w:t>
      </w:r>
      <w:r>
        <w:rPr>
          <w:rFonts w:eastAsia="Times New Roman"/>
          <w:szCs w:val="24"/>
        </w:rPr>
        <w:t>proposed Tariff Supplement No. 81 to Electric –</w:t>
      </w:r>
      <w:r w:rsidR="00D36767">
        <w:rPr>
          <w:rFonts w:eastAsia="Times New Roman"/>
          <w:szCs w:val="24"/>
        </w:rPr>
        <w:t xml:space="preserve"> </w:t>
      </w:r>
      <w:r>
        <w:rPr>
          <w:rFonts w:eastAsia="Times New Roman"/>
          <w:szCs w:val="24"/>
        </w:rPr>
        <w:t xml:space="preserve">Pa. P.U.C. No. 24, combined with consideration of the Company’s existing tariff provision, i.e. Rider No. 18, added to the complexity of the proceeding and presented a </w:t>
      </w:r>
      <w:r w:rsidR="00F61905">
        <w:rPr>
          <w:rFonts w:eastAsia="Times New Roman"/>
          <w:szCs w:val="24"/>
        </w:rPr>
        <w:t xml:space="preserve">challenge in fashioning the appropriate relief.  On January 16, 2014, </w:t>
      </w:r>
      <w:r w:rsidR="00F61905" w:rsidRPr="009C6D70">
        <w:t>Duquesne Light Company</w:t>
      </w:r>
      <w:r w:rsidR="008C4254">
        <w:t xml:space="preserve"> (</w:t>
      </w:r>
      <w:r w:rsidR="008A7517">
        <w:t xml:space="preserve">DLC or </w:t>
      </w:r>
      <w:r w:rsidR="008C4254">
        <w:t>Company)</w:t>
      </w:r>
      <w:r w:rsidR="00F61905" w:rsidRPr="009C6D70">
        <w:t xml:space="preserve">, the </w:t>
      </w:r>
      <w:r w:rsidR="00F61905">
        <w:t xml:space="preserve">Bureau of Investigation and Enforcement, </w:t>
      </w:r>
      <w:r w:rsidR="00F61905" w:rsidRPr="009C6D70">
        <w:t xml:space="preserve">the Office of Consumer Advocate, the Office of Small Business Advocate, </w:t>
      </w:r>
      <w:r w:rsidR="00F61905">
        <w:t xml:space="preserve">the Coalition for Affordable Utility Service and Energy Efficiency in Pennsylvania, the </w:t>
      </w:r>
      <w:r w:rsidR="00F61905" w:rsidRPr="009C6D70">
        <w:t>Duquesne Industrial Intervenors</w:t>
      </w:r>
      <w:r w:rsidR="00F61905">
        <w:t xml:space="preserve">, the Citizens for Pennsylvania’s Future, and the United States Steel Corporation filed a Joint Petition for Approval of Non-Unanimous Settlement. </w:t>
      </w:r>
      <w:r>
        <w:rPr>
          <w:rFonts w:eastAsia="Times New Roman"/>
          <w:szCs w:val="24"/>
        </w:rPr>
        <w:t xml:space="preserve"> </w:t>
      </w:r>
      <w:r w:rsidR="004C6CB9">
        <w:rPr>
          <w:rFonts w:eastAsia="Times New Roman"/>
          <w:szCs w:val="24"/>
        </w:rPr>
        <w:t xml:space="preserve">On January 30, 2014, </w:t>
      </w:r>
      <w:r w:rsidR="00F61905">
        <w:rPr>
          <w:rFonts w:eastAsia="Times New Roman"/>
          <w:szCs w:val="24"/>
        </w:rPr>
        <w:t>NRG Companies</w:t>
      </w:r>
      <w:r w:rsidR="00FE7374">
        <w:rPr>
          <w:rFonts w:eastAsia="Times New Roman"/>
          <w:szCs w:val="24"/>
        </w:rPr>
        <w:t xml:space="preserve"> (NRG)</w:t>
      </w:r>
      <w:r w:rsidR="00FE7374">
        <w:rPr>
          <w:rStyle w:val="FootnoteReference"/>
          <w:color w:val="000000"/>
          <w:sz w:val="26"/>
          <w:szCs w:val="26"/>
        </w:rPr>
        <w:footnoteReference w:id="1"/>
      </w:r>
      <w:r w:rsidR="00FE7374">
        <w:rPr>
          <w:rFonts w:eastAsia="Times New Roman"/>
          <w:szCs w:val="24"/>
        </w:rPr>
        <w:t xml:space="preserve"> </w:t>
      </w:r>
      <w:r w:rsidR="00F61905">
        <w:rPr>
          <w:rFonts w:eastAsia="Times New Roman"/>
          <w:szCs w:val="24"/>
        </w:rPr>
        <w:t>w</w:t>
      </w:r>
      <w:r w:rsidR="00B03D4B">
        <w:rPr>
          <w:rFonts w:eastAsia="Times New Roman"/>
          <w:szCs w:val="24"/>
        </w:rPr>
        <w:t>ere</w:t>
      </w:r>
      <w:r w:rsidR="00F61905">
        <w:rPr>
          <w:rFonts w:eastAsia="Times New Roman"/>
          <w:szCs w:val="24"/>
        </w:rPr>
        <w:t xml:space="preserve"> the only </w:t>
      </w:r>
      <w:r w:rsidR="00E036F5">
        <w:rPr>
          <w:rFonts w:eastAsia="Times New Roman"/>
          <w:szCs w:val="24"/>
        </w:rPr>
        <w:t xml:space="preserve">active </w:t>
      </w:r>
      <w:r w:rsidR="00B03D4B">
        <w:rPr>
          <w:rFonts w:eastAsia="Times New Roman"/>
          <w:szCs w:val="24"/>
        </w:rPr>
        <w:t>parties</w:t>
      </w:r>
      <w:r w:rsidR="00F61905">
        <w:rPr>
          <w:rFonts w:eastAsia="Times New Roman"/>
          <w:szCs w:val="24"/>
        </w:rPr>
        <w:t xml:space="preserve"> to file objections to the Settlement</w:t>
      </w:r>
      <w:r w:rsidR="004C6CB9">
        <w:rPr>
          <w:rFonts w:eastAsia="Times New Roman"/>
          <w:szCs w:val="24"/>
        </w:rPr>
        <w:t xml:space="preserve"> primarily on the grounds that the Settlement did not address NRG’s issues involving </w:t>
      </w:r>
      <w:r w:rsidR="0064050C">
        <w:rPr>
          <w:rFonts w:eastAsia="Times New Roman"/>
          <w:szCs w:val="24"/>
        </w:rPr>
        <w:t xml:space="preserve">the </w:t>
      </w:r>
      <w:r w:rsidR="008C4254">
        <w:rPr>
          <w:rFonts w:eastAsia="Times New Roman"/>
          <w:szCs w:val="24"/>
        </w:rPr>
        <w:t>Company’s</w:t>
      </w:r>
      <w:r w:rsidR="004C6CB9">
        <w:rPr>
          <w:rFonts w:eastAsia="Times New Roman"/>
          <w:szCs w:val="24"/>
        </w:rPr>
        <w:t xml:space="preserve"> Tariff Rider No</w:t>
      </w:r>
      <w:r w:rsidR="00F61905">
        <w:rPr>
          <w:rFonts w:eastAsia="Times New Roman"/>
          <w:szCs w:val="24"/>
        </w:rPr>
        <w:t xml:space="preserve">. </w:t>
      </w:r>
      <w:r w:rsidR="004C6CB9">
        <w:rPr>
          <w:rFonts w:eastAsia="Times New Roman"/>
          <w:szCs w:val="24"/>
        </w:rPr>
        <w:t>18.</w:t>
      </w:r>
      <w:r w:rsidR="00F61905">
        <w:rPr>
          <w:rFonts w:eastAsia="Times New Roman"/>
          <w:szCs w:val="24"/>
        </w:rPr>
        <w:t xml:space="preserve"> </w:t>
      </w:r>
    </w:p>
    <w:p w:rsidR="008A7517" w:rsidRDefault="008A7517" w:rsidP="004E7D55">
      <w:pPr>
        <w:spacing w:after="0" w:line="360" w:lineRule="auto"/>
        <w:rPr>
          <w:rFonts w:eastAsia="Times New Roman"/>
          <w:szCs w:val="24"/>
        </w:rPr>
      </w:pPr>
    </w:p>
    <w:p w:rsidR="003B5E38" w:rsidRDefault="00E036F5" w:rsidP="004E7D55">
      <w:pPr>
        <w:spacing w:after="0" w:line="360" w:lineRule="auto"/>
      </w:pPr>
      <w:r>
        <w:rPr>
          <w:szCs w:val="24"/>
        </w:rPr>
        <w:tab/>
      </w:r>
      <w:r>
        <w:rPr>
          <w:szCs w:val="24"/>
        </w:rPr>
        <w:tab/>
      </w:r>
      <w:r w:rsidR="000D64D2">
        <w:rPr>
          <w:szCs w:val="24"/>
        </w:rPr>
        <w:t xml:space="preserve">Additionally, the Company’s proposed tariff’s effective date is May 1, 2014, and </w:t>
      </w:r>
      <w:r w:rsidR="008C4254">
        <w:rPr>
          <w:szCs w:val="24"/>
        </w:rPr>
        <w:t xml:space="preserve">April 23, </w:t>
      </w:r>
      <w:r w:rsidR="002B1D10">
        <w:rPr>
          <w:szCs w:val="24"/>
        </w:rPr>
        <w:t>2</w:t>
      </w:r>
      <w:r w:rsidR="008C4254">
        <w:rPr>
          <w:szCs w:val="24"/>
        </w:rPr>
        <w:t xml:space="preserve">014 is </w:t>
      </w:r>
      <w:r w:rsidR="000D64D2">
        <w:rPr>
          <w:szCs w:val="24"/>
        </w:rPr>
        <w:t xml:space="preserve">the last public meeting </w:t>
      </w:r>
      <w:r w:rsidR="008C4254">
        <w:rPr>
          <w:szCs w:val="24"/>
        </w:rPr>
        <w:t xml:space="preserve">to consider the recommended decision, exceptions and reply exceptions </w:t>
      </w:r>
      <w:r w:rsidR="000D64D2">
        <w:rPr>
          <w:szCs w:val="24"/>
        </w:rPr>
        <w:t>before the effective date</w:t>
      </w:r>
      <w:r w:rsidR="008C4254">
        <w:rPr>
          <w:szCs w:val="24"/>
        </w:rPr>
        <w:t>.</w:t>
      </w:r>
      <w:r w:rsidR="000D64D2">
        <w:rPr>
          <w:szCs w:val="24"/>
        </w:rPr>
        <w:t xml:space="preserve"> </w:t>
      </w:r>
    </w:p>
    <w:p w:rsidR="004E7D55" w:rsidRDefault="004E7D55" w:rsidP="004E7D55">
      <w:pPr>
        <w:spacing w:after="0" w:line="360" w:lineRule="auto"/>
      </w:pPr>
    </w:p>
    <w:p w:rsidR="00170D7D" w:rsidRDefault="006016D1" w:rsidP="004E7D55">
      <w:pPr>
        <w:spacing w:after="0" w:line="360" w:lineRule="auto"/>
      </w:pPr>
      <w:r>
        <w:tab/>
      </w:r>
      <w:r>
        <w:tab/>
      </w:r>
      <w:r w:rsidR="00CE678E">
        <w:t xml:space="preserve">Due to the statutory time constraints of this base rate proceeding and the complexity of the issues, specifically the issues surrounding Duquesne Light’s Tariff Rider No. 18 as raised </w:t>
      </w:r>
      <w:r w:rsidR="008C4254">
        <w:t>by</w:t>
      </w:r>
      <w:r w:rsidR="00CE678E">
        <w:t xml:space="preserve"> NRG, there was insufficient time to </w:t>
      </w:r>
      <w:r w:rsidR="004C6CB9">
        <w:t xml:space="preserve">fully </w:t>
      </w:r>
      <w:r w:rsidR="008C6456">
        <w:t xml:space="preserve">address the complex issues </w:t>
      </w:r>
      <w:r w:rsidR="004C6CB9">
        <w:t xml:space="preserve">thereby </w:t>
      </w:r>
      <w:r w:rsidR="008C6456">
        <w:t>ensur</w:t>
      </w:r>
      <w:r w:rsidR="008C4254">
        <w:t>ing</w:t>
      </w:r>
      <w:r w:rsidR="008C6456">
        <w:t xml:space="preserve"> </w:t>
      </w:r>
      <w:r w:rsidR="00FE7374">
        <w:t xml:space="preserve">that </w:t>
      </w:r>
      <w:r w:rsidR="008C6456">
        <w:t xml:space="preserve">due process </w:t>
      </w:r>
      <w:r w:rsidR="00FE7374">
        <w:t>was afforded to a</w:t>
      </w:r>
      <w:r w:rsidR="008C6456">
        <w:t>ll parties.  Therefore</w:t>
      </w:r>
      <w:r w:rsidR="008C4254">
        <w:t>,</w:t>
      </w:r>
      <w:r w:rsidR="008C6456">
        <w:t xml:space="preserve"> </w:t>
      </w:r>
      <w:r w:rsidR="0043775C">
        <w:t xml:space="preserve">by email on March 22, 2014, </w:t>
      </w:r>
      <w:r w:rsidR="008C4254">
        <w:t xml:space="preserve">as the presiding officer, </w:t>
      </w:r>
      <w:r w:rsidR="008C6456">
        <w:t xml:space="preserve">I informed counsel for </w:t>
      </w:r>
      <w:r w:rsidR="008C4254">
        <w:t xml:space="preserve">the parties </w:t>
      </w:r>
      <w:r w:rsidR="008C6456">
        <w:t xml:space="preserve">that I would consider a motion </w:t>
      </w:r>
      <w:r w:rsidR="008C4254">
        <w:t xml:space="preserve">from Duquesne Light Company </w:t>
      </w:r>
      <w:r w:rsidR="008C6456">
        <w:t xml:space="preserve">to reconsider the Company’s December 13, 2013 </w:t>
      </w:r>
      <w:r w:rsidR="008C4254">
        <w:t>M</w:t>
      </w:r>
      <w:r w:rsidR="008C6456">
        <w:t xml:space="preserve">otion to </w:t>
      </w:r>
      <w:r w:rsidR="008C4254">
        <w:t>S</w:t>
      </w:r>
      <w:r w:rsidR="008C6456">
        <w:t xml:space="preserve">ever </w:t>
      </w:r>
      <w:r w:rsidR="00FE7374">
        <w:t>the Rider No. 18 issues</w:t>
      </w:r>
      <w:r w:rsidR="008C4254">
        <w:t xml:space="preserve"> </w:t>
      </w:r>
      <w:r w:rsidR="002B1D10">
        <w:t>from</w:t>
      </w:r>
      <w:r w:rsidR="0064050C">
        <w:t xml:space="preserve"> </w:t>
      </w:r>
      <w:r w:rsidR="008C4254">
        <w:t>the base rate proceeding</w:t>
      </w:r>
      <w:r w:rsidR="00FE7374">
        <w:t xml:space="preserve">. </w:t>
      </w:r>
      <w:r w:rsidR="0064050C">
        <w:t xml:space="preserve"> </w:t>
      </w:r>
      <w:r w:rsidR="008C6456">
        <w:t xml:space="preserve">I </w:t>
      </w:r>
      <w:r w:rsidR="00FE7374">
        <w:t xml:space="preserve">had </w:t>
      </w:r>
      <w:r w:rsidR="008C6456">
        <w:t xml:space="preserve">denied </w:t>
      </w:r>
      <w:r w:rsidR="00FE7374">
        <w:t xml:space="preserve">the motion </w:t>
      </w:r>
      <w:r w:rsidR="008C6456">
        <w:t>during the evidentiary hearings on December 1</w:t>
      </w:r>
      <w:r w:rsidR="00DD33FB">
        <w:t>7</w:t>
      </w:r>
      <w:r w:rsidR="008C6456">
        <w:t xml:space="preserve">, 2013.  If the Company filed the </w:t>
      </w:r>
      <w:r w:rsidR="004C6CB9">
        <w:t>m</w:t>
      </w:r>
      <w:r w:rsidR="008C6456">
        <w:t xml:space="preserve">otion to </w:t>
      </w:r>
      <w:r w:rsidR="000571BE">
        <w:t xml:space="preserve">sever </w:t>
      </w:r>
      <w:r w:rsidR="008C6456">
        <w:t>by noon on March 25, 2014, an</w:t>
      </w:r>
      <w:r w:rsidR="00772783">
        <w:t>y</w:t>
      </w:r>
      <w:r w:rsidR="008C6456">
        <w:t xml:space="preserve"> objections or responses thereto would be due by noon on Wednesday, March 26, 2014. </w:t>
      </w:r>
    </w:p>
    <w:p w:rsidR="004E7D55" w:rsidRDefault="004E7D55" w:rsidP="004E7D55">
      <w:pPr>
        <w:spacing w:after="0" w:line="360" w:lineRule="auto"/>
      </w:pPr>
    </w:p>
    <w:p w:rsidR="00FD24FE" w:rsidRDefault="006016D1" w:rsidP="004E7D55">
      <w:pPr>
        <w:spacing w:after="0" w:line="360" w:lineRule="auto"/>
      </w:pPr>
      <w:r>
        <w:tab/>
      </w:r>
      <w:r>
        <w:tab/>
      </w:r>
      <w:r w:rsidR="0043775C">
        <w:t>T</w:t>
      </w:r>
      <w:r>
        <w:t xml:space="preserve">he Motion of Duquesne Light Company to Sever From This Base Rate Proceeding the Rider No. 18 Portions of The Complaint Filed by NRG Power Midwest LP, NRG Energy Center Pittsburgh LLC and Reliant Energy Northeast LLC (Motion to </w:t>
      </w:r>
      <w:r w:rsidR="000571BE">
        <w:t>Se</w:t>
      </w:r>
      <w:r>
        <w:t>ver) was filed on March 25, 2014.</w:t>
      </w:r>
    </w:p>
    <w:p w:rsidR="0043775C" w:rsidRDefault="006016D1" w:rsidP="004E7D55">
      <w:pPr>
        <w:spacing w:after="0" w:line="360" w:lineRule="auto"/>
      </w:pPr>
      <w:r>
        <w:t xml:space="preserve">  </w:t>
      </w:r>
    </w:p>
    <w:p w:rsidR="00FD24FE" w:rsidRDefault="0043775C" w:rsidP="004E7D55">
      <w:pPr>
        <w:spacing w:after="0" w:line="360" w:lineRule="auto"/>
      </w:pPr>
      <w:r>
        <w:tab/>
      </w:r>
      <w:r>
        <w:tab/>
      </w:r>
      <w:r w:rsidR="006016D1">
        <w:t>On</w:t>
      </w:r>
      <w:r>
        <w:t xml:space="preserve"> March 26, 2014, NRG filed an answer opposing severance </w:t>
      </w:r>
      <w:r w:rsidR="00FD24FE">
        <w:t>of the issues relating to Rider N</w:t>
      </w:r>
      <w:r w:rsidR="00DA4588">
        <w:t>o</w:t>
      </w:r>
      <w:r w:rsidR="00FD24FE">
        <w:t>. 18 into a separate complaint proceeding and</w:t>
      </w:r>
      <w:r w:rsidR="00522C4E">
        <w:t>,</w:t>
      </w:r>
      <w:r w:rsidR="00FD24FE">
        <w:t xml:space="preserve"> in part</w:t>
      </w:r>
      <w:r w:rsidR="00522C4E">
        <w:t>,</w:t>
      </w:r>
      <w:r w:rsidR="00FD24FE">
        <w:t xml:space="preserve"> suggested that the investigation be held open for “a subsequent recommended decision on the Rider No. 18 issues by a date certain and that the Commission itself take action by a date certain.”  NRG’s Answer </w:t>
      </w:r>
      <w:r w:rsidR="00A65441">
        <w:t>to the</w:t>
      </w:r>
      <w:r w:rsidR="00FD24FE">
        <w:t xml:space="preserve"> Motion to Sever of Duquesne Light Company, p</w:t>
      </w:r>
      <w:r w:rsidR="00915C8C">
        <w:t>p</w:t>
      </w:r>
      <w:r w:rsidR="00FD24FE">
        <w:t>. 1-3</w:t>
      </w:r>
      <w:r w:rsidR="00DA4588">
        <w:t>.</w:t>
      </w:r>
    </w:p>
    <w:p w:rsidR="00FD24FE" w:rsidRDefault="00FD24FE" w:rsidP="00FD24FE">
      <w:pPr>
        <w:spacing w:after="0" w:line="360" w:lineRule="auto"/>
      </w:pPr>
    </w:p>
    <w:p w:rsidR="00915C8C" w:rsidRDefault="00FD24FE" w:rsidP="008A7517">
      <w:pPr>
        <w:spacing w:after="0" w:line="360" w:lineRule="auto"/>
      </w:pPr>
      <w:r>
        <w:tab/>
      </w:r>
      <w:r>
        <w:tab/>
        <w:t>Also on March 26, 2014,</w:t>
      </w:r>
      <w:r w:rsidR="006016D1">
        <w:t xml:space="preserve"> </w:t>
      </w:r>
      <w:r>
        <w:t xml:space="preserve">Beaver Falls Municipal Authority </w:t>
      </w:r>
      <w:r w:rsidR="00522C4E">
        <w:t>(Beaver Falls) filed an answer to the Motion to Sever.  Beaver Falls does not object to the granting of the motion. However, Beaver Falls respectfully requests that a procedural sch</w:t>
      </w:r>
      <w:r w:rsidR="00915C8C">
        <w:t>edule be maintained that would “envision Commission action on this case by the Commission Public Meeting of June 5, 2014, with reasonable time periods made available for any necessary exceptions or replies to exceptions.”  Beaver Falls’ Answer to Motion to Sever, pp. 2-3.</w:t>
      </w:r>
    </w:p>
    <w:p w:rsidR="00915C8C" w:rsidRDefault="00915C8C" w:rsidP="00915C8C">
      <w:pPr>
        <w:spacing w:after="0" w:line="360" w:lineRule="auto"/>
      </w:pPr>
    </w:p>
    <w:p w:rsidR="00EA25B6" w:rsidRDefault="006016D1" w:rsidP="00915C8C">
      <w:pPr>
        <w:spacing w:after="0" w:line="360" w:lineRule="auto"/>
      </w:pPr>
      <w:r>
        <w:tab/>
      </w:r>
      <w:r w:rsidR="00915C8C">
        <w:tab/>
        <w:t xml:space="preserve">The other active parties to this proceeding did not elect to file a response to the Motion </w:t>
      </w:r>
      <w:r w:rsidR="00DA4588">
        <w:t xml:space="preserve">to </w:t>
      </w:r>
      <w:r w:rsidR="00915C8C">
        <w:t>Sever by the noon deadline on March 26, 2014.</w:t>
      </w:r>
    </w:p>
    <w:p w:rsidR="00EA25B6" w:rsidRDefault="00EA25B6" w:rsidP="00915C8C">
      <w:pPr>
        <w:spacing w:after="0" w:line="360" w:lineRule="auto"/>
      </w:pPr>
    </w:p>
    <w:p w:rsidR="00915C8C" w:rsidRDefault="00EA25B6" w:rsidP="00EA25B6">
      <w:pPr>
        <w:spacing w:after="0" w:line="360" w:lineRule="auto"/>
      </w:pPr>
      <w:r>
        <w:rPr>
          <w:szCs w:val="24"/>
        </w:rPr>
        <w:tab/>
      </w:r>
      <w:r>
        <w:rPr>
          <w:szCs w:val="24"/>
        </w:rPr>
        <w:tab/>
        <w:t>My above</w:t>
      </w:r>
      <w:r w:rsidR="00122B78">
        <w:rPr>
          <w:szCs w:val="24"/>
        </w:rPr>
        <w:t>-</w:t>
      </w:r>
      <w:r>
        <w:rPr>
          <w:szCs w:val="24"/>
        </w:rPr>
        <w:t xml:space="preserve">mentioned March 22, 2014 email to the active parties, effectively, reopened the record that had been closed on February 7, 2014.  This Fifth Interim Order confirms the reopening of the record. </w:t>
      </w:r>
      <w:r w:rsidR="006016D1">
        <w:tab/>
      </w:r>
    </w:p>
    <w:p w:rsidR="006016D1" w:rsidRDefault="00915C8C" w:rsidP="00EA25B6">
      <w:pPr>
        <w:spacing w:after="0" w:line="360" w:lineRule="auto"/>
      </w:pPr>
      <w:r>
        <w:tab/>
      </w:r>
      <w:r w:rsidR="006016D1">
        <w:tab/>
      </w:r>
    </w:p>
    <w:p w:rsidR="00DD706A" w:rsidRDefault="00DD706A" w:rsidP="00EA25B6">
      <w:pPr>
        <w:spacing w:after="0" w:line="360" w:lineRule="auto"/>
        <w:jc w:val="center"/>
      </w:pPr>
      <w:r w:rsidRPr="00DD706A">
        <w:rPr>
          <w:u w:val="single"/>
        </w:rPr>
        <w:t>Procedural History</w:t>
      </w:r>
    </w:p>
    <w:p w:rsidR="008A7517" w:rsidRPr="008A7517" w:rsidRDefault="008A7517" w:rsidP="00EA25B6">
      <w:pPr>
        <w:spacing w:after="0" w:line="360" w:lineRule="auto"/>
        <w:jc w:val="center"/>
        <w:rPr>
          <w:szCs w:val="24"/>
        </w:rPr>
      </w:pPr>
    </w:p>
    <w:p w:rsidR="008A4786" w:rsidRPr="008A4786" w:rsidRDefault="008A4786" w:rsidP="00EA25B6">
      <w:pPr>
        <w:adjustRightInd w:val="0"/>
        <w:spacing w:after="0" w:line="360" w:lineRule="auto"/>
        <w:rPr>
          <w:rFonts w:eastAsia="Times New Roman"/>
          <w:color w:val="000000"/>
          <w:szCs w:val="24"/>
        </w:rPr>
      </w:pPr>
      <w:r w:rsidRPr="008A4786">
        <w:rPr>
          <w:rFonts w:eastAsia="Times New Roman"/>
          <w:color w:val="000000"/>
          <w:szCs w:val="24"/>
        </w:rPr>
        <w:tab/>
      </w:r>
      <w:r w:rsidRPr="008A4786">
        <w:rPr>
          <w:rFonts w:eastAsia="Times New Roman"/>
          <w:color w:val="000000"/>
          <w:szCs w:val="24"/>
        </w:rPr>
        <w:tab/>
        <w:t xml:space="preserve">On August 2, 2013, DLC filed Supplement No. 81 to Tariff Electric – Pa. P.U.C. No. 24 (Supplement No. 81) to become effective on October 1, 2013.  DLC proposed to increase rates to produce additional annual operating revenues of approximately $76.3 million, or an </w:t>
      </w:r>
      <w:r w:rsidRPr="008A4786">
        <w:rPr>
          <w:rFonts w:eastAsia="Times New Roman"/>
          <w:color w:val="000000"/>
          <w:szCs w:val="24"/>
        </w:rPr>
        <w:lastRenderedPageBreak/>
        <w:t xml:space="preserve">overall increase of 17.6% in annual distribution revenues, based on data for a Fully Projected Future Test Year (FPFTY) ending April 30, 2015.  </w:t>
      </w:r>
    </w:p>
    <w:p w:rsidR="008A4786" w:rsidRPr="008A4786" w:rsidRDefault="008A4786" w:rsidP="008A4786">
      <w:pPr>
        <w:adjustRightInd w:val="0"/>
        <w:spacing w:after="0" w:line="360" w:lineRule="auto"/>
        <w:rPr>
          <w:rFonts w:eastAsia="Times New Roman"/>
          <w:color w:val="000000"/>
          <w:szCs w:val="24"/>
        </w:rPr>
      </w:pPr>
    </w:p>
    <w:p w:rsidR="008A4786" w:rsidRPr="008A4786" w:rsidRDefault="008A4786" w:rsidP="008A4786">
      <w:pPr>
        <w:adjustRightInd w:val="0"/>
        <w:spacing w:after="0" w:line="360" w:lineRule="auto"/>
        <w:rPr>
          <w:rFonts w:eastAsia="Times New Roman"/>
          <w:color w:val="000000"/>
          <w:szCs w:val="24"/>
        </w:rPr>
      </w:pPr>
      <w:r w:rsidRPr="008A4786">
        <w:rPr>
          <w:rFonts w:eastAsia="Times New Roman"/>
          <w:color w:val="000000"/>
          <w:szCs w:val="24"/>
        </w:rPr>
        <w:tab/>
      </w:r>
      <w:r w:rsidRPr="008A4786">
        <w:rPr>
          <w:rFonts w:eastAsia="Times New Roman"/>
          <w:color w:val="000000"/>
          <w:szCs w:val="24"/>
        </w:rPr>
        <w:tab/>
        <w:t xml:space="preserve">On August 9, 2013, the Commission’s Bureau of Investigation and Enforcement (I&amp;E) filed a Notice of Appearance.  On August 16, 2013, the Office of Consumer Advocate (OCA) filed a Formal Complaint, Public Statement, and Notice of Appearance.  On August 22, 2013, the Office of Small Business Advocate (OSBA) filed a Formal Complaint, Public Statement, and Notice of Appearance.  </w:t>
      </w:r>
    </w:p>
    <w:p w:rsidR="008A4786" w:rsidRPr="008A4786" w:rsidRDefault="008A4786" w:rsidP="008A4786">
      <w:pPr>
        <w:adjustRightInd w:val="0"/>
        <w:spacing w:after="0" w:line="360" w:lineRule="auto"/>
        <w:rPr>
          <w:rFonts w:eastAsia="Times New Roman"/>
          <w:color w:val="000000"/>
          <w:szCs w:val="24"/>
        </w:rPr>
      </w:pPr>
    </w:p>
    <w:p w:rsidR="008A4786" w:rsidRPr="008A4786" w:rsidRDefault="008A4786" w:rsidP="008A4786">
      <w:pPr>
        <w:adjustRightInd w:val="0"/>
        <w:spacing w:after="0" w:line="360" w:lineRule="auto"/>
        <w:rPr>
          <w:rFonts w:eastAsia="Times New Roman"/>
          <w:color w:val="000000"/>
          <w:szCs w:val="24"/>
        </w:rPr>
      </w:pPr>
      <w:r w:rsidRPr="008A4786">
        <w:rPr>
          <w:rFonts w:eastAsia="Times New Roman"/>
          <w:color w:val="000000"/>
          <w:szCs w:val="24"/>
        </w:rPr>
        <w:tab/>
      </w:r>
      <w:r w:rsidRPr="008A4786">
        <w:rPr>
          <w:rFonts w:eastAsia="Times New Roman"/>
          <w:color w:val="000000"/>
          <w:szCs w:val="24"/>
        </w:rPr>
        <w:tab/>
        <w:t xml:space="preserve">By Order entered September 26, 2013, the Commission suspended the effective date of Supplement No. 81 by operation of law until May 1, 2014, and instituted an investigation into the lawfulness, justness, and reasonableness of the Company’s proposed and existing rates, rules, and regulations.  </w:t>
      </w:r>
    </w:p>
    <w:p w:rsidR="008A4786" w:rsidRPr="008A4786" w:rsidRDefault="008A4786" w:rsidP="008A4786">
      <w:pPr>
        <w:adjustRightInd w:val="0"/>
        <w:spacing w:after="0" w:line="360" w:lineRule="auto"/>
        <w:rPr>
          <w:rFonts w:eastAsia="Times New Roman"/>
          <w:color w:val="000000"/>
          <w:szCs w:val="24"/>
        </w:rPr>
      </w:pPr>
    </w:p>
    <w:p w:rsidR="008A4786" w:rsidRP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On September 27, 2013, Duquesne Industrial Interveners (DII) filed a Formal Complaint.  </w:t>
      </w:r>
    </w:p>
    <w:p w:rsidR="008A4786" w:rsidRPr="008A4786" w:rsidRDefault="008A4786" w:rsidP="008A4786">
      <w:pPr>
        <w:adjustRightInd w:val="0"/>
        <w:spacing w:after="0" w:line="360" w:lineRule="auto"/>
        <w:ind w:firstLine="1440"/>
        <w:rPr>
          <w:rFonts w:eastAsia="Times New Roman"/>
          <w:color w:val="000000"/>
          <w:szCs w:val="24"/>
        </w:rPr>
      </w:pPr>
    </w:p>
    <w:p w:rsidR="008A4786" w:rsidRP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On October 28, 2013, the NRG Companies jointly filed a Formal Complaint.  In their Complaint, the NRG Companies alleged, </w:t>
      </w:r>
      <w:r w:rsidRPr="008A4786">
        <w:rPr>
          <w:rFonts w:eastAsia="Times New Roman"/>
          <w:i/>
          <w:color w:val="000000"/>
          <w:szCs w:val="24"/>
        </w:rPr>
        <w:t>inter alia</w:t>
      </w:r>
      <w:r w:rsidRPr="008A4786">
        <w:rPr>
          <w:rFonts w:eastAsia="Times New Roman"/>
          <w:color w:val="000000"/>
          <w:szCs w:val="24"/>
        </w:rPr>
        <w:t xml:space="preserve">, that Rider No. 18 may be discriminatory and requested that the Commission investigate this particular tariff provision to ensure that the terms, conditions, and electric energy purchase price continue to be just, reasonable, and non-discriminatory.  NRG Companies Complaint at ¶ 11.  Later in the proceeding, the NRG Companies requested that the Commission either modify the wholesale PURPA rates in Rider No. 18 or eliminate Rider No. 18.  NRG Midwest St. 1 at 6-7; St. 1-S at 6, 9, 12. </w:t>
      </w:r>
    </w:p>
    <w:p w:rsidR="008A4786" w:rsidRPr="008A4786" w:rsidRDefault="008A4786" w:rsidP="008A4786">
      <w:pPr>
        <w:adjustRightInd w:val="0"/>
        <w:spacing w:after="0" w:line="360" w:lineRule="auto"/>
        <w:rPr>
          <w:rFonts w:eastAsia="Times New Roman"/>
          <w:color w:val="000000"/>
          <w:szCs w:val="24"/>
        </w:rPr>
      </w:pPr>
    </w:p>
    <w:p w:rsidR="008A4786" w:rsidRP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t>Petitions to Intervene, which were subsequently granted, were filed by the following entities:  the International Brotherhood of Electrical Workers, Local 29 (IBEW); United States Steel Corporation (U.</w:t>
      </w:r>
      <w:r w:rsidR="001F4E25">
        <w:rPr>
          <w:rFonts w:eastAsia="Times New Roman"/>
          <w:color w:val="000000"/>
          <w:szCs w:val="24"/>
        </w:rPr>
        <w:t> </w:t>
      </w:r>
      <w:r w:rsidRPr="008A4786">
        <w:rPr>
          <w:rFonts w:eastAsia="Times New Roman"/>
          <w:color w:val="000000"/>
          <w:szCs w:val="24"/>
        </w:rPr>
        <w:t xml:space="preserve">S. Steel); Citizen Power, Inc. (Citizen Power); Community Action Association of Pennsylvania (CAAP); the Coalition for Affordable Utility Service and Energy Efficiency in Pennsylvania (CAUSE-PA); Interstate Gas Supply, Inc. (IGS); Citizens for </w:t>
      </w:r>
      <w:r w:rsidRPr="008A4786">
        <w:rPr>
          <w:rFonts w:eastAsia="Times New Roman"/>
          <w:color w:val="000000"/>
          <w:szCs w:val="24"/>
        </w:rPr>
        <w:lastRenderedPageBreak/>
        <w:t xml:space="preserve">Pennsylvania’s Future (PennFuture); and Beaver Falls Municipal Authority (BFMA).  Various individuals filed Formal Complaints </w:t>
      </w:r>
      <w:r w:rsidR="001F4E25">
        <w:rPr>
          <w:rFonts w:eastAsia="Times New Roman"/>
          <w:color w:val="000000"/>
          <w:szCs w:val="24"/>
        </w:rPr>
        <w:t>in</w:t>
      </w:r>
      <w:r w:rsidRPr="008A4786">
        <w:rPr>
          <w:rFonts w:eastAsia="Times New Roman"/>
          <w:color w:val="000000"/>
          <w:szCs w:val="24"/>
        </w:rPr>
        <w:t xml:space="preserve"> </w:t>
      </w:r>
      <w:r w:rsidR="001F4E25">
        <w:rPr>
          <w:rFonts w:eastAsia="Times New Roman"/>
          <w:color w:val="000000"/>
          <w:szCs w:val="24"/>
        </w:rPr>
        <w:t>o</w:t>
      </w:r>
      <w:r w:rsidRPr="008A4786">
        <w:rPr>
          <w:rFonts w:eastAsia="Times New Roman"/>
          <w:color w:val="000000"/>
          <w:szCs w:val="24"/>
        </w:rPr>
        <w:t xml:space="preserve">pposition to the rate increase. </w:t>
      </w:r>
    </w:p>
    <w:p w:rsidR="008A4786" w:rsidRP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 </w:t>
      </w:r>
      <w:r w:rsidRPr="008A4786">
        <w:rPr>
          <w:rFonts w:eastAsia="Times New Roman"/>
          <w:color w:val="000000"/>
          <w:szCs w:val="24"/>
        </w:rPr>
        <w:tab/>
      </w:r>
      <w:r w:rsidRPr="008A4786">
        <w:rPr>
          <w:rFonts w:eastAsia="Times New Roman"/>
          <w:color w:val="000000"/>
          <w:szCs w:val="24"/>
        </w:rPr>
        <w:tab/>
      </w:r>
    </w:p>
    <w:p w:rsidR="008A4786" w:rsidRPr="008A4786" w:rsidRDefault="008A4786" w:rsidP="008A4786">
      <w:pPr>
        <w:adjustRightInd w:val="0"/>
        <w:spacing w:after="0" w:line="360" w:lineRule="auto"/>
        <w:rPr>
          <w:rFonts w:eastAsia="Times New Roman"/>
          <w:color w:val="000000"/>
          <w:szCs w:val="24"/>
        </w:rPr>
      </w:pPr>
      <w:r w:rsidRPr="008A4786">
        <w:rPr>
          <w:rFonts w:eastAsia="Times New Roman"/>
          <w:color w:val="000000"/>
          <w:szCs w:val="24"/>
        </w:rPr>
        <w:tab/>
      </w:r>
      <w:r w:rsidRPr="008A4786">
        <w:rPr>
          <w:rFonts w:eastAsia="Times New Roman"/>
          <w:color w:val="000000"/>
          <w:szCs w:val="24"/>
        </w:rPr>
        <w:tab/>
        <w:t xml:space="preserve">A public input hearing was held on October 28, 2013, in the Borough of Green Tree, Pennsylvania.  Two customers made statements but did not testify on the record.  </w:t>
      </w:r>
    </w:p>
    <w:p w:rsidR="008A4786" w:rsidRPr="008A4786" w:rsidRDefault="008A4786" w:rsidP="008A4786">
      <w:pPr>
        <w:adjustRightInd w:val="0"/>
        <w:spacing w:after="0" w:line="360" w:lineRule="auto"/>
        <w:rPr>
          <w:rFonts w:eastAsia="Times New Roman"/>
          <w:color w:val="000000"/>
          <w:szCs w:val="24"/>
        </w:rPr>
      </w:pPr>
    </w:p>
    <w:p w:rsidR="008A4786" w:rsidRP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The Parties served direct, rebuttal, and surrebuttal testimony, along with various exhibits.  </w:t>
      </w:r>
    </w:p>
    <w:p w:rsidR="008A4786" w:rsidRPr="008A4786" w:rsidRDefault="008A4786" w:rsidP="008A4786">
      <w:pPr>
        <w:adjustRightInd w:val="0"/>
        <w:spacing w:after="0" w:line="360" w:lineRule="auto"/>
        <w:rPr>
          <w:rFonts w:eastAsia="Times New Roman"/>
          <w:color w:val="000000"/>
          <w:szCs w:val="24"/>
        </w:rPr>
      </w:pPr>
    </w:p>
    <w:p w:rsidR="008A4786" w:rsidRPr="008A4786" w:rsidRDefault="008A4786" w:rsidP="008A4786">
      <w:pPr>
        <w:adjustRightInd w:val="0"/>
        <w:spacing w:after="0" w:line="360" w:lineRule="auto"/>
        <w:rPr>
          <w:rFonts w:eastAsia="Times New Roman"/>
          <w:color w:val="000000"/>
          <w:szCs w:val="24"/>
        </w:rPr>
      </w:pPr>
      <w:r w:rsidRPr="008A4786">
        <w:rPr>
          <w:rFonts w:eastAsia="Times New Roman"/>
          <w:color w:val="000000"/>
          <w:szCs w:val="24"/>
        </w:rPr>
        <w:tab/>
      </w:r>
      <w:r w:rsidRPr="008A4786">
        <w:rPr>
          <w:rFonts w:eastAsia="Times New Roman"/>
          <w:color w:val="000000"/>
          <w:szCs w:val="24"/>
        </w:rPr>
        <w:tab/>
        <w:t xml:space="preserve">On November 12, 2013, DLC filed Preliminary Objections raising the following objections to the portions of the NRG Companies’ Complaint pertaining to Rider No. 18:  the Complaint is beyond the scope of the instant base rate proceeding; the NRG Companies failed to join parties indispensable to the claims regarding the PURPA rates paid under Rider No. 18; and the relief the NRG Companies requested is beyond the Commission’s jurisdiction.  On November 22, 2013, the NRG Companies filed an Answer to DLC’s Preliminary Objections.  </w:t>
      </w:r>
      <w:r w:rsidR="00EA25B6">
        <w:rPr>
          <w:rFonts w:eastAsia="Times New Roman"/>
          <w:color w:val="000000"/>
          <w:szCs w:val="24"/>
        </w:rPr>
        <w:t>I</w:t>
      </w:r>
      <w:r w:rsidRPr="008A4786">
        <w:rPr>
          <w:rFonts w:eastAsia="Times New Roman"/>
          <w:color w:val="000000"/>
          <w:szCs w:val="24"/>
        </w:rPr>
        <w:t xml:space="preserve"> denied the Company’s Preliminary Objections by Interim Order dated December 12, 2013.  </w:t>
      </w:r>
    </w:p>
    <w:p w:rsidR="008A4786" w:rsidRPr="008A4786" w:rsidRDefault="008A4786" w:rsidP="008A4786">
      <w:pPr>
        <w:adjustRightInd w:val="0"/>
        <w:spacing w:after="0" w:line="360" w:lineRule="auto"/>
        <w:rPr>
          <w:rFonts w:eastAsia="Times New Roman"/>
          <w:color w:val="000000"/>
          <w:szCs w:val="24"/>
        </w:rPr>
      </w:pPr>
    </w:p>
    <w:p w:rsidR="00DD33FB" w:rsidRDefault="008A4786" w:rsidP="008A4786">
      <w:pPr>
        <w:adjustRightInd w:val="0"/>
        <w:spacing w:after="0" w:line="360" w:lineRule="auto"/>
        <w:rPr>
          <w:rFonts w:eastAsia="Times New Roman"/>
          <w:color w:val="000000"/>
          <w:szCs w:val="24"/>
        </w:rPr>
      </w:pPr>
      <w:r w:rsidRPr="008A4786">
        <w:rPr>
          <w:rFonts w:eastAsia="Times New Roman"/>
          <w:color w:val="000000"/>
          <w:szCs w:val="24"/>
        </w:rPr>
        <w:tab/>
      </w:r>
      <w:r w:rsidRPr="008A4786">
        <w:rPr>
          <w:rFonts w:eastAsia="Times New Roman"/>
          <w:color w:val="000000"/>
          <w:szCs w:val="24"/>
        </w:rPr>
        <w:tab/>
        <w:t xml:space="preserve">On December 13, 2013, DLC filed a Motion to Sever the Rider No. 18 portion of the NRG Companies’ Complaint from this base rate proceeding.  The ALJ denied the Motion to Sever on the second day of hearings, December 17, 2013. </w:t>
      </w:r>
    </w:p>
    <w:p w:rsidR="008A4786" w:rsidRPr="008A4786" w:rsidRDefault="008A4786" w:rsidP="008A4786">
      <w:pPr>
        <w:adjustRightInd w:val="0"/>
        <w:spacing w:after="0" w:line="360" w:lineRule="auto"/>
        <w:rPr>
          <w:rFonts w:eastAsia="Times New Roman"/>
          <w:color w:val="000000"/>
          <w:szCs w:val="24"/>
        </w:rPr>
      </w:pPr>
      <w:r w:rsidRPr="008A4786">
        <w:rPr>
          <w:rFonts w:eastAsia="Times New Roman"/>
          <w:color w:val="000000"/>
          <w:szCs w:val="24"/>
        </w:rPr>
        <w:t xml:space="preserve"> </w:t>
      </w:r>
    </w:p>
    <w:p w:rsidR="00EA25B6" w:rsidRPr="00BD2C1D" w:rsidRDefault="008A4786" w:rsidP="00EA25B6">
      <w:pPr>
        <w:spacing w:line="360" w:lineRule="auto"/>
        <w:ind w:right="1440" w:firstLine="1440"/>
        <w:rPr>
          <w:szCs w:val="24"/>
        </w:rPr>
      </w:pPr>
      <w:r w:rsidRPr="008A4786">
        <w:rPr>
          <w:rFonts w:eastAsia="Times New Roman"/>
          <w:color w:val="000000"/>
          <w:szCs w:val="24"/>
        </w:rPr>
        <w:t xml:space="preserve">Also on December 13, 2013, DLC filed </w:t>
      </w:r>
      <w:r w:rsidR="00915C8C">
        <w:rPr>
          <w:rFonts w:eastAsia="Times New Roman"/>
          <w:color w:val="000000"/>
          <w:szCs w:val="24"/>
        </w:rPr>
        <w:t>a Petition for Interlocut</w:t>
      </w:r>
      <w:r w:rsidR="002B1D10">
        <w:rPr>
          <w:rFonts w:eastAsia="Times New Roman"/>
          <w:color w:val="000000"/>
          <w:szCs w:val="24"/>
        </w:rPr>
        <w:t>or</w:t>
      </w:r>
      <w:r w:rsidR="00915C8C">
        <w:rPr>
          <w:rFonts w:eastAsia="Times New Roman"/>
          <w:color w:val="000000"/>
          <w:szCs w:val="24"/>
        </w:rPr>
        <w:t>y Revie</w:t>
      </w:r>
      <w:r w:rsidR="001F4E25">
        <w:rPr>
          <w:rFonts w:eastAsia="Times New Roman"/>
          <w:color w:val="000000"/>
          <w:szCs w:val="24"/>
        </w:rPr>
        <w:t>w</w:t>
      </w:r>
      <w:r w:rsidR="00915C8C">
        <w:rPr>
          <w:rFonts w:eastAsia="Times New Roman"/>
          <w:color w:val="000000"/>
          <w:szCs w:val="24"/>
        </w:rPr>
        <w:t xml:space="preserve"> and Answer to Material Questions</w:t>
      </w:r>
      <w:r w:rsidR="00EA25B6">
        <w:rPr>
          <w:rFonts w:eastAsia="Times New Roman"/>
          <w:color w:val="000000"/>
          <w:szCs w:val="24"/>
        </w:rPr>
        <w:t xml:space="preserve">, </w:t>
      </w:r>
      <w:r w:rsidR="00EA25B6" w:rsidRPr="00BD2C1D">
        <w:rPr>
          <w:szCs w:val="24"/>
        </w:rPr>
        <w:t>raising the following questions:</w:t>
      </w:r>
    </w:p>
    <w:p w:rsidR="00EA25B6" w:rsidRPr="00BD2C1D" w:rsidRDefault="00EA25B6" w:rsidP="00EA25B6">
      <w:pPr>
        <w:spacing w:after="0" w:line="240" w:lineRule="auto"/>
        <w:ind w:left="2160" w:right="1440"/>
        <w:rPr>
          <w:szCs w:val="24"/>
        </w:rPr>
      </w:pPr>
    </w:p>
    <w:p w:rsidR="00EA25B6" w:rsidRPr="00BD2C1D" w:rsidRDefault="00EA25B6" w:rsidP="00DD7298">
      <w:pPr>
        <w:spacing w:after="0" w:line="240" w:lineRule="auto"/>
        <w:ind w:left="2160" w:right="1440"/>
        <w:rPr>
          <w:szCs w:val="24"/>
        </w:rPr>
      </w:pPr>
      <w:r w:rsidRPr="00BD2C1D">
        <w:rPr>
          <w:szCs w:val="24"/>
        </w:rPr>
        <w:t>(1)  Whether the NRG Complaint must be dismissed for failure to join the affected qualifying facilities as necessary and indispensable parties?</w:t>
      </w:r>
    </w:p>
    <w:p w:rsidR="00EA25B6" w:rsidRPr="00BD2C1D" w:rsidRDefault="00EA25B6" w:rsidP="00DD7298">
      <w:pPr>
        <w:spacing w:after="0" w:line="240" w:lineRule="auto"/>
        <w:ind w:left="2160" w:right="1440"/>
        <w:rPr>
          <w:szCs w:val="24"/>
        </w:rPr>
      </w:pPr>
    </w:p>
    <w:p w:rsidR="00EA25B6" w:rsidRPr="00BD2C1D" w:rsidRDefault="00EA25B6" w:rsidP="00DD7298">
      <w:pPr>
        <w:spacing w:after="0" w:line="240" w:lineRule="auto"/>
        <w:ind w:left="2160" w:right="1440"/>
        <w:rPr>
          <w:szCs w:val="24"/>
        </w:rPr>
      </w:pPr>
      <w:r w:rsidRPr="00BD2C1D">
        <w:rPr>
          <w:szCs w:val="24"/>
        </w:rPr>
        <w:t>(2)  Whether the Commission lacks authority to change the wholesale PURPA rate set forth in Rider No. 18?</w:t>
      </w:r>
    </w:p>
    <w:p w:rsidR="00EA25B6" w:rsidRDefault="00EA25B6" w:rsidP="00DD7298">
      <w:pPr>
        <w:ind w:left="2160"/>
        <w:rPr>
          <w:b/>
          <w:szCs w:val="24"/>
        </w:rPr>
      </w:pPr>
    </w:p>
    <w:p w:rsidR="008A4786" w:rsidRPr="008A4786" w:rsidRDefault="008A4786" w:rsidP="008A7517">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  </w:t>
      </w:r>
    </w:p>
    <w:p w:rsidR="008A4786" w:rsidRP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lastRenderedPageBreak/>
        <w:t xml:space="preserve">The Parties engaged in substantial formal and informal discovery, and DLC responded to approximately 500 discovery requests.  </w:t>
      </w:r>
    </w:p>
    <w:p w:rsidR="008A4786" w:rsidRPr="008A4786" w:rsidRDefault="008A4786" w:rsidP="008A4786">
      <w:pPr>
        <w:adjustRightInd w:val="0"/>
        <w:spacing w:after="0" w:line="360" w:lineRule="auto"/>
        <w:ind w:firstLine="1440"/>
        <w:rPr>
          <w:rFonts w:eastAsia="Times New Roman"/>
          <w:color w:val="000000"/>
          <w:szCs w:val="24"/>
        </w:rPr>
      </w:pPr>
    </w:p>
    <w:p w:rsidR="008A4786" w:rsidRP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Evidentiary hearings were held on December 16, 17, and 20, 2013.  At the hearings, the Parties advised the ALJ that all Parties, other than the NRG Companies, had reached a settlement of all base rate issues, and that the only issues remaining for decision were those issues raised by the NRG Companies.  Tr. 71. </w:t>
      </w:r>
    </w:p>
    <w:p w:rsidR="008A4786" w:rsidRPr="008A4786" w:rsidRDefault="008A4786" w:rsidP="008A4786">
      <w:pPr>
        <w:adjustRightInd w:val="0"/>
        <w:spacing w:after="0" w:line="360" w:lineRule="auto"/>
        <w:ind w:firstLine="1440"/>
        <w:rPr>
          <w:rFonts w:eastAsia="Times New Roman"/>
          <w:color w:val="000000"/>
          <w:szCs w:val="24"/>
        </w:rPr>
      </w:pPr>
    </w:p>
    <w:p w:rsidR="008A4786" w:rsidRDefault="008A4786" w:rsidP="008A4786">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During the hearings, the Parties’ respective testimony and exhibits were admitted into the record.  Certain Parties were cross-examined on issues raised by the NRG Companies, and the NRG Companies cross-examined I&amp;E and the OCA witnesses.  </w:t>
      </w:r>
    </w:p>
    <w:p w:rsidR="00DD7298" w:rsidRPr="008A4786" w:rsidRDefault="00DD7298" w:rsidP="008A4786">
      <w:pPr>
        <w:adjustRightInd w:val="0"/>
        <w:spacing w:after="0" w:line="360" w:lineRule="auto"/>
        <w:ind w:firstLine="1440"/>
        <w:rPr>
          <w:rFonts w:eastAsia="Times New Roman"/>
          <w:color w:val="000000"/>
          <w:szCs w:val="24"/>
        </w:rPr>
      </w:pPr>
    </w:p>
    <w:p w:rsidR="008A4786" w:rsidRPr="008A4786" w:rsidRDefault="008A4786" w:rsidP="004E7D55">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The record consists of a transcript of 459 pages and the various statements and exhibits of the Parties.  </w:t>
      </w:r>
    </w:p>
    <w:p w:rsidR="008A4786" w:rsidRPr="008A4786" w:rsidRDefault="008A4786" w:rsidP="004E7D55">
      <w:pPr>
        <w:adjustRightInd w:val="0"/>
        <w:spacing w:after="0" w:line="360" w:lineRule="auto"/>
        <w:ind w:firstLine="1440"/>
        <w:rPr>
          <w:rFonts w:eastAsia="Times New Roman"/>
          <w:color w:val="000000"/>
          <w:szCs w:val="24"/>
        </w:rPr>
      </w:pPr>
    </w:p>
    <w:p w:rsidR="008A4786" w:rsidRPr="008A4786" w:rsidRDefault="008A4786" w:rsidP="004E7D55">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On December 23, 2013, DLC filed a Brief in Support of the Petition, BFMA filed a Brief in Support of the Petition, and the NRG Companies filed a Brief in Opposition to the Petition. </w:t>
      </w:r>
    </w:p>
    <w:p w:rsidR="008A4786" w:rsidRPr="008A4786" w:rsidRDefault="008A4786" w:rsidP="004E7D55">
      <w:pPr>
        <w:adjustRightInd w:val="0"/>
        <w:spacing w:after="0" w:line="360" w:lineRule="auto"/>
        <w:ind w:firstLine="1440"/>
        <w:rPr>
          <w:rFonts w:eastAsia="Times New Roman"/>
          <w:color w:val="000000"/>
          <w:szCs w:val="24"/>
        </w:rPr>
      </w:pPr>
    </w:p>
    <w:p w:rsidR="008A4786" w:rsidRPr="008A4786" w:rsidRDefault="008A4786" w:rsidP="004E7D55">
      <w:pPr>
        <w:adjustRightInd w:val="0"/>
        <w:spacing w:after="0" w:line="360" w:lineRule="auto"/>
        <w:ind w:firstLine="1440"/>
        <w:rPr>
          <w:rFonts w:eastAsia="Times New Roman"/>
          <w:color w:val="000000"/>
          <w:szCs w:val="24"/>
        </w:rPr>
      </w:pPr>
      <w:r w:rsidRPr="008A4786">
        <w:rPr>
          <w:rFonts w:eastAsia="Times New Roman"/>
          <w:color w:val="000000"/>
          <w:szCs w:val="24"/>
        </w:rPr>
        <w:t xml:space="preserve">On January 6, 2014, the following Parties filed Main Briefs:  BFMA, the NRG Companies, DLC, I&amp;E, and the OCA.  </w:t>
      </w:r>
    </w:p>
    <w:p w:rsidR="008A4786" w:rsidRPr="008A4786" w:rsidRDefault="008A4786" w:rsidP="004E7D55">
      <w:pPr>
        <w:adjustRightInd w:val="0"/>
        <w:spacing w:after="0" w:line="360" w:lineRule="auto"/>
        <w:ind w:firstLine="1440"/>
        <w:rPr>
          <w:rFonts w:eastAsia="Times New Roman"/>
          <w:color w:val="000000"/>
          <w:szCs w:val="24"/>
        </w:rPr>
      </w:pPr>
    </w:p>
    <w:p w:rsidR="008A4786" w:rsidRPr="008A4786" w:rsidRDefault="008A4786" w:rsidP="004E7D55">
      <w:pPr>
        <w:adjustRightInd w:val="0"/>
        <w:spacing w:after="0" w:line="360" w:lineRule="auto"/>
        <w:ind w:firstLine="1440"/>
        <w:rPr>
          <w:rFonts w:eastAsia="Times New Roman"/>
          <w:color w:val="000000"/>
          <w:szCs w:val="24"/>
        </w:rPr>
      </w:pPr>
      <w:r w:rsidRPr="008A4786">
        <w:rPr>
          <w:rFonts w:eastAsia="Times New Roman"/>
          <w:color w:val="000000"/>
          <w:szCs w:val="24"/>
        </w:rPr>
        <w:t>On January 16, 2014, the following Parties filed a Joint Petition for Approval of Non-Unanimous Settleme</w:t>
      </w:r>
      <w:r w:rsidR="006D3496">
        <w:rPr>
          <w:rFonts w:eastAsia="Times New Roman"/>
          <w:color w:val="000000"/>
          <w:szCs w:val="24"/>
        </w:rPr>
        <w:t xml:space="preserve">nt (Settlement):  DLC, I&amp;E, </w:t>
      </w:r>
      <w:r w:rsidR="00D36767">
        <w:rPr>
          <w:rFonts w:eastAsia="Times New Roman"/>
          <w:color w:val="000000"/>
          <w:szCs w:val="24"/>
        </w:rPr>
        <w:t xml:space="preserve">the </w:t>
      </w:r>
      <w:r w:rsidR="006D3496">
        <w:rPr>
          <w:rFonts w:eastAsia="Times New Roman"/>
          <w:color w:val="000000"/>
          <w:szCs w:val="24"/>
        </w:rPr>
        <w:t xml:space="preserve">OCA, </w:t>
      </w:r>
      <w:r w:rsidR="00D36767">
        <w:rPr>
          <w:rFonts w:eastAsia="Times New Roman"/>
          <w:color w:val="000000"/>
          <w:szCs w:val="24"/>
        </w:rPr>
        <w:t xml:space="preserve">the </w:t>
      </w:r>
      <w:r w:rsidRPr="008A4786">
        <w:rPr>
          <w:rFonts w:eastAsia="Times New Roman"/>
          <w:color w:val="000000"/>
          <w:szCs w:val="24"/>
        </w:rPr>
        <w:t>OSBA, CAUSE-PA, DII, PennFuture, and U.</w:t>
      </w:r>
      <w:r w:rsidR="00D36767">
        <w:rPr>
          <w:rFonts w:eastAsia="Times New Roman"/>
          <w:color w:val="000000"/>
          <w:szCs w:val="24"/>
        </w:rPr>
        <w:t> </w:t>
      </w:r>
      <w:r w:rsidRPr="008A4786">
        <w:rPr>
          <w:rFonts w:eastAsia="Times New Roman"/>
          <w:color w:val="000000"/>
          <w:szCs w:val="24"/>
        </w:rPr>
        <w:t>S. Steel</w:t>
      </w:r>
      <w:r w:rsidR="006D3496">
        <w:rPr>
          <w:rFonts w:eastAsia="Times New Roman"/>
          <w:color w:val="000000"/>
          <w:szCs w:val="24"/>
        </w:rPr>
        <w:t xml:space="preserve">.  Other Parties, including </w:t>
      </w:r>
      <w:r w:rsidR="00D36767">
        <w:rPr>
          <w:rFonts w:eastAsia="Times New Roman"/>
          <w:color w:val="000000"/>
          <w:szCs w:val="24"/>
        </w:rPr>
        <w:t xml:space="preserve">the </w:t>
      </w:r>
      <w:r w:rsidRPr="008A4786">
        <w:rPr>
          <w:rFonts w:eastAsia="Times New Roman"/>
          <w:color w:val="000000"/>
          <w:szCs w:val="24"/>
        </w:rPr>
        <w:t xml:space="preserve">CAAP, Citizen Power, IGS, IBEW, and BFMA have indicated they do not oppose the Settlement.  The NRG Companies have reserved the right to oppose the Settlement.  NRG Companies M.B. at 7-8.  The Settlement provides for, </w:t>
      </w:r>
      <w:r w:rsidRPr="008A4786">
        <w:rPr>
          <w:rFonts w:eastAsia="Times New Roman"/>
          <w:i/>
          <w:color w:val="000000"/>
          <w:szCs w:val="24"/>
        </w:rPr>
        <w:t>inter alia</w:t>
      </w:r>
      <w:r w:rsidRPr="008A4786">
        <w:rPr>
          <w:rFonts w:eastAsia="Times New Roman"/>
          <w:color w:val="000000"/>
          <w:szCs w:val="24"/>
        </w:rPr>
        <w:t xml:space="preserve">, increases in rates designed to produce a net increase in annual distribution operating revenues of $48 million, based on a FPFTY ending April 30, 2015, to become effective for service rendered on and after May 1, 2014.  </w:t>
      </w:r>
    </w:p>
    <w:p w:rsidR="008A4786" w:rsidRPr="008A4786" w:rsidRDefault="008A4786" w:rsidP="004E7D55">
      <w:pPr>
        <w:adjustRightInd w:val="0"/>
        <w:spacing w:after="0" w:line="360" w:lineRule="auto"/>
        <w:ind w:firstLine="1440"/>
        <w:rPr>
          <w:rFonts w:eastAsia="Times New Roman"/>
          <w:color w:val="000000"/>
          <w:szCs w:val="24"/>
        </w:rPr>
      </w:pPr>
    </w:p>
    <w:p w:rsidR="008A4786" w:rsidRPr="008A4786" w:rsidRDefault="008A4786" w:rsidP="004E7D55">
      <w:pPr>
        <w:adjustRightInd w:val="0"/>
        <w:spacing w:after="0" w:line="360" w:lineRule="auto"/>
        <w:ind w:firstLine="1440"/>
        <w:rPr>
          <w:rFonts w:eastAsia="Times New Roman"/>
          <w:color w:val="000000"/>
          <w:szCs w:val="24"/>
        </w:rPr>
      </w:pPr>
      <w:r w:rsidRPr="008A4786">
        <w:rPr>
          <w:rFonts w:eastAsia="Times New Roman"/>
          <w:color w:val="000000"/>
          <w:szCs w:val="24"/>
        </w:rPr>
        <w:lastRenderedPageBreak/>
        <w:t>On January 17, 2014, the following Partie</w:t>
      </w:r>
      <w:r w:rsidR="006D3496">
        <w:rPr>
          <w:rFonts w:eastAsia="Times New Roman"/>
          <w:color w:val="000000"/>
          <w:szCs w:val="24"/>
        </w:rPr>
        <w:t xml:space="preserve">s filed Reply Briefs:  I&amp;E, </w:t>
      </w:r>
      <w:r w:rsidR="00D36767">
        <w:rPr>
          <w:rFonts w:eastAsia="Times New Roman"/>
          <w:color w:val="000000"/>
          <w:szCs w:val="24"/>
        </w:rPr>
        <w:t xml:space="preserve">the </w:t>
      </w:r>
      <w:r w:rsidRPr="008A4786">
        <w:rPr>
          <w:rFonts w:eastAsia="Times New Roman"/>
          <w:color w:val="000000"/>
          <w:szCs w:val="24"/>
        </w:rPr>
        <w:t xml:space="preserve">OCA, BFMA, DLC, and the NRG Companies. </w:t>
      </w:r>
    </w:p>
    <w:p w:rsidR="008A4786" w:rsidRPr="008A4786" w:rsidRDefault="008A4786" w:rsidP="004E7D55">
      <w:pPr>
        <w:adjustRightInd w:val="0"/>
        <w:spacing w:after="0" w:line="360" w:lineRule="auto"/>
        <w:ind w:firstLine="1440"/>
        <w:rPr>
          <w:rFonts w:eastAsia="Times New Roman"/>
          <w:color w:val="000000"/>
          <w:sz w:val="26"/>
          <w:szCs w:val="26"/>
        </w:rPr>
      </w:pPr>
    </w:p>
    <w:p w:rsidR="00DD33FB" w:rsidRDefault="00DD33FB" w:rsidP="004E7D55">
      <w:pPr>
        <w:spacing w:after="0" w:line="360" w:lineRule="auto"/>
        <w:rPr>
          <w:rFonts w:eastAsia="Times New Roman"/>
          <w:szCs w:val="24"/>
        </w:rPr>
      </w:pPr>
      <w:r>
        <w:tab/>
      </w:r>
      <w:r>
        <w:tab/>
      </w:r>
      <w:r w:rsidRPr="00DD33FB">
        <w:rPr>
          <w:rFonts w:eastAsia="Times New Roman"/>
          <w:szCs w:val="24"/>
        </w:rPr>
        <w:t xml:space="preserve">On February 6, 2014, the Commission issued an Opinion and Order declining to answer the material questions raised in Duquesne Light’s December 13, 2013 Petition for Interlocutory Review and Answer to Material Questions and returning the matter to the Office of Administrative Law Judge.  </w:t>
      </w:r>
      <w:r w:rsidR="00B03D4B">
        <w:rPr>
          <w:rFonts w:eastAsia="Times New Roman"/>
          <w:szCs w:val="24"/>
        </w:rPr>
        <w:t xml:space="preserve">A </w:t>
      </w:r>
      <w:r w:rsidRPr="00DD33FB">
        <w:rPr>
          <w:rFonts w:eastAsia="Times New Roman"/>
          <w:szCs w:val="24"/>
        </w:rPr>
        <w:t xml:space="preserve">Fourth Interim Order </w:t>
      </w:r>
      <w:r w:rsidR="00B03D4B">
        <w:rPr>
          <w:rFonts w:eastAsia="Times New Roman"/>
          <w:szCs w:val="24"/>
        </w:rPr>
        <w:t>A</w:t>
      </w:r>
      <w:r w:rsidRPr="00DD33FB">
        <w:rPr>
          <w:rFonts w:eastAsia="Times New Roman"/>
          <w:szCs w:val="24"/>
        </w:rPr>
        <w:t xml:space="preserve">dmitting </w:t>
      </w:r>
      <w:r w:rsidR="00B03D4B">
        <w:rPr>
          <w:rFonts w:eastAsia="Times New Roman"/>
          <w:szCs w:val="24"/>
        </w:rPr>
        <w:t>J</w:t>
      </w:r>
      <w:r w:rsidRPr="00DD33FB">
        <w:rPr>
          <w:rFonts w:eastAsia="Times New Roman"/>
          <w:szCs w:val="24"/>
        </w:rPr>
        <w:t xml:space="preserve">oint </w:t>
      </w:r>
      <w:r w:rsidR="00B03D4B">
        <w:rPr>
          <w:rFonts w:eastAsia="Times New Roman"/>
          <w:szCs w:val="24"/>
        </w:rPr>
        <w:t>P</w:t>
      </w:r>
      <w:r w:rsidRPr="00DD33FB">
        <w:rPr>
          <w:rFonts w:eastAsia="Times New Roman"/>
          <w:szCs w:val="24"/>
        </w:rPr>
        <w:t xml:space="preserve">etition </w:t>
      </w:r>
      <w:r w:rsidR="00B03D4B">
        <w:rPr>
          <w:rFonts w:eastAsia="Times New Roman"/>
          <w:szCs w:val="24"/>
        </w:rPr>
        <w:t>F</w:t>
      </w:r>
      <w:r w:rsidRPr="00DD33FB">
        <w:rPr>
          <w:rFonts w:eastAsia="Times New Roman"/>
          <w:szCs w:val="24"/>
        </w:rPr>
        <w:t xml:space="preserve">or </w:t>
      </w:r>
      <w:r w:rsidR="00B03D4B">
        <w:rPr>
          <w:rFonts w:eastAsia="Times New Roman"/>
          <w:szCs w:val="24"/>
        </w:rPr>
        <w:t>A</w:t>
      </w:r>
      <w:r w:rsidRPr="00DD33FB">
        <w:rPr>
          <w:rFonts w:eastAsia="Times New Roman"/>
          <w:szCs w:val="24"/>
        </w:rPr>
        <w:t xml:space="preserve">pproval </w:t>
      </w:r>
      <w:r w:rsidR="00B03D4B">
        <w:rPr>
          <w:rFonts w:eastAsia="Times New Roman"/>
          <w:szCs w:val="24"/>
        </w:rPr>
        <w:t>O</w:t>
      </w:r>
      <w:r w:rsidRPr="00DD33FB">
        <w:rPr>
          <w:rFonts w:eastAsia="Times New Roman"/>
          <w:szCs w:val="24"/>
        </w:rPr>
        <w:t xml:space="preserve">f </w:t>
      </w:r>
      <w:r w:rsidR="00B03D4B">
        <w:rPr>
          <w:rFonts w:eastAsia="Times New Roman"/>
          <w:szCs w:val="24"/>
        </w:rPr>
        <w:t>N</w:t>
      </w:r>
      <w:r w:rsidRPr="00DD33FB">
        <w:rPr>
          <w:rFonts w:eastAsia="Times New Roman"/>
          <w:szCs w:val="24"/>
        </w:rPr>
        <w:t>on-</w:t>
      </w:r>
      <w:r w:rsidR="00B03D4B">
        <w:rPr>
          <w:rFonts w:eastAsia="Times New Roman"/>
          <w:szCs w:val="24"/>
        </w:rPr>
        <w:t>U</w:t>
      </w:r>
      <w:r w:rsidRPr="00DD33FB">
        <w:rPr>
          <w:rFonts w:eastAsia="Times New Roman"/>
          <w:szCs w:val="24"/>
        </w:rPr>
        <w:t xml:space="preserve">nanimous </w:t>
      </w:r>
      <w:r w:rsidR="00B03D4B">
        <w:rPr>
          <w:rFonts w:eastAsia="Times New Roman"/>
          <w:szCs w:val="24"/>
        </w:rPr>
        <w:t>S</w:t>
      </w:r>
      <w:r w:rsidRPr="00DD33FB">
        <w:rPr>
          <w:rFonts w:eastAsia="Times New Roman"/>
          <w:szCs w:val="24"/>
        </w:rPr>
        <w:t xml:space="preserve">ettlement </w:t>
      </w:r>
      <w:r w:rsidR="00B03D4B">
        <w:rPr>
          <w:rFonts w:eastAsia="Times New Roman"/>
          <w:szCs w:val="24"/>
        </w:rPr>
        <w:t>I</w:t>
      </w:r>
      <w:r w:rsidRPr="00DD33FB">
        <w:rPr>
          <w:rFonts w:eastAsia="Times New Roman"/>
          <w:szCs w:val="24"/>
        </w:rPr>
        <w:t xml:space="preserve">nto </w:t>
      </w:r>
      <w:r w:rsidR="00B03D4B">
        <w:rPr>
          <w:rFonts w:eastAsia="Times New Roman"/>
          <w:szCs w:val="24"/>
        </w:rPr>
        <w:t>T</w:t>
      </w:r>
      <w:r w:rsidRPr="00DD33FB">
        <w:rPr>
          <w:rFonts w:eastAsia="Times New Roman"/>
          <w:szCs w:val="24"/>
        </w:rPr>
        <w:t xml:space="preserve">he </w:t>
      </w:r>
      <w:r w:rsidR="00B03D4B">
        <w:rPr>
          <w:rFonts w:eastAsia="Times New Roman"/>
          <w:szCs w:val="24"/>
        </w:rPr>
        <w:t>R</w:t>
      </w:r>
      <w:r w:rsidRPr="00DD33FB">
        <w:rPr>
          <w:rFonts w:eastAsia="Times New Roman"/>
          <w:szCs w:val="24"/>
        </w:rPr>
        <w:t>ecord</w:t>
      </w:r>
      <w:r w:rsidR="00B03D4B">
        <w:rPr>
          <w:rFonts w:eastAsia="Times New Roman"/>
          <w:szCs w:val="24"/>
        </w:rPr>
        <w:t>,</w:t>
      </w:r>
      <w:r w:rsidRPr="00DD33FB">
        <w:rPr>
          <w:rFonts w:eastAsia="Times New Roman"/>
          <w:szCs w:val="24"/>
        </w:rPr>
        <w:t xml:space="preserve"> </w:t>
      </w:r>
      <w:r w:rsidR="00EA25B6">
        <w:rPr>
          <w:rFonts w:eastAsia="Times New Roman"/>
          <w:szCs w:val="24"/>
        </w:rPr>
        <w:t>together with the attached Appendices A through J</w:t>
      </w:r>
      <w:r w:rsidR="00B03D4B">
        <w:rPr>
          <w:rFonts w:eastAsia="Times New Roman"/>
          <w:szCs w:val="24"/>
        </w:rPr>
        <w:t>, was issued on February 7, 2014</w:t>
      </w:r>
      <w:r w:rsidR="00EA25B6">
        <w:rPr>
          <w:rFonts w:eastAsia="Times New Roman"/>
          <w:szCs w:val="24"/>
        </w:rPr>
        <w:t>.  The Fourth Interim Order also closed the record</w:t>
      </w:r>
      <w:r w:rsidR="00B03D4B">
        <w:rPr>
          <w:rFonts w:eastAsia="Times New Roman"/>
          <w:szCs w:val="24"/>
        </w:rPr>
        <w:t>.</w:t>
      </w:r>
    </w:p>
    <w:p w:rsidR="00DD7298" w:rsidRDefault="00DD7298" w:rsidP="004E7D55">
      <w:pPr>
        <w:spacing w:after="0" w:line="360" w:lineRule="auto"/>
        <w:rPr>
          <w:rFonts w:eastAsia="Times New Roman"/>
          <w:szCs w:val="24"/>
        </w:rPr>
      </w:pPr>
    </w:p>
    <w:p w:rsidR="00DD7298" w:rsidRPr="00DD33FB" w:rsidRDefault="00DD7298" w:rsidP="004E7D55">
      <w:pPr>
        <w:spacing w:after="0" w:line="360" w:lineRule="auto"/>
        <w:rPr>
          <w:rFonts w:eastAsia="Times New Roman"/>
          <w:szCs w:val="24"/>
        </w:rPr>
      </w:pPr>
      <w:r>
        <w:rPr>
          <w:szCs w:val="24"/>
        </w:rPr>
        <w:tab/>
      </w:r>
      <w:r>
        <w:rPr>
          <w:szCs w:val="24"/>
        </w:rPr>
        <w:tab/>
        <w:t>As mentioned above</w:t>
      </w:r>
      <w:r w:rsidR="00FE08BC">
        <w:rPr>
          <w:szCs w:val="24"/>
        </w:rPr>
        <w:t>,</w:t>
      </w:r>
      <w:r>
        <w:rPr>
          <w:szCs w:val="24"/>
        </w:rPr>
        <w:t xml:space="preserve"> the record was effectively reopened on March 22, 2014.  Duquesne Light Company filed its Motion to Sever on March 25, 2014, and NRG and Beaver Falls filed Answers thereto</w:t>
      </w:r>
      <w:r w:rsidR="00FE08BC">
        <w:rPr>
          <w:szCs w:val="24"/>
        </w:rPr>
        <w:t xml:space="preserve"> on March 26, 2014.  The record will be reclosed in the ordering paragraphs below</w:t>
      </w:r>
      <w:r>
        <w:rPr>
          <w:szCs w:val="24"/>
        </w:rPr>
        <w:t>.</w:t>
      </w:r>
    </w:p>
    <w:p w:rsidR="006D3496" w:rsidRDefault="006D3496" w:rsidP="004E7D55">
      <w:pPr>
        <w:spacing w:after="0"/>
        <w:rPr>
          <w:u w:val="single"/>
        </w:rPr>
      </w:pPr>
    </w:p>
    <w:p w:rsidR="00DD33FB" w:rsidRDefault="00365A27" w:rsidP="004E7D55">
      <w:pPr>
        <w:spacing w:after="0" w:line="360" w:lineRule="auto"/>
        <w:jc w:val="center"/>
        <w:rPr>
          <w:u w:val="single"/>
        </w:rPr>
      </w:pPr>
      <w:r>
        <w:rPr>
          <w:u w:val="single"/>
        </w:rPr>
        <w:t>D</w:t>
      </w:r>
      <w:r w:rsidR="00DD33FB">
        <w:rPr>
          <w:u w:val="single"/>
        </w:rPr>
        <w:t>iscussion</w:t>
      </w:r>
    </w:p>
    <w:p w:rsidR="00025128" w:rsidRDefault="00025128" w:rsidP="004E7D55">
      <w:pPr>
        <w:spacing w:after="0" w:line="360" w:lineRule="auto"/>
        <w:jc w:val="center"/>
        <w:rPr>
          <w:u w:val="single"/>
        </w:rPr>
      </w:pPr>
    </w:p>
    <w:p w:rsidR="008A7517" w:rsidRDefault="00365A27" w:rsidP="004E7D55">
      <w:pPr>
        <w:spacing w:after="0" w:line="360" w:lineRule="auto"/>
      </w:pPr>
      <w:r>
        <w:tab/>
      </w:r>
      <w:r>
        <w:tab/>
        <w:t>The heart of the remaining dispute in this proceeding is the justness and reasonableness of Duquesne Light Company’s Rider No. 18.  Written testimony and documentary evidence w</w:t>
      </w:r>
      <w:r w:rsidR="006D3496">
        <w:t>ere</w:t>
      </w:r>
      <w:r>
        <w:t xml:space="preserve"> submitted on this issue, and there was extensive cross-examination at the hearing.  Duquesne Light, Beaver Falls and NRG Companies also briefed this issue.  </w:t>
      </w:r>
    </w:p>
    <w:p w:rsidR="008A7517" w:rsidRDefault="008A7517" w:rsidP="004E7D55">
      <w:pPr>
        <w:spacing w:after="0" w:line="360" w:lineRule="auto"/>
      </w:pPr>
      <w:r>
        <w:tab/>
      </w:r>
    </w:p>
    <w:p w:rsidR="00670200" w:rsidRDefault="008A7517" w:rsidP="004E7D55">
      <w:pPr>
        <w:spacing w:after="0" w:line="360" w:lineRule="auto"/>
      </w:pPr>
      <w:r>
        <w:tab/>
      </w:r>
      <w:r>
        <w:tab/>
      </w:r>
      <w:r w:rsidR="00365A27">
        <w:t xml:space="preserve">Resolution of the Rider No. 18 issues </w:t>
      </w:r>
      <w:r w:rsidR="00803CA0">
        <w:t xml:space="preserve">in this proceeding </w:t>
      </w:r>
      <w:r w:rsidR="00365A27">
        <w:t xml:space="preserve">requires </w:t>
      </w:r>
      <w:r w:rsidR="00670200">
        <w:t xml:space="preserve">consideration of a number of components, including </w:t>
      </w:r>
      <w:r w:rsidR="00365A27">
        <w:t xml:space="preserve">careful examination of the extensive written testimony and exhibits, review of 459 pages of transcript, multiple briefs, </w:t>
      </w:r>
      <w:r w:rsidR="00670200">
        <w:t>an</w:t>
      </w:r>
      <w:r w:rsidR="00803CA0">
        <w:t xml:space="preserve"> </w:t>
      </w:r>
      <w:r w:rsidR="00365A27">
        <w:t xml:space="preserve">analysis </w:t>
      </w:r>
      <w:r w:rsidR="00803CA0">
        <w:t xml:space="preserve">of </w:t>
      </w:r>
      <w:r w:rsidR="006D3496">
        <w:t xml:space="preserve">the </w:t>
      </w:r>
      <w:r w:rsidR="00803CA0">
        <w:t xml:space="preserve">Public Utility Regulatory Policies Act of 1978 (PURPA) as implemented by the Federal </w:t>
      </w:r>
      <w:r w:rsidR="00122B78">
        <w:t xml:space="preserve">Energy </w:t>
      </w:r>
      <w:r w:rsidR="00803CA0">
        <w:t>Regulatory Commission (FERC) and case law under PURPA</w:t>
      </w:r>
      <w:r w:rsidR="00670200">
        <w:t>, and the Commission’s regulations implementing PURPA at 52 Pa. Code §§ 57.31 et. seq</w:t>
      </w:r>
      <w:r w:rsidR="00803CA0">
        <w:t>.</w:t>
      </w:r>
      <w:r w:rsidR="00915C8C">
        <w:t xml:space="preserve">  </w:t>
      </w:r>
    </w:p>
    <w:p w:rsidR="00670200" w:rsidRDefault="00670200" w:rsidP="004E7D55">
      <w:pPr>
        <w:spacing w:after="0" w:line="360" w:lineRule="auto"/>
      </w:pPr>
    </w:p>
    <w:p w:rsidR="00670200" w:rsidRDefault="00670200" w:rsidP="004E7D55">
      <w:pPr>
        <w:spacing w:after="0" w:line="240" w:lineRule="auto"/>
      </w:pPr>
      <w:r>
        <w:tab/>
      </w:r>
      <w:r>
        <w:tab/>
      </w:r>
      <w:r w:rsidR="00EB7377">
        <w:t>Duquesne Light Company in its motion to sever argues, in part, as follows:</w:t>
      </w:r>
    </w:p>
    <w:p w:rsidR="004E7D55" w:rsidRDefault="004E7D55" w:rsidP="004E7D55">
      <w:pPr>
        <w:tabs>
          <w:tab w:val="left" w:pos="2580"/>
        </w:tabs>
        <w:spacing w:after="0" w:line="240" w:lineRule="auto"/>
        <w:ind w:left="1440" w:right="1080"/>
      </w:pPr>
    </w:p>
    <w:p w:rsidR="00EB7377" w:rsidRDefault="004E7D55" w:rsidP="004E7D55">
      <w:pPr>
        <w:tabs>
          <w:tab w:val="left" w:pos="2580"/>
        </w:tabs>
        <w:spacing w:after="0" w:line="240" w:lineRule="auto"/>
        <w:ind w:left="1440" w:right="1080"/>
      </w:pPr>
      <w:r>
        <w:tab/>
      </w:r>
    </w:p>
    <w:p w:rsidR="00EB7377" w:rsidRDefault="00EB7377" w:rsidP="004E7D55">
      <w:pPr>
        <w:spacing w:after="0" w:line="240" w:lineRule="auto"/>
        <w:ind w:left="1440" w:right="1080"/>
      </w:pPr>
      <w:r>
        <w:lastRenderedPageBreak/>
        <w:tab/>
        <w:t>19.</w:t>
      </w:r>
      <w:r>
        <w:tab/>
        <w:t>The NRG Companies argue that Rider No. 18 is unjust and unreasonable because it is no longer consistent with Pennsylvania statutory law and the current regulatory scheme in Pennsylvania (NR</w:t>
      </w:r>
      <w:r w:rsidR="002B1D10">
        <w:t>G</w:t>
      </w:r>
      <w:r>
        <w:t xml:space="preserve"> MB, pp. 6, 9-10)</w:t>
      </w:r>
      <w:r w:rsidR="008A7517">
        <w:t xml:space="preserve">. </w:t>
      </w:r>
      <w:r w:rsidR="004E7D55">
        <w:t xml:space="preserve"> </w:t>
      </w:r>
      <w:r>
        <w:t xml:space="preserve">The NRG Companies propose that Rider No. 18 be eliminated in its entirety.  Alternatively, the NRG Companies propose that the wholesale rate set forth in Rider No. 18 be modified to the day-ahead locational marginal price (DALMP) in the Duquesne Zone.  (NRG MB, </w:t>
      </w:r>
      <w:r w:rsidR="002B1D10">
        <w:t>p</w:t>
      </w:r>
      <w:r>
        <w:t>.</w:t>
      </w:r>
      <w:r w:rsidR="00122B78">
        <w:t xml:space="preserve"> 1</w:t>
      </w:r>
      <w:r>
        <w:t>5)</w:t>
      </w:r>
    </w:p>
    <w:p w:rsidR="00915C8C" w:rsidRDefault="00915C8C" w:rsidP="004E7D55">
      <w:pPr>
        <w:spacing w:after="0" w:line="240" w:lineRule="auto"/>
        <w:ind w:left="1440" w:right="1080"/>
      </w:pPr>
    </w:p>
    <w:p w:rsidR="004E7D55" w:rsidRDefault="004E7D55" w:rsidP="004E7D55">
      <w:pPr>
        <w:spacing w:after="0" w:line="240" w:lineRule="auto"/>
        <w:ind w:left="1440" w:right="1080"/>
      </w:pPr>
    </w:p>
    <w:p w:rsidR="00EB7377" w:rsidRDefault="00EB7377" w:rsidP="004E7D55">
      <w:pPr>
        <w:spacing w:after="0" w:line="240" w:lineRule="auto"/>
        <w:ind w:left="1440" w:right="1080"/>
      </w:pPr>
      <w:r>
        <w:tab/>
        <w:t>20.</w:t>
      </w:r>
      <w:r>
        <w:tab/>
        <w:t>Duquesne Light’s Tariff Rider N</w:t>
      </w:r>
      <w:r w:rsidR="00044AC0">
        <w:t>o</w:t>
      </w:r>
      <w:r>
        <w:t>. 18 establishes the rates to be paid for power produce</w:t>
      </w:r>
      <w:r w:rsidR="00044AC0">
        <w:t xml:space="preserve">d by certain </w:t>
      </w:r>
      <w:r w:rsidR="002B1D10">
        <w:t xml:space="preserve">specified </w:t>
      </w:r>
      <w:r w:rsidR="00044AC0">
        <w:t>categories of QFs [qualifying facilities] pursuant to PURPA.  Under PURPA, public utilities are required to purchase all electricity produced by independent power producers that obtain status as qualifying facilities.  Electric utilities are required to purchase electricity from qualifying facilities at rates that are just and reasonable to the electric utility, in the public interest, and which do not discriminate against the qualifying facilities.  16 U.S.C. § 824a-3(b); 18 C.F.R. §§</w:t>
      </w:r>
      <w:r w:rsidR="006D3496">
        <w:t> </w:t>
      </w:r>
      <w:r w:rsidR="00044AC0">
        <w:t>292.304(a)(1)(i), (ii). [Footnote omitted].</w:t>
      </w:r>
    </w:p>
    <w:p w:rsidR="007D42A6" w:rsidRDefault="007D42A6" w:rsidP="004E7D55">
      <w:pPr>
        <w:spacing w:after="0" w:line="240" w:lineRule="auto"/>
        <w:ind w:left="1440" w:right="1080"/>
      </w:pPr>
    </w:p>
    <w:p w:rsidR="004E7D55" w:rsidRDefault="004E7D55" w:rsidP="004E7D55">
      <w:pPr>
        <w:spacing w:after="0" w:line="240" w:lineRule="auto"/>
        <w:ind w:left="1440" w:right="1080"/>
      </w:pPr>
    </w:p>
    <w:p w:rsidR="00044AC0" w:rsidRDefault="00044AC0" w:rsidP="004E7D55">
      <w:pPr>
        <w:spacing w:after="0" w:line="240" w:lineRule="auto"/>
        <w:ind w:left="1440" w:right="1080"/>
      </w:pPr>
      <w:r>
        <w:tab/>
        <w:t xml:space="preserve">21. </w:t>
      </w:r>
      <w:r>
        <w:tab/>
        <w:t>As explained in Duquesne Light’s</w:t>
      </w:r>
      <w:r w:rsidR="007D42A6">
        <w:t xml:space="preserve"> </w:t>
      </w:r>
      <w:r>
        <w:t>Main Brief, the rates paid pursuant to Rider N</w:t>
      </w:r>
      <w:r w:rsidR="007D42A6">
        <w:t>o</w:t>
      </w:r>
      <w:r>
        <w:t>. 18 have no impact on the base distribution rates paid by Duquesne Light’s retail customers, the distribution revenues received by Duquesne Light, or the distribution services provided to Duquesne Light’s customers because the NRG Companies have assumed Duquesne Light’s obligations under the QF agreements as part of Duquesne Light</w:t>
      </w:r>
      <w:r w:rsidR="007D42A6">
        <w:t>’s dives</w:t>
      </w:r>
      <w:r w:rsidR="004E7D55">
        <w:t>ti</w:t>
      </w:r>
      <w:r w:rsidR="007D42A6">
        <w:t>ture of its generation assets in 200</w:t>
      </w:r>
      <w:r w:rsidR="002B1D10">
        <w:t>0</w:t>
      </w:r>
      <w:r w:rsidR="007D42A6">
        <w:t xml:space="preserve"> pursuant to </w:t>
      </w:r>
      <w:r w:rsidR="002B1D10">
        <w:t>El</w:t>
      </w:r>
      <w:r w:rsidR="007D42A6">
        <w:t>ectricity Generati</w:t>
      </w:r>
      <w:r w:rsidR="00536429">
        <w:t>o</w:t>
      </w:r>
      <w:r w:rsidR="007D42A6">
        <w:t>n Customer Choice and Competiti</w:t>
      </w:r>
      <w:r w:rsidR="00536429">
        <w:t>o</w:t>
      </w:r>
      <w:r w:rsidR="007D42A6">
        <w:t>n Act (Competi</w:t>
      </w:r>
      <w:r w:rsidR="00536429">
        <w:t>ti</w:t>
      </w:r>
      <w:r w:rsidR="007D42A6">
        <w:t>on Act), P.L. 802</w:t>
      </w:r>
      <w:r w:rsidR="00723BDB">
        <w:t>,</w:t>
      </w:r>
      <w:r w:rsidR="007D42A6">
        <w:t xml:space="preserve"> No. 138, effective January 1, 1997, 66 Pa.</w:t>
      </w:r>
      <w:r w:rsidR="00536429">
        <w:t>C</w:t>
      </w:r>
      <w:r w:rsidR="007D42A6">
        <w:t>.</w:t>
      </w:r>
      <w:r w:rsidR="00536429">
        <w:t>S</w:t>
      </w:r>
      <w:r w:rsidR="007D42A6">
        <w:t>. §§ 2801-2812. (</w:t>
      </w:r>
      <w:r w:rsidR="007D42A6">
        <w:rPr>
          <w:i/>
        </w:rPr>
        <w:t xml:space="preserve">See </w:t>
      </w:r>
      <w:r w:rsidR="007D42A6">
        <w:t>Duquesne Light MB, pp. 51-52.)</w:t>
      </w:r>
      <w:r w:rsidR="00723BDB">
        <w:t xml:space="preserve"> </w:t>
      </w:r>
      <w:r w:rsidR="007D42A6">
        <w:t xml:space="preserve"> </w:t>
      </w:r>
      <w:r w:rsidR="00723BDB">
        <w:t>F</w:t>
      </w:r>
      <w:r w:rsidR="007D42A6">
        <w:t>or this reason alone, the Rider No. 18 issues raised in the NRG Companies’ Comp</w:t>
      </w:r>
      <w:r w:rsidR="00536429">
        <w:t>l</w:t>
      </w:r>
      <w:r w:rsidR="007D42A6">
        <w:t>aint should be sever</w:t>
      </w:r>
      <w:r w:rsidR="00536429">
        <w:t>e</w:t>
      </w:r>
      <w:r w:rsidR="007D42A6">
        <w:t xml:space="preserve">d from the </w:t>
      </w:r>
      <w:r w:rsidR="00536429">
        <w:t>b</w:t>
      </w:r>
      <w:r w:rsidR="007D42A6">
        <w:t xml:space="preserve">ase rate proceeding for purposes </w:t>
      </w:r>
      <w:r w:rsidR="00536429">
        <w:t>of a decision. [Footnote omitted].</w:t>
      </w:r>
    </w:p>
    <w:p w:rsidR="004E7D55" w:rsidRDefault="004E7D55" w:rsidP="008A7517">
      <w:pPr>
        <w:spacing w:after="0" w:line="240" w:lineRule="auto"/>
        <w:ind w:left="1440" w:right="1080"/>
      </w:pPr>
    </w:p>
    <w:p w:rsidR="004E7D55" w:rsidRDefault="004E7D55" w:rsidP="008A7517">
      <w:pPr>
        <w:spacing w:after="0" w:line="240" w:lineRule="auto"/>
        <w:ind w:left="1440" w:right="1080"/>
      </w:pPr>
    </w:p>
    <w:p w:rsidR="00536429" w:rsidRDefault="00536429" w:rsidP="008A7517">
      <w:pPr>
        <w:spacing w:after="0" w:line="240" w:lineRule="auto"/>
        <w:ind w:left="1440" w:right="1080"/>
      </w:pPr>
      <w:r>
        <w:tab/>
        <w:t>22.</w:t>
      </w:r>
      <w:r>
        <w:tab/>
        <w:t>Moreover, the novel and complex issues related to Rider No. 18 cannot be fully addressed an</w:t>
      </w:r>
      <w:r w:rsidR="00915C8C">
        <w:t>d</w:t>
      </w:r>
      <w:r>
        <w:t xml:space="preserve"> decided wi</w:t>
      </w:r>
      <w:r w:rsidR="00915C8C">
        <w:t>thi</w:t>
      </w:r>
      <w:r>
        <w:t>n the nin</w:t>
      </w:r>
      <w:r w:rsidR="00915C8C">
        <w:t>e</w:t>
      </w:r>
      <w:r>
        <w:t>-month suspension perio</w:t>
      </w:r>
      <w:r w:rsidR="00915C8C">
        <w:t>d</w:t>
      </w:r>
      <w:r>
        <w:t xml:space="preserve"> for the base rate case proceeding. </w:t>
      </w:r>
    </w:p>
    <w:p w:rsidR="008A7517" w:rsidRDefault="008A7517" w:rsidP="008A7517">
      <w:pPr>
        <w:spacing w:after="0" w:line="240" w:lineRule="auto"/>
        <w:ind w:left="1440" w:right="1080"/>
      </w:pPr>
    </w:p>
    <w:p w:rsidR="004E7D55" w:rsidRPr="007D42A6" w:rsidRDefault="004E7D55" w:rsidP="008A7517">
      <w:pPr>
        <w:spacing w:after="0" w:line="240" w:lineRule="auto"/>
        <w:ind w:left="1440" w:right="1080"/>
      </w:pPr>
    </w:p>
    <w:p w:rsidR="00EB7377" w:rsidRDefault="00A65441" w:rsidP="004E7D55">
      <w:pPr>
        <w:spacing w:after="0" w:line="360" w:lineRule="auto"/>
      </w:pPr>
      <w:r>
        <w:t>Duquesne</w:t>
      </w:r>
      <w:r w:rsidR="00536429">
        <w:t xml:space="preserve"> Light Company’s Motion to Sever, pp</w:t>
      </w:r>
      <w:r w:rsidR="00141483">
        <w:t>.</w:t>
      </w:r>
      <w:r w:rsidR="00536429">
        <w:t xml:space="preserve"> 7-8.</w:t>
      </w:r>
    </w:p>
    <w:p w:rsidR="008A7517" w:rsidRDefault="008A7517" w:rsidP="004E7D55">
      <w:pPr>
        <w:spacing w:after="0" w:line="360" w:lineRule="auto"/>
      </w:pPr>
    </w:p>
    <w:p w:rsidR="00DD7298" w:rsidRDefault="00DD7298">
      <w:r>
        <w:br w:type="page"/>
      </w:r>
    </w:p>
    <w:p w:rsidR="008A7517" w:rsidRDefault="008A7517" w:rsidP="004E7D55">
      <w:pPr>
        <w:spacing w:after="0" w:line="360" w:lineRule="auto"/>
      </w:pPr>
      <w:r>
        <w:lastRenderedPageBreak/>
        <w:tab/>
      </w:r>
      <w:r>
        <w:tab/>
        <w:t xml:space="preserve">Beaver Falls does not oppose the Motion to Sever, but essentially requests that </w:t>
      </w:r>
    </w:p>
    <w:p w:rsidR="008A7517" w:rsidRDefault="008A7517" w:rsidP="00CE3B29">
      <w:pPr>
        <w:spacing w:after="0" w:line="360" w:lineRule="auto"/>
      </w:pPr>
      <w:proofErr w:type="gramStart"/>
      <w:r>
        <w:t>a</w:t>
      </w:r>
      <w:proofErr w:type="gramEnd"/>
      <w:r>
        <w:t xml:space="preserve"> recommendation on Rider No</w:t>
      </w:r>
      <w:r w:rsidR="00122B78">
        <w:t>.</w:t>
      </w:r>
      <w:r>
        <w:t xml:space="preserve"> 18 issues be ma</w:t>
      </w:r>
      <w:r w:rsidR="002B1D10">
        <w:t>de within a procedural schedule (</w:t>
      </w:r>
      <w:r>
        <w:t xml:space="preserve">including </w:t>
      </w:r>
      <w:r w:rsidR="002B1D10">
        <w:t xml:space="preserve">the </w:t>
      </w:r>
      <w:r>
        <w:t>exceptions and reply exceptions period</w:t>
      </w:r>
      <w:r w:rsidR="002B1D10">
        <w:t>s)</w:t>
      </w:r>
      <w:r>
        <w:t xml:space="preserve"> that envisions Commission action on this case by the Commission Public Meeting of June 5, 2014.  </w:t>
      </w:r>
    </w:p>
    <w:p w:rsidR="008A7517" w:rsidRDefault="008A7517" w:rsidP="00CE3B29">
      <w:pPr>
        <w:spacing w:after="0" w:line="360" w:lineRule="auto"/>
      </w:pPr>
    </w:p>
    <w:p w:rsidR="00EA25B6" w:rsidRPr="000314B4" w:rsidRDefault="00EA25B6" w:rsidP="00CE3B29">
      <w:pPr>
        <w:spacing w:after="0" w:line="360" w:lineRule="auto"/>
        <w:rPr>
          <w:szCs w:val="24"/>
        </w:rPr>
      </w:pPr>
      <w:r>
        <w:rPr>
          <w:szCs w:val="24"/>
        </w:rPr>
        <w:tab/>
      </w:r>
      <w:r>
        <w:rPr>
          <w:szCs w:val="24"/>
        </w:rPr>
        <w:tab/>
      </w:r>
      <w:r w:rsidRPr="000314B4">
        <w:rPr>
          <w:szCs w:val="24"/>
        </w:rPr>
        <w:t xml:space="preserve">The NRG Companies suggest that the </w:t>
      </w:r>
      <w:r>
        <w:rPr>
          <w:szCs w:val="24"/>
        </w:rPr>
        <w:t>S</w:t>
      </w:r>
      <w:r w:rsidRPr="000314B4">
        <w:rPr>
          <w:szCs w:val="24"/>
        </w:rPr>
        <w:t xml:space="preserve">ettling </w:t>
      </w:r>
      <w:r>
        <w:rPr>
          <w:szCs w:val="24"/>
        </w:rPr>
        <w:t>P</w:t>
      </w:r>
      <w:r w:rsidRPr="000314B4">
        <w:rPr>
          <w:szCs w:val="24"/>
        </w:rPr>
        <w:t xml:space="preserve">arties file an amended Non-Unanimous Settlement that keeps the existing investigation open, while allowing the other provisions of the </w:t>
      </w:r>
      <w:r>
        <w:rPr>
          <w:szCs w:val="24"/>
        </w:rPr>
        <w:t>S</w:t>
      </w:r>
      <w:r w:rsidRPr="000314B4">
        <w:rPr>
          <w:szCs w:val="24"/>
        </w:rPr>
        <w:t>ettlement to go into effect upon the entry of a final order of the Commission.  The NRG Companies state that they would not oppose such a settlement and would waive their right to file exceptions should such a settlement be recommended by the ALJ for approval.</w:t>
      </w:r>
    </w:p>
    <w:p w:rsidR="00EA25B6" w:rsidRPr="000314B4" w:rsidRDefault="00EA25B6" w:rsidP="00EA25B6">
      <w:pPr>
        <w:spacing w:line="360" w:lineRule="auto"/>
        <w:rPr>
          <w:szCs w:val="24"/>
        </w:rPr>
      </w:pPr>
    </w:p>
    <w:p w:rsidR="00EA25B6" w:rsidRPr="000314B4" w:rsidRDefault="00EA25B6" w:rsidP="00CE3B29">
      <w:pPr>
        <w:spacing w:after="0" w:line="360" w:lineRule="auto"/>
        <w:rPr>
          <w:szCs w:val="24"/>
        </w:rPr>
      </w:pPr>
      <w:r>
        <w:rPr>
          <w:szCs w:val="24"/>
        </w:rPr>
        <w:tab/>
      </w:r>
      <w:r>
        <w:rPr>
          <w:szCs w:val="24"/>
        </w:rPr>
        <w:tab/>
      </w:r>
      <w:r w:rsidRPr="000314B4">
        <w:rPr>
          <w:szCs w:val="24"/>
        </w:rPr>
        <w:t xml:space="preserve">Alternatively, the NRG Companies suggest that if the </w:t>
      </w:r>
      <w:r w:rsidR="00B03D4B">
        <w:rPr>
          <w:szCs w:val="24"/>
        </w:rPr>
        <w:t>S</w:t>
      </w:r>
      <w:r w:rsidRPr="000314B4">
        <w:rPr>
          <w:szCs w:val="24"/>
        </w:rPr>
        <w:t xml:space="preserve">ettling </w:t>
      </w:r>
      <w:r w:rsidR="00B03D4B">
        <w:rPr>
          <w:szCs w:val="24"/>
        </w:rPr>
        <w:t>P</w:t>
      </w:r>
      <w:r w:rsidRPr="000314B4">
        <w:rPr>
          <w:szCs w:val="24"/>
        </w:rPr>
        <w:t>arties decline to revise the Non-Unanimous Settlement, the rate investigation remain open for final Commission action on the Rider No. 18 issue by June 6, 2014.  The NRG Companies state that they would be willing to waive exceptions to such a recommended decision.</w:t>
      </w:r>
    </w:p>
    <w:p w:rsidR="00EA25B6" w:rsidRPr="000314B4" w:rsidRDefault="00EA25B6" w:rsidP="00CE3B29">
      <w:pPr>
        <w:spacing w:after="0" w:line="360" w:lineRule="auto"/>
        <w:rPr>
          <w:szCs w:val="24"/>
        </w:rPr>
      </w:pPr>
    </w:p>
    <w:p w:rsidR="00EA25B6" w:rsidRPr="000314B4" w:rsidRDefault="00EA25B6" w:rsidP="00CE3B29">
      <w:pPr>
        <w:spacing w:after="0" w:line="360" w:lineRule="auto"/>
        <w:rPr>
          <w:szCs w:val="24"/>
        </w:rPr>
      </w:pPr>
      <w:r>
        <w:rPr>
          <w:szCs w:val="24"/>
        </w:rPr>
        <w:tab/>
      </w:r>
      <w:r>
        <w:rPr>
          <w:szCs w:val="24"/>
        </w:rPr>
        <w:tab/>
      </w:r>
      <w:r w:rsidRPr="000314B4">
        <w:rPr>
          <w:szCs w:val="24"/>
        </w:rPr>
        <w:t>The NRG Companies state that they want to keep the rate investigation open so that the burden of proof does not shift from Duquesne Light Company to the NRG Companies.  The NRG Companies also express an interest in having the Rider No. 18 issue resolved by June 6, 2014 (presumably the June 5, 2014 Public Meeting) so that the tariff provision, which they characterize as an “unjust, unreasonable and unduly discriminatory price for power,” does not continue “another day.”</w:t>
      </w:r>
    </w:p>
    <w:p w:rsidR="00EA25B6" w:rsidRPr="000314B4" w:rsidRDefault="00EA25B6" w:rsidP="00CE3B29">
      <w:pPr>
        <w:spacing w:after="0" w:line="360" w:lineRule="auto"/>
        <w:rPr>
          <w:szCs w:val="24"/>
        </w:rPr>
      </w:pPr>
    </w:p>
    <w:p w:rsidR="00EA25B6" w:rsidRDefault="00EA25B6" w:rsidP="00CE3B29">
      <w:pPr>
        <w:spacing w:after="0" w:line="360" w:lineRule="auto"/>
        <w:rPr>
          <w:szCs w:val="24"/>
        </w:rPr>
      </w:pPr>
      <w:r w:rsidRPr="000314B4">
        <w:rPr>
          <w:szCs w:val="24"/>
        </w:rPr>
        <w:t xml:space="preserve">See, NRG Companies Answer at 6-7. </w:t>
      </w:r>
    </w:p>
    <w:p w:rsidR="00EA25B6" w:rsidRDefault="00EA25B6" w:rsidP="00CE3B29">
      <w:pPr>
        <w:spacing w:after="0" w:line="360" w:lineRule="auto"/>
        <w:rPr>
          <w:szCs w:val="24"/>
        </w:rPr>
      </w:pPr>
    </w:p>
    <w:p w:rsidR="00EA25B6" w:rsidRDefault="00CE3B29" w:rsidP="00CE3B29">
      <w:pPr>
        <w:spacing w:after="0" w:line="360" w:lineRule="auto"/>
        <w:jc w:val="center"/>
      </w:pPr>
      <w:r>
        <w:rPr>
          <w:u w:val="single"/>
        </w:rPr>
        <w:t>D</w:t>
      </w:r>
      <w:r w:rsidR="00EA25B6">
        <w:rPr>
          <w:u w:val="single"/>
        </w:rPr>
        <w:t>isposition</w:t>
      </w:r>
    </w:p>
    <w:p w:rsidR="00CE3B29" w:rsidRDefault="00CE3B29" w:rsidP="00CE3B29">
      <w:pPr>
        <w:spacing w:after="0" w:line="360" w:lineRule="auto"/>
      </w:pPr>
    </w:p>
    <w:p w:rsidR="00CE3B29" w:rsidRDefault="00EA25B6" w:rsidP="00CE3B29">
      <w:pPr>
        <w:spacing w:after="0" w:line="360" w:lineRule="auto"/>
        <w:rPr>
          <w:szCs w:val="24"/>
        </w:rPr>
      </w:pPr>
      <w:r w:rsidRPr="00FF6690">
        <w:tab/>
      </w:r>
      <w:r w:rsidRPr="00FF6690">
        <w:tab/>
        <w:t>As mention</w:t>
      </w:r>
      <w:r w:rsidR="00CE3B29">
        <w:t>ed</w:t>
      </w:r>
      <w:r w:rsidRPr="00FF6690">
        <w:t xml:space="preserve"> above, </w:t>
      </w:r>
      <w:r w:rsidRPr="00FF6690">
        <w:rPr>
          <w:szCs w:val="24"/>
        </w:rPr>
        <w:t>the Rider No. 18 issues present a certain level of complexity and are important to the parties.  Upon due consideration of the motion and answers an</w:t>
      </w:r>
      <w:r w:rsidR="00CE3B29">
        <w:rPr>
          <w:szCs w:val="24"/>
        </w:rPr>
        <w:t>d</w:t>
      </w:r>
      <w:r w:rsidRPr="00FF6690">
        <w:rPr>
          <w:szCs w:val="24"/>
        </w:rPr>
        <w:t xml:space="preserve"> in order to afford due process to all parties, </w:t>
      </w:r>
      <w:r>
        <w:rPr>
          <w:szCs w:val="24"/>
        </w:rPr>
        <w:t xml:space="preserve">in order </w:t>
      </w:r>
      <w:r w:rsidRPr="00FF6690">
        <w:rPr>
          <w:szCs w:val="24"/>
        </w:rPr>
        <w:t xml:space="preserve">to give a thorough treatment of the issues, and to </w:t>
      </w:r>
      <w:r w:rsidRPr="00FF6690">
        <w:rPr>
          <w:szCs w:val="24"/>
        </w:rPr>
        <w:lastRenderedPageBreak/>
        <w:t>provide sufficient time for the exceptions period, the reply exceptions period and Commission review, Duquesne Light’s Motion to Sever will be granted in the ordering paragraphs below</w:t>
      </w:r>
      <w:r>
        <w:rPr>
          <w:szCs w:val="24"/>
        </w:rPr>
        <w:t>.</w:t>
      </w:r>
    </w:p>
    <w:p w:rsidR="00EA25B6" w:rsidRPr="00FF6690" w:rsidRDefault="00EA25B6" w:rsidP="00CE3B29">
      <w:pPr>
        <w:spacing w:after="0" w:line="360" w:lineRule="auto"/>
        <w:rPr>
          <w:szCs w:val="24"/>
        </w:rPr>
      </w:pPr>
      <w:r>
        <w:rPr>
          <w:szCs w:val="24"/>
        </w:rPr>
        <w:t xml:space="preserve"> </w:t>
      </w:r>
      <w:r w:rsidRPr="00FF6690">
        <w:rPr>
          <w:szCs w:val="24"/>
        </w:rPr>
        <w:t xml:space="preserve"> </w:t>
      </w:r>
    </w:p>
    <w:p w:rsidR="00EA25B6" w:rsidRPr="00FF6690" w:rsidRDefault="00EA25B6" w:rsidP="00CE3B29">
      <w:pPr>
        <w:spacing w:after="0" w:line="360" w:lineRule="auto"/>
        <w:rPr>
          <w:szCs w:val="24"/>
        </w:rPr>
      </w:pPr>
      <w:r w:rsidRPr="00FF6690">
        <w:tab/>
      </w:r>
      <w:r w:rsidRPr="00FF6690">
        <w:tab/>
      </w:r>
      <w:r>
        <w:t xml:space="preserve">Further, I believe that there is a sufficient record upon which to base a recommended decision addressing the Rider No. 18 issues.  Therefore in the base rate </w:t>
      </w:r>
      <w:r w:rsidRPr="00FF6690">
        <w:rPr>
          <w:szCs w:val="24"/>
        </w:rPr>
        <w:t>recommend</w:t>
      </w:r>
      <w:r>
        <w:rPr>
          <w:szCs w:val="24"/>
        </w:rPr>
        <w:t xml:space="preserve">ed decision, I will recommend </w:t>
      </w:r>
      <w:r w:rsidRPr="00FF6690">
        <w:rPr>
          <w:szCs w:val="24"/>
        </w:rPr>
        <w:t>that the Commission hold the Rider No. 18 issues in abeyance for a separate recommended decision</w:t>
      </w:r>
      <w:r>
        <w:rPr>
          <w:szCs w:val="24"/>
        </w:rPr>
        <w:t xml:space="preserve"> based upon the existing record</w:t>
      </w:r>
      <w:r w:rsidRPr="00FF6690">
        <w:rPr>
          <w:szCs w:val="24"/>
        </w:rPr>
        <w:t xml:space="preserve">. </w:t>
      </w:r>
    </w:p>
    <w:p w:rsidR="00CE3B29" w:rsidRDefault="00EA25B6" w:rsidP="00CE3B29">
      <w:pPr>
        <w:spacing w:after="0" w:line="360" w:lineRule="auto"/>
      </w:pPr>
      <w:r>
        <w:tab/>
      </w:r>
      <w:r>
        <w:tab/>
      </w:r>
    </w:p>
    <w:p w:rsidR="00EA25B6" w:rsidRDefault="00EA25B6" w:rsidP="00CE3B29">
      <w:pPr>
        <w:spacing w:after="0" w:line="360" w:lineRule="auto"/>
        <w:ind w:firstLine="1440"/>
      </w:pPr>
      <w:r>
        <w:t>Lastly, the record will be reclosed in the ordering paragraph below.</w:t>
      </w:r>
    </w:p>
    <w:p w:rsidR="00EA25B6" w:rsidRDefault="00EA25B6" w:rsidP="00CE3B29">
      <w:pPr>
        <w:spacing w:after="0" w:line="360" w:lineRule="auto"/>
      </w:pPr>
    </w:p>
    <w:p w:rsidR="00EA25B6" w:rsidRPr="00FF6690" w:rsidRDefault="00EA25B6" w:rsidP="00CE3B29">
      <w:pPr>
        <w:spacing w:after="0" w:line="360" w:lineRule="auto"/>
        <w:rPr>
          <w:rFonts w:eastAsia="Times New Roman"/>
          <w:szCs w:val="24"/>
        </w:rPr>
      </w:pPr>
      <w:r w:rsidRPr="00FF6690">
        <w:tab/>
      </w:r>
      <w:r w:rsidR="00CE3B29">
        <w:tab/>
      </w:r>
      <w:r w:rsidRPr="00FF6690">
        <w:rPr>
          <w:rFonts w:eastAsia="Times New Roman"/>
          <w:szCs w:val="24"/>
        </w:rPr>
        <w:t>THEREFORE,</w:t>
      </w:r>
    </w:p>
    <w:p w:rsidR="00EA25B6" w:rsidRPr="00FF6690" w:rsidRDefault="00EA25B6" w:rsidP="00CE3B29">
      <w:pPr>
        <w:spacing w:after="0" w:line="360" w:lineRule="auto"/>
        <w:rPr>
          <w:rFonts w:eastAsia="Times New Roman"/>
          <w:szCs w:val="24"/>
        </w:rPr>
      </w:pPr>
    </w:p>
    <w:p w:rsidR="00EA25B6" w:rsidRPr="00FF6690" w:rsidRDefault="00EA25B6" w:rsidP="00CE3B29">
      <w:pPr>
        <w:spacing w:after="0" w:line="360" w:lineRule="auto"/>
        <w:rPr>
          <w:rFonts w:eastAsia="Times New Roman"/>
          <w:szCs w:val="24"/>
        </w:rPr>
      </w:pPr>
      <w:r w:rsidRPr="00FF6690">
        <w:rPr>
          <w:rFonts w:eastAsia="Times New Roman"/>
          <w:szCs w:val="24"/>
        </w:rPr>
        <w:tab/>
      </w:r>
      <w:r w:rsidR="00CE3B29">
        <w:rPr>
          <w:rFonts w:eastAsia="Times New Roman"/>
          <w:szCs w:val="24"/>
        </w:rPr>
        <w:tab/>
      </w:r>
      <w:r w:rsidRPr="00FF6690">
        <w:rPr>
          <w:rFonts w:eastAsia="Times New Roman"/>
          <w:szCs w:val="24"/>
        </w:rPr>
        <w:t>IT IS HEREBY ORD</w:t>
      </w:r>
      <w:r w:rsidR="00CE3B29">
        <w:rPr>
          <w:rFonts w:eastAsia="Times New Roman"/>
          <w:szCs w:val="24"/>
        </w:rPr>
        <w:t>E</w:t>
      </w:r>
      <w:r w:rsidRPr="00FF6690">
        <w:rPr>
          <w:rFonts w:eastAsia="Times New Roman"/>
          <w:szCs w:val="24"/>
        </w:rPr>
        <w:t>RED:</w:t>
      </w:r>
    </w:p>
    <w:p w:rsidR="00EA25B6" w:rsidRPr="00FF6690" w:rsidRDefault="00EA25B6" w:rsidP="00CE3B29">
      <w:pPr>
        <w:spacing w:after="0" w:line="360" w:lineRule="auto"/>
        <w:rPr>
          <w:rFonts w:eastAsia="Times New Roman"/>
          <w:szCs w:val="24"/>
        </w:rPr>
      </w:pPr>
    </w:p>
    <w:p w:rsidR="00CE3B29" w:rsidRPr="00FF6690" w:rsidRDefault="00CE3B29" w:rsidP="00CE3B29">
      <w:pPr>
        <w:spacing w:after="0" w:line="360" w:lineRule="auto"/>
        <w:ind w:firstLine="1440"/>
        <w:rPr>
          <w:rFonts w:eastAsia="Times New Roman"/>
          <w:szCs w:val="24"/>
        </w:rPr>
      </w:pPr>
      <w:r w:rsidRPr="00FF6690">
        <w:rPr>
          <w:rFonts w:eastAsia="Times New Roman"/>
          <w:color w:val="000000"/>
          <w:szCs w:val="24"/>
        </w:rPr>
        <w:t>1.</w:t>
      </w:r>
      <w:r w:rsidRPr="00FF6690">
        <w:rPr>
          <w:rFonts w:eastAsia="Times New Roman"/>
          <w:color w:val="000000"/>
          <w:szCs w:val="24"/>
        </w:rPr>
        <w:tab/>
      </w:r>
      <w:r w:rsidRPr="00FF6690">
        <w:rPr>
          <w:rFonts w:eastAsia="Times New Roman"/>
          <w:szCs w:val="24"/>
        </w:rPr>
        <w:t>That t</w:t>
      </w:r>
      <w:r w:rsidRPr="00FF6690">
        <w:t xml:space="preserve">he Motion of Duquesne Light Company to Sever From This Base Rate Proceeding the Rider No. 18 Portion of The Complaint Filed by NRG Power Midwest LP, NRG Energy Center Pittsburgh LLC and Reliant Energy Northeast LLC </w:t>
      </w:r>
      <w:r>
        <w:t xml:space="preserve">at Docket No. C-2013-2390562 from the base rate case at Docket No. R-2013-2372129 </w:t>
      </w:r>
      <w:r w:rsidRPr="00FF6690">
        <w:rPr>
          <w:rFonts w:eastAsia="Times New Roman"/>
          <w:szCs w:val="24"/>
        </w:rPr>
        <w:t>is granted.</w:t>
      </w:r>
    </w:p>
    <w:p w:rsidR="00CE3B29" w:rsidRPr="00FF6690" w:rsidRDefault="00CE3B29" w:rsidP="00CE3B29">
      <w:pPr>
        <w:spacing w:after="0" w:line="360" w:lineRule="auto"/>
        <w:ind w:firstLine="1440"/>
        <w:rPr>
          <w:rFonts w:eastAsia="Times New Roman"/>
          <w:szCs w:val="24"/>
        </w:rPr>
      </w:pPr>
    </w:p>
    <w:p w:rsidR="00CE3B29" w:rsidRPr="00FF6690" w:rsidRDefault="00CE3B29" w:rsidP="00CE3B29">
      <w:pPr>
        <w:spacing w:after="0" w:line="360" w:lineRule="auto"/>
        <w:ind w:firstLine="1440"/>
        <w:rPr>
          <w:rFonts w:eastAsia="Times New Roman"/>
          <w:szCs w:val="24"/>
        </w:rPr>
      </w:pPr>
      <w:r w:rsidRPr="00FF6690">
        <w:rPr>
          <w:rFonts w:eastAsia="Times New Roman"/>
          <w:szCs w:val="24"/>
        </w:rPr>
        <w:t>2.</w:t>
      </w:r>
      <w:r w:rsidRPr="00FF6690">
        <w:rPr>
          <w:rFonts w:eastAsia="Times New Roman"/>
          <w:szCs w:val="24"/>
        </w:rPr>
        <w:tab/>
        <w:t xml:space="preserve">That </w:t>
      </w:r>
      <w:r>
        <w:rPr>
          <w:rFonts w:eastAsia="Times New Roman"/>
          <w:szCs w:val="24"/>
        </w:rPr>
        <w:t xml:space="preserve">in the base rate recommended decision, the </w:t>
      </w:r>
      <w:r w:rsidRPr="00FF6690">
        <w:rPr>
          <w:rFonts w:eastAsia="Times New Roman"/>
          <w:szCs w:val="24"/>
        </w:rPr>
        <w:t xml:space="preserve">Rider No. 18 portion of the Complaint of </w:t>
      </w:r>
      <w:r w:rsidRPr="00FF6690">
        <w:t xml:space="preserve">NRG Power Midwest LP, NRG Energy Center Pittsburgh LLC and Reliant Energy Northeast LLC </w:t>
      </w:r>
      <w:r>
        <w:t>at Docket No. C-2013-</w:t>
      </w:r>
      <w:proofErr w:type="gramStart"/>
      <w:r>
        <w:t>2390562</w:t>
      </w:r>
      <w:r w:rsidR="00AB5A29">
        <w:t>,</w:t>
      </w:r>
      <w:proofErr w:type="gramEnd"/>
      <w:r>
        <w:t xml:space="preserve"> will be recommended to the Commission for resolution in a separate recommended decision</w:t>
      </w:r>
      <w:r w:rsidRPr="00FF6690">
        <w:t xml:space="preserve">. </w:t>
      </w:r>
    </w:p>
    <w:p w:rsidR="00CE3B29" w:rsidRPr="00FF6690" w:rsidRDefault="00CE3B29" w:rsidP="00CE3B29">
      <w:pPr>
        <w:spacing w:after="0" w:line="360" w:lineRule="auto"/>
        <w:ind w:firstLine="1440"/>
        <w:rPr>
          <w:rFonts w:eastAsia="Times New Roman"/>
          <w:color w:val="000000"/>
          <w:szCs w:val="24"/>
        </w:rPr>
      </w:pPr>
    </w:p>
    <w:p w:rsidR="00CE3B29" w:rsidRPr="00FF6690" w:rsidRDefault="00CE3B29" w:rsidP="00CE3B29">
      <w:pPr>
        <w:spacing w:after="0" w:line="360" w:lineRule="auto"/>
        <w:ind w:firstLine="1440"/>
        <w:rPr>
          <w:rFonts w:eastAsia="Times New Roman"/>
          <w:szCs w:val="24"/>
        </w:rPr>
      </w:pPr>
      <w:r>
        <w:rPr>
          <w:rFonts w:eastAsia="Times New Roman"/>
          <w:szCs w:val="24"/>
        </w:rPr>
        <w:t>3.</w:t>
      </w:r>
      <w:r>
        <w:rPr>
          <w:rFonts w:eastAsia="Times New Roman"/>
          <w:szCs w:val="24"/>
        </w:rPr>
        <w:tab/>
      </w:r>
      <w:r w:rsidRPr="00FF6690">
        <w:rPr>
          <w:rFonts w:eastAsia="Times New Roman"/>
          <w:szCs w:val="24"/>
        </w:rPr>
        <w:t xml:space="preserve">That </w:t>
      </w:r>
      <w:r>
        <w:rPr>
          <w:rFonts w:eastAsia="Times New Roman"/>
          <w:szCs w:val="24"/>
        </w:rPr>
        <w:t xml:space="preserve">in the base rate recommended decision it will be recommended to the Commission that there is a sufficient record to resolve in a separate recommended decision the </w:t>
      </w:r>
      <w:r w:rsidRPr="00FF6690">
        <w:rPr>
          <w:rFonts w:eastAsia="Times New Roman"/>
          <w:szCs w:val="24"/>
        </w:rPr>
        <w:t xml:space="preserve">Rider No. 18 portion of the Complaint of </w:t>
      </w:r>
      <w:r w:rsidRPr="00FF6690">
        <w:t xml:space="preserve">NRG Power Midwest LP, NRG Energy Center Pittsburgh LLC and Reliant Energy Northeast LLC </w:t>
      </w:r>
      <w:r>
        <w:t>at Docket No. C-2013-2390562</w:t>
      </w:r>
      <w:r w:rsidRPr="00FF6690">
        <w:t xml:space="preserve">. </w:t>
      </w:r>
    </w:p>
    <w:p w:rsidR="00CE3B29" w:rsidRDefault="00CE3B29" w:rsidP="00CE3B29">
      <w:pPr>
        <w:spacing w:after="0" w:line="360" w:lineRule="auto"/>
        <w:rPr>
          <w:rFonts w:eastAsia="Times New Roman"/>
          <w:szCs w:val="24"/>
        </w:rPr>
      </w:pPr>
    </w:p>
    <w:p w:rsidR="00CE3B29" w:rsidRPr="00CF3369" w:rsidRDefault="00CE3B29" w:rsidP="00CE3B29">
      <w:pPr>
        <w:autoSpaceDE w:val="0"/>
        <w:autoSpaceDN w:val="0"/>
        <w:spacing w:after="0" w:line="360" w:lineRule="auto"/>
        <w:ind w:left="1440"/>
        <w:rPr>
          <w:rFonts w:eastAsia="Times New Roman"/>
          <w:szCs w:val="24"/>
        </w:rPr>
      </w:pPr>
      <w:r>
        <w:rPr>
          <w:rFonts w:eastAsia="Times New Roman"/>
          <w:szCs w:val="24"/>
        </w:rPr>
        <w:t>4.</w:t>
      </w:r>
      <w:r>
        <w:rPr>
          <w:rFonts w:eastAsia="Times New Roman"/>
          <w:szCs w:val="24"/>
        </w:rPr>
        <w:tab/>
      </w:r>
      <w:r w:rsidRPr="00CF3369">
        <w:rPr>
          <w:rFonts w:eastAsia="Times New Roman"/>
          <w:szCs w:val="24"/>
        </w:rPr>
        <w:t xml:space="preserve">That the record at Docket No. </w:t>
      </w:r>
      <w:r w:rsidRPr="00CF3369">
        <w:rPr>
          <w:rFonts w:eastAsia="Times New Roman"/>
          <w:szCs w:val="20"/>
        </w:rPr>
        <w:t>R-2013-2372129</w:t>
      </w:r>
      <w:r w:rsidRPr="00CF3369">
        <w:rPr>
          <w:rFonts w:eastAsia="Times New Roman"/>
          <w:szCs w:val="24"/>
        </w:rPr>
        <w:t xml:space="preserve"> is closed.</w:t>
      </w:r>
    </w:p>
    <w:p w:rsidR="00CE3B29" w:rsidRPr="00CF3369" w:rsidRDefault="00CE3B29" w:rsidP="00CE3B29">
      <w:pPr>
        <w:spacing w:after="0" w:line="360" w:lineRule="auto"/>
        <w:ind w:left="1440"/>
        <w:rPr>
          <w:rFonts w:eastAsia="Times New Roman"/>
          <w:szCs w:val="24"/>
        </w:rPr>
      </w:pPr>
    </w:p>
    <w:p w:rsidR="00797D92" w:rsidRPr="00C60B29" w:rsidRDefault="00CE3B29" w:rsidP="00CE3B29">
      <w:pPr>
        <w:autoSpaceDE w:val="0"/>
        <w:autoSpaceDN w:val="0"/>
        <w:spacing w:after="0" w:line="360" w:lineRule="auto"/>
        <w:ind w:firstLine="1440"/>
        <w:rPr>
          <w:rFonts w:ascii="CG Times" w:eastAsia="Times New Roman" w:hAnsi="CG Times" w:cs="CG Times"/>
          <w:szCs w:val="24"/>
        </w:rPr>
      </w:pPr>
      <w:r>
        <w:rPr>
          <w:rFonts w:eastAsia="Times New Roman"/>
          <w:szCs w:val="24"/>
        </w:rPr>
        <w:lastRenderedPageBreak/>
        <w:t>5</w:t>
      </w:r>
      <w:r w:rsidR="00AB5A29">
        <w:rPr>
          <w:rFonts w:eastAsia="Times New Roman"/>
          <w:szCs w:val="24"/>
        </w:rPr>
        <w:t>.</w:t>
      </w:r>
      <w:r w:rsidR="00AB5A29">
        <w:rPr>
          <w:rFonts w:eastAsia="Times New Roman"/>
          <w:szCs w:val="24"/>
        </w:rPr>
        <w:tab/>
        <w:t>That a</w:t>
      </w:r>
      <w:r w:rsidRPr="00CF3369">
        <w:rPr>
          <w:rFonts w:eastAsia="Times New Roman"/>
          <w:szCs w:val="24"/>
        </w:rPr>
        <w:t xml:space="preserve"> Recommended Decision in th</w:t>
      </w:r>
      <w:r w:rsidR="00AB5A29">
        <w:rPr>
          <w:rFonts w:eastAsia="Times New Roman"/>
          <w:szCs w:val="24"/>
        </w:rPr>
        <w:t>e base rate</w:t>
      </w:r>
      <w:r w:rsidRPr="00CF3369">
        <w:rPr>
          <w:rFonts w:eastAsia="Times New Roman"/>
          <w:szCs w:val="24"/>
        </w:rPr>
        <w:t xml:space="preserve"> case shall be prepared and issued</w:t>
      </w:r>
      <w:r>
        <w:rPr>
          <w:rFonts w:eastAsia="Times New Roman"/>
          <w:szCs w:val="24"/>
        </w:rPr>
        <w:t>.</w:t>
      </w:r>
    </w:p>
    <w:p w:rsidR="00797D92" w:rsidRPr="00C60B29" w:rsidRDefault="00797D92" w:rsidP="00797D92">
      <w:pPr>
        <w:autoSpaceDE w:val="0"/>
        <w:autoSpaceDN w:val="0"/>
        <w:spacing w:after="0" w:line="240" w:lineRule="auto"/>
        <w:rPr>
          <w:rFonts w:ascii="CG Times" w:eastAsia="Times New Roman" w:hAnsi="CG Times" w:cs="CG Times"/>
          <w:szCs w:val="24"/>
        </w:rPr>
      </w:pPr>
      <w:r w:rsidRPr="00C60B29">
        <w:rPr>
          <w:rFonts w:ascii="CG Times" w:eastAsia="Times New Roman" w:hAnsi="CG Times" w:cs="CG Times"/>
          <w:noProof/>
          <w:szCs w:val="24"/>
        </w:rPr>
        <w:drawing>
          <wp:anchor distT="0" distB="0" distL="114300" distR="114300" simplePos="0" relativeHeight="251659264" behindDoc="1" locked="0" layoutInCell="1" allowOverlap="1" wp14:anchorId="654382DD" wp14:editId="6A0057F6">
            <wp:simplePos x="0" y="0"/>
            <wp:positionH relativeFrom="column">
              <wp:posOffset>2600325</wp:posOffset>
            </wp:positionH>
            <wp:positionV relativeFrom="paragraph">
              <wp:posOffset>78740</wp:posOffset>
            </wp:positionV>
            <wp:extent cx="2809875" cy="1123950"/>
            <wp:effectExtent l="0" t="0" r="9525"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D92" w:rsidRPr="00C60B29" w:rsidRDefault="00797D92" w:rsidP="00797D92">
      <w:pPr>
        <w:autoSpaceDE w:val="0"/>
        <w:autoSpaceDN w:val="0"/>
        <w:spacing w:after="0" w:line="240" w:lineRule="auto"/>
        <w:rPr>
          <w:rFonts w:ascii="CG Times" w:eastAsia="Times New Roman" w:hAnsi="CG Times" w:cs="CG Times"/>
          <w:szCs w:val="24"/>
        </w:rPr>
      </w:pPr>
    </w:p>
    <w:p w:rsidR="00CE3B29" w:rsidRDefault="00CE3B29" w:rsidP="00797D92">
      <w:pPr>
        <w:autoSpaceDE w:val="0"/>
        <w:autoSpaceDN w:val="0"/>
        <w:spacing w:after="0" w:line="240" w:lineRule="auto"/>
        <w:rPr>
          <w:rFonts w:ascii="CG Times" w:eastAsia="Times New Roman" w:hAnsi="CG Times" w:cs="CG Times"/>
          <w:szCs w:val="24"/>
        </w:rPr>
      </w:pPr>
      <w:bookmarkStart w:id="0" w:name="_GoBack"/>
      <w:bookmarkEnd w:id="0"/>
    </w:p>
    <w:p w:rsidR="00797D92" w:rsidRPr="00C60B29" w:rsidRDefault="00797D92" w:rsidP="00797D92">
      <w:pPr>
        <w:autoSpaceDE w:val="0"/>
        <w:autoSpaceDN w:val="0"/>
        <w:spacing w:after="0" w:line="240" w:lineRule="auto"/>
        <w:rPr>
          <w:rFonts w:ascii="CG Times" w:eastAsia="Times New Roman" w:hAnsi="CG Times" w:cs="CG Times"/>
          <w:szCs w:val="24"/>
          <w:u w:val="single"/>
        </w:rPr>
      </w:pPr>
      <w:r w:rsidRPr="00C60B29">
        <w:rPr>
          <w:rFonts w:ascii="CG Times" w:eastAsia="Times New Roman" w:hAnsi="CG Times" w:cs="CG Times"/>
          <w:szCs w:val="24"/>
        </w:rPr>
        <w:t xml:space="preserve">Date:  </w:t>
      </w:r>
      <w:r>
        <w:rPr>
          <w:rFonts w:ascii="CG Times" w:eastAsia="Times New Roman" w:hAnsi="CG Times" w:cs="CG Times"/>
          <w:szCs w:val="24"/>
          <w:u w:val="single"/>
        </w:rPr>
        <w:t>March 27</w:t>
      </w:r>
      <w:r w:rsidRPr="00C60B29">
        <w:rPr>
          <w:rFonts w:ascii="CG Times" w:eastAsia="Times New Roman" w:hAnsi="CG Times" w:cs="CG Times"/>
          <w:szCs w:val="24"/>
          <w:u w:val="single"/>
        </w:rPr>
        <w:t>, 201</w:t>
      </w:r>
      <w:r>
        <w:rPr>
          <w:rFonts w:ascii="CG Times" w:eastAsia="Times New Roman" w:hAnsi="CG Times" w:cs="CG Times"/>
          <w:szCs w:val="24"/>
          <w:u w:val="single"/>
        </w:rPr>
        <w:t>4</w:t>
      </w:r>
    </w:p>
    <w:p w:rsidR="00797D92" w:rsidRDefault="00797D92" w:rsidP="00797D92"/>
    <w:p w:rsidR="00797D92" w:rsidRPr="00543F1E" w:rsidRDefault="00797D92" w:rsidP="00797D92">
      <w:pPr>
        <w:spacing w:after="0" w:line="240" w:lineRule="auto"/>
        <w:rPr>
          <w:rFonts w:ascii="Microsoft Sans Serif" w:eastAsia="Times New Roman" w:hAnsi="Calibri"/>
          <w:b/>
          <w:szCs w:val="20"/>
          <w:u w:val="single"/>
        </w:rPr>
      </w:pPr>
      <w:r w:rsidRPr="00543F1E">
        <w:rPr>
          <w:rFonts w:ascii="Microsoft Sans Serif" w:eastAsia="Times New Roman" w:hAnsi="Calibri"/>
          <w:b/>
          <w:szCs w:val="20"/>
          <w:u w:val="single"/>
        </w:rPr>
        <w:br w:type="page"/>
      </w:r>
    </w:p>
    <w:p w:rsidR="00797D92" w:rsidRPr="00543F1E" w:rsidRDefault="00797D92" w:rsidP="00797D92">
      <w:pPr>
        <w:spacing w:after="0" w:line="240" w:lineRule="auto"/>
        <w:rPr>
          <w:rFonts w:eastAsia="Times New Roman"/>
          <w:b/>
          <w:szCs w:val="24"/>
        </w:rPr>
        <w:sectPr w:rsidR="00797D92" w:rsidRPr="00543F1E" w:rsidSect="00543F1E">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pPr>
    </w:p>
    <w:p w:rsidR="00797D92" w:rsidRPr="00543F1E" w:rsidRDefault="00797D92" w:rsidP="00797D92">
      <w:pPr>
        <w:spacing w:after="0" w:line="240" w:lineRule="auto"/>
        <w:rPr>
          <w:rFonts w:ascii="Microsoft Sans Serif" w:eastAsia="Times New Roman" w:hAnsi="Calibri"/>
          <w:b/>
          <w:szCs w:val="20"/>
          <w:u w:val="single"/>
        </w:rPr>
      </w:pPr>
      <w:r w:rsidRPr="00543F1E">
        <w:rPr>
          <w:rFonts w:ascii="Microsoft Sans Serif" w:eastAsia="Times New Roman" w:hAnsi="Calibri"/>
          <w:b/>
          <w:szCs w:val="20"/>
          <w:u w:val="single"/>
        </w:rPr>
        <w:lastRenderedPageBreak/>
        <w:t xml:space="preserve">R-2013-2372129 </w:t>
      </w:r>
      <w:r w:rsidRPr="00543F1E">
        <w:rPr>
          <w:rFonts w:ascii="Microsoft Sans Serif" w:eastAsia="Times New Roman" w:hAnsi="Calibri"/>
          <w:b/>
          <w:szCs w:val="20"/>
          <w:u w:val="single"/>
        </w:rPr>
        <w:t>–</w:t>
      </w:r>
      <w:r w:rsidRPr="00543F1E">
        <w:rPr>
          <w:rFonts w:ascii="Microsoft Sans Serif" w:eastAsia="Times New Roman" w:hAnsi="Calibri"/>
          <w:b/>
          <w:szCs w:val="20"/>
          <w:u w:val="single"/>
        </w:rPr>
        <w:t xml:space="preserve"> PA PUBLIC UTILITY COMMISSION, ET AL. v. DUQUESNE LIGHT COMPANY</w:t>
      </w:r>
    </w:p>
    <w:p w:rsidR="00797D92" w:rsidRPr="00543F1E" w:rsidRDefault="00797D92" w:rsidP="00797D92">
      <w:pPr>
        <w:spacing w:after="0" w:line="240" w:lineRule="auto"/>
        <w:rPr>
          <w:rFonts w:ascii="Microsoft Sans Serif" w:eastAsia="Times New Roman" w:hAnsi="Calibri"/>
          <w:b/>
          <w:szCs w:val="20"/>
          <w:u w:val="single"/>
        </w:rPr>
      </w:pP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 xml:space="preserve">FULL SERVICE LIST </w:t>
      </w:r>
      <w:r w:rsidRPr="00543F1E">
        <w:rPr>
          <w:rFonts w:ascii="Microsoft Sans Serif" w:eastAsia="Times New Roman" w:hAnsi="Calibri"/>
          <w:i/>
          <w:szCs w:val="20"/>
        </w:rPr>
        <w:t>–</w:t>
      </w:r>
      <w:r w:rsidRPr="00543F1E">
        <w:rPr>
          <w:rFonts w:ascii="Microsoft Sans Serif" w:eastAsia="Times New Roman" w:hAnsi="Calibri"/>
          <w:i/>
          <w:szCs w:val="20"/>
        </w:rPr>
        <w:t xml:space="preserve"> Revised 1/23/14</w:t>
      </w:r>
    </w:p>
    <w:p w:rsidR="00797D92" w:rsidRPr="00543F1E" w:rsidRDefault="00797D92" w:rsidP="00797D92">
      <w:pPr>
        <w:spacing w:after="0" w:line="240" w:lineRule="auto"/>
        <w:rPr>
          <w:rFonts w:ascii="Microsoft Sans Serif" w:eastAsia="Times New Roman" w:hAnsi="Calibri"/>
          <w:b/>
          <w:szCs w:val="20"/>
          <w:u w:val="single"/>
        </w:rPr>
        <w:sectPr w:rsidR="00797D92" w:rsidRPr="00543F1E" w:rsidSect="00057730">
          <w:footerReference w:type="first" r:id="rId13"/>
          <w:pgSz w:w="12240" w:h="15840"/>
          <w:pgMar w:top="720" w:right="720" w:bottom="720" w:left="720" w:header="720" w:footer="720" w:gutter="0"/>
          <w:pgNumType w:fmt="lowerRoman" w:start="1"/>
          <w:cols w:space="720"/>
          <w:titlePg/>
          <w:docGrid w:linePitch="360"/>
        </w:sectPr>
      </w:pPr>
      <w:r w:rsidRPr="00543F1E">
        <w:rPr>
          <w:rFonts w:ascii="Microsoft Sans Serif" w:eastAsia="Times New Roman" w:hAnsi="Calibri"/>
          <w:b/>
          <w:szCs w:val="20"/>
          <w:u w:val="single"/>
        </w:rPr>
        <w:cr/>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lastRenderedPageBreak/>
        <w:t>MICHAEL W GANG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ANTHONY D KANAGY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POST &amp; SCHELL PC</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17 NORTH SECOND STREET</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12TH FLOOR</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17101-1601</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717-731-1970</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Duquesne Light Company</w:t>
      </w:r>
    </w:p>
    <w:p w:rsidR="00797D92" w:rsidRPr="00543F1E" w:rsidRDefault="00797D92" w:rsidP="00797D92">
      <w:pPr>
        <w:spacing w:after="0" w:line="240" w:lineRule="auto"/>
        <w:rPr>
          <w:rFonts w:ascii="Microsoft Sans Serif" w:eastAsia="Times New Roman" w:hAnsi="Calibri"/>
          <w: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ROBERT H HOAGLUND II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DUQUESNE LIGHT COMPANY</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411 SEVENTH AVENUE 16TH FLOOR</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PITTSBURGH PA  15219</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412-393-1058</w:t>
      </w:r>
    </w:p>
    <w:p w:rsidR="00797D92" w:rsidRPr="00543F1E" w:rsidRDefault="00797D92" w:rsidP="00797D92">
      <w:pPr>
        <w:spacing w:after="0" w:line="240" w:lineRule="auto"/>
        <w:rPr>
          <w:rFonts w:ascii="Microsoft Sans Serif" w:eastAsia="Times New Roman" w:hAnsi="Calibr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TISHEKIA E WILLIAMS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DUQUESNE LIGHT COMPANY</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411 SEVENTH AVENUE 16TH FLOOR</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PITTSBURGH PA  15219</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412-393-1541</w:t>
      </w:r>
    </w:p>
    <w:p w:rsidR="00797D92" w:rsidRPr="00543F1E" w:rsidRDefault="00797D92" w:rsidP="00797D92">
      <w:pPr>
        <w:spacing w:after="0" w:line="240" w:lineRule="auto"/>
        <w:rPr>
          <w:rFonts w:ascii="Microsoft Sans Serif" w:eastAsia="Times New Roman" w:hAnsi="Calibr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CANDIS A TUNILO ESQUIRE</w:t>
      </w:r>
      <w:r w:rsidRPr="00543F1E">
        <w:rPr>
          <w:rFonts w:ascii="Microsoft Sans Serif" w:eastAsia="Times New Roman" w:hAnsi="Calibri"/>
          <w:szCs w:val="20"/>
        </w:rPr>
        <w:cr/>
        <w:t>DAVID T EVRARD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AMY E HIRAKIS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OFFICE OF CONSUMER ADVOCATE</w:t>
      </w:r>
      <w:r w:rsidRPr="00543F1E">
        <w:rPr>
          <w:rFonts w:ascii="Microsoft Sans Serif" w:eastAsia="Times New Roman" w:hAnsi="Calibri"/>
          <w:szCs w:val="20"/>
        </w:rPr>
        <w:cr/>
        <w:t>555 WALNUT STREET</w:t>
      </w:r>
      <w:r w:rsidRPr="00543F1E">
        <w:rPr>
          <w:rFonts w:ascii="Microsoft Sans Serif" w:eastAsia="Times New Roman" w:hAnsi="Calibri"/>
          <w:szCs w:val="20"/>
        </w:rPr>
        <w:cr/>
        <w:t xml:space="preserve">FORUM PLACE 5TH FLOOR </w:t>
      </w:r>
      <w:r w:rsidRPr="00543F1E">
        <w:rPr>
          <w:rFonts w:ascii="Microsoft Sans Serif" w:eastAsia="Times New Roman" w:hAnsi="Calibri"/>
          <w:szCs w:val="20"/>
        </w:rPr>
        <w:cr/>
        <w:t>HARRISBURG PA  17101-1923</w:t>
      </w:r>
      <w:r w:rsidRPr="00543F1E">
        <w:rPr>
          <w:rFonts w:ascii="Microsoft Sans Serif" w:eastAsia="Times New Roman" w:hAnsi="Calibri"/>
          <w:szCs w:val="20"/>
        </w:rPr>
        <w:cr/>
      </w:r>
      <w:r w:rsidRPr="00543F1E">
        <w:rPr>
          <w:rFonts w:ascii="Microsoft Sans Serif" w:eastAsia="Times New Roman" w:hAnsi="Calibri"/>
          <w:b/>
          <w:szCs w:val="20"/>
        </w:rPr>
        <w:t>717-783-5048</w:t>
      </w:r>
      <w:r w:rsidRPr="00543F1E">
        <w:rPr>
          <w:rFonts w:ascii="Microsoft Sans Serif" w:eastAsia="Times New Roman" w:hAnsi="Calibri"/>
          <w:szCs w:val="20"/>
        </w:rPr>
        <w:cr/>
      </w:r>
      <w:r w:rsidRPr="00543F1E">
        <w:rPr>
          <w:rFonts w:ascii="Microsoft Sans Serif" w:eastAsia="Times New Roman" w:hAnsi="Microsoft Sans Serif" w:cs="Microsoft Sans Serif"/>
          <w:b/>
          <w:szCs w:val="24"/>
        </w:rPr>
        <w:t>C-2013-2379084</w:t>
      </w:r>
    </w:p>
    <w:p w:rsidR="00797D92" w:rsidRPr="00543F1E" w:rsidRDefault="00797D92" w:rsidP="00797D92">
      <w:pPr>
        <w:spacing w:after="0" w:line="240" w:lineRule="auto"/>
        <w:rPr>
          <w:rFonts w:ascii="Microsoft Sans Serif" w:eastAsia="Times New Roman" w:hAnsi="Calibri"/>
          <w:b/>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SHARON E WEBB ESQUIRE</w:t>
      </w:r>
      <w:r w:rsidRPr="00543F1E">
        <w:rPr>
          <w:rFonts w:ascii="Microsoft Sans Serif" w:eastAsia="Times New Roman" w:hAnsi="Calibri"/>
          <w:szCs w:val="20"/>
        </w:rPr>
        <w:cr/>
        <w:t>OFFICE OF SMALL BUSINESS ADVOCATE</w:t>
      </w:r>
      <w:r w:rsidRPr="00543F1E">
        <w:rPr>
          <w:rFonts w:ascii="Microsoft Sans Serif" w:eastAsia="Times New Roman" w:hAnsi="Calibri"/>
          <w:szCs w:val="20"/>
        </w:rPr>
        <w:cr/>
        <w:t>SUITE 1102</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 xml:space="preserve">300 NORTH SECOND STREET </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w:t>
      </w:r>
      <w:r w:rsidRPr="00543F1E">
        <w:rPr>
          <w:rFonts w:ascii="Microsoft Sans Serif" w:eastAsia="Times New Roman" w:hAnsi="Calibri"/>
          <w:szCs w:val="20"/>
        </w:rPr>
        <w:cr/>
      </w:r>
      <w:r w:rsidRPr="00543F1E">
        <w:rPr>
          <w:rFonts w:ascii="Microsoft Sans Serif" w:eastAsia="Times New Roman" w:hAnsi="Calibri"/>
          <w:b/>
          <w:szCs w:val="20"/>
        </w:rPr>
        <w:t>717-783-2525</w:t>
      </w:r>
      <w:r w:rsidRPr="00543F1E">
        <w:rPr>
          <w:rFonts w:ascii="Microsoft Sans Serif" w:eastAsia="Times New Roman" w:hAnsi="Calibri"/>
          <w:szCs w:val="20"/>
        </w:rPr>
        <w:cr/>
      </w:r>
      <w:r w:rsidRPr="00543F1E">
        <w:rPr>
          <w:rFonts w:ascii="Microsoft Sans Serif" w:eastAsia="Times New Roman" w:hAnsi="Calibri"/>
          <w:b/>
          <w:szCs w:val="20"/>
        </w:rPr>
        <w:t>C-2013-2380474</w:t>
      </w:r>
    </w:p>
    <w:p w:rsidR="00797D92" w:rsidRPr="00543F1E" w:rsidRDefault="00797D92" w:rsidP="00797D92">
      <w:pPr>
        <w:spacing w:after="0" w:line="240" w:lineRule="auto"/>
        <w:rPr>
          <w:rFonts w:ascii="Microsoft Sans Serif" w:eastAsia="Times New Roman" w:hAnsi="Calibr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CHARLES DANIEL SHIELDS ESQUIRE</w:t>
      </w:r>
      <w:r w:rsidRPr="00543F1E">
        <w:rPr>
          <w:rFonts w:ascii="Microsoft Sans Serif" w:eastAsia="Times New Roman" w:hAnsi="Calibri"/>
          <w:szCs w:val="20"/>
        </w:rPr>
        <w:cr/>
        <w:t xml:space="preserve">PA PUBLIC UTILITY COMMISSION </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BIE LEGAL TECHNICAL</w:t>
      </w:r>
      <w:r w:rsidRPr="00543F1E">
        <w:rPr>
          <w:rFonts w:ascii="Microsoft Sans Serif" w:eastAsia="Times New Roman" w:hAnsi="Calibri"/>
          <w:szCs w:val="20"/>
        </w:rPr>
        <w:cr/>
        <w:t>PO BOX 3265</w:t>
      </w:r>
      <w:r w:rsidRPr="00543F1E">
        <w:rPr>
          <w:rFonts w:ascii="Microsoft Sans Serif" w:eastAsia="Times New Roman" w:hAnsi="Calibri"/>
          <w:szCs w:val="20"/>
        </w:rPr>
        <w:cr/>
        <w:t>HARRISBURG PA  17105-3265</w:t>
      </w:r>
    </w:p>
    <w:p w:rsidR="00797D92" w:rsidRPr="00543F1E" w:rsidRDefault="00797D92" w:rsidP="00797D92">
      <w:pPr>
        <w:spacing w:after="0" w:line="240" w:lineRule="auto"/>
        <w:rPr>
          <w:rFonts w:ascii="Microsoft Sans Serif" w:eastAsia="Times New Roman" w:hAnsi="Calibri"/>
          <w:b/>
          <w:i/>
          <w:szCs w:val="20"/>
          <w:u w:val="single"/>
        </w:rPr>
      </w:pPr>
      <w:r w:rsidRPr="00543F1E">
        <w:rPr>
          <w:rFonts w:ascii="Microsoft Sans Serif" w:eastAsia="Times New Roman" w:hAnsi="Calibri"/>
          <w:b/>
          <w:szCs w:val="20"/>
        </w:rPr>
        <w:t>717-783-6151</w:t>
      </w:r>
      <w:r w:rsidRPr="00543F1E">
        <w:rPr>
          <w:rFonts w:ascii="Microsoft Sans Serif" w:eastAsia="Times New Roman" w:hAnsi="Calibri"/>
          <w:szCs w:val="20"/>
        </w:rPr>
        <w:cr/>
      </w:r>
      <w:r w:rsidRPr="00543F1E">
        <w:rPr>
          <w:rFonts w:ascii="Microsoft Sans Serif" w:eastAsia="Times New Roman" w:hAnsi="Calibri"/>
          <w:b/>
          <w:i/>
          <w:szCs w:val="20"/>
          <w:u w:val="single"/>
        </w:rPr>
        <w:t xml:space="preserve">             </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br w:type="column"/>
      </w:r>
      <w:r w:rsidRPr="00543F1E">
        <w:rPr>
          <w:rFonts w:ascii="Microsoft Sans Serif" w:eastAsia="Times New Roman" w:hAnsi="Calibri"/>
          <w:szCs w:val="20"/>
        </w:rPr>
        <w:lastRenderedPageBreak/>
        <w:t>THEODORE S ROBINSON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CITIZEN POWER</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2121 MURRAY AVENUE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PITTSBURGH PA  15217</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412-421-7029</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Citizen Power, Inc.</w:t>
      </w:r>
    </w:p>
    <w:p w:rsidR="00797D92" w:rsidRPr="00543F1E" w:rsidRDefault="00797D92" w:rsidP="00797D92">
      <w:pPr>
        <w:spacing w:after="0" w:line="240" w:lineRule="auto"/>
        <w:rPr>
          <w:rFonts w:ascii="Microsoft Sans Serif" w:eastAsia="Times New Roman" w:hAnsi="Calibr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DERRICK PRICE WILLIAMSON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BARRY A NAUM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SPILMAN THOMAS &amp; BATTLE PLLC</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1100 BENT CREEK BOULEVARD</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SUITE 101</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MECHANICSBURG PA  17050</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717-795-2742</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United States Steel Corporation</w:t>
      </w:r>
    </w:p>
    <w:p w:rsidR="00797D92" w:rsidRPr="00543F1E" w:rsidRDefault="00797D92" w:rsidP="00797D92">
      <w:pPr>
        <w:spacing w:after="0" w:line="240" w:lineRule="auto"/>
        <w:rPr>
          <w:rFonts w:ascii="Microsoft Sans Serif" w:eastAsia="Times New Roman" w:hAnsi="Calibr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SCOTT J RUBIN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333 OAK LANE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BLOOMSBURG PA  17815-2036</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570-387-1893</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IBEW Local 29</w:t>
      </w:r>
    </w:p>
    <w:p w:rsidR="00797D92" w:rsidRPr="00543F1E" w:rsidRDefault="00797D92" w:rsidP="00797D92">
      <w:pPr>
        <w:spacing w:after="0" w:line="240" w:lineRule="auto"/>
        <w:rPr>
          <w:rFonts w:ascii="Microsoft Sans Serif" w:eastAsia="Times New Roman" w:hAnsi="Calibr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HARRY S GELLER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PATRICK M CICERO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PENNSYLVANIA UTILITY LAW PROJECT</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118 LOCUST STREET</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717-236-9486</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CAUSE-PA</w:t>
      </w:r>
    </w:p>
    <w:p w:rsidR="00797D92" w:rsidRPr="00543F1E" w:rsidRDefault="00797D92" w:rsidP="00797D92">
      <w:pPr>
        <w:spacing w:after="0" w:line="240" w:lineRule="auto"/>
        <w:rPr>
          <w:rFonts w:ascii="Microsoft Sans Serif" w:eastAsia="Times New Roman" w:hAnsi="Calibri"/>
          <w:i/>
          <w:szCs w:val="20"/>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JOSEPH L VULLO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1460 WYOMING AVENUE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FORTY FORT PA  18704</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570-288-6441</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CAAP</w:t>
      </w:r>
    </w:p>
    <w:p w:rsidR="00797D92" w:rsidRPr="00543F1E" w:rsidRDefault="00797D92" w:rsidP="00797D92">
      <w:pPr>
        <w:spacing w:after="0" w:line="240" w:lineRule="auto"/>
        <w:rPr>
          <w:rFonts w:ascii="Microsoft Sans Serif" w:eastAsia="Times New Roman" w:hAnsi="Calibri"/>
          <w:i/>
          <w:szCs w:val="20"/>
        </w:rPr>
      </w:pP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PAMELA C POLACEK ESQUIRE</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teresa k schmittberger esquire</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MCNEES WALLACE &amp; NURICK LLC</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100 PINE STREET</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PO BOX 1166</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HARRISBURG PA  17108-1166</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717-232-8000</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Duquesne Industrial Intervenors</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C-2013-2385292</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sectPr w:rsidR="00797D92" w:rsidRPr="00543F1E" w:rsidSect="00057730">
          <w:type w:val="continuous"/>
          <w:pgSz w:w="12240" w:h="15840"/>
          <w:pgMar w:top="720" w:right="720" w:bottom="720" w:left="720" w:header="720" w:footer="720" w:gutter="0"/>
          <w:cols w:num="2" w:space="720"/>
          <w:docGrid w:linePitch="360"/>
        </w:sectPr>
      </w:pP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lastRenderedPageBreak/>
        <w:t>TODD S STEWART Esquire</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Hawke McKeon &amp; Sniscak LLP</w:t>
      </w:r>
    </w:p>
    <w:p w:rsidR="00797D92" w:rsidRPr="00543F1E" w:rsidRDefault="00797D92" w:rsidP="00797D92">
      <w:pPr>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PO BOX 1778</w:t>
      </w:r>
    </w:p>
    <w:p w:rsidR="00797D92" w:rsidRPr="00543F1E" w:rsidRDefault="00797D92" w:rsidP="00797D92">
      <w:pPr>
        <w:tabs>
          <w:tab w:val="left" w:pos="360"/>
        </w:tabs>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100 North Tenth Street</w:t>
      </w:r>
    </w:p>
    <w:p w:rsidR="00797D92" w:rsidRPr="00543F1E" w:rsidRDefault="00797D92" w:rsidP="00797D92">
      <w:pPr>
        <w:spacing w:after="0" w:line="240" w:lineRule="auto"/>
        <w:rPr>
          <w:rFonts w:ascii="Microsoft Sans Serif" w:eastAsia="Times New Roman" w:hAnsi="Microsoft Sans Serif" w:cs="Microsoft Sans Serif"/>
          <w:caps/>
          <w:szCs w:val="24"/>
        </w:rPr>
      </w:pPr>
      <w:r w:rsidRPr="00543F1E">
        <w:rPr>
          <w:rFonts w:ascii="Microsoft Sans Serif" w:eastAsia="Times New Roman" w:hAnsi="Microsoft Sans Serif" w:cs="Microsoft Sans Serif"/>
          <w:caps/>
          <w:szCs w:val="24"/>
        </w:rPr>
        <w:t>Harrisburg PA  17105-1778</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Interstate Gas Supply, Inc.</w:t>
      </w:r>
    </w:p>
    <w:p w:rsidR="00797D92" w:rsidRPr="00543F1E" w:rsidRDefault="00797D92" w:rsidP="00797D92">
      <w:pPr>
        <w:spacing w:after="0" w:line="240" w:lineRule="auto"/>
        <w:rPr>
          <w:rFonts w:ascii="Microsoft Sans Serif" w:eastAsia="Times New Roman" w:hAnsi="Microsoft Sans Serif" w:cs="Microsoft Sans Serif"/>
          <w:caps/>
          <w:szCs w:val="24"/>
        </w:rPr>
      </w:pP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DAVID P ZAMBITO ESQUIRE</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COZEN OCONNOR</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305 NORTH FRONT STREET</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SUITE 400</w:t>
      </w:r>
    </w:p>
    <w:p w:rsidR="00797D92" w:rsidRPr="00543F1E" w:rsidRDefault="00797D92" w:rsidP="00797D92">
      <w:pPr>
        <w:spacing w:after="0" w:line="240" w:lineRule="auto"/>
        <w:rPr>
          <w:rFonts w:ascii="Microsoft Sans Serif" w:eastAsia="Times New Roman" w:hAnsi="Calibri"/>
          <w:szCs w:val="20"/>
        </w:rPr>
      </w:pPr>
      <w:r w:rsidRPr="00543F1E">
        <w:rPr>
          <w:rFonts w:ascii="Microsoft Sans Serif" w:eastAsia="Times New Roman" w:hAnsi="Calibri"/>
          <w:szCs w:val="20"/>
        </w:rPr>
        <w:t>HARRISBURG PA  17101</w:t>
      </w:r>
    </w:p>
    <w:p w:rsidR="00797D92" w:rsidRPr="00543F1E" w:rsidRDefault="00797D92" w:rsidP="00797D92">
      <w:pPr>
        <w:spacing w:after="0" w:line="240" w:lineRule="auto"/>
        <w:rPr>
          <w:rFonts w:ascii="Microsoft Sans Serif" w:eastAsia="Times New Roman" w:hAnsi="Calibri"/>
          <w:b/>
          <w:szCs w:val="20"/>
        </w:rPr>
      </w:pPr>
      <w:r w:rsidRPr="00543F1E">
        <w:rPr>
          <w:rFonts w:ascii="Microsoft Sans Serif" w:eastAsia="Times New Roman" w:hAnsi="Calibri"/>
          <w:b/>
          <w:szCs w:val="20"/>
        </w:rPr>
        <w:t>717-703-5900</w:t>
      </w:r>
    </w:p>
    <w:p w:rsidR="00797D92" w:rsidRPr="00543F1E" w:rsidRDefault="00797D92" w:rsidP="00797D92">
      <w:pPr>
        <w:spacing w:after="0" w:line="240" w:lineRule="auto"/>
        <w:rPr>
          <w:rFonts w:ascii="Microsoft Sans Serif" w:eastAsia="Times New Roman" w:hAnsi="Calibri"/>
          <w:i/>
          <w:szCs w:val="20"/>
        </w:rPr>
      </w:pPr>
      <w:r w:rsidRPr="00543F1E">
        <w:rPr>
          <w:rFonts w:ascii="Microsoft Sans Serif" w:eastAsia="Times New Roman" w:hAnsi="Calibri"/>
          <w:i/>
          <w:szCs w:val="20"/>
        </w:rPr>
        <w:t>Representing NRG Power Midwest LP, NRG Energy Center Pittsburgh LLC and Reliant Energy Northeast LLC</w:t>
      </w:r>
    </w:p>
    <w:p w:rsidR="00797D92" w:rsidRPr="00543F1E" w:rsidRDefault="00797D92" w:rsidP="00797D92">
      <w:pPr>
        <w:spacing w:after="0" w:line="240" w:lineRule="auto"/>
        <w:rPr>
          <w:rFonts w:ascii="Microsoft Sans Serif" w:eastAsia="Times New Roman" w:hAnsi="Microsoft Sans Serif" w:cs="Microsoft Sans Serif"/>
          <w:b/>
          <w:szCs w:val="24"/>
        </w:rPr>
      </w:pPr>
      <w:r w:rsidRPr="00543F1E">
        <w:rPr>
          <w:rFonts w:ascii="Microsoft Sans Serif" w:eastAsia="Times New Roman" w:hAnsi="Calibri"/>
          <w:b/>
          <w:szCs w:val="20"/>
        </w:rPr>
        <w:t>C-2013-</w:t>
      </w:r>
      <w:r w:rsidRPr="00543F1E">
        <w:rPr>
          <w:rFonts w:ascii="Microsoft Sans Serif" w:eastAsia="Times New Roman" w:hAnsi="Microsoft Sans Serif" w:cs="Microsoft Sans Serif"/>
          <w:b/>
          <w:szCs w:val="20"/>
        </w:rPr>
        <w:t xml:space="preserve"> </w:t>
      </w:r>
      <w:r w:rsidRPr="00543F1E">
        <w:rPr>
          <w:rFonts w:ascii="Microsoft Sans Serif" w:eastAsia="Times New Roman" w:hAnsi="Microsoft Sans Serif" w:cs="Microsoft Sans Serif"/>
          <w:b/>
          <w:szCs w:val="24"/>
        </w:rPr>
        <w:t>2390562</w:t>
      </w:r>
    </w:p>
    <w:p w:rsidR="00797D92" w:rsidRPr="00543F1E" w:rsidRDefault="00797D92" w:rsidP="00797D92">
      <w:pPr>
        <w:spacing w:after="0" w:line="240" w:lineRule="auto"/>
        <w:rPr>
          <w:rFonts w:ascii="Microsoft Sans Serif" w:eastAsia="Times New Roman" w:hAnsi="Microsoft Sans Serif" w:cs="Microsoft Sans Serif"/>
          <w:b/>
          <w:szCs w:val="24"/>
        </w:rPr>
      </w:pPr>
    </w:p>
    <w:p w:rsidR="00797D92" w:rsidRPr="00543F1E" w:rsidRDefault="00797D92" w:rsidP="00797D92">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GEORGE JUGOVIC JR ESQUIRE</w:t>
      </w:r>
    </w:p>
    <w:p w:rsidR="00797D92" w:rsidRPr="00543F1E" w:rsidRDefault="00797D92" w:rsidP="00797D92">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HEATHER LANGELAND ESQUIRE</w:t>
      </w:r>
    </w:p>
    <w:p w:rsidR="00797D92" w:rsidRPr="00543F1E" w:rsidRDefault="00797D92" w:rsidP="00797D92">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CITIZENS FOR PENNSYLVANIA’S FUTURE</w:t>
      </w:r>
    </w:p>
    <w:p w:rsidR="00797D92" w:rsidRPr="00543F1E" w:rsidRDefault="00797D92" w:rsidP="00797D92">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200 FIRST AVENUE SUITE 200</w:t>
      </w:r>
    </w:p>
    <w:p w:rsidR="00797D92" w:rsidRPr="00543F1E" w:rsidRDefault="00797D92" w:rsidP="00797D92">
      <w:pPr>
        <w:spacing w:after="0" w:line="240" w:lineRule="auto"/>
        <w:rPr>
          <w:rFonts w:ascii="Microsoft Sans Serif" w:eastAsia="Times New Roman" w:hAnsi="Microsoft Sans Serif" w:cs="Microsoft Sans Serif"/>
          <w:szCs w:val="24"/>
        </w:rPr>
      </w:pPr>
      <w:r w:rsidRPr="00543F1E">
        <w:rPr>
          <w:rFonts w:ascii="Microsoft Sans Serif" w:eastAsia="Times New Roman" w:hAnsi="Microsoft Sans Serif" w:cs="Microsoft Sans Serif"/>
          <w:szCs w:val="24"/>
        </w:rPr>
        <w:t>PITTSBURGH PA  15222</w:t>
      </w:r>
    </w:p>
    <w:p w:rsidR="00797D92" w:rsidRPr="00543F1E" w:rsidRDefault="00797D92" w:rsidP="00797D92">
      <w:pPr>
        <w:spacing w:after="0" w:line="240" w:lineRule="auto"/>
        <w:rPr>
          <w:rFonts w:ascii="Microsoft Sans Serif" w:eastAsia="Times New Roman" w:hAnsi="Microsoft Sans Serif" w:cs="Microsoft Sans Serif"/>
          <w:b/>
          <w:szCs w:val="24"/>
        </w:rPr>
      </w:pPr>
      <w:r w:rsidRPr="00543F1E">
        <w:rPr>
          <w:rFonts w:ascii="Microsoft Sans Serif" w:eastAsia="Times New Roman" w:hAnsi="Microsoft Sans Serif" w:cs="Microsoft Sans Serif"/>
          <w:b/>
          <w:szCs w:val="24"/>
        </w:rPr>
        <w:t>412-456-2785</w:t>
      </w:r>
    </w:p>
    <w:p w:rsidR="00797D92" w:rsidRPr="00543F1E" w:rsidRDefault="00797D92" w:rsidP="00797D92">
      <w:pPr>
        <w:spacing w:after="0" w:line="240" w:lineRule="auto"/>
        <w:rPr>
          <w:rFonts w:ascii="Microsoft Sans Serif" w:eastAsia="Times New Roman" w:hAnsi="Microsoft Sans Serif" w:cs="Microsoft Sans Serif"/>
          <w:i/>
          <w:szCs w:val="20"/>
        </w:rPr>
      </w:pPr>
      <w:r w:rsidRPr="00543F1E">
        <w:rPr>
          <w:rFonts w:ascii="Microsoft Sans Serif" w:eastAsia="Times New Roman" w:hAnsi="Microsoft Sans Serif" w:cs="Microsoft Sans Serif"/>
          <w:i/>
          <w:szCs w:val="20"/>
        </w:rPr>
        <w:t>Representing Citizens for Pennsylvania’s Future</w:t>
      </w:r>
    </w:p>
    <w:p w:rsidR="00797D92" w:rsidRPr="00543F1E" w:rsidRDefault="00797D92" w:rsidP="00797D92">
      <w:pPr>
        <w:spacing w:after="0" w:line="240" w:lineRule="auto"/>
        <w:rPr>
          <w:rFonts w:ascii="Microsoft Sans Serif" w:eastAsia="Times New Roman" w:hAnsi="Microsoft Sans Serif" w:cs="Microsoft Sans Serif"/>
          <w:i/>
          <w:szCs w:val="20"/>
        </w:rPr>
      </w:pPr>
    </w:p>
    <w:p w:rsidR="00797D92" w:rsidRPr="00543F1E" w:rsidRDefault="00797D92" w:rsidP="00797D92">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JOHN F POVILAITIS ESQUIRE</w:t>
      </w:r>
    </w:p>
    <w:p w:rsidR="00797D92" w:rsidRPr="00543F1E" w:rsidRDefault="00797D92" w:rsidP="00797D92">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BUCHANAN INGERSOLL &amp; ROONEY PC</w:t>
      </w:r>
    </w:p>
    <w:p w:rsidR="00797D92" w:rsidRPr="00543F1E" w:rsidRDefault="00797D92" w:rsidP="00797D92">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409 NORTH SECOND STREET</w:t>
      </w:r>
    </w:p>
    <w:p w:rsidR="00797D92" w:rsidRPr="00543F1E" w:rsidRDefault="00797D92" w:rsidP="00797D92">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 xml:space="preserve">SUITE 500 </w:t>
      </w:r>
    </w:p>
    <w:p w:rsidR="00797D92" w:rsidRPr="00543F1E" w:rsidRDefault="00797D92" w:rsidP="00797D92">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szCs w:val="20"/>
        </w:rPr>
        <w:t>HARRISBURG PA 17101-1357</w:t>
      </w:r>
    </w:p>
    <w:p w:rsidR="00797D92" w:rsidRPr="00543F1E" w:rsidRDefault="00797D92" w:rsidP="00797D92">
      <w:pPr>
        <w:spacing w:after="0" w:line="240" w:lineRule="auto"/>
        <w:rPr>
          <w:rFonts w:ascii="Microsoft Sans Serif" w:eastAsia="Times New Roman" w:hAnsi="Microsoft Sans Serif" w:cs="Microsoft Sans Serif"/>
          <w:szCs w:val="20"/>
        </w:rPr>
      </w:pPr>
      <w:r w:rsidRPr="00543F1E">
        <w:rPr>
          <w:rFonts w:ascii="Microsoft Sans Serif" w:eastAsia="Times New Roman" w:hAnsi="Microsoft Sans Serif" w:cs="Microsoft Sans Serif"/>
          <w:b/>
          <w:szCs w:val="20"/>
        </w:rPr>
        <w:t>717-2374800</w:t>
      </w:r>
    </w:p>
    <w:p w:rsidR="00797D92" w:rsidRPr="00543F1E" w:rsidRDefault="00797D92" w:rsidP="00797D92">
      <w:pPr>
        <w:spacing w:after="0" w:line="240" w:lineRule="auto"/>
        <w:rPr>
          <w:rFonts w:ascii="Microsoft Sans Serif" w:eastAsia="Times New Roman" w:hAnsi="Microsoft Sans Serif" w:cs="Microsoft Sans Serif"/>
          <w:i/>
          <w:szCs w:val="24"/>
        </w:rPr>
      </w:pPr>
      <w:r w:rsidRPr="00543F1E">
        <w:rPr>
          <w:rFonts w:ascii="Microsoft Sans Serif" w:eastAsia="Times New Roman" w:hAnsi="Microsoft Sans Serif" w:cs="Microsoft Sans Serif"/>
          <w:i/>
          <w:szCs w:val="20"/>
        </w:rPr>
        <w:t>Representing Beaver Falls Municipal Authority</w:t>
      </w:r>
    </w:p>
    <w:p w:rsidR="00797D92" w:rsidRPr="00543F1E" w:rsidRDefault="00797D92" w:rsidP="00797D92">
      <w:pPr>
        <w:spacing w:after="0" w:line="240" w:lineRule="auto"/>
        <w:rPr>
          <w:rFonts w:ascii="Microsoft Sans Serif" w:eastAsia="Times New Roman" w:hAnsi="Calibri"/>
          <w:b/>
          <w:szCs w:val="20"/>
        </w:rPr>
      </w:pPr>
    </w:p>
    <w:p w:rsidR="00797D92" w:rsidRPr="00543F1E" w:rsidRDefault="00797D92" w:rsidP="00797D92">
      <w:pPr>
        <w:spacing w:after="0" w:line="240" w:lineRule="auto"/>
        <w:rPr>
          <w:rFonts w:ascii="Microsoft Sans Serif" w:eastAsia="Times New Roman" w:hAnsi="Calibri"/>
          <w:b/>
          <w:szCs w:val="20"/>
        </w:rPr>
        <w:sectPr w:rsidR="00797D92" w:rsidRPr="00543F1E" w:rsidSect="00057730">
          <w:footerReference w:type="default" r:id="rId14"/>
          <w:pgSz w:w="12240" w:h="15840"/>
          <w:pgMar w:top="720" w:right="720" w:bottom="720" w:left="720" w:header="720" w:footer="720" w:gutter="0"/>
          <w:pgNumType w:fmt="lowerRoman"/>
          <w:cols w:num="2" w:space="720"/>
          <w:docGrid w:linePitch="360"/>
        </w:sectPr>
      </w:pPr>
    </w:p>
    <w:p w:rsidR="00797D92" w:rsidRPr="00543F1E" w:rsidRDefault="00797D92" w:rsidP="00797D92">
      <w:pPr>
        <w:spacing w:after="0" w:line="240" w:lineRule="auto"/>
        <w:ind w:left="-720" w:right="-720"/>
        <w:rPr>
          <w:rFonts w:ascii="Microsoft Sans Serif" w:eastAsia="Times New Roman" w:hAnsi="Calibri"/>
          <w:b/>
          <w:szCs w:val="20"/>
          <w:u w:val="single"/>
        </w:rPr>
      </w:pPr>
      <w:r w:rsidRPr="00543F1E">
        <w:rPr>
          <w:rFonts w:ascii="Microsoft Sans Serif" w:eastAsia="Times New Roman" w:hAnsi="Calibri"/>
          <w:b/>
          <w:szCs w:val="20"/>
          <w:u w:val="single"/>
        </w:rPr>
        <w:lastRenderedPageBreak/>
        <w:t xml:space="preserve">R-2013-2372129 </w:t>
      </w:r>
      <w:r w:rsidRPr="00543F1E">
        <w:rPr>
          <w:rFonts w:ascii="Microsoft Sans Serif" w:eastAsia="Times New Roman" w:hAnsi="Calibri"/>
          <w:b/>
          <w:szCs w:val="20"/>
          <w:u w:val="single"/>
        </w:rPr>
        <w:t>–</w:t>
      </w:r>
      <w:r w:rsidRPr="00543F1E">
        <w:rPr>
          <w:rFonts w:ascii="Microsoft Sans Serif" w:eastAsia="Times New Roman" w:hAnsi="Calibri"/>
          <w:b/>
          <w:szCs w:val="20"/>
          <w:u w:val="single"/>
        </w:rPr>
        <w:t xml:space="preserve"> PA PUBLIC UTILITY COMMISSION, ET AL. v. DUQUESNE LIGHT COMPANY</w:t>
      </w:r>
    </w:p>
    <w:p w:rsidR="00797D92" w:rsidRPr="00543F1E" w:rsidRDefault="00797D92" w:rsidP="00797D92">
      <w:pPr>
        <w:spacing w:after="0" w:line="240" w:lineRule="auto"/>
        <w:ind w:hanging="720"/>
        <w:rPr>
          <w:rFonts w:ascii="Microsoft Sans Serif" w:eastAsia="Times New Roman" w:hAnsi="Calibri"/>
          <w:b/>
          <w:szCs w:val="20"/>
          <w:u w:val="single"/>
        </w:rPr>
      </w:pPr>
    </w:p>
    <w:p w:rsidR="00797D92" w:rsidRDefault="00797D92" w:rsidP="00797D92">
      <w:pPr>
        <w:spacing w:after="0" w:line="240" w:lineRule="auto"/>
        <w:ind w:hanging="720"/>
        <w:rPr>
          <w:rFonts w:ascii="Microsoft Sans Serif" w:eastAsia="Times New Roman" w:hAnsi="Calibri"/>
          <w:i/>
          <w:szCs w:val="20"/>
        </w:rPr>
      </w:pPr>
      <w:r w:rsidRPr="00543F1E">
        <w:rPr>
          <w:rFonts w:ascii="Microsoft Sans Serif" w:eastAsia="Times New Roman" w:hAnsi="Calibri"/>
          <w:i/>
          <w:szCs w:val="20"/>
        </w:rPr>
        <w:t>LIMITED SERVICE LIST - Revised 11/7/13</w:t>
      </w:r>
    </w:p>
    <w:p w:rsidR="00797D92" w:rsidRDefault="00797D92" w:rsidP="00797D92">
      <w:pPr>
        <w:spacing w:after="0" w:line="240" w:lineRule="auto"/>
        <w:ind w:hanging="720"/>
        <w:rPr>
          <w:rFonts w:ascii="Microsoft Sans Serif" w:eastAsia="Times New Roman" w:hAnsi="Calibri"/>
          <w:i/>
          <w:szCs w:val="20"/>
        </w:rPr>
      </w:pPr>
    </w:p>
    <w:p w:rsidR="00797D92" w:rsidRDefault="00797D92" w:rsidP="00797D92">
      <w:pPr>
        <w:spacing w:after="0" w:line="240" w:lineRule="auto"/>
        <w:ind w:hanging="720"/>
        <w:rPr>
          <w:rFonts w:ascii="Microsoft Sans Serif" w:eastAsia="Times New Roman" w:hAnsi="Calibri"/>
          <w:i/>
          <w:szCs w:val="20"/>
        </w:rPr>
      </w:pP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JACQUELYN &amp; ROBERT MILLER</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3011 MAY STREET EXT</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PITTSBURGH PA  15234</w:t>
      </w:r>
    </w:p>
    <w:p w:rsidR="00797D92" w:rsidRPr="00543F1E" w:rsidRDefault="00797D92" w:rsidP="00797D92">
      <w:pPr>
        <w:spacing w:after="0" w:line="240" w:lineRule="auto"/>
        <w:ind w:hanging="720"/>
        <w:rPr>
          <w:rFonts w:ascii="Microsoft Sans Serif" w:eastAsia="Times New Roman" w:hAnsi="Calibri"/>
          <w:b/>
          <w:szCs w:val="20"/>
        </w:rPr>
      </w:pPr>
      <w:r w:rsidRPr="00543F1E">
        <w:rPr>
          <w:rFonts w:ascii="Microsoft Sans Serif" w:eastAsia="Times New Roman" w:hAnsi="Calibri"/>
          <w:b/>
          <w:szCs w:val="20"/>
        </w:rPr>
        <w:t>C-2013-2383835</w:t>
      </w:r>
    </w:p>
    <w:p w:rsidR="00797D92" w:rsidRPr="00543F1E" w:rsidRDefault="00797D92" w:rsidP="00797D92">
      <w:pPr>
        <w:spacing w:after="0" w:line="240" w:lineRule="auto"/>
        <w:ind w:hanging="720"/>
        <w:rPr>
          <w:rFonts w:ascii="Microsoft Sans Serif" w:eastAsia="Times New Roman" w:hAnsi="Calibri"/>
          <w:szCs w:val="20"/>
        </w:rPr>
      </w:pP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GWENDOLYN L LEVERT</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431 KENMAWR AVENUE APT 1</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RANKIN PA  15104</w:t>
      </w:r>
    </w:p>
    <w:p w:rsidR="00797D92" w:rsidRPr="00543F1E" w:rsidRDefault="00797D92" w:rsidP="00797D92">
      <w:pPr>
        <w:spacing w:after="0" w:line="240" w:lineRule="auto"/>
        <w:ind w:hanging="720"/>
        <w:rPr>
          <w:rFonts w:ascii="Microsoft Sans Serif" w:eastAsia="Times New Roman" w:hAnsi="Calibri"/>
          <w:b/>
          <w:szCs w:val="20"/>
        </w:rPr>
      </w:pPr>
      <w:r w:rsidRPr="00543F1E">
        <w:rPr>
          <w:rFonts w:ascii="Microsoft Sans Serif" w:eastAsia="Times New Roman" w:hAnsi="Calibri"/>
          <w:b/>
          <w:szCs w:val="20"/>
        </w:rPr>
        <w:t>C-2013-2383980</w:t>
      </w:r>
    </w:p>
    <w:p w:rsidR="00797D92" w:rsidRPr="00543F1E" w:rsidRDefault="00797D92" w:rsidP="00797D92">
      <w:pPr>
        <w:spacing w:after="0" w:line="240" w:lineRule="auto"/>
        <w:ind w:hanging="720"/>
        <w:rPr>
          <w:rFonts w:ascii="Microsoft Sans Serif" w:eastAsia="Times New Roman" w:hAnsi="Calibri"/>
          <w:szCs w:val="20"/>
        </w:rPr>
      </w:pP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AIMEE-MARIE DORSTEN</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4338 MCCASLIN STREET</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PITTSBURGH PA  15217</w:t>
      </w:r>
    </w:p>
    <w:p w:rsidR="00797D92" w:rsidRPr="00543F1E" w:rsidRDefault="00797D92" w:rsidP="00797D92">
      <w:pPr>
        <w:spacing w:after="0" w:line="240" w:lineRule="auto"/>
        <w:ind w:hanging="720"/>
        <w:rPr>
          <w:rFonts w:ascii="Microsoft Sans Serif" w:eastAsia="Times New Roman" w:hAnsi="Calibri"/>
          <w:b/>
          <w:szCs w:val="20"/>
        </w:rPr>
      </w:pPr>
      <w:r w:rsidRPr="00543F1E">
        <w:rPr>
          <w:rFonts w:ascii="Microsoft Sans Serif" w:eastAsia="Times New Roman" w:hAnsi="Calibri"/>
          <w:b/>
          <w:szCs w:val="20"/>
        </w:rPr>
        <w:t>C-2013-2386037</w:t>
      </w:r>
    </w:p>
    <w:p w:rsidR="00797D92" w:rsidRPr="00543F1E" w:rsidRDefault="00797D92" w:rsidP="00797D92">
      <w:pPr>
        <w:spacing w:after="0" w:line="240" w:lineRule="auto"/>
        <w:ind w:hanging="720"/>
        <w:rPr>
          <w:rFonts w:ascii="Microsoft Sans Serif" w:eastAsia="Times New Roman" w:hAnsi="Calibri"/>
          <w:szCs w:val="20"/>
        </w:rPr>
      </w:pP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CONNIE SCHIAVO</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404 WINGATE DRIVE</w:t>
      </w:r>
    </w:p>
    <w:p w:rsidR="00797D92" w:rsidRPr="00543F1E" w:rsidRDefault="00797D92" w:rsidP="00797D92">
      <w:pPr>
        <w:spacing w:after="0" w:line="240" w:lineRule="auto"/>
        <w:ind w:hanging="720"/>
        <w:rPr>
          <w:rFonts w:ascii="Microsoft Sans Serif" w:eastAsia="Times New Roman" w:hAnsi="Calibri"/>
          <w:szCs w:val="20"/>
        </w:rPr>
      </w:pPr>
      <w:r w:rsidRPr="00543F1E">
        <w:rPr>
          <w:rFonts w:ascii="Microsoft Sans Serif" w:eastAsia="Times New Roman" w:hAnsi="Calibri"/>
          <w:szCs w:val="20"/>
        </w:rPr>
        <w:t>PITTSBURGH PA  15205</w:t>
      </w:r>
    </w:p>
    <w:p w:rsidR="00797D92" w:rsidRPr="00543F1E" w:rsidRDefault="00797D92" w:rsidP="00797D92">
      <w:pPr>
        <w:spacing w:after="0" w:line="240" w:lineRule="auto"/>
        <w:ind w:hanging="720"/>
        <w:rPr>
          <w:rFonts w:eastAsia="Times New Roman"/>
          <w:szCs w:val="24"/>
        </w:rPr>
      </w:pPr>
      <w:r w:rsidRPr="00543F1E">
        <w:rPr>
          <w:rFonts w:ascii="Microsoft Sans Serif" w:eastAsia="Times New Roman" w:hAnsi="Calibri"/>
          <w:b/>
          <w:szCs w:val="20"/>
        </w:rPr>
        <w:t>C-2013-2386284</w:t>
      </w:r>
    </w:p>
    <w:p w:rsidR="00797D92" w:rsidRDefault="00797D92" w:rsidP="00797D92"/>
    <w:p w:rsidR="00797D92" w:rsidRDefault="00797D92" w:rsidP="00797D92"/>
    <w:p w:rsidR="00797D92" w:rsidRDefault="00797D92" w:rsidP="00797D92"/>
    <w:p w:rsidR="003C7784" w:rsidRDefault="003C7784" w:rsidP="001C48AF">
      <w:pPr>
        <w:spacing w:after="0" w:line="360" w:lineRule="auto"/>
      </w:pPr>
      <w:r>
        <w:tab/>
      </w:r>
      <w:r>
        <w:tab/>
        <w:t xml:space="preserve"> </w:t>
      </w:r>
    </w:p>
    <w:sectPr w:rsidR="003C7784" w:rsidSect="00D36767">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47" w:rsidRDefault="00052C47" w:rsidP="00FE7374">
      <w:pPr>
        <w:spacing w:after="0" w:line="240" w:lineRule="auto"/>
      </w:pPr>
      <w:r>
        <w:separator/>
      </w:r>
    </w:p>
  </w:endnote>
  <w:endnote w:type="continuationSeparator" w:id="0">
    <w:p w:rsidR="00052C47" w:rsidRDefault="00052C47" w:rsidP="00FE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D92" w:rsidRDefault="00797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7D92" w:rsidRDefault="00797D92">
    <w:pPr>
      <w:pStyle w:val="Footer"/>
    </w:pPr>
  </w:p>
  <w:p w:rsidR="00797D92" w:rsidRDefault="00797D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46386"/>
      <w:docPartObj>
        <w:docPartGallery w:val="Page Numbers (Bottom of Page)"/>
        <w:docPartUnique/>
      </w:docPartObj>
    </w:sdtPr>
    <w:sdtEndPr>
      <w:rPr>
        <w:noProof/>
        <w:sz w:val="20"/>
        <w:szCs w:val="20"/>
      </w:rPr>
    </w:sdtEndPr>
    <w:sdtContent>
      <w:p w:rsidR="00797D92" w:rsidRPr="004C4505" w:rsidRDefault="00797D92">
        <w:pPr>
          <w:pStyle w:val="Footer"/>
          <w:jc w:val="center"/>
          <w:rPr>
            <w:sz w:val="20"/>
            <w:szCs w:val="20"/>
          </w:rPr>
        </w:pPr>
        <w:r w:rsidRPr="004C4505">
          <w:rPr>
            <w:sz w:val="20"/>
            <w:szCs w:val="20"/>
          </w:rPr>
          <w:fldChar w:fldCharType="begin"/>
        </w:r>
        <w:r w:rsidRPr="004C4505">
          <w:rPr>
            <w:sz w:val="20"/>
            <w:szCs w:val="20"/>
          </w:rPr>
          <w:instrText xml:space="preserve"> PAGE   \* MERGEFORMAT </w:instrText>
        </w:r>
        <w:r w:rsidRPr="004C4505">
          <w:rPr>
            <w:sz w:val="20"/>
            <w:szCs w:val="20"/>
          </w:rPr>
          <w:fldChar w:fldCharType="separate"/>
        </w:r>
        <w:r w:rsidR="00AB5A29">
          <w:rPr>
            <w:noProof/>
            <w:sz w:val="20"/>
            <w:szCs w:val="20"/>
          </w:rPr>
          <w:t>11</w:t>
        </w:r>
        <w:r w:rsidRPr="004C4505">
          <w:rPr>
            <w:noProof/>
            <w:sz w:val="20"/>
            <w:szCs w:val="20"/>
          </w:rPr>
          <w:fldChar w:fldCharType="end"/>
        </w:r>
      </w:p>
    </w:sdtContent>
  </w:sdt>
  <w:p w:rsidR="00797D92" w:rsidRDefault="00797D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D92" w:rsidRDefault="00797D92">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D92" w:rsidRDefault="00797D92">
    <w:pPr>
      <w:pStyle w:val="Footer"/>
    </w:pPr>
    <w: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62480"/>
      <w:docPartObj>
        <w:docPartGallery w:val="Page Numbers (Bottom of Page)"/>
        <w:docPartUnique/>
      </w:docPartObj>
    </w:sdtPr>
    <w:sdtEndPr>
      <w:rPr>
        <w:noProof/>
        <w:sz w:val="20"/>
        <w:szCs w:val="20"/>
      </w:rPr>
    </w:sdtEndPr>
    <w:sdtContent>
      <w:p w:rsidR="00797D92" w:rsidRPr="00B56A4A" w:rsidRDefault="00797D92" w:rsidP="007101A9">
        <w:pPr>
          <w:pStyle w:val="Footer"/>
          <w:tabs>
            <w:tab w:val="center" w:pos="5040"/>
          </w:tabs>
          <w:jc w:val="center"/>
          <w:rPr>
            <w:sz w:val="20"/>
            <w:szCs w:val="20"/>
          </w:rPr>
        </w:pPr>
        <w:r w:rsidRPr="00B56A4A">
          <w:rPr>
            <w:sz w:val="20"/>
            <w:szCs w:val="20"/>
          </w:rPr>
          <w:fldChar w:fldCharType="begin"/>
        </w:r>
        <w:r w:rsidRPr="00B56A4A">
          <w:rPr>
            <w:sz w:val="20"/>
            <w:szCs w:val="20"/>
          </w:rPr>
          <w:instrText xml:space="preserve"> PAGE   \* MERGEFORMAT </w:instrText>
        </w:r>
        <w:r w:rsidRPr="00B56A4A">
          <w:rPr>
            <w:sz w:val="20"/>
            <w:szCs w:val="20"/>
          </w:rPr>
          <w:fldChar w:fldCharType="separate"/>
        </w:r>
        <w:r w:rsidR="00AB5A29">
          <w:rPr>
            <w:noProof/>
            <w:sz w:val="20"/>
            <w:szCs w:val="20"/>
          </w:rPr>
          <w:t>ii</w:t>
        </w:r>
        <w:r w:rsidRPr="00B56A4A">
          <w:rPr>
            <w:noProof/>
            <w:sz w:val="20"/>
            <w:szCs w:val="20"/>
          </w:rPr>
          <w:fldChar w:fldCharType="end"/>
        </w:r>
      </w:p>
    </w:sdtContent>
  </w:sdt>
  <w:p w:rsidR="00797D92" w:rsidRDefault="00797D9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622177"/>
      <w:docPartObj>
        <w:docPartGallery w:val="Page Numbers (Bottom of Page)"/>
        <w:docPartUnique/>
      </w:docPartObj>
    </w:sdtPr>
    <w:sdtEndPr>
      <w:rPr>
        <w:noProof/>
        <w:sz w:val="20"/>
        <w:szCs w:val="20"/>
      </w:rPr>
    </w:sdtEndPr>
    <w:sdtContent>
      <w:p w:rsidR="00D36767" w:rsidRPr="00933306" w:rsidRDefault="00D36767">
        <w:pPr>
          <w:pStyle w:val="Footer"/>
          <w:jc w:val="center"/>
          <w:rPr>
            <w:sz w:val="20"/>
            <w:szCs w:val="20"/>
          </w:rPr>
        </w:pPr>
        <w:r w:rsidRPr="00933306">
          <w:rPr>
            <w:sz w:val="20"/>
            <w:szCs w:val="20"/>
          </w:rPr>
          <w:fldChar w:fldCharType="begin"/>
        </w:r>
        <w:r w:rsidRPr="00933306">
          <w:rPr>
            <w:sz w:val="20"/>
            <w:szCs w:val="20"/>
          </w:rPr>
          <w:instrText xml:space="preserve"> PAGE   \* MERGEFORMAT </w:instrText>
        </w:r>
        <w:r w:rsidRPr="00933306">
          <w:rPr>
            <w:sz w:val="20"/>
            <w:szCs w:val="20"/>
          </w:rPr>
          <w:fldChar w:fldCharType="separate"/>
        </w:r>
        <w:r w:rsidR="00797D92">
          <w:rPr>
            <w:noProof/>
            <w:sz w:val="20"/>
            <w:szCs w:val="20"/>
          </w:rPr>
          <w:t>10</w:t>
        </w:r>
        <w:r w:rsidRPr="00933306">
          <w:rPr>
            <w:noProof/>
            <w:sz w:val="20"/>
            <w:szCs w:val="20"/>
          </w:rPr>
          <w:fldChar w:fldCharType="end"/>
        </w:r>
      </w:p>
    </w:sdtContent>
  </w:sdt>
  <w:p w:rsidR="00D36767" w:rsidRDefault="00D36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47" w:rsidRDefault="00052C47" w:rsidP="00FE7374">
      <w:pPr>
        <w:spacing w:after="0" w:line="240" w:lineRule="auto"/>
      </w:pPr>
      <w:r>
        <w:separator/>
      </w:r>
    </w:p>
  </w:footnote>
  <w:footnote w:type="continuationSeparator" w:id="0">
    <w:p w:rsidR="00052C47" w:rsidRDefault="00052C47" w:rsidP="00FE7374">
      <w:pPr>
        <w:spacing w:after="0" w:line="240" w:lineRule="auto"/>
      </w:pPr>
      <w:r>
        <w:continuationSeparator/>
      </w:r>
    </w:p>
  </w:footnote>
  <w:footnote w:id="1">
    <w:p w:rsidR="00FE7374" w:rsidRPr="00FE7374" w:rsidRDefault="00FE7374" w:rsidP="00FE7374">
      <w:pPr>
        <w:pStyle w:val="FootnoteText"/>
        <w:spacing w:line="240" w:lineRule="auto"/>
        <w:ind w:firstLine="720"/>
      </w:pPr>
      <w:r w:rsidRPr="00425BD7">
        <w:rPr>
          <w:rStyle w:val="FootnoteReference"/>
          <w:sz w:val="26"/>
        </w:rPr>
        <w:footnoteRef/>
      </w:r>
      <w:r w:rsidRPr="00425BD7">
        <w:rPr>
          <w:sz w:val="26"/>
        </w:rPr>
        <w:t xml:space="preserve"> </w:t>
      </w:r>
      <w:r w:rsidRPr="00425BD7">
        <w:rPr>
          <w:sz w:val="26"/>
        </w:rPr>
        <w:tab/>
      </w:r>
      <w:r w:rsidRPr="00FE7374">
        <w:t xml:space="preserve">The NRG Companies include </w:t>
      </w:r>
      <w:r w:rsidRPr="00FE7374">
        <w:rPr>
          <w:color w:val="000000"/>
        </w:rPr>
        <w:t>NRG Power Midwest LP (NRG Midwest), NRG Energy Center Pittsburgh LLC, and Reliant Energy Northeast LLC, and will be referred to collectively herein as the NRG Companies</w:t>
      </w:r>
      <w:r w:rsidR="00EA25B6">
        <w:rPr>
          <w:color w:val="000000"/>
        </w:rPr>
        <w:t xml:space="preserve"> or NRG</w:t>
      </w:r>
      <w:r w:rsidRPr="00FE7374">
        <w:rPr>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EB"/>
    <w:rsid w:val="00025128"/>
    <w:rsid w:val="00044AC0"/>
    <w:rsid w:val="00052C47"/>
    <w:rsid w:val="000557FC"/>
    <w:rsid w:val="000571BE"/>
    <w:rsid w:val="000D64D2"/>
    <w:rsid w:val="00122B78"/>
    <w:rsid w:val="0012526F"/>
    <w:rsid w:val="00141483"/>
    <w:rsid w:val="00170D7D"/>
    <w:rsid w:val="00174CEB"/>
    <w:rsid w:val="001C48AF"/>
    <w:rsid w:val="001F4E25"/>
    <w:rsid w:val="00277740"/>
    <w:rsid w:val="002B1D10"/>
    <w:rsid w:val="00336A8E"/>
    <w:rsid w:val="0034160E"/>
    <w:rsid w:val="00365A27"/>
    <w:rsid w:val="003A42BD"/>
    <w:rsid w:val="003B5E38"/>
    <w:rsid w:val="003C7784"/>
    <w:rsid w:val="0043775C"/>
    <w:rsid w:val="004577AF"/>
    <w:rsid w:val="004C6CB9"/>
    <w:rsid w:val="004E7D55"/>
    <w:rsid w:val="00522C4E"/>
    <w:rsid w:val="00536429"/>
    <w:rsid w:val="00561940"/>
    <w:rsid w:val="005B0E1E"/>
    <w:rsid w:val="006016D1"/>
    <w:rsid w:val="0064050C"/>
    <w:rsid w:val="00670200"/>
    <w:rsid w:val="006D3496"/>
    <w:rsid w:val="00723BDB"/>
    <w:rsid w:val="007412F2"/>
    <w:rsid w:val="00772783"/>
    <w:rsid w:val="00797D92"/>
    <w:rsid w:val="007D42A6"/>
    <w:rsid w:val="007F1FBC"/>
    <w:rsid w:val="007F588D"/>
    <w:rsid w:val="00803CA0"/>
    <w:rsid w:val="008A4786"/>
    <w:rsid w:val="008A7517"/>
    <w:rsid w:val="008C4254"/>
    <w:rsid w:val="008C6456"/>
    <w:rsid w:val="00915C8C"/>
    <w:rsid w:val="00933306"/>
    <w:rsid w:val="00940EB7"/>
    <w:rsid w:val="00A548EB"/>
    <w:rsid w:val="00A65441"/>
    <w:rsid w:val="00A9196D"/>
    <w:rsid w:val="00AB5A29"/>
    <w:rsid w:val="00B03D4B"/>
    <w:rsid w:val="00B62C1F"/>
    <w:rsid w:val="00C364CB"/>
    <w:rsid w:val="00CD5B10"/>
    <w:rsid w:val="00CE1CE5"/>
    <w:rsid w:val="00CE3B29"/>
    <w:rsid w:val="00CE678E"/>
    <w:rsid w:val="00D36767"/>
    <w:rsid w:val="00D44231"/>
    <w:rsid w:val="00D87461"/>
    <w:rsid w:val="00DA4588"/>
    <w:rsid w:val="00DD33FB"/>
    <w:rsid w:val="00DD706A"/>
    <w:rsid w:val="00DD7298"/>
    <w:rsid w:val="00E036F5"/>
    <w:rsid w:val="00E715C6"/>
    <w:rsid w:val="00EA25B6"/>
    <w:rsid w:val="00EB7377"/>
    <w:rsid w:val="00ED052F"/>
    <w:rsid w:val="00F4713F"/>
    <w:rsid w:val="00F61905"/>
    <w:rsid w:val="00FD24FE"/>
    <w:rsid w:val="00FE08BC"/>
    <w:rsid w:val="00FE7374"/>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E7374"/>
    <w:pPr>
      <w:spacing w:after="0" w:line="360" w:lineRule="auto"/>
      <w:ind w:firstLine="1440"/>
    </w:pPr>
    <w:rPr>
      <w:rFonts w:eastAsia="Times New Roman"/>
      <w:sz w:val="20"/>
      <w:szCs w:val="20"/>
    </w:rPr>
  </w:style>
  <w:style w:type="character" w:customStyle="1" w:styleId="FootnoteTextChar">
    <w:name w:val="Footnote Text Char"/>
    <w:basedOn w:val="DefaultParagraphFont"/>
    <w:link w:val="FootnoteText"/>
    <w:semiHidden/>
    <w:rsid w:val="00FE7374"/>
    <w:rPr>
      <w:rFonts w:eastAsia="Times New Roman"/>
      <w:sz w:val="20"/>
      <w:szCs w:val="20"/>
    </w:rPr>
  </w:style>
  <w:style w:type="character" w:styleId="FootnoteReference">
    <w:name w:val="footnote reference"/>
    <w:aliases w:val="o,fr"/>
    <w:basedOn w:val="DefaultParagraphFont"/>
    <w:uiPriority w:val="99"/>
    <w:semiHidden/>
    <w:rsid w:val="00FE7374"/>
    <w:rPr>
      <w:vertAlign w:val="superscript"/>
    </w:rPr>
  </w:style>
  <w:style w:type="paragraph" w:styleId="Header">
    <w:name w:val="header"/>
    <w:basedOn w:val="Normal"/>
    <w:link w:val="HeaderChar"/>
    <w:uiPriority w:val="99"/>
    <w:unhideWhenUsed/>
    <w:rsid w:val="00D3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67"/>
  </w:style>
  <w:style w:type="paragraph" w:styleId="Footer">
    <w:name w:val="footer"/>
    <w:basedOn w:val="Normal"/>
    <w:link w:val="FooterChar"/>
    <w:uiPriority w:val="99"/>
    <w:unhideWhenUsed/>
    <w:rsid w:val="00D3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67"/>
  </w:style>
  <w:style w:type="paragraph" w:styleId="BalloonText">
    <w:name w:val="Balloon Text"/>
    <w:basedOn w:val="Normal"/>
    <w:link w:val="BalloonTextChar"/>
    <w:uiPriority w:val="99"/>
    <w:semiHidden/>
    <w:unhideWhenUsed/>
    <w:rsid w:val="00336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A8E"/>
    <w:rPr>
      <w:rFonts w:ascii="Tahoma" w:hAnsi="Tahoma" w:cs="Tahoma"/>
      <w:sz w:val="16"/>
      <w:szCs w:val="16"/>
    </w:rPr>
  </w:style>
  <w:style w:type="character" w:styleId="PageNumber">
    <w:name w:val="page number"/>
    <w:basedOn w:val="DefaultParagraphFont"/>
    <w:rsid w:val="00797D92"/>
    <w:rPr>
      <w:rFonts w:ascii="Times New Roman" w:hAnsi="Times New Roman" w:cs="Times New Roman"/>
      <w:b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E7374"/>
    <w:pPr>
      <w:spacing w:after="0" w:line="360" w:lineRule="auto"/>
      <w:ind w:firstLine="1440"/>
    </w:pPr>
    <w:rPr>
      <w:rFonts w:eastAsia="Times New Roman"/>
      <w:sz w:val="20"/>
      <w:szCs w:val="20"/>
    </w:rPr>
  </w:style>
  <w:style w:type="character" w:customStyle="1" w:styleId="FootnoteTextChar">
    <w:name w:val="Footnote Text Char"/>
    <w:basedOn w:val="DefaultParagraphFont"/>
    <w:link w:val="FootnoteText"/>
    <w:semiHidden/>
    <w:rsid w:val="00FE7374"/>
    <w:rPr>
      <w:rFonts w:eastAsia="Times New Roman"/>
      <w:sz w:val="20"/>
      <w:szCs w:val="20"/>
    </w:rPr>
  </w:style>
  <w:style w:type="character" w:styleId="FootnoteReference">
    <w:name w:val="footnote reference"/>
    <w:aliases w:val="o,fr"/>
    <w:basedOn w:val="DefaultParagraphFont"/>
    <w:uiPriority w:val="99"/>
    <w:semiHidden/>
    <w:rsid w:val="00FE7374"/>
    <w:rPr>
      <w:vertAlign w:val="superscript"/>
    </w:rPr>
  </w:style>
  <w:style w:type="paragraph" w:styleId="Header">
    <w:name w:val="header"/>
    <w:basedOn w:val="Normal"/>
    <w:link w:val="HeaderChar"/>
    <w:uiPriority w:val="99"/>
    <w:unhideWhenUsed/>
    <w:rsid w:val="00D3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67"/>
  </w:style>
  <w:style w:type="paragraph" w:styleId="Footer">
    <w:name w:val="footer"/>
    <w:basedOn w:val="Normal"/>
    <w:link w:val="FooterChar"/>
    <w:uiPriority w:val="99"/>
    <w:unhideWhenUsed/>
    <w:rsid w:val="00D3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67"/>
  </w:style>
  <w:style w:type="paragraph" w:styleId="BalloonText">
    <w:name w:val="Balloon Text"/>
    <w:basedOn w:val="Normal"/>
    <w:link w:val="BalloonTextChar"/>
    <w:uiPriority w:val="99"/>
    <w:semiHidden/>
    <w:unhideWhenUsed/>
    <w:rsid w:val="00336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A8E"/>
    <w:rPr>
      <w:rFonts w:ascii="Tahoma" w:hAnsi="Tahoma" w:cs="Tahoma"/>
      <w:sz w:val="16"/>
      <w:szCs w:val="16"/>
    </w:rPr>
  </w:style>
  <w:style w:type="character" w:styleId="PageNumber">
    <w:name w:val="page number"/>
    <w:basedOn w:val="DefaultParagraphFont"/>
    <w:rsid w:val="00797D92"/>
    <w:rPr>
      <w:rFonts w:ascii="Times New Roman" w:hAnsi="Times New Roman" w:cs="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96679">
      <w:bodyDiv w:val="1"/>
      <w:marLeft w:val="0"/>
      <w:marRight w:val="0"/>
      <w:marTop w:val="0"/>
      <w:marBottom w:val="0"/>
      <w:divBdr>
        <w:top w:val="none" w:sz="0" w:space="0" w:color="auto"/>
        <w:left w:val="none" w:sz="0" w:space="0" w:color="auto"/>
        <w:bottom w:val="none" w:sz="0" w:space="0" w:color="auto"/>
        <w:right w:val="none" w:sz="0" w:space="0" w:color="auto"/>
      </w:divBdr>
    </w:div>
    <w:div w:id="8154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F39E-16D3-4999-AC83-CD96A10D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bfaccenda</cp:lastModifiedBy>
  <cp:revision>21</cp:revision>
  <cp:lastPrinted>2014-03-27T18:53:00Z</cp:lastPrinted>
  <dcterms:created xsi:type="dcterms:W3CDTF">2014-03-27T12:05:00Z</dcterms:created>
  <dcterms:modified xsi:type="dcterms:W3CDTF">2014-03-27T18:53:00Z</dcterms:modified>
</cp:coreProperties>
</file>