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505" w:rsidRPr="00441505" w:rsidRDefault="00441505" w:rsidP="002A28EA">
      <w:pPr>
        <w:spacing w:after="0" w:line="240" w:lineRule="auto"/>
        <w:jc w:val="center"/>
        <w:rPr>
          <w:rFonts w:eastAsia="Times New Roman"/>
          <w:b/>
          <w:szCs w:val="24"/>
        </w:rPr>
      </w:pPr>
      <w:r w:rsidRPr="00441505">
        <w:rPr>
          <w:rFonts w:eastAsia="Times New Roman"/>
          <w:b/>
          <w:szCs w:val="24"/>
        </w:rPr>
        <w:t>BEFORE THE</w:t>
      </w:r>
    </w:p>
    <w:p w:rsidR="00441505" w:rsidRPr="00441505" w:rsidRDefault="00441505" w:rsidP="002A28EA">
      <w:pPr>
        <w:spacing w:after="0" w:line="240" w:lineRule="auto"/>
        <w:jc w:val="center"/>
        <w:rPr>
          <w:rFonts w:eastAsia="Times New Roman"/>
          <w:szCs w:val="24"/>
        </w:rPr>
      </w:pPr>
      <w:r w:rsidRPr="00441505">
        <w:rPr>
          <w:rFonts w:eastAsia="Times New Roman"/>
          <w:b/>
          <w:szCs w:val="24"/>
        </w:rPr>
        <w:t>PENNSYLVANIA PUBLIC UTILITY COMMISSION</w:t>
      </w:r>
    </w:p>
    <w:p w:rsidR="00441505" w:rsidRPr="00441505" w:rsidRDefault="00441505" w:rsidP="002A28EA">
      <w:pPr>
        <w:spacing w:after="0" w:line="240" w:lineRule="auto"/>
        <w:rPr>
          <w:rFonts w:eastAsia="Times New Roman"/>
          <w:szCs w:val="24"/>
        </w:rPr>
      </w:pPr>
    </w:p>
    <w:p w:rsidR="00441505" w:rsidRPr="00441505" w:rsidRDefault="00441505" w:rsidP="002A28EA">
      <w:pPr>
        <w:spacing w:after="0" w:line="240" w:lineRule="auto"/>
        <w:rPr>
          <w:rFonts w:eastAsia="Times New Roman"/>
          <w:szCs w:val="24"/>
        </w:rPr>
      </w:pPr>
    </w:p>
    <w:p w:rsidR="00441505" w:rsidRPr="00441505" w:rsidRDefault="00441505" w:rsidP="002A28EA">
      <w:pPr>
        <w:spacing w:after="0" w:line="240" w:lineRule="auto"/>
        <w:rPr>
          <w:rFonts w:eastAsia="Times New Roman"/>
          <w:szCs w:val="24"/>
        </w:rPr>
      </w:pPr>
    </w:p>
    <w:tbl>
      <w:tblPr>
        <w:tblW w:w="0" w:type="auto"/>
        <w:tblLook w:val="01E0" w:firstRow="1" w:lastRow="1" w:firstColumn="1" w:lastColumn="1" w:noHBand="0" w:noVBand="0"/>
      </w:tblPr>
      <w:tblGrid>
        <w:gridCol w:w="4428"/>
        <w:gridCol w:w="540"/>
        <w:gridCol w:w="4608"/>
      </w:tblGrid>
      <w:tr w:rsidR="00441505" w:rsidRPr="00441505" w:rsidTr="00154E3B">
        <w:tc>
          <w:tcPr>
            <w:tcW w:w="4428" w:type="dxa"/>
          </w:tcPr>
          <w:p w:rsidR="00441505" w:rsidRPr="00441505" w:rsidRDefault="00441505" w:rsidP="002A28EA">
            <w:pPr>
              <w:spacing w:after="0" w:line="240" w:lineRule="auto"/>
              <w:rPr>
                <w:rFonts w:eastAsia="Times New Roman"/>
                <w:szCs w:val="24"/>
              </w:rPr>
            </w:pPr>
            <w:r w:rsidRPr="00441505">
              <w:rPr>
                <w:rFonts w:eastAsia="Times New Roman"/>
                <w:szCs w:val="24"/>
              </w:rPr>
              <w:t>Pennsylvania Public Utility Commission</w:t>
            </w:r>
          </w:p>
          <w:p w:rsidR="00441505" w:rsidRPr="00441505" w:rsidRDefault="00441505" w:rsidP="002A28EA">
            <w:pPr>
              <w:spacing w:after="0" w:line="240" w:lineRule="auto"/>
              <w:rPr>
                <w:rFonts w:eastAsia="Times New Roman"/>
                <w:szCs w:val="24"/>
              </w:rPr>
            </w:pPr>
            <w:r w:rsidRPr="00441505">
              <w:rPr>
                <w:rFonts w:eastAsia="Times New Roman"/>
                <w:szCs w:val="24"/>
              </w:rPr>
              <w:t>Office of Consumer Advocate</w:t>
            </w:r>
          </w:p>
          <w:p w:rsidR="00441505" w:rsidRPr="00441505" w:rsidRDefault="00441505" w:rsidP="002A28EA">
            <w:pPr>
              <w:spacing w:after="0" w:line="240" w:lineRule="auto"/>
              <w:rPr>
                <w:rFonts w:eastAsia="Times New Roman"/>
                <w:szCs w:val="24"/>
              </w:rPr>
            </w:pPr>
            <w:r w:rsidRPr="00441505">
              <w:rPr>
                <w:rFonts w:eastAsia="Times New Roman"/>
                <w:szCs w:val="24"/>
              </w:rPr>
              <w:t>Office of Small Business Advocate</w:t>
            </w:r>
          </w:p>
          <w:p w:rsidR="00441505" w:rsidRPr="00441505" w:rsidRDefault="00441505" w:rsidP="002A28EA">
            <w:pPr>
              <w:spacing w:after="0" w:line="240" w:lineRule="auto"/>
              <w:rPr>
                <w:rFonts w:eastAsia="Times New Roman"/>
                <w:szCs w:val="24"/>
              </w:rPr>
            </w:pPr>
            <w:r w:rsidRPr="00441505">
              <w:rPr>
                <w:rFonts w:eastAsia="Times New Roman"/>
                <w:szCs w:val="24"/>
              </w:rPr>
              <w:t>Jacquelyn and Robert Miller</w:t>
            </w:r>
          </w:p>
          <w:p w:rsidR="00441505" w:rsidRPr="00441505" w:rsidRDefault="00441505" w:rsidP="002A28EA">
            <w:pPr>
              <w:spacing w:after="0" w:line="240" w:lineRule="auto"/>
              <w:rPr>
                <w:rFonts w:eastAsia="Times New Roman"/>
                <w:szCs w:val="24"/>
              </w:rPr>
            </w:pPr>
            <w:r w:rsidRPr="00441505">
              <w:rPr>
                <w:rFonts w:eastAsia="Times New Roman"/>
                <w:szCs w:val="24"/>
              </w:rPr>
              <w:t>Gwendolyn L. LeVert</w:t>
            </w:r>
          </w:p>
          <w:p w:rsidR="00441505" w:rsidRPr="00441505" w:rsidRDefault="00441505" w:rsidP="002A28EA">
            <w:pPr>
              <w:spacing w:after="0" w:line="240" w:lineRule="auto"/>
              <w:rPr>
                <w:rFonts w:eastAsia="Times New Roman"/>
                <w:szCs w:val="24"/>
              </w:rPr>
            </w:pPr>
            <w:r w:rsidRPr="00441505">
              <w:rPr>
                <w:rFonts w:eastAsia="Times New Roman"/>
                <w:szCs w:val="24"/>
              </w:rPr>
              <w:t>Duquesne Industrial Intervenors</w:t>
            </w:r>
          </w:p>
          <w:p w:rsidR="00441505" w:rsidRPr="00441505" w:rsidRDefault="00441505" w:rsidP="002A28EA">
            <w:pPr>
              <w:spacing w:after="0" w:line="240" w:lineRule="auto"/>
              <w:rPr>
                <w:rFonts w:eastAsia="Times New Roman"/>
                <w:szCs w:val="24"/>
              </w:rPr>
            </w:pPr>
            <w:r w:rsidRPr="00441505">
              <w:rPr>
                <w:rFonts w:eastAsia="Times New Roman"/>
                <w:szCs w:val="24"/>
              </w:rPr>
              <w:t>Aimee M. Dorsten</w:t>
            </w:r>
          </w:p>
          <w:p w:rsidR="00441505" w:rsidRPr="00441505" w:rsidRDefault="00441505" w:rsidP="002A28EA">
            <w:pPr>
              <w:spacing w:after="0" w:line="240" w:lineRule="auto"/>
              <w:rPr>
                <w:rFonts w:eastAsia="Times New Roman"/>
                <w:szCs w:val="24"/>
              </w:rPr>
            </w:pPr>
            <w:r w:rsidRPr="00441505">
              <w:rPr>
                <w:rFonts w:eastAsia="Times New Roman"/>
                <w:szCs w:val="24"/>
              </w:rPr>
              <w:t>Connie Schiavo</w:t>
            </w:r>
          </w:p>
          <w:p w:rsidR="00441505" w:rsidRPr="00441505" w:rsidRDefault="00441505" w:rsidP="002A28EA">
            <w:pPr>
              <w:spacing w:after="0" w:line="240" w:lineRule="auto"/>
              <w:rPr>
                <w:rFonts w:eastAsia="Times New Roman"/>
                <w:color w:val="000000" w:themeColor="text1"/>
                <w:szCs w:val="24"/>
              </w:rPr>
            </w:pPr>
            <w:r w:rsidRPr="00441505">
              <w:rPr>
                <w:rFonts w:eastAsia="Times New Roman"/>
                <w:color w:val="000000" w:themeColor="text1"/>
                <w:szCs w:val="24"/>
              </w:rPr>
              <w:t>NRG Power Midwest LP, NRG Energy Center Pittsburgh LLC, and Reliant Energy Northeast LLC</w:t>
            </w:r>
          </w:p>
          <w:p w:rsidR="00441505" w:rsidRPr="00441505" w:rsidRDefault="00441505" w:rsidP="002A28EA">
            <w:pPr>
              <w:spacing w:after="0" w:line="240" w:lineRule="auto"/>
              <w:rPr>
                <w:rFonts w:eastAsia="Times New Roman"/>
                <w:color w:val="000000" w:themeColor="text1"/>
                <w:szCs w:val="24"/>
              </w:rPr>
            </w:pPr>
          </w:p>
          <w:p w:rsidR="00441505" w:rsidRPr="00441505" w:rsidRDefault="00441505" w:rsidP="002A28EA">
            <w:pPr>
              <w:spacing w:after="0" w:line="240" w:lineRule="auto"/>
              <w:ind w:right="2052"/>
              <w:jc w:val="center"/>
              <w:rPr>
                <w:rFonts w:eastAsia="Times New Roman"/>
                <w:szCs w:val="24"/>
              </w:rPr>
            </w:pPr>
            <w:r w:rsidRPr="00441505">
              <w:rPr>
                <w:rFonts w:eastAsia="Times New Roman"/>
                <w:szCs w:val="24"/>
              </w:rPr>
              <w:t>v.</w:t>
            </w:r>
          </w:p>
          <w:p w:rsidR="00441505" w:rsidRPr="00441505" w:rsidRDefault="00441505" w:rsidP="002A28EA">
            <w:pPr>
              <w:spacing w:after="0" w:line="240" w:lineRule="auto"/>
              <w:jc w:val="center"/>
              <w:rPr>
                <w:rFonts w:eastAsia="Times New Roman"/>
                <w:szCs w:val="24"/>
              </w:rPr>
            </w:pPr>
            <w:r w:rsidRPr="00441505">
              <w:rPr>
                <w:rFonts w:eastAsia="Times New Roman"/>
                <w:szCs w:val="24"/>
              </w:rPr>
              <w:t xml:space="preserve">                                                     </w:t>
            </w:r>
          </w:p>
          <w:p w:rsidR="00441505" w:rsidRPr="00441505" w:rsidRDefault="00441505" w:rsidP="002A28EA">
            <w:pPr>
              <w:spacing w:after="0" w:line="240" w:lineRule="auto"/>
              <w:rPr>
                <w:rFonts w:eastAsia="Times New Roman"/>
                <w:szCs w:val="24"/>
              </w:rPr>
            </w:pPr>
            <w:r w:rsidRPr="00441505">
              <w:rPr>
                <w:rFonts w:eastAsia="Times New Roman"/>
                <w:szCs w:val="24"/>
              </w:rPr>
              <w:t>Duquesne Light Company</w:t>
            </w:r>
          </w:p>
        </w:tc>
        <w:tc>
          <w:tcPr>
            <w:tcW w:w="540" w:type="dxa"/>
            <w:hideMark/>
          </w:tcPr>
          <w:p w:rsidR="00441505" w:rsidRPr="00441505" w:rsidRDefault="00441505" w:rsidP="002A28EA">
            <w:pPr>
              <w:spacing w:after="0" w:line="240" w:lineRule="auto"/>
              <w:jc w:val="center"/>
              <w:rPr>
                <w:rFonts w:eastAsia="Times New Roman"/>
                <w:b/>
                <w:szCs w:val="24"/>
              </w:rPr>
            </w:pPr>
            <w:r w:rsidRPr="00441505">
              <w:rPr>
                <w:rFonts w:eastAsia="Times New Roman"/>
                <w:b/>
                <w:szCs w:val="24"/>
              </w:rPr>
              <w:t>:</w:t>
            </w:r>
            <w:r w:rsidRPr="00441505">
              <w:rPr>
                <w:rFonts w:eastAsia="Times New Roman"/>
                <w:b/>
                <w:szCs w:val="24"/>
              </w:rPr>
              <w:br/>
              <w:t>:</w:t>
            </w:r>
            <w:r w:rsidRPr="00441505">
              <w:rPr>
                <w:rFonts w:eastAsia="Times New Roman"/>
                <w:b/>
                <w:szCs w:val="24"/>
              </w:rPr>
              <w:br/>
              <w:t>:</w:t>
            </w:r>
            <w:r w:rsidRPr="00441505">
              <w:rPr>
                <w:rFonts w:eastAsia="Times New Roman"/>
                <w:b/>
                <w:szCs w:val="24"/>
              </w:rPr>
              <w:br/>
              <w:t>:</w:t>
            </w:r>
          </w:p>
          <w:p w:rsidR="00441505" w:rsidRPr="00441505" w:rsidRDefault="00441505" w:rsidP="002A28EA">
            <w:pPr>
              <w:spacing w:after="0" w:line="240" w:lineRule="auto"/>
              <w:jc w:val="center"/>
              <w:rPr>
                <w:rFonts w:eastAsia="Times New Roman"/>
                <w:b/>
                <w:szCs w:val="24"/>
              </w:rPr>
            </w:pPr>
            <w:r w:rsidRPr="00441505">
              <w:rPr>
                <w:rFonts w:eastAsia="Times New Roman"/>
                <w:b/>
                <w:szCs w:val="24"/>
              </w:rPr>
              <w:t>:</w:t>
            </w:r>
          </w:p>
          <w:p w:rsidR="00441505" w:rsidRPr="00441505" w:rsidRDefault="00441505" w:rsidP="002A28EA">
            <w:pPr>
              <w:spacing w:after="0" w:line="240" w:lineRule="auto"/>
              <w:jc w:val="center"/>
              <w:rPr>
                <w:rFonts w:eastAsia="Times New Roman"/>
                <w:b/>
                <w:szCs w:val="24"/>
              </w:rPr>
            </w:pPr>
            <w:r w:rsidRPr="00441505">
              <w:rPr>
                <w:rFonts w:eastAsia="Times New Roman"/>
                <w:b/>
                <w:szCs w:val="24"/>
              </w:rPr>
              <w:t>:</w:t>
            </w:r>
          </w:p>
          <w:p w:rsidR="00441505" w:rsidRPr="00441505" w:rsidRDefault="00441505" w:rsidP="002A28EA">
            <w:pPr>
              <w:spacing w:after="0" w:line="240" w:lineRule="auto"/>
              <w:jc w:val="center"/>
              <w:rPr>
                <w:rFonts w:eastAsia="Times New Roman"/>
                <w:b/>
                <w:szCs w:val="24"/>
              </w:rPr>
            </w:pPr>
            <w:r w:rsidRPr="00441505">
              <w:rPr>
                <w:rFonts w:eastAsia="Times New Roman"/>
                <w:b/>
                <w:szCs w:val="24"/>
              </w:rPr>
              <w:t>:</w:t>
            </w:r>
          </w:p>
          <w:p w:rsidR="00441505" w:rsidRPr="00441505" w:rsidRDefault="00441505" w:rsidP="002A28EA">
            <w:pPr>
              <w:spacing w:after="0" w:line="240" w:lineRule="auto"/>
              <w:jc w:val="center"/>
              <w:rPr>
                <w:rFonts w:eastAsia="Times New Roman"/>
                <w:b/>
                <w:szCs w:val="24"/>
              </w:rPr>
            </w:pPr>
            <w:r w:rsidRPr="00441505">
              <w:rPr>
                <w:rFonts w:eastAsia="Times New Roman"/>
                <w:b/>
                <w:szCs w:val="24"/>
              </w:rPr>
              <w:t>:</w:t>
            </w:r>
          </w:p>
          <w:p w:rsidR="00441505" w:rsidRPr="00441505" w:rsidRDefault="00441505" w:rsidP="002A28EA">
            <w:pPr>
              <w:spacing w:after="0" w:line="240" w:lineRule="auto"/>
              <w:jc w:val="center"/>
              <w:rPr>
                <w:rFonts w:eastAsia="Times New Roman"/>
                <w:b/>
                <w:szCs w:val="24"/>
              </w:rPr>
            </w:pPr>
            <w:r w:rsidRPr="00441505">
              <w:rPr>
                <w:rFonts w:eastAsia="Times New Roman"/>
                <w:b/>
                <w:szCs w:val="24"/>
              </w:rPr>
              <w:t>:</w:t>
            </w:r>
          </w:p>
          <w:p w:rsidR="00441505" w:rsidRPr="00441505" w:rsidRDefault="00441505" w:rsidP="002A28EA">
            <w:pPr>
              <w:spacing w:after="0" w:line="240" w:lineRule="auto"/>
              <w:jc w:val="center"/>
              <w:rPr>
                <w:rFonts w:eastAsia="Times New Roman"/>
                <w:b/>
                <w:szCs w:val="24"/>
              </w:rPr>
            </w:pPr>
            <w:r w:rsidRPr="00441505">
              <w:rPr>
                <w:rFonts w:eastAsia="Times New Roman"/>
                <w:b/>
                <w:szCs w:val="24"/>
              </w:rPr>
              <w:t>:</w:t>
            </w:r>
          </w:p>
          <w:p w:rsidR="00441505" w:rsidRPr="00441505" w:rsidRDefault="00441505" w:rsidP="002A28EA">
            <w:pPr>
              <w:spacing w:after="0" w:line="240" w:lineRule="auto"/>
              <w:jc w:val="center"/>
              <w:rPr>
                <w:rFonts w:eastAsia="Times New Roman"/>
                <w:b/>
                <w:szCs w:val="24"/>
              </w:rPr>
            </w:pPr>
            <w:r w:rsidRPr="00441505">
              <w:rPr>
                <w:rFonts w:eastAsia="Times New Roman"/>
                <w:b/>
                <w:szCs w:val="24"/>
              </w:rPr>
              <w:t>:</w:t>
            </w:r>
          </w:p>
          <w:p w:rsidR="00441505" w:rsidRPr="00441505" w:rsidRDefault="00441505" w:rsidP="002A28EA">
            <w:pPr>
              <w:spacing w:after="0" w:line="240" w:lineRule="auto"/>
              <w:jc w:val="center"/>
              <w:rPr>
                <w:rFonts w:eastAsia="Times New Roman"/>
                <w:b/>
                <w:szCs w:val="24"/>
              </w:rPr>
            </w:pPr>
            <w:r w:rsidRPr="00441505">
              <w:rPr>
                <w:rFonts w:eastAsia="Times New Roman"/>
                <w:b/>
                <w:szCs w:val="24"/>
              </w:rPr>
              <w:t>:</w:t>
            </w:r>
          </w:p>
          <w:p w:rsidR="00441505" w:rsidRPr="00441505" w:rsidRDefault="00441505" w:rsidP="002A28EA">
            <w:pPr>
              <w:spacing w:after="0" w:line="240" w:lineRule="auto"/>
              <w:jc w:val="center"/>
              <w:rPr>
                <w:rFonts w:eastAsia="Times New Roman"/>
                <w:b/>
                <w:szCs w:val="24"/>
              </w:rPr>
            </w:pPr>
            <w:r w:rsidRPr="00441505">
              <w:rPr>
                <w:rFonts w:eastAsia="Times New Roman"/>
                <w:b/>
                <w:szCs w:val="24"/>
              </w:rPr>
              <w:t>:</w:t>
            </w:r>
          </w:p>
          <w:p w:rsidR="00441505" w:rsidRPr="00441505" w:rsidRDefault="00441505" w:rsidP="002A28EA">
            <w:pPr>
              <w:spacing w:after="0" w:line="240" w:lineRule="auto"/>
              <w:jc w:val="center"/>
              <w:rPr>
                <w:rFonts w:eastAsia="Times New Roman"/>
                <w:b/>
                <w:szCs w:val="24"/>
              </w:rPr>
            </w:pPr>
            <w:r w:rsidRPr="00441505">
              <w:rPr>
                <w:rFonts w:eastAsia="Times New Roman"/>
                <w:b/>
                <w:szCs w:val="24"/>
              </w:rPr>
              <w:t>:</w:t>
            </w:r>
          </w:p>
          <w:p w:rsidR="00441505" w:rsidRPr="00441505" w:rsidRDefault="00441505" w:rsidP="002A28EA">
            <w:pPr>
              <w:spacing w:after="0" w:line="240" w:lineRule="auto"/>
              <w:jc w:val="center"/>
              <w:rPr>
                <w:rFonts w:eastAsia="Times New Roman"/>
                <w:b/>
                <w:szCs w:val="24"/>
              </w:rPr>
            </w:pPr>
            <w:r w:rsidRPr="00441505">
              <w:rPr>
                <w:rFonts w:eastAsia="Times New Roman"/>
                <w:b/>
                <w:szCs w:val="24"/>
              </w:rPr>
              <w:t>:</w:t>
            </w:r>
          </w:p>
        </w:tc>
        <w:tc>
          <w:tcPr>
            <w:tcW w:w="4608" w:type="dxa"/>
          </w:tcPr>
          <w:p w:rsidR="00441505" w:rsidRPr="00441505" w:rsidRDefault="00441505" w:rsidP="002A28EA">
            <w:pPr>
              <w:spacing w:after="0" w:line="240" w:lineRule="auto"/>
              <w:ind w:left="1512" w:hanging="1440"/>
              <w:rPr>
                <w:rFonts w:eastAsia="Times New Roman"/>
                <w:szCs w:val="24"/>
              </w:rPr>
            </w:pPr>
            <w:r w:rsidRPr="00441505">
              <w:rPr>
                <w:rFonts w:eastAsia="Times New Roman"/>
                <w:szCs w:val="24"/>
              </w:rPr>
              <w:t xml:space="preserve">    </w:t>
            </w:r>
            <w:r>
              <w:rPr>
                <w:rFonts w:eastAsia="Times New Roman"/>
                <w:szCs w:val="24"/>
              </w:rPr>
              <w:t xml:space="preserve">                    </w:t>
            </w:r>
            <w:r w:rsidRPr="00441505">
              <w:rPr>
                <w:rFonts w:eastAsia="Times New Roman"/>
                <w:szCs w:val="24"/>
              </w:rPr>
              <w:t>R-2013-2372129</w:t>
            </w:r>
          </w:p>
          <w:p w:rsidR="00441505" w:rsidRPr="00441505" w:rsidRDefault="00441505" w:rsidP="002A28EA">
            <w:pPr>
              <w:tabs>
                <w:tab w:val="left" w:pos="1512"/>
              </w:tabs>
              <w:spacing w:after="0" w:line="240" w:lineRule="auto"/>
              <w:ind w:left="1512"/>
              <w:rPr>
                <w:rFonts w:eastAsia="Times New Roman"/>
                <w:szCs w:val="24"/>
              </w:rPr>
            </w:pPr>
            <w:r w:rsidRPr="00441505">
              <w:rPr>
                <w:rFonts w:eastAsia="Times New Roman"/>
                <w:szCs w:val="24"/>
              </w:rPr>
              <w:t>C-2013-2379084</w:t>
            </w:r>
          </w:p>
          <w:p w:rsidR="00441505" w:rsidRPr="00441505" w:rsidRDefault="00441505" w:rsidP="002A28EA">
            <w:pPr>
              <w:tabs>
                <w:tab w:val="left" w:pos="1512"/>
              </w:tabs>
              <w:spacing w:after="0" w:line="240" w:lineRule="auto"/>
              <w:ind w:left="1512"/>
              <w:rPr>
                <w:rFonts w:eastAsia="Times New Roman"/>
                <w:szCs w:val="24"/>
              </w:rPr>
            </w:pPr>
            <w:r w:rsidRPr="00441505">
              <w:rPr>
                <w:rFonts w:eastAsia="Times New Roman"/>
                <w:szCs w:val="24"/>
              </w:rPr>
              <w:t>C-2013-2380474</w:t>
            </w:r>
          </w:p>
          <w:p w:rsidR="00441505" w:rsidRPr="00441505" w:rsidRDefault="00441505" w:rsidP="002A28EA">
            <w:pPr>
              <w:tabs>
                <w:tab w:val="left" w:pos="1512"/>
              </w:tabs>
              <w:spacing w:after="0" w:line="240" w:lineRule="auto"/>
              <w:ind w:left="1512"/>
              <w:rPr>
                <w:rFonts w:eastAsia="Times New Roman"/>
                <w:szCs w:val="24"/>
              </w:rPr>
            </w:pPr>
            <w:r w:rsidRPr="00441505">
              <w:rPr>
                <w:rFonts w:eastAsia="Times New Roman"/>
                <w:szCs w:val="24"/>
              </w:rPr>
              <w:t>C-2013-2383835</w:t>
            </w:r>
          </w:p>
          <w:p w:rsidR="00441505" w:rsidRPr="00441505" w:rsidRDefault="00441505" w:rsidP="002A28EA">
            <w:pPr>
              <w:tabs>
                <w:tab w:val="left" w:pos="1512"/>
              </w:tabs>
              <w:spacing w:after="0" w:line="240" w:lineRule="auto"/>
              <w:ind w:left="1512"/>
              <w:rPr>
                <w:rFonts w:eastAsia="Times New Roman"/>
                <w:szCs w:val="24"/>
              </w:rPr>
            </w:pPr>
            <w:r w:rsidRPr="00441505">
              <w:rPr>
                <w:rFonts w:eastAsia="Times New Roman"/>
                <w:szCs w:val="24"/>
              </w:rPr>
              <w:t>C-2013-2383980</w:t>
            </w:r>
          </w:p>
          <w:p w:rsidR="00441505" w:rsidRPr="00441505" w:rsidRDefault="00441505" w:rsidP="002A28EA">
            <w:pPr>
              <w:tabs>
                <w:tab w:val="left" w:pos="1512"/>
              </w:tabs>
              <w:spacing w:after="0" w:line="240" w:lineRule="auto"/>
              <w:ind w:left="1512"/>
              <w:rPr>
                <w:rFonts w:eastAsia="Times New Roman"/>
                <w:szCs w:val="24"/>
              </w:rPr>
            </w:pPr>
            <w:r w:rsidRPr="00441505">
              <w:rPr>
                <w:rFonts w:eastAsia="Times New Roman"/>
                <w:szCs w:val="24"/>
              </w:rPr>
              <w:t>C-2013-2385292</w:t>
            </w:r>
          </w:p>
          <w:p w:rsidR="00441505" w:rsidRPr="00441505" w:rsidRDefault="00441505" w:rsidP="002A28EA">
            <w:pPr>
              <w:tabs>
                <w:tab w:val="left" w:pos="1512"/>
              </w:tabs>
              <w:spacing w:after="0" w:line="240" w:lineRule="auto"/>
              <w:ind w:left="1512"/>
              <w:rPr>
                <w:rFonts w:eastAsia="Times New Roman"/>
                <w:szCs w:val="24"/>
              </w:rPr>
            </w:pPr>
            <w:r w:rsidRPr="00441505">
              <w:rPr>
                <w:rFonts w:eastAsia="Times New Roman"/>
                <w:szCs w:val="24"/>
              </w:rPr>
              <w:t>C-2013-2386037</w:t>
            </w:r>
          </w:p>
          <w:p w:rsidR="00441505" w:rsidRPr="00441505" w:rsidRDefault="00441505" w:rsidP="002A28EA">
            <w:pPr>
              <w:tabs>
                <w:tab w:val="left" w:pos="1512"/>
              </w:tabs>
              <w:spacing w:after="0" w:line="240" w:lineRule="auto"/>
              <w:ind w:left="1512"/>
              <w:rPr>
                <w:rFonts w:eastAsia="Times New Roman"/>
                <w:szCs w:val="24"/>
              </w:rPr>
            </w:pPr>
            <w:r w:rsidRPr="00441505">
              <w:rPr>
                <w:rFonts w:eastAsia="Times New Roman"/>
                <w:szCs w:val="24"/>
              </w:rPr>
              <w:t>C-2013-2386284</w:t>
            </w:r>
          </w:p>
          <w:p w:rsidR="00441505" w:rsidRPr="00441505" w:rsidRDefault="00441505" w:rsidP="002A28EA">
            <w:pPr>
              <w:tabs>
                <w:tab w:val="left" w:pos="1512"/>
              </w:tabs>
              <w:spacing w:after="0" w:line="240" w:lineRule="auto"/>
              <w:ind w:left="1512"/>
              <w:rPr>
                <w:rFonts w:eastAsia="Times New Roman"/>
                <w:szCs w:val="24"/>
              </w:rPr>
            </w:pPr>
            <w:r w:rsidRPr="00441505">
              <w:rPr>
                <w:rFonts w:eastAsia="Times New Roman"/>
                <w:szCs w:val="24"/>
              </w:rPr>
              <w:t>C-2013-2390562</w:t>
            </w:r>
          </w:p>
          <w:p w:rsidR="00441505" w:rsidRPr="00441505" w:rsidRDefault="00441505" w:rsidP="002A28EA">
            <w:pPr>
              <w:tabs>
                <w:tab w:val="left" w:pos="1512"/>
              </w:tabs>
              <w:spacing w:after="0" w:line="240" w:lineRule="auto"/>
              <w:ind w:left="1512"/>
              <w:rPr>
                <w:rFonts w:eastAsia="Times New Roman"/>
                <w:szCs w:val="24"/>
              </w:rPr>
            </w:pPr>
          </w:p>
          <w:p w:rsidR="00441505" w:rsidRPr="00441505" w:rsidRDefault="00441505" w:rsidP="002A28EA">
            <w:pPr>
              <w:tabs>
                <w:tab w:val="left" w:pos="1512"/>
              </w:tabs>
              <w:spacing w:after="0" w:line="240" w:lineRule="auto"/>
              <w:ind w:left="1512"/>
              <w:rPr>
                <w:rFonts w:eastAsia="Times New Roman"/>
                <w:szCs w:val="24"/>
              </w:rPr>
            </w:pPr>
          </w:p>
        </w:tc>
      </w:tr>
      <w:tr w:rsidR="00441505" w:rsidRPr="00441505" w:rsidTr="00154E3B">
        <w:tc>
          <w:tcPr>
            <w:tcW w:w="4428" w:type="dxa"/>
          </w:tcPr>
          <w:p w:rsidR="00441505" w:rsidRPr="00441505" w:rsidRDefault="00441505" w:rsidP="002A28EA">
            <w:pPr>
              <w:spacing w:after="0" w:line="240" w:lineRule="auto"/>
              <w:rPr>
                <w:rFonts w:eastAsia="Times New Roman"/>
                <w:szCs w:val="24"/>
              </w:rPr>
            </w:pPr>
          </w:p>
        </w:tc>
        <w:tc>
          <w:tcPr>
            <w:tcW w:w="540" w:type="dxa"/>
          </w:tcPr>
          <w:p w:rsidR="00441505" w:rsidRPr="00441505" w:rsidRDefault="00441505" w:rsidP="002A28EA">
            <w:pPr>
              <w:spacing w:after="0" w:line="240" w:lineRule="auto"/>
              <w:jc w:val="center"/>
              <w:rPr>
                <w:rFonts w:eastAsia="Times New Roman"/>
                <w:b/>
                <w:szCs w:val="24"/>
              </w:rPr>
            </w:pPr>
          </w:p>
        </w:tc>
        <w:tc>
          <w:tcPr>
            <w:tcW w:w="4608" w:type="dxa"/>
          </w:tcPr>
          <w:p w:rsidR="00441505" w:rsidRPr="00441505" w:rsidRDefault="00441505" w:rsidP="002A28EA">
            <w:pPr>
              <w:spacing w:after="0" w:line="240" w:lineRule="auto"/>
              <w:ind w:left="1512" w:hanging="1440"/>
              <w:rPr>
                <w:rFonts w:eastAsia="Times New Roman"/>
                <w:szCs w:val="24"/>
              </w:rPr>
            </w:pPr>
          </w:p>
        </w:tc>
      </w:tr>
    </w:tbl>
    <w:p w:rsidR="00441505" w:rsidRPr="00441505" w:rsidRDefault="00441505" w:rsidP="002A28EA">
      <w:pPr>
        <w:spacing w:after="0" w:line="240" w:lineRule="auto"/>
        <w:rPr>
          <w:rFonts w:eastAsia="Times New Roman"/>
          <w:szCs w:val="24"/>
        </w:rPr>
      </w:pPr>
    </w:p>
    <w:p w:rsidR="00441505" w:rsidRDefault="00441505" w:rsidP="002A28EA">
      <w:pPr>
        <w:spacing w:after="0" w:line="240" w:lineRule="auto"/>
        <w:rPr>
          <w:rFonts w:eastAsia="Times New Roman"/>
          <w:szCs w:val="24"/>
        </w:rPr>
      </w:pPr>
    </w:p>
    <w:p w:rsidR="00441505" w:rsidRDefault="00441505" w:rsidP="002A28EA">
      <w:pPr>
        <w:spacing w:after="0" w:line="240" w:lineRule="auto"/>
        <w:rPr>
          <w:rFonts w:eastAsia="Times New Roman"/>
          <w:szCs w:val="24"/>
        </w:rPr>
      </w:pPr>
    </w:p>
    <w:p w:rsidR="00441505" w:rsidRPr="00441505" w:rsidRDefault="00441505" w:rsidP="002A28EA">
      <w:pPr>
        <w:spacing w:after="0" w:line="240" w:lineRule="auto"/>
        <w:jc w:val="center"/>
        <w:rPr>
          <w:rFonts w:eastAsia="Times New Roman"/>
          <w:b/>
          <w:szCs w:val="24"/>
          <w:u w:val="single"/>
        </w:rPr>
      </w:pPr>
    </w:p>
    <w:p w:rsidR="00441505" w:rsidRPr="00441505" w:rsidRDefault="00441505" w:rsidP="002A28EA">
      <w:pPr>
        <w:spacing w:after="0" w:line="240" w:lineRule="auto"/>
        <w:jc w:val="center"/>
        <w:rPr>
          <w:rFonts w:eastAsia="Times New Roman"/>
          <w:b/>
          <w:szCs w:val="24"/>
          <w:u w:val="single"/>
        </w:rPr>
      </w:pPr>
    </w:p>
    <w:p w:rsidR="00441505" w:rsidRPr="00441505" w:rsidRDefault="00441505" w:rsidP="002A28EA">
      <w:pPr>
        <w:spacing w:after="0" w:line="240" w:lineRule="auto"/>
        <w:jc w:val="center"/>
        <w:rPr>
          <w:rFonts w:eastAsia="Times New Roman"/>
          <w:b/>
          <w:szCs w:val="24"/>
          <w:u w:val="single"/>
        </w:rPr>
      </w:pPr>
    </w:p>
    <w:p w:rsidR="00441505" w:rsidRPr="00441505" w:rsidRDefault="00441505" w:rsidP="002A28EA">
      <w:pPr>
        <w:spacing w:after="0" w:line="240" w:lineRule="auto"/>
        <w:jc w:val="center"/>
        <w:rPr>
          <w:rFonts w:eastAsia="Times New Roman"/>
          <w:szCs w:val="24"/>
        </w:rPr>
      </w:pPr>
      <w:r w:rsidRPr="00441505">
        <w:rPr>
          <w:rFonts w:eastAsia="Times New Roman"/>
          <w:b/>
          <w:szCs w:val="24"/>
          <w:u w:val="single"/>
        </w:rPr>
        <w:t>RECOMMENDED DECISION</w:t>
      </w:r>
    </w:p>
    <w:p w:rsidR="00441505" w:rsidRPr="00441505" w:rsidRDefault="00441505" w:rsidP="002A28EA">
      <w:pPr>
        <w:spacing w:after="0" w:line="240" w:lineRule="auto"/>
        <w:jc w:val="center"/>
        <w:rPr>
          <w:rFonts w:eastAsia="Times New Roman"/>
          <w:szCs w:val="24"/>
        </w:rPr>
      </w:pPr>
    </w:p>
    <w:p w:rsidR="00441505" w:rsidRPr="00441505" w:rsidRDefault="00441505" w:rsidP="002A28EA">
      <w:pPr>
        <w:spacing w:after="0" w:line="240" w:lineRule="auto"/>
        <w:jc w:val="center"/>
        <w:rPr>
          <w:rFonts w:eastAsia="Times New Roman"/>
          <w:szCs w:val="24"/>
        </w:rPr>
      </w:pPr>
    </w:p>
    <w:p w:rsidR="00441505" w:rsidRPr="00441505" w:rsidRDefault="00441505" w:rsidP="002A28EA">
      <w:pPr>
        <w:spacing w:after="0" w:line="240" w:lineRule="auto"/>
        <w:jc w:val="center"/>
        <w:rPr>
          <w:rFonts w:eastAsia="Times New Roman"/>
          <w:szCs w:val="24"/>
        </w:rPr>
      </w:pPr>
      <w:r w:rsidRPr="00441505">
        <w:rPr>
          <w:rFonts w:eastAsia="Times New Roman"/>
          <w:szCs w:val="24"/>
        </w:rPr>
        <w:t>Before</w:t>
      </w:r>
    </w:p>
    <w:p w:rsidR="00441505" w:rsidRPr="00441505" w:rsidRDefault="00441505" w:rsidP="002A28EA">
      <w:pPr>
        <w:spacing w:after="0" w:line="240" w:lineRule="auto"/>
        <w:jc w:val="center"/>
        <w:rPr>
          <w:rFonts w:eastAsia="Times New Roman"/>
          <w:szCs w:val="24"/>
        </w:rPr>
      </w:pPr>
      <w:r w:rsidRPr="00441505">
        <w:rPr>
          <w:rFonts w:eastAsia="Times New Roman"/>
          <w:szCs w:val="24"/>
        </w:rPr>
        <w:t>Conrad A. Johnson</w:t>
      </w:r>
    </w:p>
    <w:p w:rsidR="00375510" w:rsidRDefault="00441505" w:rsidP="002A28EA">
      <w:pPr>
        <w:spacing w:after="0" w:line="240" w:lineRule="auto"/>
        <w:jc w:val="center"/>
        <w:rPr>
          <w:rFonts w:eastAsia="Times New Roman"/>
          <w:szCs w:val="24"/>
        </w:rPr>
        <w:sectPr w:rsidR="00375510" w:rsidSect="002A28EA">
          <w:footerReference w:type="even" r:id="rId9"/>
          <w:footerReference w:type="default" r:id="rId10"/>
          <w:footerReference w:type="first" r:id="rId11"/>
          <w:pgSz w:w="12240" w:h="15840"/>
          <w:pgMar w:top="1440" w:right="1440" w:bottom="1440" w:left="1440" w:header="720" w:footer="720" w:gutter="0"/>
          <w:cols w:space="720"/>
          <w:titlePg/>
          <w:docGrid w:linePitch="360"/>
        </w:sectPr>
      </w:pPr>
      <w:r w:rsidRPr="00441505">
        <w:rPr>
          <w:rFonts w:eastAsia="Times New Roman"/>
          <w:szCs w:val="24"/>
        </w:rPr>
        <w:t>Administrative Law Judge</w:t>
      </w:r>
    </w:p>
    <w:p w:rsidR="00441505" w:rsidRPr="00441505" w:rsidRDefault="00441505" w:rsidP="00154E3B">
      <w:pPr>
        <w:tabs>
          <w:tab w:val="left" w:pos="720"/>
          <w:tab w:val="left" w:pos="1440"/>
          <w:tab w:val="left" w:pos="2160"/>
          <w:tab w:val="center" w:pos="4680"/>
        </w:tabs>
        <w:spacing w:after="0" w:line="360" w:lineRule="auto"/>
        <w:jc w:val="center"/>
        <w:rPr>
          <w:rFonts w:eastAsia="Times New Roman"/>
          <w:b/>
          <w:szCs w:val="24"/>
          <w:u w:val="single"/>
        </w:rPr>
      </w:pPr>
      <w:r w:rsidRPr="00441505">
        <w:rPr>
          <w:rFonts w:eastAsia="Times New Roman"/>
          <w:b/>
          <w:szCs w:val="24"/>
          <w:u w:val="single"/>
        </w:rPr>
        <w:lastRenderedPageBreak/>
        <w:t>TABLE OF CONTENTS</w:t>
      </w:r>
    </w:p>
    <w:p w:rsidR="00441505" w:rsidRPr="00441505" w:rsidRDefault="00441505" w:rsidP="00154E3B">
      <w:pPr>
        <w:tabs>
          <w:tab w:val="left" w:pos="720"/>
          <w:tab w:val="left" w:pos="1440"/>
          <w:tab w:val="left" w:pos="2160"/>
        </w:tabs>
        <w:spacing w:after="0" w:line="360" w:lineRule="auto"/>
        <w:rPr>
          <w:rFonts w:eastAsia="Times New Roman"/>
          <w:szCs w:val="24"/>
        </w:rPr>
      </w:pPr>
    </w:p>
    <w:p w:rsidR="00BB3621" w:rsidRDefault="00BB3621" w:rsidP="00BB3621">
      <w:pPr>
        <w:tabs>
          <w:tab w:val="left" w:pos="720"/>
          <w:tab w:val="left" w:pos="1440"/>
          <w:tab w:val="right" w:leader="dot" w:pos="9360"/>
        </w:tabs>
        <w:spacing w:after="0" w:line="360" w:lineRule="auto"/>
        <w:rPr>
          <w:rFonts w:eastAsia="Times New Roman"/>
          <w:szCs w:val="24"/>
        </w:rPr>
      </w:pPr>
      <w:r>
        <w:rPr>
          <w:rFonts w:eastAsia="Times New Roman"/>
          <w:szCs w:val="24"/>
        </w:rPr>
        <w:tab/>
        <w:t>Introduction</w:t>
      </w:r>
      <w:r>
        <w:rPr>
          <w:rFonts w:eastAsia="Times New Roman"/>
          <w:szCs w:val="24"/>
        </w:rPr>
        <w:tab/>
      </w:r>
      <w:r w:rsidR="001237DB">
        <w:rPr>
          <w:rFonts w:eastAsia="Times New Roman"/>
          <w:szCs w:val="24"/>
        </w:rPr>
        <w:t>1</w:t>
      </w:r>
    </w:p>
    <w:p w:rsidR="00441505" w:rsidRPr="00441505" w:rsidRDefault="00441505" w:rsidP="00154E3B">
      <w:pPr>
        <w:tabs>
          <w:tab w:val="left" w:pos="720"/>
          <w:tab w:val="left" w:pos="1440"/>
          <w:tab w:val="left" w:pos="2160"/>
          <w:tab w:val="right" w:leader="dot" w:pos="9360"/>
        </w:tabs>
        <w:spacing w:after="0" w:line="360" w:lineRule="auto"/>
        <w:rPr>
          <w:rFonts w:eastAsia="Times New Roman"/>
          <w:szCs w:val="24"/>
        </w:rPr>
      </w:pPr>
      <w:r w:rsidRPr="00441505">
        <w:rPr>
          <w:rFonts w:eastAsia="Times New Roman"/>
          <w:szCs w:val="24"/>
        </w:rPr>
        <w:t>I.</w:t>
      </w:r>
      <w:r w:rsidRPr="00441505">
        <w:rPr>
          <w:rFonts w:eastAsia="Times New Roman"/>
          <w:szCs w:val="24"/>
        </w:rPr>
        <w:tab/>
      </w:r>
      <w:r w:rsidRPr="00441505">
        <w:rPr>
          <w:rFonts w:eastAsia="Times New Roman"/>
          <w:caps/>
          <w:szCs w:val="24"/>
        </w:rPr>
        <w:t>HISTORY OF THE PROCEEDING</w:t>
      </w:r>
      <w:r w:rsidRPr="00441505">
        <w:rPr>
          <w:rFonts w:eastAsia="Times New Roman"/>
          <w:szCs w:val="24"/>
        </w:rPr>
        <w:tab/>
        <w:t>1</w:t>
      </w:r>
    </w:p>
    <w:p w:rsidR="00154E3B" w:rsidRDefault="00154E3B" w:rsidP="00154E3B">
      <w:pPr>
        <w:tabs>
          <w:tab w:val="left" w:pos="720"/>
          <w:tab w:val="left" w:pos="1440"/>
          <w:tab w:val="left" w:pos="2160"/>
          <w:tab w:val="right" w:leader="dot" w:pos="9360"/>
        </w:tabs>
        <w:spacing w:after="0" w:line="360" w:lineRule="auto"/>
        <w:rPr>
          <w:szCs w:val="24"/>
        </w:rPr>
      </w:pPr>
      <w:r w:rsidRPr="0017264E">
        <w:rPr>
          <w:szCs w:val="24"/>
        </w:rPr>
        <w:t>II</w:t>
      </w:r>
      <w:r w:rsidR="00757FAF">
        <w:rPr>
          <w:szCs w:val="24"/>
        </w:rPr>
        <w:t>.</w:t>
      </w:r>
      <w:r w:rsidR="00757FAF">
        <w:rPr>
          <w:szCs w:val="24"/>
        </w:rPr>
        <w:tab/>
        <w:t>DESCRIPTION AND TERMS OF NON-</w:t>
      </w:r>
      <w:r w:rsidRPr="0017264E">
        <w:rPr>
          <w:szCs w:val="24"/>
        </w:rPr>
        <w:t xml:space="preserve">UNANIMOUS SETTLEMENT </w:t>
      </w:r>
      <w:r w:rsidRPr="0017264E">
        <w:rPr>
          <w:szCs w:val="24"/>
        </w:rPr>
        <w:tab/>
      </w:r>
      <w:r w:rsidR="000264D5">
        <w:rPr>
          <w:szCs w:val="24"/>
        </w:rPr>
        <w:t>10</w:t>
      </w:r>
    </w:p>
    <w:p w:rsidR="00154E3B" w:rsidRDefault="00154E3B" w:rsidP="00154E3B">
      <w:pPr>
        <w:tabs>
          <w:tab w:val="left" w:pos="720"/>
          <w:tab w:val="left" w:pos="1440"/>
          <w:tab w:val="left" w:pos="2160"/>
          <w:tab w:val="right" w:leader="dot" w:pos="9360"/>
        </w:tabs>
        <w:spacing w:after="0" w:line="360" w:lineRule="auto"/>
        <w:rPr>
          <w:szCs w:val="24"/>
        </w:rPr>
      </w:pPr>
      <w:r>
        <w:rPr>
          <w:szCs w:val="24"/>
        </w:rPr>
        <w:t>III.</w:t>
      </w:r>
      <w:r>
        <w:rPr>
          <w:szCs w:val="24"/>
        </w:rPr>
        <w:tab/>
        <w:t>CONTESTED ISSUE:  DUQUESNE LIGHT’S RIDER NO. 18</w:t>
      </w:r>
      <w:r>
        <w:rPr>
          <w:szCs w:val="24"/>
        </w:rPr>
        <w:tab/>
        <w:t>1</w:t>
      </w:r>
      <w:r w:rsidR="000264D5">
        <w:rPr>
          <w:szCs w:val="24"/>
        </w:rPr>
        <w:t>5</w:t>
      </w:r>
    </w:p>
    <w:p w:rsidR="00154E3B" w:rsidRDefault="00154E3B" w:rsidP="00154E3B">
      <w:pPr>
        <w:tabs>
          <w:tab w:val="left" w:pos="720"/>
          <w:tab w:val="left" w:pos="1440"/>
          <w:tab w:val="left" w:pos="2160"/>
          <w:tab w:val="right" w:leader="dot" w:pos="9360"/>
        </w:tabs>
        <w:spacing w:after="0" w:line="360" w:lineRule="auto"/>
        <w:rPr>
          <w:szCs w:val="24"/>
        </w:rPr>
      </w:pPr>
      <w:r w:rsidRPr="0017264E">
        <w:rPr>
          <w:szCs w:val="24"/>
        </w:rPr>
        <w:tab/>
        <w:t>A.</w:t>
      </w:r>
      <w:r w:rsidRPr="0017264E">
        <w:rPr>
          <w:szCs w:val="24"/>
        </w:rPr>
        <w:tab/>
      </w:r>
      <w:r>
        <w:rPr>
          <w:szCs w:val="24"/>
        </w:rPr>
        <w:t>NRG’s Complaint and Duquesne Light’s Answer</w:t>
      </w:r>
      <w:r>
        <w:rPr>
          <w:szCs w:val="24"/>
        </w:rPr>
        <w:tab/>
        <w:t>1</w:t>
      </w:r>
      <w:r w:rsidR="000264D5">
        <w:rPr>
          <w:szCs w:val="24"/>
        </w:rPr>
        <w:t>5</w:t>
      </w:r>
    </w:p>
    <w:p w:rsidR="00154E3B" w:rsidRDefault="00154E3B" w:rsidP="00154E3B">
      <w:pPr>
        <w:tabs>
          <w:tab w:val="left" w:pos="720"/>
          <w:tab w:val="left" w:pos="1440"/>
          <w:tab w:val="left" w:pos="2160"/>
          <w:tab w:val="right" w:leader="dot" w:pos="9360"/>
        </w:tabs>
        <w:spacing w:after="0" w:line="360" w:lineRule="auto"/>
        <w:rPr>
          <w:szCs w:val="24"/>
        </w:rPr>
      </w:pPr>
      <w:r w:rsidRPr="0017264E">
        <w:rPr>
          <w:szCs w:val="24"/>
        </w:rPr>
        <w:tab/>
      </w:r>
      <w:r>
        <w:rPr>
          <w:szCs w:val="24"/>
        </w:rPr>
        <w:t>B</w:t>
      </w:r>
      <w:r w:rsidRPr="0017264E">
        <w:rPr>
          <w:szCs w:val="24"/>
        </w:rPr>
        <w:t>.</w:t>
      </w:r>
      <w:r w:rsidRPr="0017264E">
        <w:rPr>
          <w:szCs w:val="24"/>
        </w:rPr>
        <w:tab/>
      </w:r>
      <w:r>
        <w:rPr>
          <w:szCs w:val="24"/>
        </w:rPr>
        <w:t>Rider No. 18 Dispute</w:t>
      </w:r>
      <w:r>
        <w:rPr>
          <w:szCs w:val="24"/>
        </w:rPr>
        <w:tab/>
      </w:r>
      <w:r w:rsidR="001237DB">
        <w:rPr>
          <w:szCs w:val="24"/>
        </w:rPr>
        <w:t>1</w:t>
      </w:r>
      <w:r w:rsidR="000264D5">
        <w:rPr>
          <w:szCs w:val="24"/>
        </w:rPr>
        <w:t>7</w:t>
      </w:r>
    </w:p>
    <w:p w:rsidR="00154E3B" w:rsidRPr="0017264E" w:rsidRDefault="00154E3B" w:rsidP="00154E3B">
      <w:pPr>
        <w:tabs>
          <w:tab w:val="left" w:pos="720"/>
          <w:tab w:val="left" w:pos="1440"/>
          <w:tab w:val="right" w:leader="dot" w:pos="9360"/>
        </w:tabs>
        <w:spacing w:after="0" w:line="360" w:lineRule="auto"/>
        <w:rPr>
          <w:szCs w:val="24"/>
        </w:rPr>
      </w:pPr>
      <w:r w:rsidRPr="0017264E">
        <w:rPr>
          <w:szCs w:val="24"/>
        </w:rPr>
        <w:t>I</w:t>
      </w:r>
      <w:r>
        <w:rPr>
          <w:szCs w:val="24"/>
        </w:rPr>
        <w:t>V</w:t>
      </w:r>
      <w:r w:rsidRPr="0017264E">
        <w:rPr>
          <w:szCs w:val="24"/>
        </w:rPr>
        <w:t>.</w:t>
      </w:r>
      <w:r w:rsidRPr="0017264E">
        <w:rPr>
          <w:szCs w:val="24"/>
        </w:rPr>
        <w:tab/>
        <w:t>FINDINGS OF FACT</w:t>
      </w:r>
      <w:r w:rsidRPr="0017264E">
        <w:rPr>
          <w:szCs w:val="24"/>
        </w:rPr>
        <w:tab/>
      </w:r>
      <w:r w:rsidR="001237DB">
        <w:rPr>
          <w:szCs w:val="24"/>
        </w:rPr>
        <w:t>1</w:t>
      </w:r>
      <w:r w:rsidR="000264D5">
        <w:rPr>
          <w:szCs w:val="24"/>
        </w:rPr>
        <w:t>8</w:t>
      </w:r>
    </w:p>
    <w:p w:rsidR="00154E3B" w:rsidRPr="0017264E" w:rsidRDefault="00154E3B" w:rsidP="00154E3B">
      <w:pPr>
        <w:tabs>
          <w:tab w:val="left" w:pos="720"/>
          <w:tab w:val="left" w:pos="1440"/>
          <w:tab w:val="right" w:leader="dot" w:pos="9360"/>
        </w:tabs>
        <w:spacing w:after="0" w:line="360" w:lineRule="auto"/>
        <w:rPr>
          <w:szCs w:val="24"/>
        </w:rPr>
      </w:pPr>
      <w:r w:rsidRPr="0017264E">
        <w:rPr>
          <w:szCs w:val="24"/>
        </w:rPr>
        <w:t>V.</w:t>
      </w:r>
      <w:r w:rsidRPr="0017264E">
        <w:rPr>
          <w:szCs w:val="24"/>
        </w:rPr>
        <w:tab/>
        <w:t>DISCUSSION</w:t>
      </w:r>
      <w:r w:rsidRPr="0017264E">
        <w:rPr>
          <w:szCs w:val="24"/>
        </w:rPr>
        <w:tab/>
      </w:r>
      <w:r w:rsidR="001237DB">
        <w:rPr>
          <w:szCs w:val="24"/>
        </w:rPr>
        <w:t>2</w:t>
      </w:r>
      <w:r w:rsidR="000264D5">
        <w:rPr>
          <w:szCs w:val="24"/>
        </w:rPr>
        <w:t>1</w:t>
      </w:r>
    </w:p>
    <w:p w:rsidR="00154E3B" w:rsidRPr="0017264E" w:rsidRDefault="00154E3B" w:rsidP="00154E3B">
      <w:pPr>
        <w:tabs>
          <w:tab w:val="left" w:pos="720"/>
          <w:tab w:val="left" w:pos="1440"/>
          <w:tab w:val="right" w:leader="dot" w:pos="9360"/>
        </w:tabs>
        <w:spacing w:after="0" w:line="360" w:lineRule="auto"/>
        <w:rPr>
          <w:szCs w:val="24"/>
        </w:rPr>
      </w:pPr>
      <w:r w:rsidRPr="0017264E">
        <w:rPr>
          <w:szCs w:val="24"/>
        </w:rPr>
        <w:tab/>
        <w:t>A.</w:t>
      </w:r>
      <w:r w:rsidRPr="0017264E">
        <w:rPr>
          <w:szCs w:val="24"/>
        </w:rPr>
        <w:tab/>
        <w:t>Applicable Legal Principles</w:t>
      </w:r>
      <w:r w:rsidRPr="0017264E">
        <w:rPr>
          <w:szCs w:val="24"/>
        </w:rPr>
        <w:tab/>
      </w:r>
      <w:r w:rsidR="001237DB">
        <w:rPr>
          <w:szCs w:val="24"/>
        </w:rPr>
        <w:t>2</w:t>
      </w:r>
      <w:r w:rsidR="000264D5">
        <w:rPr>
          <w:szCs w:val="24"/>
        </w:rPr>
        <w:t>1</w:t>
      </w:r>
      <w:r w:rsidRPr="0017264E">
        <w:rPr>
          <w:szCs w:val="24"/>
        </w:rPr>
        <w:tab/>
      </w:r>
    </w:p>
    <w:p w:rsidR="00154E3B" w:rsidRPr="0017264E" w:rsidRDefault="00154E3B" w:rsidP="00154E3B">
      <w:pPr>
        <w:tabs>
          <w:tab w:val="left" w:pos="720"/>
          <w:tab w:val="left" w:pos="1440"/>
          <w:tab w:val="left" w:pos="2160"/>
          <w:tab w:val="right" w:leader="dot" w:pos="9360"/>
        </w:tabs>
        <w:spacing w:after="0" w:line="360" w:lineRule="auto"/>
        <w:rPr>
          <w:szCs w:val="24"/>
        </w:rPr>
      </w:pPr>
      <w:r w:rsidRPr="0017264E">
        <w:rPr>
          <w:szCs w:val="24"/>
        </w:rPr>
        <w:tab/>
      </w:r>
      <w:r w:rsidRPr="0017264E">
        <w:rPr>
          <w:szCs w:val="24"/>
        </w:rPr>
        <w:tab/>
        <w:t>1.</w:t>
      </w:r>
      <w:r w:rsidRPr="0017264E">
        <w:rPr>
          <w:szCs w:val="24"/>
        </w:rPr>
        <w:tab/>
        <w:t>Commission Policy of Settlements</w:t>
      </w:r>
      <w:r w:rsidRPr="0017264E">
        <w:rPr>
          <w:szCs w:val="24"/>
        </w:rPr>
        <w:tab/>
      </w:r>
      <w:r w:rsidR="001237DB">
        <w:rPr>
          <w:szCs w:val="24"/>
        </w:rPr>
        <w:t>2</w:t>
      </w:r>
      <w:r w:rsidR="000264D5">
        <w:rPr>
          <w:szCs w:val="24"/>
        </w:rPr>
        <w:t>1</w:t>
      </w:r>
    </w:p>
    <w:p w:rsidR="00154E3B" w:rsidRPr="0017264E" w:rsidRDefault="00154E3B" w:rsidP="00154E3B">
      <w:pPr>
        <w:tabs>
          <w:tab w:val="left" w:pos="720"/>
          <w:tab w:val="left" w:pos="1440"/>
          <w:tab w:val="left" w:pos="2160"/>
          <w:tab w:val="right" w:leader="dot" w:pos="9360"/>
        </w:tabs>
        <w:spacing w:after="0" w:line="360" w:lineRule="auto"/>
        <w:rPr>
          <w:szCs w:val="24"/>
        </w:rPr>
      </w:pPr>
      <w:r w:rsidRPr="0017264E">
        <w:rPr>
          <w:szCs w:val="24"/>
        </w:rPr>
        <w:tab/>
      </w:r>
      <w:r w:rsidRPr="0017264E">
        <w:rPr>
          <w:szCs w:val="24"/>
        </w:rPr>
        <w:tab/>
      </w:r>
      <w:r w:rsidR="000264D5">
        <w:rPr>
          <w:szCs w:val="24"/>
        </w:rPr>
        <w:t>2</w:t>
      </w:r>
      <w:r w:rsidRPr="0017264E">
        <w:rPr>
          <w:szCs w:val="24"/>
        </w:rPr>
        <w:t>.</w:t>
      </w:r>
      <w:r w:rsidRPr="0017264E">
        <w:rPr>
          <w:szCs w:val="24"/>
        </w:rPr>
        <w:tab/>
        <w:t>Burden of Proof</w:t>
      </w:r>
      <w:r w:rsidRPr="0017264E">
        <w:rPr>
          <w:szCs w:val="24"/>
        </w:rPr>
        <w:tab/>
      </w:r>
      <w:r w:rsidR="001237DB">
        <w:rPr>
          <w:szCs w:val="24"/>
        </w:rPr>
        <w:t>2</w:t>
      </w:r>
      <w:r w:rsidR="000264D5">
        <w:rPr>
          <w:szCs w:val="24"/>
        </w:rPr>
        <w:t>2</w:t>
      </w:r>
    </w:p>
    <w:p w:rsidR="00154E3B" w:rsidRPr="0017264E" w:rsidRDefault="00154E3B" w:rsidP="00154E3B">
      <w:pPr>
        <w:tabs>
          <w:tab w:val="left" w:pos="720"/>
          <w:tab w:val="left" w:pos="1440"/>
          <w:tab w:val="left" w:pos="2160"/>
          <w:tab w:val="right" w:leader="dot" w:pos="9360"/>
        </w:tabs>
        <w:spacing w:after="0" w:line="240" w:lineRule="auto"/>
        <w:rPr>
          <w:szCs w:val="24"/>
        </w:rPr>
      </w:pPr>
      <w:r w:rsidRPr="0017264E">
        <w:rPr>
          <w:szCs w:val="24"/>
        </w:rPr>
        <w:t>VI.</w:t>
      </w:r>
      <w:r w:rsidRPr="0017264E">
        <w:rPr>
          <w:szCs w:val="24"/>
        </w:rPr>
        <w:tab/>
        <w:t xml:space="preserve">STATEMENTS OF THE SETTLING PARTIES IN SUPPORT OF THE </w:t>
      </w:r>
    </w:p>
    <w:p w:rsidR="00154E3B" w:rsidRDefault="00154E3B" w:rsidP="00154E3B">
      <w:pPr>
        <w:tabs>
          <w:tab w:val="left" w:pos="720"/>
          <w:tab w:val="left" w:pos="1440"/>
          <w:tab w:val="left" w:pos="2160"/>
          <w:tab w:val="right" w:leader="dot" w:pos="9360"/>
        </w:tabs>
        <w:spacing w:after="0" w:line="360" w:lineRule="auto"/>
        <w:rPr>
          <w:szCs w:val="24"/>
        </w:rPr>
      </w:pPr>
      <w:r w:rsidRPr="0017264E">
        <w:rPr>
          <w:szCs w:val="24"/>
        </w:rPr>
        <w:tab/>
        <w:t>SETTLEMENT</w:t>
      </w:r>
      <w:r w:rsidRPr="0017264E">
        <w:rPr>
          <w:szCs w:val="24"/>
        </w:rPr>
        <w:tab/>
      </w:r>
      <w:r w:rsidR="001237DB">
        <w:rPr>
          <w:szCs w:val="24"/>
        </w:rPr>
        <w:t>2</w:t>
      </w:r>
      <w:r w:rsidR="00466D5D">
        <w:rPr>
          <w:szCs w:val="24"/>
        </w:rPr>
        <w:t>3</w:t>
      </w:r>
    </w:p>
    <w:p w:rsidR="00154E3B" w:rsidRPr="00757FAF" w:rsidRDefault="00154E3B" w:rsidP="00757FAF">
      <w:pPr>
        <w:pStyle w:val="ListParagraph"/>
        <w:numPr>
          <w:ilvl w:val="0"/>
          <w:numId w:val="10"/>
        </w:numPr>
        <w:tabs>
          <w:tab w:val="left" w:pos="720"/>
          <w:tab w:val="left" w:pos="1440"/>
          <w:tab w:val="left" w:pos="2160"/>
          <w:tab w:val="right" w:leader="dot" w:pos="9360"/>
        </w:tabs>
        <w:spacing w:after="0" w:line="360" w:lineRule="auto"/>
        <w:ind w:left="1440" w:hanging="720"/>
        <w:rPr>
          <w:szCs w:val="24"/>
        </w:rPr>
      </w:pPr>
      <w:r w:rsidRPr="00757FAF">
        <w:rPr>
          <w:szCs w:val="24"/>
        </w:rPr>
        <w:t>Duquesne Light’s Position</w:t>
      </w:r>
      <w:r w:rsidRPr="00757FAF">
        <w:rPr>
          <w:szCs w:val="24"/>
        </w:rPr>
        <w:tab/>
      </w:r>
      <w:r w:rsidR="001237DB">
        <w:rPr>
          <w:szCs w:val="24"/>
        </w:rPr>
        <w:t>2</w:t>
      </w:r>
      <w:r w:rsidR="00466D5D">
        <w:rPr>
          <w:szCs w:val="24"/>
        </w:rPr>
        <w:t>3</w:t>
      </w:r>
    </w:p>
    <w:p w:rsidR="00154E3B" w:rsidRPr="0017264E" w:rsidRDefault="00154E3B" w:rsidP="00154E3B">
      <w:pPr>
        <w:pStyle w:val="ListParagraph"/>
        <w:numPr>
          <w:ilvl w:val="0"/>
          <w:numId w:val="8"/>
        </w:numPr>
        <w:tabs>
          <w:tab w:val="left" w:pos="720"/>
          <w:tab w:val="left" w:pos="1440"/>
          <w:tab w:val="left" w:pos="2160"/>
          <w:tab w:val="right" w:leader="dot" w:pos="9360"/>
        </w:tabs>
        <w:spacing w:after="0" w:line="360" w:lineRule="auto"/>
        <w:ind w:left="2160" w:hanging="720"/>
        <w:rPr>
          <w:szCs w:val="24"/>
        </w:rPr>
      </w:pPr>
      <w:r w:rsidRPr="0017264E">
        <w:rPr>
          <w:szCs w:val="24"/>
        </w:rPr>
        <w:t>Revenue Requirement</w:t>
      </w:r>
      <w:r w:rsidRPr="0017264E">
        <w:rPr>
          <w:szCs w:val="24"/>
        </w:rPr>
        <w:tab/>
      </w:r>
      <w:r w:rsidR="001237DB">
        <w:rPr>
          <w:szCs w:val="24"/>
        </w:rPr>
        <w:t>2</w:t>
      </w:r>
      <w:r w:rsidR="00466D5D">
        <w:rPr>
          <w:szCs w:val="24"/>
        </w:rPr>
        <w:t>4</w:t>
      </w:r>
    </w:p>
    <w:p w:rsidR="00154E3B" w:rsidRPr="0017264E" w:rsidRDefault="00154E3B" w:rsidP="00154E3B">
      <w:pPr>
        <w:pStyle w:val="ListParagraph"/>
        <w:numPr>
          <w:ilvl w:val="0"/>
          <w:numId w:val="8"/>
        </w:numPr>
        <w:tabs>
          <w:tab w:val="left" w:pos="720"/>
          <w:tab w:val="left" w:pos="1440"/>
          <w:tab w:val="left" w:pos="2160"/>
          <w:tab w:val="right" w:leader="dot" w:pos="9360"/>
        </w:tabs>
        <w:spacing w:after="0" w:line="360" w:lineRule="auto"/>
        <w:ind w:left="2160" w:hanging="720"/>
        <w:rPr>
          <w:szCs w:val="24"/>
        </w:rPr>
      </w:pPr>
      <w:r w:rsidRPr="0017264E">
        <w:rPr>
          <w:szCs w:val="24"/>
        </w:rPr>
        <w:t>Pensions</w:t>
      </w:r>
      <w:r w:rsidRPr="0017264E">
        <w:rPr>
          <w:szCs w:val="24"/>
        </w:rPr>
        <w:tab/>
      </w:r>
      <w:r w:rsidR="000264D5">
        <w:rPr>
          <w:szCs w:val="24"/>
        </w:rPr>
        <w:t>2</w:t>
      </w:r>
      <w:r w:rsidR="00466D5D">
        <w:rPr>
          <w:szCs w:val="24"/>
        </w:rPr>
        <w:t>5</w:t>
      </w:r>
    </w:p>
    <w:p w:rsidR="00154E3B" w:rsidRPr="0017264E" w:rsidRDefault="00154E3B" w:rsidP="00154E3B">
      <w:pPr>
        <w:pStyle w:val="ListParagraph"/>
        <w:numPr>
          <w:ilvl w:val="0"/>
          <w:numId w:val="8"/>
        </w:numPr>
        <w:tabs>
          <w:tab w:val="left" w:pos="720"/>
          <w:tab w:val="left" w:pos="1440"/>
          <w:tab w:val="left" w:pos="2160"/>
          <w:tab w:val="right" w:leader="dot" w:pos="9360"/>
        </w:tabs>
        <w:spacing w:after="0" w:line="360" w:lineRule="auto"/>
        <w:ind w:left="2160" w:hanging="720"/>
        <w:rPr>
          <w:szCs w:val="24"/>
        </w:rPr>
      </w:pPr>
      <w:r w:rsidRPr="0017264E">
        <w:rPr>
          <w:szCs w:val="24"/>
        </w:rPr>
        <w:t>OPEBs</w:t>
      </w:r>
      <w:r w:rsidRPr="0017264E">
        <w:rPr>
          <w:szCs w:val="24"/>
        </w:rPr>
        <w:tab/>
      </w:r>
      <w:r w:rsidR="000264D5">
        <w:rPr>
          <w:szCs w:val="24"/>
        </w:rPr>
        <w:t>2</w:t>
      </w:r>
      <w:r w:rsidR="00466D5D">
        <w:rPr>
          <w:szCs w:val="24"/>
        </w:rPr>
        <w:t>7</w:t>
      </w:r>
    </w:p>
    <w:p w:rsidR="00154E3B" w:rsidRPr="0017264E" w:rsidRDefault="00154E3B" w:rsidP="00154E3B">
      <w:pPr>
        <w:tabs>
          <w:tab w:val="left" w:pos="720"/>
          <w:tab w:val="left" w:pos="1440"/>
          <w:tab w:val="left" w:pos="2160"/>
          <w:tab w:val="right" w:leader="dot" w:pos="9360"/>
        </w:tabs>
        <w:spacing w:after="0" w:line="360" w:lineRule="auto"/>
        <w:rPr>
          <w:szCs w:val="24"/>
        </w:rPr>
      </w:pPr>
      <w:r w:rsidRPr="0017264E">
        <w:rPr>
          <w:szCs w:val="24"/>
        </w:rPr>
        <w:tab/>
      </w:r>
      <w:r w:rsidRPr="0017264E">
        <w:rPr>
          <w:szCs w:val="24"/>
        </w:rPr>
        <w:tab/>
        <w:t>4.</w:t>
      </w:r>
      <w:r w:rsidRPr="0017264E">
        <w:rPr>
          <w:szCs w:val="24"/>
        </w:rPr>
        <w:tab/>
        <w:t>Vegetation Management</w:t>
      </w:r>
      <w:r w:rsidRPr="0017264E">
        <w:rPr>
          <w:szCs w:val="24"/>
        </w:rPr>
        <w:tab/>
      </w:r>
      <w:r w:rsidR="000264D5">
        <w:rPr>
          <w:szCs w:val="24"/>
        </w:rPr>
        <w:t>2</w:t>
      </w:r>
      <w:r w:rsidR="00466D5D">
        <w:rPr>
          <w:szCs w:val="24"/>
        </w:rPr>
        <w:t>8</w:t>
      </w:r>
    </w:p>
    <w:p w:rsidR="00154E3B" w:rsidRPr="0017264E" w:rsidRDefault="00154E3B" w:rsidP="00154E3B">
      <w:pPr>
        <w:tabs>
          <w:tab w:val="left" w:pos="720"/>
          <w:tab w:val="left" w:pos="1440"/>
          <w:tab w:val="left" w:pos="2160"/>
          <w:tab w:val="right" w:leader="dot" w:pos="9360"/>
        </w:tabs>
        <w:spacing w:after="0" w:line="360" w:lineRule="auto"/>
        <w:rPr>
          <w:szCs w:val="24"/>
        </w:rPr>
      </w:pPr>
      <w:r w:rsidRPr="0017264E">
        <w:rPr>
          <w:szCs w:val="24"/>
        </w:rPr>
        <w:tab/>
      </w:r>
      <w:r w:rsidRPr="0017264E">
        <w:rPr>
          <w:szCs w:val="24"/>
        </w:rPr>
        <w:tab/>
        <w:t>5.</w:t>
      </w:r>
      <w:r w:rsidRPr="0017264E">
        <w:rPr>
          <w:szCs w:val="24"/>
        </w:rPr>
        <w:tab/>
        <w:t>DSIC</w:t>
      </w:r>
      <w:r w:rsidRPr="0017264E">
        <w:rPr>
          <w:szCs w:val="24"/>
        </w:rPr>
        <w:tab/>
      </w:r>
      <w:r w:rsidR="00466D5D">
        <w:rPr>
          <w:szCs w:val="24"/>
        </w:rPr>
        <w:t>28</w:t>
      </w:r>
    </w:p>
    <w:p w:rsidR="00154E3B" w:rsidRPr="0017264E" w:rsidRDefault="00154E3B" w:rsidP="00154E3B">
      <w:pPr>
        <w:tabs>
          <w:tab w:val="left" w:pos="720"/>
          <w:tab w:val="left" w:pos="1440"/>
          <w:tab w:val="left" w:pos="2160"/>
          <w:tab w:val="right" w:leader="dot" w:pos="9360"/>
        </w:tabs>
        <w:spacing w:after="0" w:line="360" w:lineRule="auto"/>
        <w:rPr>
          <w:szCs w:val="24"/>
        </w:rPr>
      </w:pPr>
      <w:r w:rsidRPr="0017264E">
        <w:rPr>
          <w:szCs w:val="24"/>
        </w:rPr>
        <w:tab/>
      </w:r>
      <w:r w:rsidRPr="0017264E">
        <w:rPr>
          <w:szCs w:val="24"/>
        </w:rPr>
        <w:tab/>
        <w:t>6.</w:t>
      </w:r>
      <w:r w:rsidRPr="0017264E">
        <w:rPr>
          <w:szCs w:val="24"/>
        </w:rPr>
        <w:tab/>
        <w:t>Smart Meters</w:t>
      </w:r>
      <w:r w:rsidRPr="0017264E">
        <w:rPr>
          <w:szCs w:val="24"/>
        </w:rPr>
        <w:tab/>
      </w:r>
      <w:r w:rsidR="00466D5D">
        <w:rPr>
          <w:szCs w:val="24"/>
        </w:rPr>
        <w:t>29</w:t>
      </w:r>
    </w:p>
    <w:p w:rsidR="00154E3B" w:rsidRPr="0017264E" w:rsidRDefault="00154E3B" w:rsidP="00154E3B">
      <w:pPr>
        <w:tabs>
          <w:tab w:val="left" w:pos="720"/>
          <w:tab w:val="left" w:pos="1440"/>
          <w:tab w:val="left" w:pos="2160"/>
          <w:tab w:val="right" w:leader="dot" w:pos="9360"/>
        </w:tabs>
        <w:spacing w:after="0" w:line="360" w:lineRule="auto"/>
        <w:rPr>
          <w:szCs w:val="24"/>
        </w:rPr>
      </w:pPr>
      <w:r w:rsidRPr="0017264E">
        <w:rPr>
          <w:szCs w:val="24"/>
        </w:rPr>
        <w:tab/>
      </w:r>
      <w:r w:rsidRPr="0017264E">
        <w:rPr>
          <w:szCs w:val="24"/>
        </w:rPr>
        <w:tab/>
        <w:t>7.</w:t>
      </w:r>
      <w:r w:rsidRPr="0017264E">
        <w:rPr>
          <w:szCs w:val="24"/>
        </w:rPr>
        <w:tab/>
        <w:t xml:space="preserve">Rate Base, Revenue and Expense </w:t>
      </w:r>
      <w:r>
        <w:rPr>
          <w:szCs w:val="24"/>
        </w:rPr>
        <w:t xml:space="preserve">and </w:t>
      </w:r>
      <w:r w:rsidRPr="0017264E">
        <w:rPr>
          <w:szCs w:val="24"/>
        </w:rPr>
        <w:t>Reporting</w:t>
      </w:r>
      <w:r>
        <w:rPr>
          <w:szCs w:val="24"/>
        </w:rPr>
        <w:t xml:space="preserve"> Requirements</w:t>
      </w:r>
      <w:r w:rsidRPr="0017264E">
        <w:rPr>
          <w:szCs w:val="24"/>
        </w:rPr>
        <w:tab/>
      </w:r>
      <w:r w:rsidR="00466D5D">
        <w:rPr>
          <w:szCs w:val="24"/>
        </w:rPr>
        <w:t>30</w:t>
      </w:r>
    </w:p>
    <w:p w:rsidR="00154E3B" w:rsidRPr="0017264E" w:rsidRDefault="00154E3B" w:rsidP="00154E3B">
      <w:pPr>
        <w:tabs>
          <w:tab w:val="left" w:pos="720"/>
          <w:tab w:val="left" w:pos="1440"/>
          <w:tab w:val="left" w:pos="2160"/>
          <w:tab w:val="right" w:leader="dot" w:pos="9360"/>
        </w:tabs>
        <w:spacing w:after="0" w:line="360" w:lineRule="auto"/>
        <w:rPr>
          <w:szCs w:val="24"/>
        </w:rPr>
      </w:pPr>
      <w:r w:rsidRPr="0017264E">
        <w:rPr>
          <w:szCs w:val="24"/>
        </w:rPr>
        <w:tab/>
      </w:r>
      <w:r w:rsidRPr="0017264E">
        <w:rPr>
          <w:szCs w:val="24"/>
        </w:rPr>
        <w:tab/>
        <w:t>8.</w:t>
      </w:r>
      <w:r w:rsidRPr="0017264E">
        <w:rPr>
          <w:szCs w:val="24"/>
        </w:rPr>
        <w:tab/>
      </w:r>
      <w:r>
        <w:rPr>
          <w:szCs w:val="24"/>
        </w:rPr>
        <w:t>Income Tax Account Related to Mixed Service Costs</w:t>
      </w:r>
      <w:r>
        <w:rPr>
          <w:szCs w:val="24"/>
        </w:rPr>
        <w:tab/>
      </w:r>
      <w:r w:rsidR="000264D5">
        <w:rPr>
          <w:szCs w:val="24"/>
        </w:rPr>
        <w:t>3</w:t>
      </w:r>
      <w:r w:rsidR="00466D5D">
        <w:rPr>
          <w:szCs w:val="24"/>
        </w:rPr>
        <w:t>0</w:t>
      </w:r>
    </w:p>
    <w:p w:rsidR="00154E3B" w:rsidRPr="0017264E" w:rsidRDefault="00154E3B" w:rsidP="00154E3B">
      <w:pPr>
        <w:tabs>
          <w:tab w:val="left" w:pos="720"/>
          <w:tab w:val="left" w:pos="1440"/>
          <w:tab w:val="left" w:pos="2160"/>
          <w:tab w:val="right" w:leader="dot" w:pos="9360"/>
        </w:tabs>
        <w:spacing w:after="0" w:line="360" w:lineRule="auto"/>
        <w:rPr>
          <w:szCs w:val="24"/>
        </w:rPr>
      </w:pPr>
      <w:r w:rsidRPr="0017264E">
        <w:rPr>
          <w:szCs w:val="24"/>
        </w:rPr>
        <w:tab/>
      </w:r>
      <w:r w:rsidRPr="0017264E">
        <w:rPr>
          <w:szCs w:val="24"/>
        </w:rPr>
        <w:tab/>
        <w:t>9.</w:t>
      </w:r>
      <w:r w:rsidRPr="0017264E">
        <w:rPr>
          <w:szCs w:val="24"/>
        </w:rPr>
        <w:tab/>
        <w:t>Universal Service</w:t>
      </w:r>
      <w:r>
        <w:rPr>
          <w:szCs w:val="24"/>
        </w:rPr>
        <w:t xml:space="preserve"> and Customer Service</w:t>
      </w:r>
      <w:r w:rsidRPr="0017264E">
        <w:rPr>
          <w:szCs w:val="24"/>
        </w:rPr>
        <w:tab/>
      </w:r>
      <w:r w:rsidR="000264D5">
        <w:rPr>
          <w:szCs w:val="24"/>
        </w:rPr>
        <w:t>3</w:t>
      </w:r>
      <w:r w:rsidR="00466D5D">
        <w:rPr>
          <w:szCs w:val="24"/>
        </w:rPr>
        <w:t>0</w:t>
      </w:r>
    </w:p>
    <w:p w:rsidR="00154E3B" w:rsidRDefault="00154E3B" w:rsidP="00154E3B">
      <w:pPr>
        <w:tabs>
          <w:tab w:val="left" w:pos="720"/>
          <w:tab w:val="left" w:pos="1440"/>
          <w:tab w:val="left" w:pos="2160"/>
          <w:tab w:val="right" w:leader="dot" w:pos="9360"/>
        </w:tabs>
        <w:spacing w:after="0" w:line="360" w:lineRule="auto"/>
        <w:rPr>
          <w:szCs w:val="24"/>
        </w:rPr>
      </w:pPr>
      <w:r w:rsidRPr="0017264E">
        <w:rPr>
          <w:szCs w:val="24"/>
        </w:rPr>
        <w:tab/>
      </w:r>
      <w:r w:rsidRPr="0017264E">
        <w:rPr>
          <w:szCs w:val="24"/>
        </w:rPr>
        <w:tab/>
        <w:t>10.</w:t>
      </w:r>
      <w:r w:rsidRPr="0017264E">
        <w:rPr>
          <w:szCs w:val="24"/>
        </w:rPr>
        <w:tab/>
        <w:t>Revenue Allocation, Rate Design and LED Street Lights</w:t>
      </w:r>
      <w:r w:rsidRPr="0017264E">
        <w:rPr>
          <w:szCs w:val="24"/>
        </w:rPr>
        <w:tab/>
      </w:r>
      <w:r w:rsidR="000264D5">
        <w:rPr>
          <w:szCs w:val="24"/>
        </w:rPr>
        <w:t>3</w:t>
      </w:r>
      <w:r w:rsidR="00466D5D">
        <w:rPr>
          <w:szCs w:val="24"/>
        </w:rPr>
        <w:t>1</w:t>
      </w:r>
    </w:p>
    <w:p w:rsidR="00154E3B" w:rsidRDefault="00154E3B" w:rsidP="00154E3B">
      <w:pPr>
        <w:tabs>
          <w:tab w:val="left" w:pos="720"/>
          <w:tab w:val="left" w:pos="1440"/>
          <w:tab w:val="left" w:pos="2160"/>
          <w:tab w:val="left" w:pos="2880"/>
          <w:tab w:val="right" w:leader="dot" w:pos="9360"/>
        </w:tabs>
        <w:spacing w:after="0" w:line="360" w:lineRule="auto"/>
        <w:rPr>
          <w:szCs w:val="24"/>
        </w:rPr>
      </w:pPr>
      <w:r>
        <w:rPr>
          <w:szCs w:val="24"/>
        </w:rPr>
        <w:tab/>
      </w:r>
      <w:r>
        <w:rPr>
          <w:szCs w:val="24"/>
        </w:rPr>
        <w:tab/>
      </w:r>
      <w:r>
        <w:rPr>
          <w:szCs w:val="24"/>
        </w:rPr>
        <w:tab/>
        <w:t>a.</w:t>
      </w:r>
      <w:r>
        <w:rPr>
          <w:szCs w:val="24"/>
        </w:rPr>
        <w:tab/>
        <w:t>Revenue Allocation</w:t>
      </w:r>
      <w:r>
        <w:rPr>
          <w:szCs w:val="24"/>
        </w:rPr>
        <w:tab/>
      </w:r>
      <w:r w:rsidR="000264D5">
        <w:rPr>
          <w:szCs w:val="24"/>
        </w:rPr>
        <w:t>3</w:t>
      </w:r>
      <w:r w:rsidR="00466D5D">
        <w:rPr>
          <w:szCs w:val="24"/>
        </w:rPr>
        <w:t>1</w:t>
      </w:r>
    </w:p>
    <w:p w:rsidR="00154E3B" w:rsidRDefault="00154E3B" w:rsidP="00154E3B">
      <w:pPr>
        <w:tabs>
          <w:tab w:val="left" w:pos="720"/>
          <w:tab w:val="left" w:pos="1440"/>
          <w:tab w:val="left" w:pos="2160"/>
          <w:tab w:val="left" w:pos="2880"/>
          <w:tab w:val="right" w:leader="dot" w:pos="9360"/>
        </w:tabs>
        <w:spacing w:after="0" w:line="360" w:lineRule="auto"/>
        <w:rPr>
          <w:szCs w:val="24"/>
        </w:rPr>
      </w:pPr>
      <w:r>
        <w:rPr>
          <w:szCs w:val="24"/>
        </w:rPr>
        <w:tab/>
      </w:r>
      <w:r>
        <w:rPr>
          <w:szCs w:val="24"/>
        </w:rPr>
        <w:tab/>
      </w:r>
      <w:r>
        <w:rPr>
          <w:szCs w:val="24"/>
        </w:rPr>
        <w:tab/>
      </w:r>
      <w:proofErr w:type="gramStart"/>
      <w:r>
        <w:rPr>
          <w:szCs w:val="24"/>
        </w:rPr>
        <w:t>b</w:t>
      </w:r>
      <w:proofErr w:type="gramEnd"/>
      <w:r>
        <w:rPr>
          <w:szCs w:val="24"/>
        </w:rPr>
        <w:t>.</w:t>
      </w:r>
      <w:r>
        <w:rPr>
          <w:szCs w:val="24"/>
        </w:rPr>
        <w:tab/>
        <w:t>Rate Design</w:t>
      </w:r>
      <w:r>
        <w:rPr>
          <w:szCs w:val="24"/>
        </w:rPr>
        <w:tab/>
      </w:r>
      <w:r w:rsidR="000264D5">
        <w:rPr>
          <w:szCs w:val="24"/>
        </w:rPr>
        <w:t>3</w:t>
      </w:r>
      <w:r w:rsidR="00466D5D">
        <w:rPr>
          <w:szCs w:val="24"/>
        </w:rPr>
        <w:t>2</w:t>
      </w:r>
    </w:p>
    <w:p w:rsidR="00154E3B" w:rsidRPr="0017264E" w:rsidRDefault="00154E3B" w:rsidP="00154E3B">
      <w:pPr>
        <w:tabs>
          <w:tab w:val="left" w:pos="720"/>
          <w:tab w:val="left" w:pos="1440"/>
          <w:tab w:val="left" w:pos="2160"/>
          <w:tab w:val="left" w:pos="2880"/>
          <w:tab w:val="right" w:leader="dot" w:pos="9360"/>
        </w:tabs>
        <w:spacing w:after="0" w:line="360" w:lineRule="auto"/>
        <w:rPr>
          <w:szCs w:val="24"/>
        </w:rPr>
      </w:pPr>
      <w:r>
        <w:rPr>
          <w:szCs w:val="24"/>
        </w:rPr>
        <w:tab/>
      </w:r>
      <w:r>
        <w:rPr>
          <w:szCs w:val="24"/>
        </w:rPr>
        <w:tab/>
      </w:r>
      <w:r>
        <w:rPr>
          <w:szCs w:val="24"/>
        </w:rPr>
        <w:tab/>
        <w:t>c.</w:t>
      </w:r>
      <w:r>
        <w:rPr>
          <w:szCs w:val="24"/>
        </w:rPr>
        <w:tab/>
        <w:t>LED Street Light Pilot Program</w:t>
      </w:r>
      <w:r>
        <w:rPr>
          <w:szCs w:val="24"/>
        </w:rPr>
        <w:tab/>
      </w:r>
      <w:r w:rsidR="000264D5">
        <w:rPr>
          <w:szCs w:val="24"/>
        </w:rPr>
        <w:t>3</w:t>
      </w:r>
      <w:r w:rsidR="00466D5D">
        <w:rPr>
          <w:szCs w:val="24"/>
        </w:rPr>
        <w:t>3</w:t>
      </w:r>
    </w:p>
    <w:p w:rsidR="00154E3B" w:rsidRPr="0017264E" w:rsidRDefault="00154E3B" w:rsidP="00154E3B">
      <w:pPr>
        <w:tabs>
          <w:tab w:val="left" w:pos="720"/>
          <w:tab w:val="left" w:pos="1440"/>
          <w:tab w:val="left" w:pos="2160"/>
          <w:tab w:val="right" w:leader="dot" w:pos="9360"/>
        </w:tabs>
        <w:spacing w:after="0" w:line="360" w:lineRule="auto"/>
        <w:rPr>
          <w:szCs w:val="24"/>
        </w:rPr>
      </w:pPr>
      <w:r w:rsidRPr="0017264E">
        <w:rPr>
          <w:szCs w:val="24"/>
        </w:rPr>
        <w:tab/>
        <w:t>B.</w:t>
      </w:r>
      <w:r w:rsidRPr="0017264E">
        <w:rPr>
          <w:szCs w:val="24"/>
        </w:rPr>
        <w:tab/>
        <w:t>I&amp;E’s Position</w:t>
      </w:r>
      <w:r w:rsidRPr="0017264E">
        <w:rPr>
          <w:szCs w:val="24"/>
        </w:rPr>
        <w:tab/>
      </w:r>
      <w:r w:rsidR="000264D5">
        <w:rPr>
          <w:szCs w:val="24"/>
        </w:rPr>
        <w:t>3</w:t>
      </w:r>
      <w:r w:rsidR="00466D5D">
        <w:rPr>
          <w:szCs w:val="24"/>
        </w:rPr>
        <w:t>4</w:t>
      </w:r>
    </w:p>
    <w:p w:rsidR="00154E3B" w:rsidRPr="0017264E" w:rsidRDefault="00154E3B" w:rsidP="00154E3B">
      <w:pPr>
        <w:tabs>
          <w:tab w:val="left" w:pos="720"/>
          <w:tab w:val="left" w:pos="1440"/>
          <w:tab w:val="left" w:pos="2160"/>
          <w:tab w:val="right" w:leader="dot" w:pos="9360"/>
        </w:tabs>
        <w:spacing w:after="0" w:line="360" w:lineRule="auto"/>
        <w:rPr>
          <w:szCs w:val="24"/>
        </w:rPr>
      </w:pPr>
      <w:r w:rsidRPr="0017264E">
        <w:rPr>
          <w:szCs w:val="24"/>
        </w:rPr>
        <w:tab/>
        <w:t>C.</w:t>
      </w:r>
      <w:r w:rsidRPr="0017264E">
        <w:rPr>
          <w:szCs w:val="24"/>
        </w:rPr>
        <w:tab/>
        <w:t>OCA’s Position</w:t>
      </w:r>
      <w:r w:rsidRPr="0017264E">
        <w:rPr>
          <w:szCs w:val="24"/>
        </w:rPr>
        <w:tab/>
      </w:r>
      <w:r w:rsidR="000264D5">
        <w:rPr>
          <w:szCs w:val="24"/>
        </w:rPr>
        <w:t>3</w:t>
      </w:r>
      <w:r w:rsidR="00466D5D">
        <w:rPr>
          <w:szCs w:val="24"/>
        </w:rPr>
        <w:t>5</w:t>
      </w:r>
    </w:p>
    <w:p w:rsidR="00154E3B" w:rsidRPr="0017264E" w:rsidRDefault="00154E3B" w:rsidP="00154E3B">
      <w:pPr>
        <w:tabs>
          <w:tab w:val="left" w:pos="720"/>
          <w:tab w:val="left" w:pos="1440"/>
          <w:tab w:val="left" w:pos="2160"/>
          <w:tab w:val="right" w:leader="dot" w:pos="9360"/>
        </w:tabs>
        <w:spacing w:after="0" w:line="360" w:lineRule="auto"/>
        <w:rPr>
          <w:szCs w:val="24"/>
        </w:rPr>
      </w:pPr>
      <w:r w:rsidRPr="0017264E">
        <w:rPr>
          <w:szCs w:val="24"/>
        </w:rPr>
        <w:lastRenderedPageBreak/>
        <w:tab/>
      </w:r>
      <w:r w:rsidRPr="0017264E">
        <w:rPr>
          <w:szCs w:val="24"/>
        </w:rPr>
        <w:tab/>
        <w:t>1.</w:t>
      </w:r>
      <w:r w:rsidRPr="0017264E">
        <w:rPr>
          <w:szCs w:val="24"/>
        </w:rPr>
        <w:tab/>
        <w:t>Revenue Requirement</w:t>
      </w:r>
      <w:r w:rsidRPr="0017264E">
        <w:rPr>
          <w:szCs w:val="24"/>
        </w:rPr>
        <w:tab/>
      </w:r>
      <w:r w:rsidR="000264D5">
        <w:rPr>
          <w:szCs w:val="24"/>
        </w:rPr>
        <w:t>3</w:t>
      </w:r>
      <w:r w:rsidR="00466D5D">
        <w:rPr>
          <w:szCs w:val="24"/>
        </w:rPr>
        <w:t>5</w:t>
      </w:r>
    </w:p>
    <w:p w:rsidR="00154E3B" w:rsidRPr="0017264E" w:rsidRDefault="00154E3B" w:rsidP="00154E3B">
      <w:pPr>
        <w:tabs>
          <w:tab w:val="left" w:pos="720"/>
          <w:tab w:val="left" w:pos="1440"/>
          <w:tab w:val="left" w:pos="2160"/>
          <w:tab w:val="right" w:leader="dot" w:pos="9360"/>
        </w:tabs>
        <w:spacing w:after="0" w:line="360" w:lineRule="auto"/>
        <w:rPr>
          <w:szCs w:val="24"/>
        </w:rPr>
      </w:pPr>
      <w:r w:rsidRPr="0017264E">
        <w:rPr>
          <w:szCs w:val="24"/>
        </w:rPr>
        <w:tab/>
      </w:r>
      <w:r w:rsidRPr="0017264E">
        <w:rPr>
          <w:szCs w:val="24"/>
        </w:rPr>
        <w:tab/>
        <w:t>2.</w:t>
      </w:r>
      <w:r w:rsidRPr="0017264E">
        <w:rPr>
          <w:szCs w:val="24"/>
        </w:rPr>
        <w:tab/>
      </w:r>
      <w:r>
        <w:rPr>
          <w:szCs w:val="24"/>
        </w:rPr>
        <w:t>Pension and OPEB</w:t>
      </w:r>
      <w:r w:rsidRPr="0017264E">
        <w:rPr>
          <w:szCs w:val="24"/>
        </w:rPr>
        <w:tab/>
      </w:r>
      <w:r w:rsidR="000264D5">
        <w:rPr>
          <w:szCs w:val="24"/>
        </w:rPr>
        <w:t>3</w:t>
      </w:r>
      <w:r w:rsidR="00466D5D">
        <w:rPr>
          <w:szCs w:val="24"/>
        </w:rPr>
        <w:t>6</w:t>
      </w:r>
    </w:p>
    <w:p w:rsidR="00154E3B" w:rsidRPr="0017264E" w:rsidRDefault="00154E3B" w:rsidP="00154E3B">
      <w:pPr>
        <w:tabs>
          <w:tab w:val="left" w:pos="720"/>
          <w:tab w:val="left" w:pos="1440"/>
          <w:tab w:val="left" w:pos="2160"/>
          <w:tab w:val="right" w:leader="dot" w:pos="9360"/>
        </w:tabs>
        <w:spacing w:after="0" w:line="360" w:lineRule="auto"/>
        <w:rPr>
          <w:szCs w:val="24"/>
        </w:rPr>
      </w:pPr>
      <w:r w:rsidRPr="0017264E">
        <w:rPr>
          <w:szCs w:val="24"/>
        </w:rPr>
        <w:tab/>
      </w:r>
      <w:r w:rsidRPr="0017264E">
        <w:rPr>
          <w:szCs w:val="24"/>
        </w:rPr>
        <w:tab/>
        <w:t>3.</w:t>
      </w:r>
      <w:r w:rsidRPr="0017264E">
        <w:rPr>
          <w:szCs w:val="24"/>
        </w:rPr>
        <w:tab/>
      </w:r>
      <w:r>
        <w:rPr>
          <w:szCs w:val="24"/>
        </w:rPr>
        <w:t>DSIC</w:t>
      </w:r>
      <w:r w:rsidRPr="0017264E">
        <w:rPr>
          <w:szCs w:val="24"/>
        </w:rPr>
        <w:tab/>
      </w:r>
      <w:r w:rsidR="000264D5">
        <w:rPr>
          <w:szCs w:val="24"/>
        </w:rPr>
        <w:t>3</w:t>
      </w:r>
      <w:r w:rsidR="00466D5D">
        <w:rPr>
          <w:szCs w:val="24"/>
        </w:rPr>
        <w:t>7</w:t>
      </w:r>
    </w:p>
    <w:p w:rsidR="00154E3B" w:rsidRPr="0017264E" w:rsidRDefault="00154E3B" w:rsidP="00154E3B">
      <w:pPr>
        <w:tabs>
          <w:tab w:val="left" w:pos="720"/>
          <w:tab w:val="left" w:pos="1440"/>
          <w:tab w:val="left" w:pos="2160"/>
          <w:tab w:val="right" w:leader="dot" w:pos="9360"/>
        </w:tabs>
        <w:spacing w:after="0" w:line="360" w:lineRule="auto"/>
        <w:rPr>
          <w:szCs w:val="24"/>
        </w:rPr>
      </w:pPr>
      <w:r w:rsidRPr="0017264E">
        <w:rPr>
          <w:szCs w:val="24"/>
        </w:rPr>
        <w:tab/>
      </w:r>
      <w:r w:rsidRPr="0017264E">
        <w:rPr>
          <w:szCs w:val="24"/>
        </w:rPr>
        <w:tab/>
        <w:t>4.</w:t>
      </w:r>
      <w:r w:rsidRPr="0017264E">
        <w:rPr>
          <w:szCs w:val="24"/>
        </w:rPr>
        <w:tab/>
      </w:r>
      <w:r>
        <w:rPr>
          <w:szCs w:val="24"/>
        </w:rPr>
        <w:t>Smart Meters</w:t>
      </w:r>
      <w:r w:rsidRPr="0017264E">
        <w:rPr>
          <w:szCs w:val="24"/>
        </w:rPr>
        <w:tab/>
      </w:r>
      <w:r w:rsidR="000264D5">
        <w:rPr>
          <w:szCs w:val="24"/>
        </w:rPr>
        <w:t>3</w:t>
      </w:r>
      <w:r w:rsidR="00466D5D">
        <w:rPr>
          <w:szCs w:val="24"/>
        </w:rPr>
        <w:t>7</w:t>
      </w:r>
    </w:p>
    <w:p w:rsidR="00154E3B" w:rsidRPr="0017264E" w:rsidRDefault="00154E3B" w:rsidP="00154E3B">
      <w:pPr>
        <w:tabs>
          <w:tab w:val="left" w:pos="720"/>
          <w:tab w:val="left" w:pos="1440"/>
          <w:tab w:val="left" w:pos="2160"/>
          <w:tab w:val="right" w:leader="dot" w:pos="9360"/>
        </w:tabs>
        <w:spacing w:after="0" w:line="360" w:lineRule="auto"/>
        <w:rPr>
          <w:szCs w:val="24"/>
        </w:rPr>
      </w:pPr>
      <w:r w:rsidRPr="0017264E">
        <w:rPr>
          <w:szCs w:val="24"/>
        </w:rPr>
        <w:tab/>
      </w:r>
      <w:r w:rsidRPr="0017264E">
        <w:rPr>
          <w:szCs w:val="24"/>
        </w:rPr>
        <w:tab/>
        <w:t>5.</w:t>
      </w:r>
      <w:r w:rsidRPr="0017264E">
        <w:rPr>
          <w:szCs w:val="24"/>
        </w:rPr>
        <w:tab/>
      </w:r>
      <w:r>
        <w:rPr>
          <w:szCs w:val="24"/>
        </w:rPr>
        <w:t>Vegetation Management</w:t>
      </w:r>
      <w:r w:rsidRPr="0017264E">
        <w:rPr>
          <w:szCs w:val="24"/>
        </w:rPr>
        <w:tab/>
      </w:r>
      <w:r w:rsidR="000264D5">
        <w:rPr>
          <w:szCs w:val="24"/>
        </w:rPr>
        <w:t>3</w:t>
      </w:r>
      <w:r w:rsidR="00466D5D">
        <w:rPr>
          <w:szCs w:val="24"/>
        </w:rPr>
        <w:t>8</w:t>
      </w:r>
    </w:p>
    <w:p w:rsidR="00154E3B" w:rsidRPr="0017264E" w:rsidRDefault="00154E3B" w:rsidP="00154E3B">
      <w:pPr>
        <w:tabs>
          <w:tab w:val="left" w:pos="720"/>
          <w:tab w:val="left" w:pos="1440"/>
          <w:tab w:val="left" w:pos="2160"/>
          <w:tab w:val="right" w:leader="dot" w:pos="9360"/>
        </w:tabs>
        <w:spacing w:after="0" w:line="360" w:lineRule="auto"/>
        <w:rPr>
          <w:szCs w:val="24"/>
        </w:rPr>
      </w:pPr>
      <w:r w:rsidRPr="0017264E">
        <w:rPr>
          <w:szCs w:val="24"/>
        </w:rPr>
        <w:tab/>
      </w:r>
      <w:r w:rsidRPr="0017264E">
        <w:rPr>
          <w:szCs w:val="24"/>
        </w:rPr>
        <w:tab/>
        <w:t>6.</w:t>
      </w:r>
      <w:r w:rsidRPr="0017264E">
        <w:rPr>
          <w:szCs w:val="24"/>
        </w:rPr>
        <w:tab/>
      </w:r>
      <w:r>
        <w:rPr>
          <w:szCs w:val="24"/>
        </w:rPr>
        <w:t>Reporting Provisions</w:t>
      </w:r>
      <w:r w:rsidRPr="0017264E">
        <w:rPr>
          <w:szCs w:val="24"/>
        </w:rPr>
        <w:tab/>
      </w:r>
      <w:r w:rsidR="000264D5">
        <w:rPr>
          <w:szCs w:val="24"/>
        </w:rPr>
        <w:t>3</w:t>
      </w:r>
      <w:r w:rsidR="00466D5D">
        <w:rPr>
          <w:szCs w:val="24"/>
        </w:rPr>
        <w:t>8</w:t>
      </w:r>
    </w:p>
    <w:p w:rsidR="00154E3B" w:rsidRDefault="00154E3B" w:rsidP="00154E3B">
      <w:pPr>
        <w:tabs>
          <w:tab w:val="left" w:pos="720"/>
          <w:tab w:val="left" w:pos="1440"/>
          <w:tab w:val="left" w:pos="2160"/>
          <w:tab w:val="right" w:leader="dot" w:pos="9360"/>
        </w:tabs>
        <w:spacing w:after="0" w:line="360" w:lineRule="auto"/>
        <w:rPr>
          <w:szCs w:val="24"/>
        </w:rPr>
      </w:pPr>
      <w:r w:rsidRPr="0017264E">
        <w:rPr>
          <w:szCs w:val="24"/>
        </w:rPr>
        <w:tab/>
      </w:r>
      <w:r w:rsidRPr="0017264E">
        <w:rPr>
          <w:szCs w:val="24"/>
        </w:rPr>
        <w:tab/>
        <w:t>7.</w:t>
      </w:r>
      <w:r w:rsidRPr="0017264E">
        <w:rPr>
          <w:szCs w:val="24"/>
        </w:rPr>
        <w:tab/>
      </w:r>
      <w:r>
        <w:rPr>
          <w:szCs w:val="24"/>
        </w:rPr>
        <w:t>FOCUS Costs</w:t>
      </w:r>
      <w:r w:rsidRPr="0017264E">
        <w:rPr>
          <w:szCs w:val="24"/>
        </w:rPr>
        <w:tab/>
      </w:r>
      <w:r w:rsidR="00466D5D">
        <w:rPr>
          <w:szCs w:val="24"/>
        </w:rPr>
        <w:t>39</w:t>
      </w:r>
    </w:p>
    <w:p w:rsidR="00154E3B" w:rsidRDefault="00154E3B" w:rsidP="00154E3B">
      <w:pPr>
        <w:tabs>
          <w:tab w:val="left" w:pos="720"/>
          <w:tab w:val="left" w:pos="1440"/>
          <w:tab w:val="left" w:pos="2160"/>
          <w:tab w:val="right" w:leader="dot" w:pos="9360"/>
        </w:tabs>
        <w:spacing w:after="0" w:line="360" w:lineRule="auto"/>
        <w:rPr>
          <w:szCs w:val="24"/>
        </w:rPr>
      </w:pPr>
      <w:r>
        <w:rPr>
          <w:szCs w:val="24"/>
        </w:rPr>
        <w:tab/>
      </w:r>
      <w:r>
        <w:rPr>
          <w:szCs w:val="24"/>
        </w:rPr>
        <w:tab/>
        <w:t>8.</w:t>
      </w:r>
      <w:r>
        <w:rPr>
          <w:szCs w:val="24"/>
        </w:rPr>
        <w:tab/>
        <w:t>IRS Repair Allowance</w:t>
      </w:r>
      <w:r>
        <w:rPr>
          <w:szCs w:val="24"/>
        </w:rPr>
        <w:tab/>
      </w:r>
      <w:r w:rsidR="00466D5D">
        <w:rPr>
          <w:szCs w:val="24"/>
        </w:rPr>
        <w:t>39</w:t>
      </w:r>
    </w:p>
    <w:p w:rsidR="00154E3B" w:rsidRDefault="00154E3B" w:rsidP="00154E3B">
      <w:pPr>
        <w:tabs>
          <w:tab w:val="left" w:pos="720"/>
          <w:tab w:val="left" w:pos="1440"/>
          <w:tab w:val="left" w:pos="2160"/>
          <w:tab w:val="right" w:leader="dot" w:pos="9360"/>
        </w:tabs>
        <w:spacing w:after="0" w:line="360" w:lineRule="auto"/>
        <w:rPr>
          <w:szCs w:val="24"/>
        </w:rPr>
      </w:pPr>
      <w:r>
        <w:rPr>
          <w:szCs w:val="24"/>
        </w:rPr>
        <w:tab/>
      </w:r>
      <w:r>
        <w:rPr>
          <w:szCs w:val="24"/>
        </w:rPr>
        <w:tab/>
        <w:t>9.</w:t>
      </w:r>
      <w:r>
        <w:rPr>
          <w:szCs w:val="24"/>
        </w:rPr>
        <w:tab/>
        <w:t>Reven</w:t>
      </w:r>
      <w:r w:rsidR="001237DB">
        <w:rPr>
          <w:szCs w:val="24"/>
        </w:rPr>
        <w:t>ue Allocation and Rate Design</w:t>
      </w:r>
      <w:r w:rsidR="001237DB">
        <w:rPr>
          <w:szCs w:val="24"/>
        </w:rPr>
        <w:tab/>
      </w:r>
      <w:r w:rsidR="00466D5D">
        <w:rPr>
          <w:szCs w:val="24"/>
        </w:rPr>
        <w:t>39</w:t>
      </w:r>
    </w:p>
    <w:p w:rsidR="00154E3B" w:rsidRDefault="001237DB" w:rsidP="00154E3B">
      <w:pPr>
        <w:tabs>
          <w:tab w:val="left" w:pos="720"/>
          <w:tab w:val="left" w:pos="1440"/>
          <w:tab w:val="left" w:pos="2160"/>
          <w:tab w:val="right" w:leader="dot" w:pos="9360"/>
        </w:tabs>
        <w:spacing w:after="0" w:line="360" w:lineRule="auto"/>
        <w:rPr>
          <w:szCs w:val="24"/>
        </w:rPr>
      </w:pPr>
      <w:r>
        <w:rPr>
          <w:szCs w:val="24"/>
        </w:rPr>
        <w:tab/>
      </w:r>
      <w:r>
        <w:rPr>
          <w:szCs w:val="24"/>
        </w:rPr>
        <w:tab/>
        <w:t>10.</w:t>
      </w:r>
      <w:r>
        <w:rPr>
          <w:szCs w:val="24"/>
        </w:rPr>
        <w:tab/>
        <w:t>Residential Rate Design</w:t>
      </w:r>
      <w:r>
        <w:rPr>
          <w:szCs w:val="24"/>
        </w:rPr>
        <w:tab/>
        <w:t>4</w:t>
      </w:r>
      <w:r w:rsidR="00466D5D">
        <w:rPr>
          <w:szCs w:val="24"/>
        </w:rPr>
        <w:t>0</w:t>
      </w:r>
    </w:p>
    <w:p w:rsidR="00154E3B" w:rsidRDefault="00154E3B" w:rsidP="00154E3B">
      <w:pPr>
        <w:tabs>
          <w:tab w:val="left" w:pos="720"/>
          <w:tab w:val="left" w:pos="1440"/>
          <w:tab w:val="left" w:pos="2160"/>
          <w:tab w:val="right" w:leader="dot" w:pos="9360"/>
        </w:tabs>
        <w:spacing w:after="0" w:line="360" w:lineRule="auto"/>
        <w:rPr>
          <w:szCs w:val="24"/>
        </w:rPr>
      </w:pPr>
      <w:r>
        <w:rPr>
          <w:szCs w:val="24"/>
        </w:rPr>
        <w:tab/>
      </w:r>
      <w:r>
        <w:rPr>
          <w:szCs w:val="24"/>
        </w:rPr>
        <w:tab/>
        <w:t>11.</w:t>
      </w:r>
      <w:r>
        <w:rPr>
          <w:szCs w:val="24"/>
        </w:rPr>
        <w:tab/>
        <w:t>Universal Service Charge and Customer Service</w:t>
      </w:r>
      <w:r>
        <w:rPr>
          <w:szCs w:val="24"/>
        </w:rPr>
        <w:tab/>
      </w:r>
      <w:r w:rsidR="001237DB">
        <w:rPr>
          <w:szCs w:val="24"/>
        </w:rPr>
        <w:t>4</w:t>
      </w:r>
      <w:r w:rsidR="00466D5D">
        <w:rPr>
          <w:szCs w:val="24"/>
        </w:rPr>
        <w:t>0</w:t>
      </w:r>
    </w:p>
    <w:p w:rsidR="00154E3B" w:rsidRDefault="00154E3B" w:rsidP="00154E3B">
      <w:pPr>
        <w:tabs>
          <w:tab w:val="left" w:pos="720"/>
          <w:tab w:val="left" w:pos="1440"/>
          <w:tab w:val="left" w:pos="2160"/>
          <w:tab w:val="left" w:pos="2880"/>
          <w:tab w:val="right" w:leader="dot" w:pos="9360"/>
        </w:tabs>
        <w:spacing w:after="0" w:line="360" w:lineRule="auto"/>
        <w:rPr>
          <w:szCs w:val="24"/>
        </w:rPr>
      </w:pPr>
      <w:r>
        <w:rPr>
          <w:szCs w:val="24"/>
        </w:rPr>
        <w:tab/>
      </w:r>
      <w:r>
        <w:rPr>
          <w:szCs w:val="24"/>
        </w:rPr>
        <w:tab/>
      </w:r>
      <w:r>
        <w:rPr>
          <w:szCs w:val="24"/>
        </w:rPr>
        <w:tab/>
        <w:t>a.</w:t>
      </w:r>
      <w:r>
        <w:rPr>
          <w:szCs w:val="24"/>
        </w:rPr>
        <w:tab/>
        <w:t>Red Flag</w:t>
      </w:r>
      <w:r w:rsidR="007E7E5D">
        <w:rPr>
          <w:szCs w:val="24"/>
        </w:rPr>
        <w:t>s</w:t>
      </w:r>
      <w:r>
        <w:rPr>
          <w:szCs w:val="24"/>
        </w:rPr>
        <w:t xml:space="preserve"> Plan and Identity Theft Prevention</w:t>
      </w:r>
      <w:r>
        <w:rPr>
          <w:szCs w:val="24"/>
        </w:rPr>
        <w:tab/>
      </w:r>
      <w:r w:rsidR="001237DB">
        <w:rPr>
          <w:szCs w:val="24"/>
        </w:rPr>
        <w:t>4</w:t>
      </w:r>
      <w:r w:rsidR="00466D5D">
        <w:rPr>
          <w:szCs w:val="24"/>
        </w:rPr>
        <w:t>0</w:t>
      </w:r>
    </w:p>
    <w:p w:rsidR="00154E3B" w:rsidRDefault="00154E3B" w:rsidP="00154E3B">
      <w:pPr>
        <w:tabs>
          <w:tab w:val="left" w:pos="720"/>
          <w:tab w:val="left" w:pos="1440"/>
          <w:tab w:val="left" w:pos="2160"/>
          <w:tab w:val="left" w:pos="2880"/>
          <w:tab w:val="right" w:leader="dot" w:pos="9360"/>
        </w:tabs>
        <w:spacing w:after="0" w:line="360" w:lineRule="auto"/>
        <w:rPr>
          <w:szCs w:val="24"/>
        </w:rPr>
      </w:pPr>
      <w:r>
        <w:rPr>
          <w:szCs w:val="24"/>
        </w:rPr>
        <w:tab/>
      </w:r>
      <w:r>
        <w:rPr>
          <w:szCs w:val="24"/>
        </w:rPr>
        <w:tab/>
      </w:r>
      <w:r>
        <w:rPr>
          <w:szCs w:val="24"/>
        </w:rPr>
        <w:tab/>
        <w:t>b.</w:t>
      </w:r>
      <w:r>
        <w:rPr>
          <w:szCs w:val="24"/>
        </w:rPr>
        <w:tab/>
        <w:t>Storm Communications</w:t>
      </w:r>
      <w:r>
        <w:rPr>
          <w:szCs w:val="24"/>
        </w:rPr>
        <w:tab/>
      </w:r>
      <w:r w:rsidR="001237DB">
        <w:rPr>
          <w:szCs w:val="24"/>
        </w:rPr>
        <w:t>4</w:t>
      </w:r>
      <w:r w:rsidR="00466D5D">
        <w:rPr>
          <w:szCs w:val="24"/>
        </w:rPr>
        <w:t>1</w:t>
      </w:r>
    </w:p>
    <w:p w:rsidR="00154E3B" w:rsidRDefault="00154E3B" w:rsidP="00154E3B">
      <w:pPr>
        <w:tabs>
          <w:tab w:val="left" w:pos="720"/>
          <w:tab w:val="left" w:pos="1440"/>
          <w:tab w:val="left" w:pos="2160"/>
          <w:tab w:val="left" w:pos="2880"/>
          <w:tab w:val="right" w:leader="dot" w:pos="9360"/>
        </w:tabs>
        <w:spacing w:after="0" w:line="360" w:lineRule="auto"/>
        <w:rPr>
          <w:szCs w:val="24"/>
        </w:rPr>
      </w:pPr>
      <w:r>
        <w:rPr>
          <w:szCs w:val="24"/>
        </w:rPr>
        <w:tab/>
      </w:r>
      <w:r>
        <w:rPr>
          <w:szCs w:val="24"/>
        </w:rPr>
        <w:tab/>
      </w:r>
      <w:r>
        <w:rPr>
          <w:szCs w:val="24"/>
        </w:rPr>
        <w:tab/>
        <w:t>c.</w:t>
      </w:r>
      <w:r>
        <w:rPr>
          <w:szCs w:val="24"/>
        </w:rPr>
        <w:tab/>
        <w:t>Maximum CAP Credits</w:t>
      </w:r>
      <w:r>
        <w:rPr>
          <w:szCs w:val="24"/>
        </w:rPr>
        <w:tab/>
      </w:r>
      <w:r w:rsidR="001237DB">
        <w:rPr>
          <w:szCs w:val="24"/>
        </w:rPr>
        <w:t>4</w:t>
      </w:r>
      <w:r w:rsidR="00466D5D">
        <w:rPr>
          <w:szCs w:val="24"/>
        </w:rPr>
        <w:t>1</w:t>
      </w:r>
    </w:p>
    <w:p w:rsidR="00154E3B" w:rsidRDefault="00154E3B" w:rsidP="00154E3B">
      <w:pPr>
        <w:tabs>
          <w:tab w:val="left" w:pos="720"/>
          <w:tab w:val="left" w:pos="1440"/>
          <w:tab w:val="left" w:pos="2160"/>
          <w:tab w:val="left" w:pos="2880"/>
          <w:tab w:val="right" w:leader="dot" w:pos="9360"/>
        </w:tabs>
        <w:spacing w:after="0" w:line="360" w:lineRule="auto"/>
        <w:rPr>
          <w:szCs w:val="24"/>
        </w:rPr>
      </w:pPr>
      <w:r>
        <w:rPr>
          <w:szCs w:val="24"/>
        </w:rPr>
        <w:tab/>
      </w:r>
      <w:r>
        <w:rPr>
          <w:szCs w:val="24"/>
        </w:rPr>
        <w:tab/>
      </w:r>
      <w:r>
        <w:rPr>
          <w:szCs w:val="24"/>
        </w:rPr>
        <w:tab/>
        <w:t>d.</w:t>
      </w:r>
      <w:r>
        <w:rPr>
          <w:szCs w:val="24"/>
        </w:rPr>
        <w:tab/>
        <w:t>LIURP</w:t>
      </w:r>
      <w:r>
        <w:rPr>
          <w:szCs w:val="24"/>
        </w:rPr>
        <w:tab/>
      </w:r>
      <w:r w:rsidR="003B25B3">
        <w:rPr>
          <w:szCs w:val="24"/>
        </w:rPr>
        <w:t>4</w:t>
      </w:r>
      <w:r w:rsidR="00466D5D">
        <w:rPr>
          <w:szCs w:val="24"/>
        </w:rPr>
        <w:t>2</w:t>
      </w:r>
    </w:p>
    <w:p w:rsidR="00154E3B" w:rsidRDefault="00154E3B" w:rsidP="00154E3B">
      <w:pPr>
        <w:tabs>
          <w:tab w:val="left" w:pos="720"/>
          <w:tab w:val="left" w:pos="1440"/>
          <w:tab w:val="left" w:pos="2160"/>
          <w:tab w:val="left" w:pos="2880"/>
          <w:tab w:val="right" w:leader="dot" w:pos="9360"/>
        </w:tabs>
        <w:spacing w:after="0" w:line="360" w:lineRule="auto"/>
        <w:rPr>
          <w:szCs w:val="24"/>
        </w:rPr>
      </w:pPr>
      <w:r>
        <w:rPr>
          <w:szCs w:val="24"/>
        </w:rPr>
        <w:tab/>
        <w:t>D.</w:t>
      </w:r>
      <w:r>
        <w:rPr>
          <w:szCs w:val="24"/>
        </w:rPr>
        <w:tab/>
        <w:t>OSBA’s Position</w:t>
      </w:r>
      <w:r>
        <w:rPr>
          <w:szCs w:val="24"/>
        </w:rPr>
        <w:tab/>
      </w:r>
      <w:r w:rsidR="001237DB">
        <w:rPr>
          <w:szCs w:val="24"/>
        </w:rPr>
        <w:t>4</w:t>
      </w:r>
      <w:r w:rsidR="00466D5D">
        <w:rPr>
          <w:szCs w:val="24"/>
        </w:rPr>
        <w:t>2</w:t>
      </w:r>
    </w:p>
    <w:p w:rsidR="00154E3B" w:rsidRDefault="00154E3B" w:rsidP="00154E3B">
      <w:pPr>
        <w:tabs>
          <w:tab w:val="left" w:pos="720"/>
          <w:tab w:val="left" w:pos="1440"/>
          <w:tab w:val="left" w:pos="2160"/>
          <w:tab w:val="left" w:pos="2880"/>
          <w:tab w:val="right" w:leader="dot" w:pos="9360"/>
        </w:tabs>
        <w:spacing w:after="0" w:line="360" w:lineRule="auto"/>
        <w:rPr>
          <w:szCs w:val="24"/>
        </w:rPr>
      </w:pPr>
      <w:r>
        <w:rPr>
          <w:szCs w:val="24"/>
        </w:rPr>
        <w:tab/>
      </w:r>
      <w:r>
        <w:rPr>
          <w:szCs w:val="24"/>
        </w:rPr>
        <w:tab/>
        <w:t>1.</w:t>
      </w:r>
      <w:r>
        <w:rPr>
          <w:szCs w:val="24"/>
        </w:rPr>
        <w:tab/>
        <w:t>Distribution Revenue Requirement</w:t>
      </w:r>
      <w:r>
        <w:rPr>
          <w:szCs w:val="24"/>
        </w:rPr>
        <w:tab/>
      </w:r>
      <w:r w:rsidR="001237DB">
        <w:rPr>
          <w:szCs w:val="24"/>
        </w:rPr>
        <w:t>4</w:t>
      </w:r>
      <w:r w:rsidR="00466D5D">
        <w:rPr>
          <w:szCs w:val="24"/>
        </w:rPr>
        <w:t>3</w:t>
      </w:r>
    </w:p>
    <w:p w:rsidR="00154E3B" w:rsidRDefault="00154E3B" w:rsidP="00154E3B">
      <w:pPr>
        <w:tabs>
          <w:tab w:val="left" w:pos="720"/>
          <w:tab w:val="left" w:pos="1440"/>
          <w:tab w:val="left" w:pos="2160"/>
          <w:tab w:val="left" w:pos="2880"/>
          <w:tab w:val="right" w:leader="dot" w:pos="9360"/>
        </w:tabs>
        <w:spacing w:after="0" w:line="360" w:lineRule="auto"/>
        <w:rPr>
          <w:szCs w:val="24"/>
        </w:rPr>
      </w:pPr>
      <w:r>
        <w:rPr>
          <w:szCs w:val="24"/>
        </w:rPr>
        <w:tab/>
      </w:r>
      <w:r>
        <w:rPr>
          <w:szCs w:val="24"/>
        </w:rPr>
        <w:tab/>
        <w:t>2.</w:t>
      </w:r>
      <w:r>
        <w:rPr>
          <w:szCs w:val="24"/>
        </w:rPr>
        <w:tab/>
        <w:t>Class Revenue Allocation</w:t>
      </w:r>
      <w:r>
        <w:rPr>
          <w:szCs w:val="24"/>
        </w:rPr>
        <w:tab/>
      </w:r>
      <w:r w:rsidR="001237DB">
        <w:rPr>
          <w:szCs w:val="24"/>
        </w:rPr>
        <w:t>4</w:t>
      </w:r>
      <w:r w:rsidR="00466D5D">
        <w:rPr>
          <w:szCs w:val="24"/>
        </w:rPr>
        <w:t>3</w:t>
      </w:r>
    </w:p>
    <w:p w:rsidR="00154E3B" w:rsidRDefault="00154E3B" w:rsidP="00154E3B">
      <w:pPr>
        <w:tabs>
          <w:tab w:val="left" w:pos="720"/>
          <w:tab w:val="left" w:pos="1440"/>
          <w:tab w:val="left" w:pos="2160"/>
          <w:tab w:val="left" w:pos="2880"/>
          <w:tab w:val="right" w:leader="dot" w:pos="9360"/>
        </w:tabs>
        <w:spacing w:after="0" w:line="360" w:lineRule="auto"/>
        <w:rPr>
          <w:szCs w:val="24"/>
        </w:rPr>
      </w:pPr>
      <w:r>
        <w:rPr>
          <w:szCs w:val="24"/>
        </w:rPr>
        <w:tab/>
      </w:r>
      <w:r>
        <w:rPr>
          <w:szCs w:val="24"/>
        </w:rPr>
        <w:tab/>
        <w:t>3.</w:t>
      </w:r>
      <w:r>
        <w:rPr>
          <w:szCs w:val="24"/>
        </w:rPr>
        <w:tab/>
        <w:t>GMH Rate Design</w:t>
      </w:r>
      <w:r>
        <w:rPr>
          <w:szCs w:val="24"/>
        </w:rPr>
        <w:tab/>
      </w:r>
      <w:r w:rsidR="00466D5D">
        <w:rPr>
          <w:szCs w:val="24"/>
        </w:rPr>
        <w:t>45</w:t>
      </w:r>
    </w:p>
    <w:p w:rsidR="00154E3B" w:rsidRPr="0017264E" w:rsidRDefault="00154E3B" w:rsidP="00154E3B">
      <w:pPr>
        <w:tabs>
          <w:tab w:val="left" w:pos="720"/>
          <w:tab w:val="left" w:pos="1440"/>
          <w:tab w:val="left" w:pos="2160"/>
          <w:tab w:val="left" w:pos="2880"/>
          <w:tab w:val="right" w:leader="dot" w:pos="9360"/>
        </w:tabs>
        <w:spacing w:after="0" w:line="360" w:lineRule="auto"/>
        <w:rPr>
          <w:szCs w:val="24"/>
        </w:rPr>
      </w:pPr>
      <w:r>
        <w:rPr>
          <w:szCs w:val="24"/>
        </w:rPr>
        <w:tab/>
      </w:r>
      <w:r>
        <w:rPr>
          <w:szCs w:val="24"/>
        </w:rPr>
        <w:tab/>
        <w:t>4.</w:t>
      </w:r>
      <w:r>
        <w:rPr>
          <w:szCs w:val="24"/>
        </w:rPr>
        <w:tab/>
        <w:t>Pension Rate Adjustment Mechanism (PRA Rider)</w:t>
      </w:r>
      <w:r>
        <w:rPr>
          <w:szCs w:val="24"/>
        </w:rPr>
        <w:tab/>
      </w:r>
      <w:r w:rsidR="00C65916">
        <w:rPr>
          <w:szCs w:val="24"/>
        </w:rPr>
        <w:t>4</w:t>
      </w:r>
      <w:r w:rsidR="00466D5D">
        <w:rPr>
          <w:szCs w:val="24"/>
        </w:rPr>
        <w:t>6</w:t>
      </w:r>
    </w:p>
    <w:p w:rsidR="00154E3B" w:rsidRPr="0017264E" w:rsidRDefault="00154E3B" w:rsidP="00154E3B">
      <w:pPr>
        <w:tabs>
          <w:tab w:val="left" w:pos="720"/>
          <w:tab w:val="left" w:pos="1440"/>
          <w:tab w:val="right" w:leader="dot" w:pos="9360"/>
        </w:tabs>
        <w:spacing w:after="0" w:line="360" w:lineRule="auto"/>
        <w:rPr>
          <w:szCs w:val="24"/>
        </w:rPr>
      </w:pPr>
      <w:r w:rsidRPr="0017264E">
        <w:rPr>
          <w:szCs w:val="24"/>
        </w:rPr>
        <w:tab/>
        <w:t>E.</w:t>
      </w:r>
      <w:r w:rsidRPr="0017264E">
        <w:rPr>
          <w:szCs w:val="24"/>
        </w:rPr>
        <w:tab/>
        <w:t>CAUSE-PA</w:t>
      </w:r>
      <w:r w:rsidR="00757FAF">
        <w:rPr>
          <w:szCs w:val="24"/>
        </w:rPr>
        <w:t xml:space="preserve"> Position</w:t>
      </w:r>
      <w:r w:rsidRPr="0017264E">
        <w:rPr>
          <w:szCs w:val="24"/>
        </w:rPr>
        <w:tab/>
      </w:r>
      <w:r w:rsidR="00C65916">
        <w:rPr>
          <w:szCs w:val="24"/>
        </w:rPr>
        <w:t>4</w:t>
      </w:r>
      <w:r w:rsidR="00466D5D">
        <w:rPr>
          <w:szCs w:val="24"/>
        </w:rPr>
        <w:t>7</w:t>
      </w:r>
    </w:p>
    <w:p w:rsidR="00154E3B" w:rsidRPr="0017264E" w:rsidRDefault="00154E3B" w:rsidP="00154E3B">
      <w:pPr>
        <w:tabs>
          <w:tab w:val="left" w:pos="720"/>
          <w:tab w:val="left" w:pos="1440"/>
          <w:tab w:val="right" w:leader="dot" w:pos="9360"/>
        </w:tabs>
        <w:spacing w:after="0" w:line="360" w:lineRule="auto"/>
        <w:rPr>
          <w:szCs w:val="24"/>
        </w:rPr>
      </w:pPr>
      <w:r w:rsidRPr="0017264E">
        <w:rPr>
          <w:szCs w:val="24"/>
        </w:rPr>
        <w:tab/>
        <w:t>F.</w:t>
      </w:r>
      <w:r w:rsidRPr="0017264E">
        <w:rPr>
          <w:szCs w:val="24"/>
        </w:rPr>
        <w:tab/>
        <w:t>DII’s Position</w:t>
      </w:r>
      <w:r w:rsidRPr="0017264E">
        <w:rPr>
          <w:szCs w:val="24"/>
        </w:rPr>
        <w:tab/>
      </w:r>
      <w:r w:rsidR="00C65916">
        <w:rPr>
          <w:szCs w:val="24"/>
        </w:rPr>
        <w:t>5</w:t>
      </w:r>
      <w:r w:rsidR="00466D5D">
        <w:rPr>
          <w:szCs w:val="24"/>
        </w:rPr>
        <w:t>0</w:t>
      </w:r>
    </w:p>
    <w:p w:rsidR="00154E3B" w:rsidRPr="0017264E" w:rsidRDefault="00154E3B" w:rsidP="00154E3B">
      <w:pPr>
        <w:tabs>
          <w:tab w:val="left" w:pos="720"/>
          <w:tab w:val="left" w:pos="1440"/>
          <w:tab w:val="right" w:leader="dot" w:pos="9360"/>
        </w:tabs>
        <w:spacing w:after="0" w:line="360" w:lineRule="auto"/>
        <w:rPr>
          <w:szCs w:val="24"/>
        </w:rPr>
      </w:pPr>
      <w:r w:rsidRPr="0017264E">
        <w:rPr>
          <w:szCs w:val="24"/>
        </w:rPr>
        <w:tab/>
        <w:t>G.</w:t>
      </w:r>
      <w:r w:rsidRPr="0017264E">
        <w:rPr>
          <w:szCs w:val="24"/>
        </w:rPr>
        <w:tab/>
      </w:r>
      <w:proofErr w:type="spellStart"/>
      <w:r w:rsidRPr="0017264E">
        <w:rPr>
          <w:szCs w:val="24"/>
        </w:rPr>
        <w:t>PennFuture’s</w:t>
      </w:r>
      <w:proofErr w:type="spellEnd"/>
      <w:r w:rsidRPr="0017264E">
        <w:rPr>
          <w:szCs w:val="24"/>
        </w:rPr>
        <w:t xml:space="preserve"> Position</w:t>
      </w:r>
      <w:r w:rsidRPr="0017264E">
        <w:rPr>
          <w:szCs w:val="24"/>
        </w:rPr>
        <w:tab/>
      </w:r>
      <w:r w:rsidR="00C65916">
        <w:rPr>
          <w:szCs w:val="24"/>
        </w:rPr>
        <w:t>5</w:t>
      </w:r>
      <w:r w:rsidR="00466D5D">
        <w:rPr>
          <w:szCs w:val="24"/>
        </w:rPr>
        <w:t>1</w:t>
      </w:r>
    </w:p>
    <w:p w:rsidR="00154E3B" w:rsidRPr="0017264E" w:rsidRDefault="00154E3B" w:rsidP="00154E3B">
      <w:pPr>
        <w:tabs>
          <w:tab w:val="left" w:pos="720"/>
          <w:tab w:val="left" w:pos="1440"/>
          <w:tab w:val="right" w:leader="dot" w:pos="9360"/>
        </w:tabs>
        <w:spacing w:after="0" w:line="360" w:lineRule="auto"/>
        <w:rPr>
          <w:szCs w:val="24"/>
        </w:rPr>
      </w:pPr>
      <w:r w:rsidRPr="0017264E">
        <w:rPr>
          <w:szCs w:val="24"/>
        </w:rPr>
        <w:tab/>
        <w:t>H.</w:t>
      </w:r>
      <w:r w:rsidRPr="0017264E">
        <w:rPr>
          <w:szCs w:val="24"/>
        </w:rPr>
        <w:tab/>
      </w:r>
      <w:r w:rsidR="00CA7790">
        <w:rPr>
          <w:szCs w:val="24"/>
        </w:rPr>
        <w:t>U. S. Steel</w:t>
      </w:r>
      <w:r>
        <w:rPr>
          <w:szCs w:val="24"/>
        </w:rPr>
        <w:t>’s</w:t>
      </w:r>
      <w:r w:rsidRPr="0017264E">
        <w:rPr>
          <w:szCs w:val="24"/>
        </w:rPr>
        <w:t xml:space="preserve"> Position</w:t>
      </w:r>
      <w:r w:rsidRPr="0017264E">
        <w:rPr>
          <w:szCs w:val="24"/>
        </w:rPr>
        <w:tab/>
      </w:r>
      <w:r w:rsidR="00C65916">
        <w:rPr>
          <w:szCs w:val="24"/>
        </w:rPr>
        <w:t>5</w:t>
      </w:r>
      <w:r w:rsidR="00466D5D">
        <w:rPr>
          <w:szCs w:val="24"/>
        </w:rPr>
        <w:t>2</w:t>
      </w:r>
    </w:p>
    <w:p w:rsidR="0038033A" w:rsidRPr="0017264E" w:rsidRDefault="0038033A" w:rsidP="00054105">
      <w:pPr>
        <w:tabs>
          <w:tab w:val="left" w:pos="720"/>
          <w:tab w:val="left" w:pos="1440"/>
          <w:tab w:val="right" w:leader="dot" w:pos="9360"/>
        </w:tabs>
        <w:spacing w:after="0" w:line="240" w:lineRule="auto"/>
        <w:rPr>
          <w:szCs w:val="24"/>
        </w:rPr>
      </w:pPr>
      <w:r w:rsidRPr="0017264E">
        <w:rPr>
          <w:szCs w:val="24"/>
        </w:rPr>
        <w:t>VI</w:t>
      </w:r>
      <w:r>
        <w:rPr>
          <w:szCs w:val="24"/>
        </w:rPr>
        <w:t>I.</w:t>
      </w:r>
      <w:r>
        <w:rPr>
          <w:szCs w:val="24"/>
        </w:rPr>
        <w:tab/>
        <w:t xml:space="preserve">DISPOSITION </w:t>
      </w:r>
      <w:r w:rsidRPr="0017264E">
        <w:rPr>
          <w:szCs w:val="24"/>
        </w:rPr>
        <w:t xml:space="preserve">OF THE </w:t>
      </w:r>
      <w:r>
        <w:rPr>
          <w:szCs w:val="24"/>
        </w:rPr>
        <w:t>FORMAL COMPLAINTS OF THE NON-OBJECTING</w:t>
      </w:r>
      <w:r w:rsidRPr="0017264E">
        <w:rPr>
          <w:szCs w:val="24"/>
        </w:rPr>
        <w:t xml:space="preserve"> </w:t>
      </w:r>
    </w:p>
    <w:p w:rsidR="0038033A" w:rsidRDefault="0038033A" w:rsidP="005E223C">
      <w:pPr>
        <w:tabs>
          <w:tab w:val="left" w:pos="720"/>
          <w:tab w:val="left" w:pos="1440"/>
          <w:tab w:val="left" w:pos="2160"/>
          <w:tab w:val="right" w:leader="dot" w:pos="9360"/>
        </w:tabs>
        <w:spacing w:after="0" w:line="360" w:lineRule="auto"/>
        <w:rPr>
          <w:szCs w:val="24"/>
        </w:rPr>
      </w:pPr>
      <w:r w:rsidRPr="0017264E">
        <w:rPr>
          <w:szCs w:val="24"/>
        </w:rPr>
        <w:tab/>
      </w:r>
      <w:r>
        <w:rPr>
          <w:szCs w:val="24"/>
        </w:rPr>
        <w:t>COMPLAINA</w:t>
      </w:r>
      <w:r w:rsidRPr="0017264E">
        <w:rPr>
          <w:szCs w:val="24"/>
        </w:rPr>
        <w:t>NT</w:t>
      </w:r>
      <w:r>
        <w:rPr>
          <w:szCs w:val="24"/>
        </w:rPr>
        <w:t>S</w:t>
      </w:r>
      <w:r w:rsidRPr="0017264E">
        <w:rPr>
          <w:szCs w:val="24"/>
        </w:rPr>
        <w:tab/>
      </w:r>
      <w:r w:rsidR="00C65916">
        <w:rPr>
          <w:szCs w:val="24"/>
        </w:rPr>
        <w:t>5</w:t>
      </w:r>
      <w:r w:rsidR="00466D5D">
        <w:rPr>
          <w:szCs w:val="24"/>
        </w:rPr>
        <w:t>4</w:t>
      </w:r>
    </w:p>
    <w:p w:rsidR="001237DB" w:rsidRDefault="001237DB" w:rsidP="00466D5D">
      <w:pPr>
        <w:tabs>
          <w:tab w:val="left" w:pos="720"/>
          <w:tab w:val="left" w:pos="1440"/>
          <w:tab w:val="left" w:pos="2160"/>
          <w:tab w:val="right" w:leader="dot" w:pos="9360"/>
        </w:tabs>
        <w:spacing w:after="0" w:line="240" w:lineRule="auto"/>
        <w:rPr>
          <w:szCs w:val="24"/>
        </w:rPr>
      </w:pPr>
      <w:r>
        <w:rPr>
          <w:szCs w:val="24"/>
        </w:rPr>
        <w:t>VIII.</w:t>
      </w:r>
      <w:r w:rsidRPr="0017264E">
        <w:rPr>
          <w:szCs w:val="24"/>
        </w:rPr>
        <w:tab/>
      </w:r>
      <w:r w:rsidR="00093513">
        <w:rPr>
          <w:szCs w:val="24"/>
        </w:rPr>
        <w:t xml:space="preserve">RECOMMENDATION ON </w:t>
      </w:r>
      <w:r w:rsidR="00466D5D">
        <w:rPr>
          <w:szCs w:val="24"/>
        </w:rPr>
        <w:t>NON-UNANIMOUS SETTLEMENT</w:t>
      </w:r>
      <w:bookmarkStart w:id="0" w:name="_GoBack"/>
      <w:bookmarkEnd w:id="0"/>
      <w:r w:rsidRPr="0017264E">
        <w:rPr>
          <w:szCs w:val="24"/>
        </w:rPr>
        <w:tab/>
        <w:t>.</w:t>
      </w:r>
      <w:r w:rsidR="00C65916">
        <w:rPr>
          <w:szCs w:val="24"/>
        </w:rPr>
        <w:t>5</w:t>
      </w:r>
      <w:r w:rsidR="00466D5D">
        <w:rPr>
          <w:szCs w:val="24"/>
        </w:rPr>
        <w:t>5</w:t>
      </w:r>
    </w:p>
    <w:p w:rsidR="00154E3B" w:rsidRDefault="00054105" w:rsidP="00093513">
      <w:pPr>
        <w:tabs>
          <w:tab w:val="left" w:pos="720"/>
          <w:tab w:val="left" w:pos="1440"/>
          <w:tab w:val="left" w:pos="2160"/>
          <w:tab w:val="right" w:leader="dot" w:pos="9360"/>
        </w:tabs>
        <w:spacing w:before="120" w:after="0" w:line="360" w:lineRule="auto"/>
        <w:rPr>
          <w:szCs w:val="24"/>
        </w:rPr>
      </w:pPr>
      <w:r>
        <w:rPr>
          <w:szCs w:val="24"/>
        </w:rPr>
        <w:t>X</w:t>
      </w:r>
      <w:r w:rsidR="00154E3B" w:rsidRPr="0017264E">
        <w:rPr>
          <w:szCs w:val="24"/>
        </w:rPr>
        <w:t>.</w:t>
      </w:r>
      <w:r w:rsidR="00154E3B" w:rsidRPr="0017264E">
        <w:rPr>
          <w:szCs w:val="24"/>
        </w:rPr>
        <w:tab/>
        <w:t>CONCLUSIONS OF LAW</w:t>
      </w:r>
      <w:r w:rsidR="00154E3B" w:rsidRPr="0017264E">
        <w:rPr>
          <w:szCs w:val="24"/>
        </w:rPr>
        <w:tab/>
      </w:r>
      <w:r w:rsidR="00C65916">
        <w:rPr>
          <w:szCs w:val="24"/>
        </w:rPr>
        <w:t>5</w:t>
      </w:r>
      <w:r w:rsidR="00466D5D">
        <w:rPr>
          <w:szCs w:val="24"/>
        </w:rPr>
        <w:t>8</w:t>
      </w:r>
    </w:p>
    <w:p w:rsidR="00375510" w:rsidRDefault="00054105" w:rsidP="00154E3B">
      <w:pPr>
        <w:tabs>
          <w:tab w:val="left" w:pos="720"/>
          <w:tab w:val="left" w:pos="1440"/>
          <w:tab w:val="left" w:pos="2160"/>
          <w:tab w:val="right" w:leader="dot" w:pos="9360"/>
        </w:tabs>
        <w:spacing w:after="0" w:line="360" w:lineRule="auto"/>
        <w:rPr>
          <w:szCs w:val="24"/>
        </w:rPr>
        <w:sectPr w:rsidR="00375510" w:rsidSect="00375510">
          <w:pgSz w:w="12240" w:h="15840"/>
          <w:pgMar w:top="1440" w:right="1440" w:bottom="1440" w:left="1440" w:header="720" w:footer="720" w:gutter="0"/>
          <w:pgNumType w:fmt="lowerRoman" w:start="1"/>
          <w:cols w:space="720"/>
          <w:titlePg/>
          <w:docGrid w:linePitch="360"/>
        </w:sectPr>
      </w:pPr>
      <w:r>
        <w:rPr>
          <w:szCs w:val="24"/>
        </w:rPr>
        <w:t>X</w:t>
      </w:r>
      <w:r w:rsidR="001237DB">
        <w:rPr>
          <w:szCs w:val="24"/>
        </w:rPr>
        <w:t>I</w:t>
      </w:r>
      <w:r w:rsidR="00154E3B" w:rsidRPr="0017264E">
        <w:rPr>
          <w:szCs w:val="24"/>
        </w:rPr>
        <w:t>.</w:t>
      </w:r>
      <w:r w:rsidR="00154E3B" w:rsidRPr="0017264E">
        <w:rPr>
          <w:szCs w:val="24"/>
        </w:rPr>
        <w:tab/>
      </w:r>
      <w:r w:rsidR="00154E3B">
        <w:rPr>
          <w:szCs w:val="24"/>
        </w:rPr>
        <w:t>RECOMMENDED ORDER</w:t>
      </w:r>
      <w:r w:rsidR="00154E3B" w:rsidRPr="0017264E">
        <w:rPr>
          <w:szCs w:val="24"/>
        </w:rPr>
        <w:tab/>
      </w:r>
      <w:r w:rsidR="00466D5D">
        <w:rPr>
          <w:szCs w:val="24"/>
        </w:rPr>
        <w:t>59</w:t>
      </w:r>
    </w:p>
    <w:p w:rsidR="00BB3621" w:rsidRDefault="00BB3621" w:rsidP="00093513">
      <w:pPr>
        <w:tabs>
          <w:tab w:val="left" w:pos="720"/>
          <w:tab w:val="left" w:pos="1440"/>
          <w:tab w:val="left" w:pos="2160"/>
          <w:tab w:val="left" w:pos="2880"/>
        </w:tabs>
        <w:spacing w:after="0" w:line="360" w:lineRule="auto"/>
        <w:jc w:val="center"/>
        <w:rPr>
          <w:rFonts w:eastAsia="Times New Roman"/>
          <w:szCs w:val="24"/>
          <w:u w:val="single"/>
        </w:rPr>
      </w:pPr>
      <w:r>
        <w:rPr>
          <w:rFonts w:eastAsia="Times New Roman"/>
          <w:szCs w:val="24"/>
          <w:u w:val="single"/>
        </w:rPr>
        <w:lastRenderedPageBreak/>
        <w:t>Introduction</w:t>
      </w:r>
    </w:p>
    <w:p w:rsidR="00BB3621" w:rsidRDefault="00BB3621" w:rsidP="00BB3621">
      <w:pPr>
        <w:spacing w:after="0" w:line="360" w:lineRule="auto"/>
        <w:rPr>
          <w:rFonts w:eastAsia="Times New Roman"/>
          <w:szCs w:val="24"/>
        </w:rPr>
      </w:pPr>
    </w:p>
    <w:p w:rsidR="00BB3621" w:rsidRDefault="00BB3621" w:rsidP="00BB3621">
      <w:pPr>
        <w:spacing w:after="0" w:line="360" w:lineRule="auto"/>
        <w:rPr>
          <w:rFonts w:eastAsia="Times New Roman"/>
          <w:szCs w:val="24"/>
        </w:rPr>
      </w:pPr>
      <w:r>
        <w:rPr>
          <w:rFonts w:eastAsia="Times New Roman"/>
          <w:szCs w:val="24"/>
        </w:rPr>
        <w:tab/>
      </w:r>
      <w:r>
        <w:rPr>
          <w:rFonts w:eastAsia="Times New Roman"/>
          <w:szCs w:val="24"/>
        </w:rPr>
        <w:tab/>
        <w:t>In the instant proceeding, the litigating parties did not achieve a unanimous accord.  This case involved 20 parties with distinct and competing interests: Duquesne Light Company; three statutory parties; five individual complainants; four corporate complainants; and eight intervenors.  A public input hearing was also convened.  The litigating parties engaged in extensive discovery, filed voluminous prepared testimony and exhibits, and they submitted multiple motions, responses and briefs.  Nineteen attorneys representing the respective parties appeared for the evidentiary hearings which occurred over a three-day period in Harrisburg. Seven witnesses testified and were cross-examined.  In others words, this proceeding drew significant interest from a number of parties.</w:t>
      </w:r>
    </w:p>
    <w:p w:rsidR="00BB3621" w:rsidRDefault="00BB3621" w:rsidP="00BB3621">
      <w:pPr>
        <w:spacing w:after="0" w:line="360" w:lineRule="auto"/>
        <w:rPr>
          <w:rFonts w:eastAsia="Times New Roman"/>
          <w:szCs w:val="24"/>
        </w:rPr>
      </w:pPr>
    </w:p>
    <w:p w:rsidR="00E5408E" w:rsidRDefault="00BB3621" w:rsidP="00D643C6">
      <w:pPr>
        <w:spacing w:after="0" w:line="360" w:lineRule="auto"/>
        <w:rPr>
          <w:szCs w:val="24"/>
        </w:rPr>
      </w:pPr>
      <w:r>
        <w:rPr>
          <w:rFonts w:eastAsia="Times New Roman"/>
          <w:szCs w:val="24"/>
        </w:rPr>
        <w:tab/>
      </w:r>
      <w:r>
        <w:rPr>
          <w:rFonts w:eastAsia="Times New Roman"/>
          <w:szCs w:val="24"/>
        </w:rPr>
        <w:tab/>
        <w:t>Investigation of the Company’s proposed Tariff Supplement No. 81 to Electric</w:t>
      </w:r>
      <w:r w:rsidR="00054105">
        <w:rPr>
          <w:rFonts w:eastAsia="Times New Roman"/>
          <w:szCs w:val="24"/>
        </w:rPr>
        <w:t xml:space="preserve"> –</w:t>
      </w:r>
      <w:r>
        <w:rPr>
          <w:rFonts w:eastAsia="Times New Roman"/>
          <w:szCs w:val="24"/>
        </w:rPr>
        <w:t>P</w:t>
      </w:r>
      <w:r w:rsidR="00054105">
        <w:rPr>
          <w:rFonts w:eastAsia="Times New Roman"/>
          <w:szCs w:val="24"/>
        </w:rPr>
        <w:t>a</w:t>
      </w:r>
      <w:r>
        <w:rPr>
          <w:rFonts w:eastAsia="Times New Roman"/>
          <w:szCs w:val="24"/>
        </w:rPr>
        <w:t>. P.U.C. No. 24</w:t>
      </w:r>
      <w:r w:rsidR="009E0866">
        <w:rPr>
          <w:rFonts w:eastAsia="Times New Roman"/>
          <w:szCs w:val="24"/>
        </w:rPr>
        <w:t>,</w:t>
      </w:r>
      <w:r>
        <w:rPr>
          <w:rFonts w:eastAsia="Times New Roman"/>
          <w:szCs w:val="24"/>
        </w:rPr>
        <w:t xml:space="preserve"> combined with consideration of the Company’s existing tariff provision, i.e. Rider No. 18, added to the complexity of the proceeding and presented a challenge in fashioning the appropriate relief.  </w:t>
      </w:r>
      <w:r w:rsidR="00E5408E">
        <w:rPr>
          <w:szCs w:val="24"/>
        </w:rPr>
        <w:t>Additionally, the Company’s proposed tariff’s effective date is May 1, 2014, and the last public meeting before the effective date is April 23, 2014.  Accordingly as explained below, this decision recommends approval of the Joint Petition for Non-Unanimous Settlement, and holding NRG Companies’ formal Complaint in abeyance to permit sufficient time to address the complex issues surrounding Duquesne Light’s Rider No. 18 tariff provision.</w:t>
      </w:r>
    </w:p>
    <w:p w:rsidR="00BB3621" w:rsidRDefault="00BB3621" w:rsidP="00D643C6">
      <w:pPr>
        <w:spacing w:after="0" w:line="360" w:lineRule="auto"/>
        <w:rPr>
          <w:rFonts w:eastAsia="Times New Roman"/>
          <w:szCs w:val="24"/>
        </w:rPr>
      </w:pPr>
    </w:p>
    <w:p w:rsidR="00441505" w:rsidRPr="00441505" w:rsidRDefault="00441505" w:rsidP="00D643C6">
      <w:pPr>
        <w:spacing w:after="0" w:line="360" w:lineRule="auto"/>
        <w:jc w:val="center"/>
        <w:rPr>
          <w:rFonts w:eastAsia="Times New Roman"/>
          <w:szCs w:val="24"/>
        </w:rPr>
      </w:pPr>
      <w:r w:rsidRPr="00441505">
        <w:rPr>
          <w:rFonts w:eastAsia="Times New Roman"/>
          <w:szCs w:val="24"/>
        </w:rPr>
        <w:t>I.</w:t>
      </w:r>
      <w:r w:rsidRPr="00441505">
        <w:rPr>
          <w:rFonts w:eastAsia="Times New Roman"/>
          <w:szCs w:val="24"/>
        </w:rPr>
        <w:tab/>
      </w:r>
      <w:r w:rsidRPr="00441505">
        <w:rPr>
          <w:rFonts w:eastAsia="Times New Roman"/>
          <w:szCs w:val="24"/>
          <w:u w:val="single"/>
        </w:rPr>
        <w:t>HISTORY OF THE PROCEEDING</w:t>
      </w:r>
    </w:p>
    <w:p w:rsidR="00A03E46" w:rsidRDefault="00A03E46" w:rsidP="00D643C6">
      <w:pPr>
        <w:pStyle w:val="Level1"/>
        <w:widowControl/>
        <w:spacing w:line="360" w:lineRule="auto"/>
        <w:ind w:left="0" w:firstLine="720"/>
        <w:jc w:val="left"/>
      </w:pPr>
    </w:p>
    <w:p w:rsidR="00441505" w:rsidRPr="000721DA" w:rsidRDefault="00441505" w:rsidP="00D643C6">
      <w:pPr>
        <w:pStyle w:val="Level1"/>
        <w:widowControl/>
        <w:spacing w:line="360" w:lineRule="auto"/>
        <w:ind w:left="0" w:firstLine="720"/>
        <w:jc w:val="left"/>
      </w:pPr>
      <w:r w:rsidRPr="000721DA">
        <w:tab/>
        <w:t>On August 2, 2013, Duquesne Light Company (Duquesne Light, Company or Respondent) filed with the Pennsylvania Public Utility Commission (Commission), at Docket No. R-2013-2372129, Tariff Supplement No. 81 to Electric</w:t>
      </w:r>
      <w:r w:rsidR="00054105">
        <w:t xml:space="preserve"> – </w:t>
      </w:r>
      <w:r w:rsidRPr="000721DA">
        <w:t>P</w:t>
      </w:r>
      <w:r w:rsidR="00B937F0">
        <w:t>a</w:t>
      </w:r>
      <w:r w:rsidRPr="000721DA">
        <w:t>. P.U.C. No. 24</w:t>
      </w:r>
      <w:r w:rsidR="005D2CB2">
        <w:t xml:space="preserve">, </w:t>
      </w:r>
      <w:r w:rsidRPr="000721DA">
        <w:t>to become effective October 1, 2013, containing proposed changes in rates, rules, and regulations calculated to produce $76.3 million (17.6%) in additional annual</w:t>
      </w:r>
      <w:r w:rsidRPr="000721DA">
        <w:rPr>
          <w:i/>
        </w:rPr>
        <w:t xml:space="preserve"> </w:t>
      </w:r>
      <w:r w:rsidRPr="000721DA">
        <w:t xml:space="preserve">revenues.  </w:t>
      </w:r>
      <w:r w:rsidR="005D2CB2">
        <w:t>The filing included supporting data, written testimony and exhibits.</w:t>
      </w:r>
      <w:r w:rsidR="00B937F0">
        <w:t xml:space="preserve"> </w:t>
      </w:r>
      <w:r w:rsidR="005D2CB2">
        <w:t xml:space="preserve"> </w:t>
      </w:r>
      <w:r w:rsidRPr="000721DA">
        <w:t xml:space="preserve">Duquesne Light provides electric utility service to approximately 588,000 customers in the Greater Pittsburgh region of Allegheny and Beaver Counties. </w:t>
      </w:r>
    </w:p>
    <w:p w:rsidR="00441505" w:rsidRPr="000721DA" w:rsidRDefault="00441505" w:rsidP="002A28EA">
      <w:pPr>
        <w:pStyle w:val="Level1"/>
        <w:widowControl/>
        <w:spacing w:line="360" w:lineRule="auto"/>
        <w:ind w:left="0" w:firstLine="720"/>
        <w:jc w:val="left"/>
      </w:pPr>
      <w:r w:rsidRPr="000721DA">
        <w:lastRenderedPageBreak/>
        <w:tab/>
      </w:r>
      <w:r w:rsidRPr="000721DA">
        <w:rPr>
          <w:snapToGrid w:val="0"/>
        </w:rPr>
        <w:t>Duquesne Light propos</w:t>
      </w:r>
      <w:r w:rsidR="00A03E46">
        <w:rPr>
          <w:snapToGrid w:val="0"/>
        </w:rPr>
        <w:t>ed</w:t>
      </w:r>
      <w:r w:rsidRPr="000721DA">
        <w:rPr>
          <w:snapToGrid w:val="0"/>
        </w:rPr>
        <w:t xml:space="preserve"> an overall increase in rates of $53.1 million, or approximately 70% of the requested increase for the residential customer class.  Under the proposal, a residential customer using </w:t>
      </w:r>
      <w:r w:rsidRPr="000721DA">
        <w:t>600 kWh per month would incur a total bill increase from $77.77 per month to $86.00 per month, an increase of $8.23 per month or 10.58% on a total bill basis (distribution, transmission and generation).</w:t>
      </w:r>
    </w:p>
    <w:p w:rsidR="00441505" w:rsidRPr="000721DA" w:rsidRDefault="00441505" w:rsidP="002A28EA">
      <w:pPr>
        <w:spacing w:after="0" w:line="360" w:lineRule="auto"/>
        <w:ind w:firstLine="1440"/>
        <w:rPr>
          <w:rFonts w:eastAsia="Calibri"/>
          <w:snapToGrid w:val="0"/>
          <w:szCs w:val="24"/>
        </w:rPr>
      </w:pPr>
    </w:p>
    <w:p w:rsidR="00441505" w:rsidRPr="000721DA" w:rsidRDefault="00441505" w:rsidP="002A28EA">
      <w:pPr>
        <w:spacing w:after="0" w:line="360" w:lineRule="auto"/>
        <w:ind w:firstLine="1440"/>
        <w:rPr>
          <w:szCs w:val="24"/>
        </w:rPr>
      </w:pPr>
      <w:r w:rsidRPr="000721DA">
        <w:rPr>
          <w:rFonts w:eastAsia="Calibri"/>
          <w:snapToGrid w:val="0"/>
          <w:szCs w:val="24"/>
        </w:rPr>
        <w:t>As part of this increase, Duquesne Light propos</w:t>
      </w:r>
      <w:r w:rsidR="00A03E46">
        <w:rPr>
          <w:rFonts w:eastAsia="Calibri"/>
          <w:snapToGrid w:val="0"/>
          <w:szCs w:val="24"/>
        </w:rPr>
        <w:t>ed</w:t>
      </w:r>
      <w:r w:rsidRPr="000721DA">
        <w:rPr>
          <w:rFonts w:eastAsia="Calibri"/>
          <w:snapToGrid w:val="0"/>
          <w:szCs w:val="24"/>
        </w:rPr>
        <w:t xml:space="preserve"> to increase the residential customer charge from $7.00 to $15.00.  This proposed rate increase, if approved, would produce an 8.36% overall rate of return on the Company’s original cost rate base, including an 11.25% rate of return on common equity.  </w:t>
      </w:r>
    </w:p>
    <w:p w:rsidR="00441505" w:rsidRPr="000721DA" w:rsidRDefault="00441505" w:rsidP="002A28EA">
      <w:pPr>
        <w:spacing w:after="0" w:line="360" w:lineRule="auto"/>
        <w:rPr>
          <w:szCs w:val="24"/>
        </w:rPr>
      </w:pPr>
    </w:p>
    <w:p w:rsidR="00441505" w:rsidRPr="000721DA" w:rsidRDefault="00441505" w:rsidP="002A28EA">
      <w:pPr>
        <w:spacing w:after="0" w:line="360" w:lineRule="auto"/>
        <w:ind w:firstLine="1440"/>
        <w:rPr>
          <w:szCs w:val="24"/>
        </w:rPr>
      </w:pPr>
      <w:r w:rsidRPr="000721DA">
        <w:rPr>
          <w:szCs w:val="24"/>
        </w:rPr>
        <w:t>The statutory parties entered appearances in this proceeding.  On August 9, 2013, the Commission’s Bureau of Investigation and Enforcement (I&amp;E) filed a Notice of Appearance.  On August 16, 2013, the Office of Consumer Advocate (OCA) filed a Formal Complaint</w:t>
      </w:r>
      <w:r w:rsidR="00950DE3">
        <w:rPr>
          <w:szCs w:val="24"/>
        </w:rPr>
        <w:t xml:space="preserve"> at Docket No. C-2013-2379084 and a</w:t>
      </w:r>
      <w:r w:rsidRPr="000721DA">
        <w:rPr>
          <w:szCs w:val="24"/>
        </w:rPr>
        <w:t xml:space="preserve"> Public Statement and Notice of Appearance</w:t>
      </w:r>
      <w:r w:rsidR="00950DE3">
        <w:rPr>
          <w:szCs w:val="24"/>
        </w:rPr>
        <w:t xml:space="preserve"> in this proceeding</w:t>
      </w:r>
      <w:r w:rsidRPr="000721DA">
        <w:rPr>
          <w:szCs w:val="24"/>
        </w:rPr>
        <w:t>.  The Office of Small Business Advocate (OSBA) filed a Formal Complaint</w:t>
      </w:r>
      <w:r w:rsidR="00950DE3">
        <w:rPr>
          <w:szCs w:val="24"/>
        </w:rPr>
        <w:t xml:space="preserve"> at Docket No. C-2013-2380474 and a</w:t>
      </w:r>
      <w:r w:rsidRPr="000721DA">
        <w:rPr>
          <w:szCs w:val="24"/>
        </w:rPr>
        <w:t xml:space="preserve"> Public Statement and Notice of Appearance on August 22, 2013</w:t>
      </w:r>
      <w:r w:rsidR="00950DE3">
        <w:rPr>
          <w:szCs w:val="24"/>
        </w:rPr>
        <w:t xml:space="preserve"> in this proceeding</w:t>
      </w:r>
      <w:r w:rsidRPr="000721DA">
        <w:rPr>
          <w:szCs w:val="24"/>
        </w:rPr>
        <w:t xml:space="preserve">. </w:t>
      </w:r>
    </w:p>
    <w:p w:rsidR="00441505" w:rsidRPr="000721DA" w:rsidRDefault="00441505" w:rsidP="002A28EA">
      <w:pPr>
        <w:spacing w:after="0" w:line="360" w:lineRule="auto"/>
        <w:ind w:firstLine="1440"/>
        <w:rPr>
          <w:szCs w:val="24"/>
        </w:rPr>
      </w:pPr>
    </w:p>
    <w:p w:rsidR="00441505" w:rsidRPr="000721DA" w:rsidRDefault="00441505" w:rsidP="002A28EA">
      <w:pPr>
        <w:spacing w:after="0"/>
        <w:ind w:firstLine="1440"/>
        <w:rPr>
          <w:szCs w:val="24"/>
        </w:rPr>
      </w:pPr>
      <w:r w:rsidRPr="000721DA">
        <w:rPr>
          <w:szCs w:val="24"/>
        </w:rPr>
        <w:t xml:space="preserve">Formal Complaints </w:t>
      </w:r>
      <w:r w:rsidR="00A03E46">
        <w:rPr>
          <w:szCs w:val="24"/>
        </w:rPr>
        <w:t>were</w:t>
      </w:r>
      <w:r w:rsidRPr="000721DA">
        <w:rPr>
          <w:szCs w:val="24"/>
        </w:rPr>
        <w:t xml:space="preserve"> also filed with the Commission by the following: </w:t>
      </w:r>
    </w:p>
    <w:p w:rsidR="00441505" w:rsidRDefault="00441505" w:rsidP="002A28EA">
      <w:pPr>
        <w:spacing w:after="0"/>
        <w:ind w:left="1440" w:right="720"/>
      </w:pPr>
    </w:p>
    <w:p w:rsidR="00441505" w:rsidRDefault="00441505" w:rsidP="002A28EA">
      <w:pPr>
        <w:spacing w:after="0"/>
        <w:ind w:left="1440" w:right="720"/>
        <w:rPr>
          <w:szCs w:val="24"/>
        </w:rPr>
      </w:pPr>
      <w:r w:rsidRPr="000721DA">
        <w:rPr>
          <w:szCs w:val="24"/>
        </w:rPr>
        <w:t>Jacquel</w:t>
      </w:r>
      <w:r>
        <w:rPr>
          <w:szCs w:val="24"/>
        </w:rPr>
        <w:t>y</w:t>
      </w:r>
      <w:r w:rsidRPr="000721DA">
        <w:rPr>
          <w:szCs w:val="24"/>
        </w:rPr>
        <w:t>n</w:t>
      </w:r>
      <w:r>
        <w:rPr>
          <w:szCs w:val="24"/>
        </w:rPr>
        <w:t xml:space="preserve"> and Robert Miller at No. </w:t>
      </w:r>
      <w:r w:rsidRPr="000721DA">
        <w:rPr>
          <w:szCs w:val="24"/>
        </w:rPr>
        <w:t>C-2013-2383</w:t>
      </w:r>
      <w:r>
        <w:rPr>
          <w:szCs w:val="24"/>
        </w:rPr>
        <w:t>83</w:t>
      </w:r>
      <w:r w:rsidRPr="000721DA">
        <w:rPr>
          <w:szCs w:val="24"/>
        </w:rPr>
        <w:t>5 on September 18, 2013;</w:t>
      </w:r>
    </w:p>
    <w:p w:rsidR="004A0658" w:rsidRPr="000721DA" w:rsidRDefault="004A0658" w:rsidP="002A28EA">
      <w:pPr>
        <w:spacing w:after="0"/>
        <w:ind w:left="1440" w:right="720"/>
        <w:rPr>
          <w:szCs w:val="24"/>
        </w:rPr>
      </w:pPr>
    </w:p>
    <w:p w:rsidR="00441505" w:rsidRPr="000721DA" w:rsidRDefault="00441505" w:rsidP="002A28EA">
      <w:pPr>
        <w:spacing w:after="0"/>
        <w:ind w:left="1440" w:right="720"/>
        <w:rPr>
          <w:szCs w:val="24"/>
        </w:rPr>
      </w:pPr>
      <w:r w:rsidRPr="000721DA">
        <w:rPr>
          <w:szCs w:val="24"/>
        </w:rPr>
        <w:t>Gwendolyn L. LeVert at No. C-2013-2383980 on September 19, 2013;</w:t>
      </w:r>
    </w:p>
    <w:p w:rsidR="00441505" w:rsidRPr="000721DA" w:rsidRDefault="00441505" w:rsidP="002A28EA">
      <w:pPr>
        <w:spacing w:after="0"/>
        <w:ind w:left="1440" w:right="720"/>
        <w:rPr>
          <w:szCs w:val="24"/>
        </w:rPr>
      </w:pPr>
    </w:p>
    <w:p w:rsidR="00441505" w:rsidRPr="000721DA" w:rsidRDefault="00441505" w:rsidP="002A28EA">
      <w:pPr>
        <w:spacing w:after="0"/>
        <w:ind w:left="1440" w:right="720"/>
        <w:rPr>
          <w:szCs w:val="24"/>
        </w:rPr>
      </w:pPr>
      <w:r w:rsidRPr="000721DA">
        <w:rPr>
          <w:szCs w:val="24"/>
        </w:rPr>
        <w:t>Duquesne Industrial Intervenors (DII) at No. C-2013-2385292 on September 27, 2013;</w:t>
      </w:r>
    </w:p>
    <w:p w:rsidR="00441505" w:rsidRPr="000721DA" w:rsidRDefault="00441505" w:rsidP="002A28EA">
      <w:pPr>
        <w:spacing w:after="0"/>
        <w:ind w:left="1440" w:right="720"/>
        <w:rPr>
          <w:szCs w:val="24"/>
        </w:rPr>
      </w:pPr>
    </w:p>
    <w:p w:rsidR="00441505" w:rsidRPr="000721DA" w:rsidRDefault="00441505" w:rsidP="002A28EA">
      <w:pPr>
        <w:spacing w:after="0"/>
        <w:ind w:left="1440" w:right="720"/>
        <w:rPr>
          <w:szCs w:val="24"/>
        </w:rPr>
      </w:pPr>
      <w:r w:rsidRPr="000721DA">
        <w:rPr>
          <w:szCs w:val="24"/>
        </w:rPr>
        <w:t xml:space="preserve">Aimee-Marie Dorsten at No. </w:t>
      </w:r>
      <w:r>
        <w:rPr>
          <w:szCs w:val="24"/>
        </w:rPr>
        <w:t>C-</w:t>
      </w:r>
      <w:r w:rsidRPr="000721DA">
        <w:rPr>
          <w:szCs w:val="24"/>
        </w:rPr>
        <w:t xml:space="preserve">2013-2386037 on September 30, 2013; </w:t>
      </w:r>
      <w:r w:rsidR="00431C38">
        <w:rPr>
          <w:szCs w:val="24"/>
        </w:rPr>
        <w:t xml:space="preserve"> </w:t>
      </w:r>
    </w:p>
    <w:p w:rsidR="00431C38" w:rsidRDefault="00431C38" w:rsidP="002A28EA">
      <w:pPr>
        <w:spacing w:after="0"/>
        <w:ind w:left="1440" w:right="720"/>
        <w:rPr>
          <w:szCs w:val="24"/>
        </w:rPr>
      </w:pPr>
    </w:p>
    <w:p w:rsidR="00441505" w:rsidRPr="000721DA" w:rsidRDefault="00441505" w:rsidP="002A28EA">
      <w:pPr>
        <w:spacing w:after="0"/>
        <w:ind w:left="1440" w:right="720"/>
        <w:rPr>
          <w:szCs w:val="24"/>
        </w:rPr>
      </w:pPr>
      <w:r w:rsidRPr="000721DA">
        <w:rPr>
          <w:szCs w:val="24"/>
        </w:rPr>
        <w:t xml:space="preserve">Connie Schiavo at No. </w:t>
      </w:r>
      <w:r>
        <w:rPr>
          <w:szCs w:val="24"/>
        </w:rPr>
        <w:t>C-</w:t>
      </w:r>
      <w:r w:rsidRPr="000721DA">
        <w:rPr>
          <w:szCs w:val="24"/>
        </w:rPr>
        <w:t>2013-2386284 on October 2, 2013</w:t>
      </w:r>
      <w:r w:rsidR="00431C38">
        <w:rPr>
          <w:szCs w:val="24"/>
        </w:rPr>
        <w:t>; and</w:t>
      </w:r>
    </w:p>
    <w:p w:rsidR="00441505" w:rsidRDefault="00441505" w:rsidP="002A28EA">
      <w:pPr>
        <w:spacing w:after="0"/>
        <w:ind w:left="1440" w:right="720"/>
        <w:rPr>
          <w:szCs w:val="24"/>
        </w:rPr>
      </w:pPr>
    </w:p>
    <w:p w:rsidR="00431C38" w:rsidRDefault="00431C38" w:rsidP="002A28EA">
      <w:pPr>
        <w:spacing w:after="0" w:line="240" w:lineRule="auto"/>
        <w:ind w:left="1440" w:right="720"/>
        <w:rPr>
          <w:rFonts w:eastAsia="Times New Roman"/>
          <w:color w:val="000000" w:themeColor="text1"/>
          <w:szCs w:val="24"/>
        </w:rPr>
      </w:pPr>
      <w:r w:rsidRPr="00441505">
        <w:rPr>
          <w:rFonts w:eastAsia="Times New Roman"/>
          <w:color w:val="000000" w:themeColor="text1"/>
          <w:szCs w:val="24"/>
        </w:rPr>
        <w:lastRenderedPageBreak/>
        <w:t>NRG Power Midwest LP</w:t>
      </w:r>
      <w:r w:rsidR="00140EDE">
        <w:rPr>
          <w:rFonts w:eastAsia="Times New Roman"/>
          <w:color w:val="000000" w:themeColor="text1"/>
          <w:szCs w:val="24"/>
        </w:rPr>
        <w:t xml:space="preserve"> (NRG Midwest)</w:t>
      </w:r>
      <w:r w:rsidRPr="00441505">
        <w:rPr>
          <w:rFonts w:eastAsia="Times New Roman"/>
          <w:color w:val="000000" w:themeColor="text1"/>
          <w:szCs w:val="24"/>
        </w:rPr>
        <w:t>, NRG Energy Center Pittsburgh LLC</w:t>
      </w:r>
      <w:r w:rsidR="00140EDE">
        <w:rPr>
          <w:rFonts w:eastAsia="Times New Roman"/>
          <w:color w:val="000000" w:themeColor="text1"/>
          <w:szCs w:val="24"/>
        </w:rPr>
        <w:t xml:space="preserve"> (NRGP)</w:t>
      </w:r>
      <w:r w:rsidRPr="00441505">
        <w:rPr>
          <w:rFonts w:eastAsia="Times New Roman"/>
          <w:color w:val="000000" w:themeColor="text1"/>
          <w:szCs w:val="24"/>
        </w:rPr>
        <w:t>, and Reliant Energy Northeast LLC</w:t>
      </w:r>
      <w:r w:rsidR="00140EDE">
        <w:rPr>
          <w:rFonts w:eastAsia="Times New Roman"/>
          <w:color w:val="000000" w:themeColor="text1"/>
          <w:szCs w:val="24"/>
        </w:rPr>
        <w:t xml:space="preserve"> (REN)</w:t>
      </w:r>
      <w:r>
        <w:rPr>
          <w:rFonts w:eastAsia="Times New Roman"/>
          <w:color w:val="000000" w:themeColor="text1"/>
          <w:szCs w:val="24"/>
        </w:rPr>
        <w:t xml:space="preserve"> (collectively </w:t>
      </w:r>
      <w:r w:rsidR="007C1FC1">
        <w:rPr>
          <w:rFonts w:eastAsia="Times New Roman"/>
          <w:color w:val="000000" w:themeColor="text1"/>
          <w:szCs w:val="24"/>
        </w:rPr>
        <w:t xml:space="preserve">NRG or </w:t>
      </w:r>
      <w:r>
        <w:rPr>
          <w:rFonts w:eastAsia="Times New Roman"/>
          <w:color w:val="000000" w:themeColor="text1"/>
          <w:szCs w:val="24"/>
        </w:rPr>
        <w:t>NRG Companies) at No. C-2013-2390562 on October 28, 2013.</w:t>
      </w:r>
    </w:p>
    <w:p w:rsidR="00AC2E97" w:rsidRDefault="00AC2E97" w:rsidP="00950DE3">
      <w:pPr>
        <w:spacing w:after="0" w:line="360" w:lineRule="auto"/>
        <w:ind w:left="1440" w:right="720"/>
        <w:rPr>
          <w:rFonts w:eastAsia="Times New Roman"/>
          <w:color w:val="000000" w:themeColor="text1"/>
          <w:szCs w:val="24"/>
        </w:rPr>
      </w:pPr>
    </w:p>
    <w:p w:rsidR="00AC2E97" w:rsidRPr="00441505" w:rsidRDefault="00AC2E97" w:rsidP="00950DE3">
      <w:pPr>
        <w:spacing w:after="0" w:line="360" w:lineRule="auto"/>
        <w:ind w:right="720"/>
        <w:rPr>
          <w:rFonts w:eastAsia="Times New Roman"/>
          <w:color w:val="000000" w:themeColor="text1"/>
          <w:szCs w:val="24"/>
        </w:rPr>
      </w:pPr>
      <w:r>
        <w:rPr>
          <w:rFonts w:eastAsia="Times New Roman"/>
          <w:color w:val="000000" w:themeColor="text1"/>
          <w:szCs w:val="24"/>
        </w:rPr>
        <w:t xml:space="preserve">In addition to the above </w:t>
      </w:r>
      <w:r w:rsidR="005D2CB2">
        <w:rPr>
          <w:rFonts w:eastAsia="Times New Roman"/>
          <w:color w:val="000000" w:themeColor="text1"/>
          <w:szCs w:val="24"/>
        </w:rPr>
        <w:t>Fo</w:t>
      </w:r>
      <w:r>
        <w:rPr>
          <w:rFonts w:eastAsia="Times New Roman"/>
          <w:color w:val="000000" w:themeColor="text1"/>
          <w:szCs w:val="24"/>
        </w:rPr>
        <w:t xml:space="preserve">rmal </w:t>
      </w:r>
      <w:r w:rsidR="005D2CB2">
        <w:rPr>
          <w:rFonts w:eastAsia="Times New Roman"/>
          <w:color w:val="000000" w:themeColor="text1"/>
          <w:szCs w:val="24"/>
        </w:rPr>
        <w:t>C</w:t>
      </w:r>
      <w:r>
        <w:rPr>
          <w:rFonts w:eastAsia="Times New Roman"/>
          <w:color w:val="000000" w:themeColor="text1"/>
          <w:szCs w:val="24"/>
        </w:rPr>
        <w:t>omplaint</w:t>
      </w:r>
      <w:r w:rsidR="005D2CB2">
        <w:rPr>
          <w:rFonts w:eastAsia="Times New Roman"/>
          <w:color w:val="000000" w:themeColor="text1"/>
          <w:szCs w:val="24"/>
        </w:rPr>
        <w:t>s</w:t>
      </w:r>
      <w:r>
        <w:rPr>
          <w:rFonts w:eastAsia="Times New Roman"/>
          <w:color w:val="000000" w:themeColor="text1"/>
          <w:szCs w:val="24"/>
        </w:rPr>
        <w:t xml:space="preserve">, a number of individuals filed protests to the proposed rate increase. </w:t>
      </w:r>
    </w:p>
    <w:p w:rsidR="004A0658" w:rsidRDefault="004A0658" w:rsidP="002A28EA">
      <w:pPr>
        <w:spacing w:after="0"/>
        <w:ind w:left="1440" w:right="720"/>
        <w:rPr>
          <w:szCs w:val="24"/>
        </w:rPr>
      </w:pPr>
    </w:p>
    <w:p w:rsidR="00441505" w:rsidRPr="000721DA" w:rsidRDefault="00441505" w:rsidP="002A28EA">
      <w:pPr>
        <w:spacing w:after="0"/>
        <w:ind w:left="1440" w:right="720"/>
        <w:rPr>
          <w:szCs w:val="24"/>
        </w:rPr>
      </w:pPr>
      <w:r w:rsidRPr="000721DA">
        <w:rPr>
          <w:szCs w:val="24"/>
        </w:rPr>
        <w:t xml:space="preserve">Petitions to Intervene </w:t>
      </w:r>
      <w:r w:rsidR="00431C38">
        <w:rPr>
          <w:szCs w:val="24"/>
        </w:rPr>
        <w:t>were</w:t>
      </w:r>
      <w:r w:rsidRPr="000721DA">
        <w:rPr>
          <w:szCs w:val="24"/>
        </w:rPr>
        <w:t xml:space="preserve"> filed by the following:</w:t>
      </w:r>
    </w:p>
    <w:p w:rsidR="00441505" w:rsidRDefault="00441505" w:rsidP="002A28EA">
      <w:pPr>
        <w:spacing w:after="0"/>
        <w:ind w:left="1440" w:right="720"/>
      </w:pPr>
    </w:p>
    <w:p w:rsidR="00441505" w:rsidRPr="000721DA" w:rsidRDefault="00441505" w:rsidP="002A28EA">
      <w:pPr>
        <w:spacing w:after="0"/>
        <w:ind w:left="1440" w:right="720"/>
        <w:rPr>
          <w:szCs w:val="24"/>
        </w:rPr>
      </w:pPr>
      <w:r w:rsidRPr="000721DA">
        <w:rPr>
          <w:szCs w:val="24"/>
        </w:rPr>
        <w:t>International Brotherhood of Electrical Workers (IBEW), Local 29, on August 14, 2013;</w:t>
      </w:r>
    </w:p>
    <w:p w:rsidR="00441505" w:rsidRPr="000721DA" w:rsidRDefault="00441505" w:rsidP="002A28EA">
      <w:pPr>
        <w:spacing w:after="0"/>
        <w:ind w:left="1440" w:right="720"/>
        <w:rPr>
          <w:szCs w:val="24"/>
        </w:rPr>
      </w:pPr>
      <w:r w:rsidRPr="000721DA">
        <w:rPr>
          <w:szCs w:val="24"/>
        </w:rPr>
        <w:t xml:space="preserve"> </w:t>
      </w:r>
    </w:p>
    <w:p w:rsidR="00441505" w:rsidRPr="000721DA" w:rsidRDefault="00441505" w:rsidP="002A28EA">
      <w:pPr>
        <w:spacing w:after="0"/>
        <w:ind w:left="1440" w:right="720"/>
        <w:rPr>
          <w:szCs w:val="24"/>
        </w:rPr>
      </w:pPr>
      <w:r w:rsidRPr="000721DA">
        <w:rPr>
          <w:szCs w:val="24"/>
        </w:rPr>
        <w:t>United States Steel Corporation (</w:t>
      </w:r>
      <w:r w:rsidR="00CA7790">
        <w:rPr>
          <w:szCs w:val="24"/>
        </w:rPr>
        <w:t>U. S. Steel</w:t>
      </w:r>
      <w:r w:rsidRPr="000721DA">
        <w:rPr>
          <w:szCs w:val="24"/>
        </w:rPr>
        <w:t xml:space="preserve">) on September 6, 2013; </w:t>
      </w:r>
    </w:p>
    <w:p w:rsidR="00441505" w:rsidRPr="000721DA" w:rsidRDefault="00441505" w:rsidP="002A28EA">
      <w:pPr>
        <w:spacing w:after="0"/>
        <w:ind w:left="1440" w:right="720"/>
        <w:rPr>
          <w:szCs w:val="24"/>
        </w:rPr>
      </w:pPr>
    </w:p>
    <w:p w:rsidR="00441505" w:rsidRPr="000721DA" w:rsidRDefault="00441505" w:rsidP="002A28EA">
      <w:pPr>
        <w:spacing w:after="0"/>
        <w:ind w:left="1440" w:right="720"/>
        <w:rPr>
          <w:szCs w:val="24"/>
        </w:rPr>
      </w:pPr>
      <w:r w:rsidRPr="000721DA">
        <w:rPr>
          <w:szCs w:val="24"/>
        </w:rPr>
        <w:t xml:space="preserve">Citizen Power, Inc. (CP) on September 10, 2013; </w:t>
      </w:r>
    </w:p>
    <w:p w:rsidR="00441505" w:rsidRPr="000721DA" w:rsidRDefault="00441505" w:rsidP="002A28EA">
      <w:pPr>
        <w:spacing w:after="0"/>
        <w:ind w:left="1440" w:right="720"/>
        <w:rPr>
          <w:szCs w:val="24"/>
        </w:rPr>
      </w:pPr>
    </w:p>
    <w:p w:rsidR="00441505" w:rsidRPr="000721DA" w:rsidRDefault="00441505" w:rsidP="002A28EA">
      <w:pPr>
        <w:spacing w:after="0"/>
        <w:ind w:left="1440" w:right="720"/>
        <w:rPr>
          <w:szCs w:val="24"/>
        </w:rPr>
      </w:pPr>
      <w:r w:rsidRPr="000721DA">
        <w:rPr>
          <w:szCs w:val="24"/>
        </w:rPr>
        <w:t>Community Action Association of Pennsylvania (CAAP) on September 23, 2013;</w:t>
      </w:r>
    </w:p>
    <w:p w:rsidR="00441505" w:rsidRPr="000721DA" w:rsidRDefault="00441505" w:rsidP="002A28EA">
      <w:pPr>
        <w:spacing w:after="0"/>
        <w:ind w:left="1440" w:right="720"/>
        <w:rPr>
          <w:szCs w:val="24"/>
        </w:rPr>
      </w:pPr>
    </w:p>
    <w:p w:rsidR="00441505" w:rsidRDefault="00441505" w:rsidP="002A28EA">
      <w:pPr>
        <w:spacing w:after="0"/>
        <w:ind w:left="1440" w:right="720"/>
        <w:rPr>
          <w:szCs w:val="24"/>
        </w:rPr>
      </w:pPr>
      <w:r w:rsidRPr="000721DA">
        <w:rPr>
          <w:szCs w:val="24"/>
        </w:rPr>
        <w:t xml:space="preserve">Coalition for Affordable Utility Services and Energy Efficiency in Pennsylvania (CAUSE-PA) on September 25, 2013; </w:t>
      </w:r>
    </w:p>
    <w:p w:rsidR="00431C38" w:rsidRPr="000721DA" w:rsidRDefault="00431C38" w:rsidP="002A28EA">
      <w:pPr>
        <w:spacing w:after="0"/>
        <w:ind w:left="1440" w:right="720"/>
        <w:rPr>
          <w:szCs w:val="24"/>
        </w:rPr>
      </w:pPr>
    </w:p>
    <w:p w:rsidR="008A0321" w:rsidRDefault="00441505" w:rsidP="002A28EA">
      <w:pPr>
        <w:spacing w:after="0"/>
        <w:ind w:left="1440" w:right="720"/>
        <w:rPr>
          <w:szCs w:val="24"/>
        </w:rPr>
      </w:pPr>
      <w:r w:rsidRPr="000721DA">
        <w:rPr>
          <w:szCs w:val="24"/>
        </w:rPr>
        <w:t>Interstate Gas Supply, Inc. (IGS) on September 27, 2013</w:t>
      </w:r>
      <w:r w:rsidR="008A0321">
        <w:rPr>
          <w:szCs w:val="24"/>
        </w:rPr>
        <w:t xml:space="preserve">; </w:t>
      </w:r>
    </w:p>
    <w:p w:rsidR="008A0321" w:rsidRDefault="008A0321" w:rsidP="002A28EA">
      <w:pPr>
        <w:spacing w:after="0"/>
        <w:ind w:left="1440" w:right="720"/>
        <w:rPr>
          <w:szCs w:val="24"/>
        </w:rPr>
      </w:pPr>
    </w:p>
    <w:p w:rsidR="008A0321" w:rsidRDefault="008A0321" w:rsidP="002A28EA">
      <w:pPr>
        <w:spacing w:after="0"/>
        <w:ind w:left="1440" w:right="720"/>
        <w:rPr>
          <w:szCs w:val="24"/>
        </w:rPr>
      </w:pPr>
      <w:r>
        <w:rPr>
          <w:szCs w:val="24"/>
        </w:rPr>
        <w:t>Citizens for Pennsylvania’s Future (PennFuture) on December 12, 2013;</w:t>
      </w:r>
    </w:p>
    <w:p w:rsidR="008A0321" w:rsidRDefault="008A0321" w:rsidP="002A28EA">
      <w:pPr>
        <w:spacing w:after="0"/>
        <w:ind w:left="1440" w:right="720"/>
        <w:rPr>
          <w:szCs w:val="24"/>
        </w:rPr>
      </w:pPr>
      <w:r>
        <w:rPr>
          <w:szCs w:val="24"/>
        </w:rPr>
        <w:t>and</w:t>
      </w:r>
    </w:p>
    <w:p w:rsidR="008A0321" w:rsidRDefault="008A0321" w:rsidP="002A28EA">
      <w:pPr>
        <w:spacing w:after="0"/>
        <w:ind w:left="1440" w:right="720"/>
        <w:rPr>
          <w:szCs w:val="24"/>
        </w:rPr>
      </w:pPr>
    </w:p>
    <w:p w:rsidR="008A0321" w:rsidRDefault="008A0321" w:rsidP="002A28EA">
      <w:pPr>
        <w:spacing w:after="0"/>
        <w:ind w:left="1440" w:right="720"/>
        <w:rPr>
          <w:szCs w:val="24"/>
        </w:rPr>
      </w:pPr>
      <w:r>
        <w:rPr>
          <w:szCs w:val="24"/>
        </w:rPr>
        <w:t>Beaver Fall</w:t>
      </w:r>
      <w:r w:rsidR="005301CF">
        <w:rPr>
          <w:szCs w:val="24"/>
        </w:rPr>
        <w:t>s</w:t>
      </w:r>
      <w:r>
        <w:rPr>
          <w:szCs w:val="24"/>
        </w:rPr>
        <w:t xml:space="preserve"> Municipal Authority (Beaver Falls</w:t>
      </w:r>
      <w:r w:rsidR="000347E7">
        <w:rPr>
          <w:szCs w:val="24"/>
        </w:rPr>
        <w:t xml:space="preserve"> Authority</w:t>
      </w:r>
      <w:r>
        <w:rPr>
          <w:szCs w:val="24"/>
        </w:rPr>
        <w:t>) on December 16, 2013.</w:t>
      </w:r>
    </w:p>
    <w:p w:rsidR="008A0321" w:rsidRDefault="008A0321" w:rsidP="002A28EA">
      <w:pPr>
        <w:spacing w:after="0" w:line="360" w:lineRule="auto"/>
        <w:ind w:left="1440" w:right="720"/>
        <w:rPr>
          <w:szCs w:val="24"/>
        </w:rPr>
      </w:pPr>
    </w:p>
    <w:p w:rsidR="00441505" w:rsidRPr="000721DA" w:rsidRDefault="00441505" w:rsidP="002A28EA">
      <w:pPr>
        <w:spacing w:after="0" w:line="360" w:lineRule="auto"/>
        <w:ind w:firstLine="1440"/>
        <w:rPr>
          <w:szCs w:val="24"/>
        </w:rPr>
      </w:pPr>
      <w:r w:rsidRPr="000721DA">
        <w:rPr>
          <w:szCs w:val="24"/>
        </w:rPr>
        <w:t>On Septemb</w:t>
      </w:r>
      <w:r>
        <w:rPr>
          <w:szCs w:val="24"/>
        </w:rPr>
        <w:t>er 26, 2013,</w:t>
      </w:r>
      <w:r w:rsidR="00140EDE">
        <w:rPr>
          <w:szCs w:val="24"/>
        </w:rPr>
        <w:t xml:space="preserve"> </w:t>
      </w:r>
      <w:r>
        <w:rPr>
          <w:szCs w:val="24"/>
        </w:rPr>
        <w:t>pursuant to 66 Pa.</w:t>
      </w:r>
      <w:r w:rsidRPr="000721DA">
        <w:rPr>
          <w:szCs w:val="24"/>
        </w:rPr>
        <w:t>C.S. §</w:t>
      </w:r>
      <w:r>
        <w:rPr>
          <w:szCs w:val="24"/>
        </w:rPr>
        <w:t xml:space="preserve"> </w:t>
      </w:r>
      <w:r w:rsidRPr="000721DA">
        <w:rPr>
          <w:szCs w:val="24"/>
        </w:rPr>
        <w:t>1308(d), the Commission entered an Order suspending the proposed tariff supplement until May 1, 2014, unless otherwise directed by the Commission and ordered an investigation to determine the lawfulness, justness, and reasonableness of the rates, rules and regulations contained in the filing</w:t>
      </w:r>
      <w:r w:rsidR="00093513">
        <w:rPr>
          <w:szCs w:val="24"/>
        </w:rPr>
        <w:t>.  The Commission further ordered</w:t>
      </w:r>
      <w:r w:rsidRPr="000721DA">
        <w:rPr>
          <w:szCs w:val="24"/>
        </w:rPr>
        <w:t xml:space="preserve"> consideration should be given to the reasonableness of </w:t>
      </w:r>
      <w:r w:rsidR="008A0321">
        <w:rPr>
          <w:szCs w:val="24"/>
        </w:rPr>
        <w:t>Duquesne Light</w:t>
      </w:r>
      <w:r w:rsidRPr="000721DA">
        <w:rPr>
          <w:szCs w:val="24"/>
        </w:rPr>
        <w:t xml:space="preserve">’s existing rates, rules, and regulations.  Under the Commission’s Order the case was referred to the Office of Administrative Law Judge for prompt scheduling of such hearings as may be necessary, culminating in the issuance of a Recommended Decision. </w:t>
      </w:r>
    </w:p>
    <w:p w:rsidR="00441505" w:rsidRPr="000721DA" w:rsidRDefault="00441505" w:rsidP="002A28EA">
      <w:pPr>
        <w:spacing w:after="0" w:line="360" w:lineRule="auto"/>
        <w:ind w:firstLine="1440"/>
        <w:rPr>
          <w:szCs w:val="24"/>
        </w:rPr>
      </w:pPr>
      <w:r w:rsidRPr="000721DA">
        <w:rPr>
          <w:szCs w:val="24"/>
        </w:rPr>
        <w:lastRenderedPageBreak/>
        <w:t xml:space="preserve">By Prehearing Conference Notice dated September 26, 2013, the parties of record as of that date were informed the proceeding was assigned to the undersigned administrative law judge (ALJ), and a telephonic prehearing conference was scheduled before the ALJ sitting in the Commission’s Pittsburgh Hearing Room on October 4, 2013.  Harrisburg parties were directed to report to the Commission’s Harrisburg Hearing Room and Pittsburgh parties were invited to participate from the Pittsburgh Hearing Room.  On the same date, the ALJ issued a Prehearing Conference Order advising the parties of the applicable procedural rules for the conference and directing them to file Prehearing Memoranda by October 2, 2013.  With the exception of the </w:t>
      </w:r>
      <w:r w:rsidRPr="000721DA">
        <w:rPr>
          <w:i/>
          <w:szCs w:val="24"/>
        </w:rPr>
        <w:t>pro se</w:t>
      </w:r>
      <w:r w:rsidRPr="000721DA">
        <w:rPr>
          <w:szCs w:val="24"/>
        </w:rPr>
        <w:t xml:space="preserve"> complainants, the parties </w:t>
      </w:r>
      <w:r w:rsidR="007C2F1E">
        <w:rPr>
          <w:szCs w:val="24"/>
        </w:rPr>
        <w:t xml:space="preserve">then </w:t>
      </w:r>
      <w:r w:rsidR="008A0321">
        <w:rPr>
          <w:szCs w:val="24"/>
        </w:rPr>
        <w:t>of record</w:t>
      </w:r>
      <w:r w:rsidR="007C2F1E">
        <w:rPr>
          <w:szCs w:val="24"/>
        </w:rPr>
        <w:t xml:space="preserve"> </w:t>
      </w:r>
      <w:r w:rsidRPr="000721DA">
        <w:rPr>
          <w:szCs w:val="24"/>
        </w:rPr>
        <w:t>filed their respective Prehearing Memoranda.</w:t>
      </w:r>
    </w:p>
    <w:p w:rsidR="00441505" w:rsidRPr="000721DA" w:rsidRDefault="00441505" w:rsidP="002A28EA">
      <w:pPr>
        <w:spacing w:after="0" w:line="360" w:lineRule="auto"/>
        <w:ind w:firstLine="1440"/>
        <w:rPr>
          <w:szCs w:val="24"/>
        </w:rPr>
      </w:pPr>
    </w:p>
    <w:p w:rsidR="00441505" w:rsidRPr="000721DA" w:rsidRDefault="00441505" w:rsidP="002A28EA">
      <w:pPr>
        <w:spacing w:after="0" w:line="360" w:lineRule="auto"/>
        <w:ind w:firstLine="1440"/>
        <w:rPr>
          <w:szCs w:val="24"/>
        </w:rPr>
      </w:pPr>
      <w:r w:rsidRPr="000721DA">
        <w:rPr>
          <w:szCs w:val="24"/>
        </w:rPr>
        <w:t>Duquesne Light filed Supplement No. 83 to the Company’s Tariff Electric</w:t>
      </w:r>
      <w:r w:rsidR="00054105">
        <w:rPr>
          <w:szCs w:val="24"/>
        </w:rPr>
        <w:t xml:space="preserve"> –</w:t>
      </w:r>
      <w:r w:rsidRPr="000721DA">
        <w:rPr>
          <w:szCs w:val="24"/>
        </w:rPr>
        <w:t xml:space="preserve"> P</w:t>
      </w:r>
      <w:r w:rsidR="00B937F0">
        <w:rPr>
          <w:szCs w:val="24"/>
        </w:rPr>
        <w:t>a</w:t>
      </w:r>
      <w:r w:rsidRPr="000721DA">
        <w:rPr>
          <w:szCs w:val="24"/>
        </w:rPr>
        <w:t xml:space="preserve">. P.U.C. No. 24 issued September 30, 2013, to become effective September 30, 2013.  The filing was made pursuant to the Commission’s September 26, 2013 Order suspending Supplement No. 81 by operation of law until May 1, 2014, unless permitted by Commission Order to become effective at an earlier date. </w:t>
      </w:r>
    </w:p>
    <w:p w:rsidR="00441505" w:rsidRPr="000721DA" w:rsidRDefault="00441505" w:rsidP="002A28EA">
      <w:pPr>
        <w:spacing w:after="0" w:line="360" w:lineRule="auto"/>
        <w:ind w:firstLine="1440"/>
        <w:rPr>
          <w:szCs w:val="24"/>
        </w:rPr>
      </w:pPr>
    </w:p>
    <w:p w:rsidR="002A28EA" w:rsidRDefault="008D07D0" w:rsidP="002A28EA">
      <w:pPr>
        <w:spacing w:after="0" w:line="360" w:lineRule="auto"/>
        <w:rPr>
          <w:szCs w:val="24"/>
        </w:rPr>
      </w:pPr>
      <w:r>
        <w:rPr>
          <w:szCs w:val="24"/>
        </w:rPr>
        <w:tab/>
      </w:r>
      <w:r>
        <w:rPr>
          <w:szCs w:val="24"/>
        </w:rPr>
        <w:tab/>
      </w:r>
      <w:r w:rsidR="00441505" w:rsidRPr="000721DA">
        <w:rPr>
          <w:szCs w:val="24"/>
        </w:rPr>
        <w:t xml:space="preserve">The telephonic prehearing conference convened as scheduled on October 4, 2013.  Participating in the conference were the respective attorneys for the following parties: Duquesne Light, I&amp;E, OCA, OSBA, DII, IBEW, </w:t>
      </w:r>
      <w:r w:rsidR="00CA7790">
        <w:rPr>
          <w:szCs w:val="24"/>
        </w:rPr>
        <w:t>U. S. Steel</w:t>
      </w:r>
      <w:r w:rsidR="00441505" w:rsidRPr="000721DA">
        <w:rPr>
          <w:szCs w:val="24"/>
        </w:rPr>
        <w:t xml:space="preserve">, CP, CAAP, CAUSE-PA and IGS.  </w:t>
      </w:r>
      <w:r w:rsidR="008E369E">
        <w:rPr>
          <w:szCs w:val="24"/>
        </w:rPr>
        <w:t xml:space="preserve"> During the conference the parties agreed to </w:t>
      </w:r>
      <w:r w:rsidR="00D62FF0">
        <w:rPr>
          <w:szCs w:val="24"/>
        </w:rPr>
        <w:t>a</w:t>
      </w:r>
      <w:r w:rsidR="008E369E">
        <w:rPr>
          <w:szCs w:val="24"/>
        </w:rPr>
        <w:t xml:space="preserve"> public input hearing </w:t>
      </w:r>
      <w:r w:rsidR="00D62FF0">
        <w:rPr>
          <w:szCs w:val="24"/>
        </w:rPr>
        <w:t xml:space="preserve">date </w:t>
      </w:r>
      <w:r w:rsidR="008E369E">
        <w:rPr>
          <w:szCs w:val="24"/>
        </w:rPr>
        <w:t xml:space="preserve">and the litigation schedule </w:t>
      </w:r>
      <w:r w:rsidR="006E2B2F">
        <w:rPr>
          <w:szCs w:val="24"/>
        </w:rPr>
        <w:t>w</w:t>
      </w:r>
      <w:r w:rsidR="008E369E">
        <w:rPr>
          <w:szCs w:val="24"/>
        </w:rPr>
        <w:t xml:space="preserve">as </w:t>
      </w:r>
    </w:p>
    <w:p w:rsidR="006E2B2F" w:rsidRDefault="008E369E" w:rsidP="002A28EA">
      <w:pPr>
        <w:spacing w:after="0" w:line="360" w:lineRule="auto"/>
        <w:rPr>
          <w:rFonts w:eastAsia="Times New Roman"/>
          <w:szCs w:val="24"/>
        </w:rPr>
      </w:pPr>
      <w:r>
        <w:rPr>
          <w:szCs w:val="24"/>
        </w:rPr>
        <w:t xml:space="preserve">established </w:t>
      </w:r>
      <w:r w:rsidRPr="00441505">
        <w:rPr>
          <w:rFonts w:eastAsia="Times New Roman"/>
          <w:szCs w:val="24"/>
        </w:rPr>
        <w:t xml:space="preserve">which, </w:t>
      </w:r>
      <w:r w:rsidRPr="00441505">
        <w:rPr>
          <w:rFonts w:eastAsia="Times New Roman"/>
          <w:i/>
          <w:szCs w:val="24"/>
        </w:rPr>
        <w:t>inter alia</w:t>
      </w:r>
      <w:r w:rsidRPr="00441505">
        <w:rPr>
          <w:rFonts w:eastAsia="Times New Roman"/>
          <w:szCs w:val="24"/>
        </w:rPr>
        <w:t>, includ</w:t>
      </w:r>
      <w:r>
        <w:rPr>
          <w:rFonts w:eastAsia="Times New Roman"/>
          <w:szCs w:val="24"/>
        </w:rPr>
        <w:t>ed</w:t>
      </w:r>
      <w:r w:rsidRPr="00441505">
        <w:rPr>
          <w:rFonts w:eastAsia="Times New Roman"/>
          <w:szCs w:val="24"/>
        </w:rPr>
        <w:t xml:space="preserve"> three days of technical evidentiary hearings, </w:t>
      </w:r>
      <w:r>
        <w:rPr>
          <w:rFonts w:eastAsia="Times New Roman"/>
          <w:szCs w:val="24"/>
        </w:rPr>
        <w:t>for</w:t>
      </w:r>
    </w:p>
    <w:p w:rsidR="00377050" w:rsidRDefault="00BF7636" w:rsidP="002A28EA">
      <w:pPr>
        <w:spacing w:after="0" w:line="360" w:lineRule="auto"/>
        <w:rPr>
          <w:rFonts w:eastAsia="Times New Roman"/>
          <w:szCs w:val="24"/>
        </w:rPr>
      </w:pPr>
      <w:r>
        <w:rPr>
          <w:rFonts w:eastAsia="Times New Roman"/>
          <w:szCs w:val="24"/>
        </w:rPr>
        <w:t>D</w:t>
      </w:r>
      <w:r w:rsidR="008E369E">
        <w:rPr>
          <w:rFonts w:eastAsia="Times New Roman"/>
          <w:szCs w:val="24"/>
        </w:rPr>
        <w:t>ecember 16, 17 and 20 in Harrisburg</w:t>
      </w:r>
      <w:r w:rsidR="008E369E" w:rsidRPr="00441505">
        <w:rPr>
          <w:rFonts w:eastAsia="Times New Roman"/>
          <w:szCs w:val="24"/>
        </w:rPr>
        <w:t>.</w:t>
      </w:r>
      <w:r w:rsidR="008E369E" w:rsidRPr="00441505">
        <w:rPr>
          <w:rFonts w:eastAsia="Times New Roman"/>
          <w:szCs w:val="24"/>
          <w:vertAlign w:val="superscript"/>
        </w:rPr>
        <w:footnoteReference w:id="1"/>
      </w:r>
      <w:r w:rsidR="008E369E" w:rsidRPr="00441505">
        <w:rPr>
          <w:rFonts w:eastAsia="Times New Roman"/>
          <w:szCs w:val="24"/>
        </w:rPr>
        <w:t xml:space="preserve">   </w:t>
      </w:r>
    </w:p>
    <w:p w:rsidR="002A28EA" w:rsidRDefault="00377050" w:rsidP="002A28EA">
      <w:pPr>
        <w:adjustRightInd w:val="0"/>
        <w:spacing w:after="0" w:line="360" w:lineRule="auto"/>
        <w:rPr>
          <w:rFonts w:cstheme="minorBidi"/>
          <w:szCs w:val="24"/>
        </w:rPr>
      </w:pPr>
      <w:r>
        <w:rPr>
          <w:rFonts w:cstheme="minorBidi"/>
          <w:szCs w:val="24"/>
        </w:rPr>
        <w:tab/>
      </w:r>
      <w:r>
        <w:rPr>
          <w:rFonts w:cstheme="minorBidi"/>
          <w:szCs w:val="24"/>
        </w:rPr>
        <w:tab/>
      </w:r>
    </w:p>
    <w:p w:rsidR="00377050" w:rsidRPr="00377050" w:rsidRDefault="00377050" w:rsidP="002A28EA">
      <w:pPr>
        <w:adjustRightInd w:val="0"/>
        <w:spacing w:after="0" w:line="360" w:lineRule="auto"/>
        <w:ind w:firstLine="1440"/>
        <w:rPr>
          <w:rFonts w:cstheme="minorBidi"/>
          <w:szCs w:val="24"/>
        </w:rPr>
      </w:pPr>
      <w:r w:rsidRPr="00377050">
        <w:rPr>
          <w:rFonts w:cstheme="minorBidi"/>
          <w:szCs w:val="24"/>
        </w:rPr>
        <w:t xml:space="preserve">On </w:t>
      </w:r>
      <w:r>
        <w:rPr>
          <w:rFonts w:cstheme="minorBidi"/>
          <w:szCs w:val="24"/>
        </w:rPr>
        <w:t xml:space="preserve">October 16, 2013, </w:t>
      </w:r>
      <w:r w:rsidR="00C90EF7">
        <w:rPr>
          <w:rFonts w:cstheme="minorBidi"/>
          <w:szCs w:val="24"/>
        </w:rPr>
        <w:t>pursuant to the Commissi</w:t>
      </w:r>
      <w:r w:rsidR="006D5EC4">
        <w:rPr>
          <w:rFonts w:cstheme="minorBidi"/>
          <w:szCs w:val="24"/>
        </w:rPr>
        <w:t>o</w:t>
      </w:r>
      <w:r w:rsidR="00C90EF7">
        <w:rPr>
          <w:rFonts w:cstheme="minorBidi"/>
          <w:szCs w:val="24"/>
        </w:rPr>
        <w:t xml:space="preserve">n’s rules at 52 Pa.Code </w:t>
      </w:r>
      <w:r w:rsidR="00C90EF7">
        <w:rPr>
          <w:szCs w:val="24"/>
        </w:rPr>
        <w:t>§</w:t>
      </w:r>
      <w:r w:rsidR="00D42E21">
        <w:rPr>
          <w:szCs w:val="24"/>
        </w:rPr>
        <w:t> </w:t>
      </w:r>
      <w:r w:rsidR="00C90EF7">
        <w:rPr>
          <w:rFonts w:cstheme="minorBidi"/>
          <w:szCs w:val="24"/>
        </w:rPr>
        <w:t>5.36</w:t>
      </w:r>
      <w:r w:rsidR="007178FD">
        <w:rPr>
          <w:rFonts w:cstheme="minorBidi"/>
          <w:szCs w:val="24"/>
        </w:rPr>
        <w:t>5</w:t>
      </w:r>
      <w:r w:rsidR="00C90EF7">
        <w:rPr>
          <w:rFonts w:cstheme="minorBidi"/>
          <w:szCs w:val="24"/>
        </w:rPr>
        <w:t xml:space="preserve">(a), </w:t>
      </w:r>
      <w:r>
        <w:rPr>
          <w:rFonts w:cstheme="minorBidi"/>
          <w:szCs w:val="24"/>
        </w:rPr>
        <w:t xml:space="preserve">Duquesne Light </w:t>
      </w:r>
      <w:r w:rsidRPr="00377050">
        <w:rPr>
          <w:rFonts w:cstheme="minorBidi"/>
          <w:szCs w:val="24"/>
        </w:rPr>
        <w:t xml:space="preserve">filed </w:t>
      </w:r>
      <w:r w:rsidR="00585AA2">
        <w:rPr>
          <w:rFonts w:cstheme="minorBidi"/>
          <w:szCs w:val="24"/>
        </w:rPr>
        <w:t xml:space="preserve">and served </w:t>
      </w:r>
      <w:r w:rsidRPr="00377050">
        <w:rPr>
          <w:rFonts w:cstheme="minorBidi"/>
          <w:szCs w:val="24"/>
        </w:rPr>
        <w:t xml:space="preserve">a Motion for Protective Order, alleging that </w:t>
      </w:r>
      <w:r>
        <w:rPr>
          <w:rFonts w:cstheme="minorBidi"/>
          <w:szCs w:val="24"/>
        </w:rPr>
        <w:t xml:space="preserve">confidential and highly </w:t>
      </w:r>
      <w:r w:rsidRPr="00377050">
        <w:rPr>
          <w:rFonts w:cstheme="minorBidi"/>
          <w:szCs w:val="24"/>
        </w:rPr>
        <w:t xml:space="preserve">confidential </w:t>
      </w:r>
      <w:r>
        <w:rPr>
          <w:rFonts w:cstheme="minorBidi"/>
          <w:szCs w:val="24"/>
        </w:rPr>
        <w:t xml:space="preserve">information (collectively Proprietary Information) </w:t>
      </w:r>
      <w:r w:rsidRPr="00377050">
        <w:rPr>
          <w:rFonts w:cstheme="minorBidi"/>
          <w:szCs w:val="24"/>
        </w:rPr>
        <w:t xml:space="preserve">had been sought </w:t>
      </w:r>
      <w:r>
        <w:rPr>
          <w:rFonts w:cstheme="minorBidi"/>
          <w:szCs w:val="24"/>
        </w:rPr>
        <w:t>during</w:t>
      </w:r>
      <w:r w:rsidRPr="00377050">
        <w:rPr>
          <w:rFonts w:cstheme="minorBidi"/>
          <w:szCs w:val="24"/>
        </w:rPr>
        <w:t xml:space="preserve"> discovery </w:t>
      </w:r>
      <w:r>
        <w:rPr>
          <w:rFonts w:cstheme="minorBidi"/>
          <w:szCs w:val="24"/>
        </w:rPr>
        <w:t xml:space="preserve">in this proceeding, including </w:t>
      </w:r>
      <w:r w:rsidR="00B22DF9">
        <w:rPr>
          <w:rFonts w:cstheme="minorBidi"/>
          <w:szCs w:val="24"/>
        </w:rPr>
        <w:t>b</w:t>
      </w:r>
      <w:r>
        <w:rPr>
          <w:rFonts w:cstheme="minorBidi"/>
          <w:szCs w:val="24"/>
        </w:rPr>
        <w:t>ut no</w:t>
      </w:r>
      <w:r w:rsidR="00B937F0">
        <w:rPr>
          <w:rFonts w:cstheme="minorBidi"/>
          <w:szCs w:val="24"/>
        </w:rPr>
        <w:t>t limited to information regarding</w:t>
      </w:r>
      <w:r w:rsidR="00CA73F5">
        <w:rPr>
          <w:rFonts w:cstheme="minorBidi"/>
          <w:szCs w:val="24"/>
        </w:rPr>
        <w:t xml:space="preserve"> </w:t>
      </w:r>
      <w:r>
        <w:rPr>
          <w:rFonts w:cstheme="minorBidi"/>
          <w:szCs w:val="24"/>
        </w:rPr>
        <w:lastRenderedPageBreak/>
        <w:t xml:space="preserve">critical </w:t>
      </w:r>
      <w:r w:rsidR="00585AA2">
        <w:rPr>
          <w:rFonts w:cstheme="minorBidi"/>
          <w:szCs w:val="24"/>
        </w:rPr>
        <w:t>inf</w:t>
      </w:r>
      <w:r w:rsidR="00B22DF9">
        <w:rPr>
          <w:rFonts w:cstheme="minorBidi"/>
          <w:szCs w:val="24"/>
        </w:rPr>
        <w:t>rast</w:t>
      </w:r>
      <w:r w:rsidR="00585AA2">
        <w:rPr>
          <w:rFonts w:cstheme="minorBidi"/>
          <w:szCs w:val="24"/>
        </w:rPr>
        <w:t>ructure, information regarding the Duquesne Light Sto</w:t>
      </w:r>
      <w:r w:rsidR="0070442B">
        <w:rPr>
          <w:rFonts w:cstheme="minorBidi"/>
          <w:szCs w:val="24"/>
        </w:rPr>
        <w:t>r</w:t>
      </w:r>
      <w:r w:rsidR="00585AA2">
        <w:rPr>
          <w:rFonts w:cstheme="minorBidi"/>
          <w:szCs w:val="24"/>
        </w:rPr>
        <w:t xml:space="preserve">m Management Plan and other highly </w:t>
      </w:r>
      <w:r w:rsidR="00B22DF9">
        <w:rPr>
          <w:rFonts w:cstheme="minorBidi"/>
          <w:szCs w:val="24"/>
        </w:rPr>
        <w:t>sensitive information</w:t>
      </w:r>
      <w:r w:rsidR="007178FD">
        <w:rPr>
          <w:rFonts w:cstheme="minorBidi"/>
          <w:szCs w:val="24"/>
        </w:rPr>
        <w:t xml:space="preserve">. </w:t>
      </w:r>
    </w:p>
    <w:p w:rsidR="00377050" w:rsidRPr="00377050" w:rsidRDefault="00377050" w:rsidP="002A28EA">
      <w:pPr>
        <w:adjustRightInd w:val="0"/>
        <w:spacing w:after="0" w:line="360" w:lineRule="auto"/>
        <w:rPr>
          <w:rFonts w:cstheme="minorBidi"/>
          <w:szCs w:val="24"/>
        </w:rPr>
      </w:pPr>
    </w:p>
    <w:p w:rsidR="00441505" w:rsidRDefault="003801E9" w:rsidP="002A28EA">
      <w:pPr>
        <w:spacing w:after="0" w:line="360" w:lineRule="auto"/>
        <w:rPr>
          <w:szCs w:val="24"/>
        </w:rPr>
      </w:pPr>
      <w:r>
        <w:rPr>
          <w:rFonts w:eastAsia="Times New Roman"/>
          <w:szCs w:val="24"/>
        </w:rPr>
        <w:tab/>
      </w:r>
      <w:r w:rsidR="00825106">
        <w:rPr>
          <w:rFonts w:eastAsia="Times New Roman"/>
          <w:szCs w:val="24"/>
        </w:rPr>
        <w:tab/>
      </w:r>
      <w:r w:rsidR="008D07D0">
        <w:rPr>
          <w:rFonts w:eastAsia="Times New Roman"/>
          <w:szCs w:val="24"/>
        </w:rPr>
        <w:t>On October 22, 2013, the ALJ issued a Prehearing</w:t>
      </w:r>
      <w:r w:rsidR="006E2B2F">
        <w:rPr>
          <w:rFonts w:eastAsia="Times New Roman"/>
          <w:szCs w:val="24"/>
        </w:rPr>
        <w:t xml:space="preserve"> </w:t>
      </w:r>
      <w:r w:rsidR="008D07D0">
        <w:rPr>
          <w:rFonts w:eastAsia="Times New Roman"/>
          <w:szCs w:val="24"/>
        </w:rPr>
        <w:t xml:space="preserve">Order confirming </w:t>
      </w:r>
      <w:r w:rsidR="00476091">
        <w:rPr>
          <w:rFonts w:eastAsia="Times New Roman"/>
          <w:szCs w:val="24"/>
        </w:rPr>
        <w:t>the litigation schedule and other</w:t>
      </w:r>
      <w:r w:rsidR="008D07D0">
        <w:rPr>
          <w:rFonts w:eastAsia="Times New Roman"/>
          <w:szCs w:val="24"/>
        </w:rPr>
        <w:t xml:space="preserve"> procedural matters agreed upon by the parties during the conference.  Under the Prehearing Order</w:t>
      </w:r>
      <w:r w:rsidR="00476091">
        <w:rPr>
          <w:rFonts w:eastAsia="Times New Roman"/>
          <w:szCs w:val="24"/>
        </w:rPr>
        <w:t xml:space="preserve">, the </w:t>
      </w:r>
      <w:r w:rsidR="008D07D0">
        <w:rPr>
          <w:rFonts w:eastAsia="Times New Roman"/>
          <w:szCs w:val="24"/>
        </w:rPr>
        <w:t xml:space="preserve">Formal Complaints </w:t>
      </w:r>
      <w:r w:rsidR="00476091">
        <w:rPr>
          <w:rFonts w:eastAsia="Times New Roman"/>
          <w:szCs w:val="24"/>
        </w:rPr>
        <w:t xml:space="preserve">filed by </w:t>
      </w:r>
      <w:r w:rsidR="00476091" w:rsidRPr="000721DA">
        <w:rPr>
          <w:szCs w:val="24"/>
        </w:rPr>
        <w:t>Jacq</w:t>
      </w:r>
      <w:r w:rsidR="00B937F0">
        <w:rPr>
          <w:szCs w:val="24"/>
        </w:rPr>
        <w:t>uelyn</w:t>
      </w:r>
      <w:r w:rsidR="00476091" w:rsidRPr="000721DA">
        <w:rPr>
          <w:szCs w:val="24"/>
        </w:rPr>
        <w:t xml:space="preserve"> and Robert Miller, Gwendolyn L. LeVert, Aimee-Marie Dorsten and Connie Schiavo</w:t>
      </w:r>
      <w:r w:rsidR="00476091">
        <w:rPr>
          <w:rFonts w:eastAsia="Times New Roman"/>
          <w:szCs w:val="24"/>
        </w:rPr>
        <w:t xml:space="preserve"> </w:t>
      </w:r>
      <w:r w:rsidR="008D07D0">
        <w:rPr>
          <w:rFonts w:eastAsia="Times New Roman"/>
          <w:szCs w:val="24"/>
        </w:rPr>
        <w:t>were consolidated with Duque</w:t>
      </w:r>
      <w:r w:rsidR="00D42E21">
        <w:rPr>
          <w:rFonts w:eastAsia="Times New Roman"/>
          <w:szCs w:val="24"/>
        </w:rPr>
        <w:t>sn</w:t>
      </w:r>
      <w:r w:rsidR="008D07D0">
        <w:rPr>
          <w:rFonts w:eastAsia="Times New Roman"/>
          <w:szCs w:val="24"/>
        </w:rPr>
        <w:t>e Light’s Tariff filing at Docket No. R-2013-237</w:t>
      </w:r>
      <w:r w:rsidR="00B937F0">
        <w:rPr>
          <w:rFonts w:eastAsia="Times New Roman"/>
          <w:szCs w:val="24"/>
        </w:rPr>
        <w:t>2</w:t>
      </w:r>
      <w:r w:rsidR="008D07D0">
        <w:rPr>
          <w:rFonts w:eastAsia="Times New Roman"/>
          <w:szCs w:val="24"/>
        </w:rPr>
        <w:t xml:space="preserve">129, and </w:t>
      </w:r>
      <w:r w:rsidR="00476091">
        <w:rPr>
          <w:rFonts w:eastAsia="Times New Roman"/>
          <w:szCs w:val="24"/>
        </w:rPr>
        <w:t xml:space="preserve">the </w:t>
      </w:r>
      <w:r w:rsidR="008D07D0">
        <w:rPr>
          <w:rFonts w:eastAsia="Times New Roman"/>
          <w:szCs w:val="24"/>
        </w:rPr>
        <w:t xml:space="preserve">Petitions to Intervene filed by </w:t>
      </w:r>
      <w:r w:rsidR="008D07D0">
        <w:rPr>
          <w:szCs w:val="24"/>
        </w:rPr>
        <w:t xml:space="preserve">IBEW, </w:t>
      </w:r>
      <w:r w:rsidR="00CA7790">
        <w:rPr>
          <w:szCs w:val="24"/>
        </w:rPr>
        <w:t>U. S. Steel</w:t>
      </w:r>
      <w:r w:rsidR="008D07D0">
        <w:rPr>
          <w:szCs w:val="24"/>
        </w:rPr>
        <w:t xml:space="preserve">, CP, CAAP, CAUSE-PA </w:t>
      </w:r>
      <w:r w:rsidR="00476091">
        <w:rPr>
          <w:szCs w:val="24"/>
        </w:rPr>
        <w:t>and</w:t>
      </w:r>
      <w:r w:rsidR="008D07D0">
        <w:rPr>
          <w:szCs w:val="24"/>
        </w:rPr>
        <w:t xml:space="preserve"> IGS</w:t>
      </w:r>
      <w:r w:rsidR="00476091">
        <w:rPr>
          <w:szCs w:val="24"/>
        </w:rPr>
        <w:t xml:space="preserve"> were granted.</w:t>
      </w:r>
    </w:p>
    <w:p w:rsidR="00441505" w:rsidRDefault="00441505" w:rsidP="002A28EA">
      <w:pPr>
        <w:spacing w:after="0" w:line="360" w:lineRule="auto"/>
        <w:ind w:firstLine="1440"/>
        <w:rPr>
          <w:szCs w:val="24"/>
        </w:rPr>
      </w:pPr>
    </w:p>
    <w:p w:rsidR="00A804C9" w:rsidRDefault="00A804C9" w:rsidP="002A28EA">
      <w:pPr>
        <w:spacing w:after="0" w:line="360" w:lineRule="auto"/>
        <w:rPr>
          <w:szCs w:val="24"/>
        </w:rPr>
      </w:pPr>
      <w:r>
        <w:rPr>
          <w:szCs w:val="24"/>
        </w:rPr>
        <w:tab/>
      </w:r>
      <w:r>
        <w:rPr>
          <w:szCs w:val="24"/>
        </w:rPr>
        <w:tab/>
        <w:t xml:space="preserve">On November 1, 2013, I&amp;E, OCA, OSBA, DII, </w:t>
      </w:r>
      <w:r w:rsidR="00CA7790">
        <w:rPr>
          <w:szCs w:val="24"/>
        </w:rPr>
        <w:t>U. S. Steel</w:t>
      </w:r>
      <w:r>
        <w:rPr>
          <w:szCs w:val="24"/>
        </w:rPr>
        <w:t>, CAUSE-PA and NRG Midwest served their direct testimony and exhibits.</w:t>
      </w:r>
    </w:p>
    <w:p w:rsidR="00A804C9" w:rsidRDefault="00A804C9" w:rsidP="002A28EA">
      <w:pPr>
        <w:spacing w:after="0" w:line="360" w:lineRule="auto"/>
        <w:ind w:firstLine="1440"/>
        <w:rPr>
          <w:szCs w:val="24"/>
        </w:rPr>
      </w:pPr>
    </w:p>
    <w:p w:rsidR="00825106" w:rsidRDefault="00825106" w:rsidP="002A28EA">
      <w:pPr>
        <w:spacing w:after="0" w:line="360" w:lineRule="auto"/>
        <w:ind w:firstLine="1440"/>
        <w:rPr>
          <w:szCs w:val="24"/>
        </w:rPr>
      </w:pPr>
      <w:r>
        <w:rPr>
          <w:szCs w:val="24"/>
        </w:rPr>
        <w:t xml:space="preserve">On November 7, 2013, the ALJ issued </w:t>
      </w:r>
      <w:r w:rsidR="00732872">
        <w:rPr>
          <w:szCs w:val="24"/>
        </w:rPr>
        <w:t>a</w:t>
      </w:r>
      <w:r>
        <w:rPr>
          <w:szCs w:val="24"/>
        </w:rPr>
        <w:t xml:space="preserve"> First Interim Order </w:t>
      </w:r>
      <w:r w:rsidR="00732872">
        <w:rPr>
          <w:szCs w:val="24"/>
        </w:rPr>
        <w:t>Granting Respondent Duquesne Light Company’s Motion for Protective Order, no objections having been filed to the motion.</w:t>
      </w:r>
    </w:p>
    <w:p w:rsidR="00042096" w:rsidRDefault="00042096" w:rsidP="002A28EA">
      <w:pPr>
        <w:spacing w:after="0" w:line="360" w:lineRule="auto"/>
        <w:ind w:firstLine="1440"/>
        <w:rPr>
          <w:szCs w:val="24"/>
        </w:rPr>
      </w:pPr>
    </w:p>
    <w:p w:rsidR="00140EDE" w:rsidRDefault="00D7568B" w:rsidP="002A28EA">
      <w:pPr>
        <w:spacing w:after="0" w:line="360" w:lineRule="auto"/>
        <w:ind w:firstLine="1440"/>
        <w:rPr>
          <w:szCs w:val="24"/>
        </w:rPr>
      </w:pPr>
      <w:r>
        <w:rPr>
          <w:szCs w:val="24"/>
        </w:rPr>
        <w:t>On November 12, 2013, Duquesne Light filed both an Answer and Preliminary Objections to NRG’s October 28, 2013 Formal Complaint, which in part, sought review as to the reasonableness of Respondent’s Tariff Rider No. 18 ‒ Rate for Purchase of Electric Energy from Customer-Owned Renewable Resou</w:t>
      </w:r>
      <w:r w:rsidR="00F84487">
        <w:rPr>
          <w:szCs w:val="24"/>
        </w:rPr>
        <w:t>r</w:t>
      </w:r>
      <w:r>
        <w:rPr>
          <w:szCs w:val="24"/>
        </w:rPr>
        <w:t xml:space="preserve">ces Generating Facilities (Rider No. 18).  </w:t>
      </w:r>
      <w:r w:rsidR="00F84487">
        <w:rPr>
          <w:szCs w:val="24"/>
        </w:rPr>
        <w:t xml:space="preserve">Duquesne Light asserted </w:t>
      </w:r>
      <w:r w:rsidR="002E5F35">
        <w:rPr>
          <w:szCs w:val="24"/>
        </w:rPr>
        <w:t xml:space="preserve">preliminary </w:t>
      </w:r>
      <w:r w:rsidR="00F84487">
        <w:rPr>
          <w:szCs w:val="24"/>
        </w:rPr>
        <w:t>objections on three grounds: (1) certain aspects of the complaint w</w:t>
      </w:r>
      <w:r w:rsidR="00B6494F">
        <w:rPr>
          <w:szCs w:val="24"/>
        </w:rPr>
        <w:t>ere</w:t>
      </w:r>
      <w:r w:rsidR="00F84487">
        <w:rPr>
          <w:szCs w:val="24"/>
        </w:rPr>
        <w:t xml:space="preserve"> beyond the scope of the base rate proceeding; (2) there was a failure to join parties indispensable </w:t>
      </w:r>
      <w:r w:rsidR="002E5F35">
        <w:rPr>
          <w:szCs w:val="24"/>
        </w:rPr>
        <w:t>t</w:t>
      </w:r>
      <w:r w:rsidR="00F84487">
        <w:rPr>
          <w:szCs w:val="24"/>
        </w:rPr>
        <w:t>o</w:t>
      </w:r>
      <w:r w:rsidR="002E5F35">
        <w:rPr>
          <w:szCs w:val="24"/>
        </w:rPr>
        <w:t xml:space="preserve"> NRG’s </w:t>
      </w:r>
      <w:r w:rsidR="00F84487">
        <w:rPr>
          <w:szCs w:val="24"/>
        </w:rPr>
        <w:t>claims regarding the Public Utility Regulator</w:t>
      </w:r>
      <w:r w:rsidR="002E5F35">
        <w:rPr>
          <w:szCs w:val="24"/>
        </w:rPr>
        <w:t>y</w:t>
      </w:r>
      <w:r w:rsidR="00F84487">
        <w:rPr>
          <w:szCs w:val="24"/>
        </w:rPr>
        <w:t xml:space="preserve"> Policies Act of </w:t>
      </w:r>
      <w:r w:rsidR="00F84487" w:rsidRPr="002E5F35">
        <w:rPr>
          <w:szCs w:val="24"/>
        </w:rPr>
        <w:t>1978 (PU</w:t>
      </w:r>
      <w:r w:rsidR="002E5F35">
        <w:rPr>
          <w:szCs w:val="24"/>
        </w:rPr>
        <w:t>R</w:t>
      </w:r>
      <w:r w:rsidR="00F84487" w:rsidRPr="002E5F35">
        <w:rPr>
          <w:szCs w:val="24"/>
        </w:rPr>
        <w:t>P</w:t>
      </w:r>
      <w:r w:rsidR="002E5F35">
        <w:rPr>
          <w:szCs w:val="24"/>
        </w:rPr>
        <w:t>A</w:t>
      </w:r>
      <w:r w:rsidR="00F84487">
        <w:rPr>
          <w:szCs w:val="24"/>
        </w:rPr>
        <w:t>),</w:t>
      </w:r>
      <w:r w:rsidR="002E5F35">
        <w:rPr>
          <w:szCs w:val="24"/>
        </w:rPr>
        <w:t xml:space="preserve"> 16 U.S.C. §§ 824 et seq., rates paid under Rider No. 18; and </w:t>
      </w:r>
      <w:r w:rsidR="00093513">
        <w:rPr>
          <w:szCs w:val="24"/>
        </w:rPr>
        <w:t xml:space="preserve">(3) </w:t>
      </w:r>
      <w:r w:rsidR="002E5F35">
        <w:rPr>
          <w:szCs w:val="24"/>
        </w:rPr>
        <w:t xml:space="preserve">NRG’s requested relief was beyond the Commission’s jurisdiction.  </w:t>
      </w:r>
      <w:r w:rsidR="00140EDE">
        <w:rPr>
          <w:szCs w:val="24"/>
        </w:rPr>
        <w:t>NRG answered the preliminary objections on November 22, 2013.</w:t>
      </w:r>
    </w:p>
    <w:p w:rsidR="00140EDE" w:rsidRDefault="00140EDE" w:rsidP="002A28EA">
      <w:pPr>
        <w:spacing w:after="0" w:line="360" w:lineRule="auto"/>
        <w:rPr>
          <w:szCs w:val="24"/>
        </w:rPr>
      </w:pPr>
    </w:p>
    <w:p w:rsidR="00D7101A" w:rsidRDefault="00A804C9" w:rsidP="002A28EA">
      <w:pPr>
        <w:spacing w:after="0" w:line="360" w:lineRule="auto"/>
        <w:rPr>
          <w:szCs w:val="24"/>
        </w:rPr>
      </w:pPr>
      <w:r>
        <w:rPr>
          <w:szCs w:val="24"/>
        </w:rPr>
        <w:tab/>
      </w:r>
      <w:r>
        <w:rPr>
          <w:szCs w:val="24"/>
        </w:rPr>
        <w:tab/>
        <w:t xml:space="preserve">On November 26, 2013, Duquesne Light, I&amp;E, OCA, OSBA, DII and </w:t>
      </w:r>
      <w:r w:rsidR="00CA7790">
        <w:rPr>
          <w:szCs w:val="24"/>
        </w:rPr>
        <w:t>U. S. Steel</w:t>
      </w:r>
      <w:r>
        <w:rPr>
          <w:szCs w:val="24"/>
        </w:rPr>
        <w:t xml:space="preserve"> served rebuttal testimony and exhibits. </w:t>
      </w:r>
      <w:r w:rsidR="00B937F0">
        <w:rPr>
          <w:szCs w:val="24"/>
        </w:rPr>
        <w:t xml:space="preserve"> </w:t>
      </w:r>
      <w:r w:rsidR="00093513">
        <w:rPr>
          <w:szCs w:val="24"/>
        </w:rPr>
        <w:t xml:space="preserve">On December 2, 2013, Duquesne Light filed Errata Sheets to their rebuttal testimony essentially decreasing the overall revenue requirement increase </w:t>
      </w:r>
      <w:r w:rsidR="00093513">
        <w:rPr>
          <w:szCs w:val="24"/>
        </w:rPr>
        <w:lastRenderedPageBreak/>
        <w:t xml:space="preserve">request from the Company’s original $76,300,000 to $72,732,000.  </w:t>
      </w:r>
      <w:r>
        <w:rPr>
          <w:szCs w:val="24"/>
        </w:rPr>
        <w:t>On December 3, 2013, PennFuture served direct testimony</w:t>
      </w:r>
      <w:r w:rsidR="00093513">
        <w:rPr>
          <w:szCs w:val="24"/>
        </w:rPr>
        <w:t xml:space="preserve">.  </w:t>
      </w:r>
      <w:r>
        <w:rPr>
          <w:szCs w:val="24"/>
        </w:rPr>
        <w:t xml:space="preserve">On December 9, 2013, I&amp;E, OCA, OSBA, DII, </w:t>
      </w:r>
      <w:r w:rsidR="00CA7790">
        <w:rPr>
          <w:szCs w:val="24"/>
        </w:rPr>
        <w:t>U. S. Steel</w:t>
      </w:r>
      <w:r>
        <w:rPr>
          <w:szCs w:val="24"/>
        </w:rPr>
        <w:t xml:space="preserve"> and NRG Midwest served surr</w:t>
      </w:r>
      <w:r w:rsidR="00AB5B61">
        <w:rPr>
          <w:szCs w:val="24"/>
        </w:rPr>
        <w:t>e</w:t>
      </w:r>
      <w:r>
        <w:rPr>
          <w:szCs w:val="24"/>
        </w:rPr>
        <w:t xml:space="preserve">buttal testimony and exhibits. </w:t>
      </w:r>
      <w:r w:rsidR="00B937F0">
        <w:rPr>
          <w:szCs w:val="24"/>
        </w:rPr>
        <w:t xml:space="preserve"> </w:t>
      </w:r>
      <w:r>
        <w:rPr>
          <w:szCs w:val="24"/>
        </w:rPr>
        <w:t xml:space="preserve">On December 12, 2013, </w:t>
      </w:r>
      <w:r w:rsidR="00D7101A">
        <w:rPr>
          <w:szCs w:val="24"/>
        </w:rPr>
        <w:t>Duquesne Light served supplement</w:t>
      </w:r>
      <w:r w:rsidR="00D45A0D">
        <w:rPr>
          <w:szCs w:val="24"/>
        </w:rPr>
        <w:t>al</w:t>
      </w:r>
      <w:r w:rsidR="00D7101A">
        <w:rPr>
          <w:szCs w:val="24"/>
        </w:rPr>
        <w:t xml:space="preserve"> rebuttal testimony in response to the direct testimony filed by PennFuture.</w:t>
      </w:r>
    </w:p>
    <w:p w:rsidR="00950DE3" w:rsidRDefault="00950DE3" w:rsidP="002A28EA">
      <w:pPr>
        <w:spacing w:after="0" w:line="360" w:lineRule="auto"/>
        <w:rPr>
          <w:szCs w:val="24"/>
        </w:rPr>
      </w:pPr>
    </w:p>
    <w:p w:rsidR="00140EDE" w:rsidRDefault="00D7101A" w:rsidP="002A28EA">
      <w:pPr>
        <w:spacing w:after="0" w:line="360" w:lineRule="auto"/>
        <w:rPr>
          <w:szCs w:val="24"/>
        </w:rPr>
      </w:pPr>
      <w:r>
        <w:rPr>
          <w:szCs w:val="24"/>
        </w:rPr>
        <w:tab/>
      </w:r>
      <w:r>
        <w:rPr>
          <w:szCs w:val="24"/>
        </w:rPr>
        <w:tab/>
      </w:r>
      <w:r w:rsidR="00140EDE">
        <w:rPr>
          <w:szCs w:val="24"/>
        </w:rPr>
        <w:t xml:space="preserve">By Second Interim Order issued on December 12, 2013, Duquesne Light’s preliminary objections </w:t>
      </w:r>
      <w:r>
        <w:rPr>
          <w:szCs w:val="24"/>
        </w:rPr>
        <w:t xml:space="preserve">to certain portions of NRG’s complaint </w:t>
      </w:r>
      <w:r w:rsidR="00140EDE">
        <w:rPr>
          <w:szCs w:val="24"/>
        </w:rPr>
        <w:t>were denied.</w:t>
      </w:r>
    </w:p>
    <w:p w:rsidR="00D7101A" w:rsidRDefault="00D7101A" w:rsidP="002A28EA">
      <w:pPr>
        <w:spacing w:after="0" w:line="360" w:lineRule="auto"/>
        <w:rPr>
          <w:szCs w:val="24"/>
        </w:rPr>
      </w:pPr>
    </w:p>
    <w:p w:rsidR="0029178C" w:rsidRDefault="00D7101A" w:rsidP="002A28EA">
      <w:pPr>
        <w:spacing w:after="0" w:line="360" w:lineRule="auto"/>
        <w:rPr>
          <w:szCs w:val="24"/>
        </w:rPr>
      </w:pPr>
      <w:r>
        <w:rPr>
          <w:szCs w:val="24"/>
        </w:rPr>
        <w:tab/>
      </w:r>
      <w:r>
        <w:rPr>
          <w:szCs w:val="24"/>
        </w:rPr>
        <w:tab/>
        <w:t xml:space="preserve">On December 13, 2013, Duquesne Light </w:t>
      </w:r>
      <w:r w:rsidR="0029178C">
        <w:rPr>
          <w:szCs w:val="24"/>
        </w:rPr>
        <w:t>submitted the following filings:</w:t>
      </w:r>
    </w:p>
    <w:p w:rsidR="00241D94" w:rsidRDefault="00241D94" w:rsidP="002A28EA">
      <w:pPr>
        <w:spacing w:after="0" w:line="360" w:lineRule="auto"/>
        <w:rPr>
          <w:szCs w:val="24"/>
        </w:rPr>
      </w:pPr>
    </w:p>
    <w:p w:rsidR="00140EDE" w:rsidRDefault="0029178C" w:rsidP="002F745C">
      <w:pPr>
        <w:spacing w:after="0" w:line="360" w:lineRule="auto"/>
        <w:ind w:left="2160" w:right="1440"/>
        <w:rPr>
          <w:szCs w:val="24"/>
        </w:rPr>
      </w:pPr>
      <w:r>
        <w:rPr>
          <w:szCs w:val="24"/>
        </w:rPr>
        <w:t>(a)</w:t>
      </w:r>
      <w:r>
        <w:rPr>
          <w:szCs w:val="24"/>
        </w:rPr>
        <w:tab/>
      </w:r>
      <w:r w:rsidR="00D7101A">
        <w:rPr>
          <w:szCs w:val="24"/>
        </w:rPr>
        <w:t>Petition for Interloc</w:t>
      </w:r>
      <w:r>
        <w:rPr>
          <w:szCs w:val="24"/>
        </w:rPr>
        <w:t xml:space="preserve">utory </w:t>
      </w:r>
      <w:r w:rsidR="00D979F9">
        <w:rPr>
          <w:szCs w:val="24"/>
        </w:rPr>
        <w:t>R</w:t>
      </w:r>
      <w:r>
        <w:rPr>
          <w:szCs w:val="24"/>
        </w:rPr>
        <w:t>eview and Answer to Material Questions, raising the following questions:</w:t>
      </w:r>
    </w:p>
    <w:p w:rsidR="00241D94" w:rsidRDefault="00241D94" w:rsidP="002F745C">
      <w:pPr>
        <w:spacing w:after="0" w:line="360" w:lineRule="auto"/>
        <w:ind w:left="2160" w:right="1440"/>
        <w:rPr>
          <w:szCs w:val="24"/>
        </w:rPr>
      </w:pPr>
    </w:p>
    <w:p w:rsidR="0029178C" w:rsidRDefault="0029178C" w:rsidP="002F745C">
      <w:pPr>
        <w:spacing w:after="0" w:line="240" w:lineRule="auto"/>
        <w:ind w:left="2880" w:right="1440"/>
        <w:rPr>
          <w:szCs w:val="24"/>
        </w:rPr>
      </w:pPr>
      <w:r>
        <w:rPr>
          <w:szCs w:val="24"/>
        </w:rPr>
        <w:t xml:space="preserve">(1) </w:t>
      </w:r>
      <w:r w:rsidR="00EF36E4">
        <w:rPr>
          <w:szCs w:val="24"/>
        </w:rPr>
        <w:t xml:space="preserve"> </w:t>
      </w:r>
      <w:r>
        <w:rPr>
          <w:szCs w:val="24"/>
        </w:rPr>
        <w:t xml:space="preserve">Whether the NRG Complaint must be dismissed for failure to join the affected qualifying facilities as necessary and </w:t>
      </w:r>
      <w:r>
        <w:rPr>
          <w:szCs w:val="24"/>
        </w:rPr>
        <w:tab/>
        <w:t>indispensable parties?</w:t>
      </w:r>
    </w:p>
    <w:p w:rsidR="0029178C" w:rsidRDefault="0029178C" w:rsidP="002F745C">
      <w:pPr>
        <w:spacing w:after="0" w:line="240" w:lineRule="auto"/>
        <w:ind w:left="2880" w:right="1440"/>
        <w:rPr>
          <w:szCs w:val="24"/>
        </w:rPr>
      </w:pPr>
    </w:p>
    <w:p w:rsidR="0029178C" w:rsidRDefault="0029178C" w:rsidP="002F745C">
      <w:pPr>
        <w:spacing w:after="0" w:line="240" w:lineRule="auto"/>
        <w:ind w:left="2880" w:right="1440"/>
        <w:rPr>
          <w:szCs w:val="24"/>
        </w:rPr>
      </w:pPr>
      <w:r>
        <w:rPr>
          <w:szCs w:val="24"/>
        </w:rPr>
        <w:t>(2)</w:t>
      </w:r>
      <w:r w:rsidR="00EF36E4">
        <w:rPr>
          <w:szCs w:val="24"/>
        </w:rPr>
        <w:t xml:space="preserve">  </w:t>
      </w:r>
      <w:r>
        <w:rPr>
          <w:szCs w:val="24"/>
        </w:rPr>
        <w:t>Whether the Commission lacks authority to change the</w:t>
      </w:r>
      <w:r w:rsidR="00EF36E4">
        <w:rPr>
          <w:szCs w:val="24"/>
        </w:rPr>
        <w:t xml:space="preserve"> </w:t>
      </w:r>
      <w:r>
        <w:rPr>
          <w:szCs w:val="24"/>
        </w:rPr>
        <w:t>wholesale PURPA rate set forth in Rider No. 18?</w:t>
      </w:r>
      <w:r w:rsidR="003C47A3">
        <w:rPr>
          <w:rStyle w:val="FootnoteReference"/>
          <w:szCs w:val="24"/>
        </w:rPr>
        <w:footnoteReference w:id="2"/>
      </w:r>
    </w:p>
    <w:p w:rsidR="0029178C" w:rsidRDefault="0029178C" w:rsidP="002F745C">
      <w:pPr>
        <w:spacing w:after="0" w:line="360" w:lineRule="auto"/>
        <w:ind w:left="2880" w:right="1440"/>
        <w:rPr>
          <w:szCs w:val="24"/>
        </w:rPr>
      </w:pPr>
    </w:p>
    <w:p w:rsidR="0029178C" w:rsidRDefault="0029178C" w:rsidP="002F745C">
      <w:pPr>
        <w:spacing w:after="0" w:line="360" w:lineRule="auto"/>
        <w:ind w:left="2160" w:right="1440" w:hanging="720"/>
        <w:rPr>
          <w:szCs w:val="24"/>
        </w:rPr>
      </w:pPr>
      <w:r>
        <w:rPr>
          <w:szCs w:val="24"/>
        </w:rPr>
        <w:tab/>
        <w:t xml:space="preserve">(b) </w:t>
      </w:r>
      <w:r>
        <w:rPr>
          <w:szCs w:val="24"/>
        </w:rPr>
        <w:tab/>
        <w:t>Motion to Sever From This Base Rate Proceeding The</w:t>
      </w:r>
      <w:r w:rsidR="002F745C">
        <w:rPr>
          <w:szCs w:val="24"/>
        </w:rPr>
        <w:t xml:space="preserve"> </w:t>
      </w:r>
      <w:r>
        <w:rPr>
          <w:szCs w:val="24"/>
        </w:rPr>
        <w:t>Rider N</w:t>
      </w:r>
      <w:r w:rsidR="00EF36E4">
        <w:rPr>
          <w:szCs w:val="24"/>
        </w:rPr>
        <w:t>o</w:t>
      </w:r>
      <w:r>
        <w:rPr>
          <w:szCs w:val="24"/>
        </w:rPr>
        <w:t>. 18</w:t>
      </w:r>
      <w:r w:rsidR="00EF36E4">
        <w:rPr>
          <w:szCs w:val="24"/>
        </w:rPr>
        <w:t xml:space="preserve"> </w:t>
      </w:r>
      <w:r>
        <w:rPr>
          <w:szCs w:val="24"/>
        </w:rPr>
        <w:t>Portion of the NRG Complaint.</w:t>
      </w:r>
    </w:p>
    <w:p w:rsidR="0029178C" w:rsidRDefault="0029178C" w:rsidP="002A28EA">
      <w:pPr>
        <w:spacing w:after="0" w:line="360" w:lineRule="auto"/>
        <w:ind w:left="1440" w:right="1080"/>
        <w:rPr>
          <w:szCs w:val="24"/>
        </w:rPr>
      </w:pPr>
    </w:p>
    <w:p w:rsidR="00042096" w:rsidRDefault="00EF36E4" w:rsidP="002A28EA">
      <w:pPr>
        <w:spacing w:after="0" w:line="360" w:lineRule="auto"/>
        <w:ind w:right="180"/>
        <w:rPr>
          <w:szCs w:val="24"/>
        </w:rPr>
      </w:pPr>
      <w:r>
        <w:rPr>
          <w:szCs w:val="24"/>
        </w:rPr>
        <w:t>Also on December 13, 2013, DII served supplemental surrebu</w:t>
      </w:r>
      <w:r w:rsidR="00AB5B61">
        <w:rPr>
          <w:szCs w:val="24"/>
        </w:rPr>
        <w:t>t</w:t>
      </w:r>
      <w:r>
        <w:rPr>
          <w:szCs w:val="24"/>
        </w:rPr>
        <w:t>tal testimony,</w:t>
      </w:r>
      <w:r w:rsidR="00241D94">
        <w:rPr>
          <w:szCs w:val="24"/>
        </w:rPr>
        <w:t xml:space="preserve"> </w:t>
      </w:r>
      <w:r>
        <w:rPr>
          <w:szCs w:val="24"/>
        </w:rPr>
        <w:t xml:space="preserve">and Duquesne Light served rejoinder testimony and exhibits. </w:t>
      </w:r>
      <w:r w:rsidR="00AE7BC7">
        <w:rPr>
          <w:szCs w:val="24"/>
        </w:rPr>
        <w:t xml:space="preserve"> </w:t>
      </w:r>
      <w:r w:rsidR="00140EDE">
        <w:rPr>
          <w:szCs w:val="24"/>
        </w:rPr>
        <w:tab/>
      </w:r>
      <w:r w:rsidR="00140EDE">
        <w:rPr>
          <w:szCs w:val="24"/>
        </w:rPr>
        <w:tab/>
      </w:r>
      <w:r w:rsidR="00F84487">
        <w:rPr>
          <w:szCs w:val="24"/>
        </w:rPr>
        <w:t xml:space="preserve"> </w:t>
      </w:r>
      <w:r w:rsidR="00D7568B">
        <w:rPr>
          <w:szCs w:val="24"/>
        </w:rPr>
        <w:t xml:space="preserve">  </w:t>
      </w:r>
    </w:p>
    <w:p w:rsidR="00997186" w:rsidRDefault="00997186" w:rsidP="002A28EA">
      <w:pPr>
        <w:spacing w:after="0" w:line="360" w:lineRule="auto"/>
        <w:rPr>
          <w:szCs w:val="24"/>
        </w:rPr>
      </w:pPr>
    </w:p>
    <w:p w:rsidR="003801E9" w:rsidRDefault="00997186" w:rsidP="002A28EA">
      <w:pPr>
        <w:spacing w:after="0" w:line="360" w:lineRule="auto"/>
        <w:rPr>
          <w:rFonts w:eastAsia="Times New Roman"/>
          <w:szCs w:val="24"/>
        </w:rPr>
      </w:pPr>
      <w:r>
        <w:rPr>
          <w:rFonts w:eastAsia="Times New Roman"/>
          <w:szCs w:val="24"/>
        </w:rPr>
        <w:tab/>
      </w:r>
      <w:r>
        <w:rPr>
          <w:rFonts w:eastAsia="Times New Roman"/>
          <w:szCs w:val="24"/>
        </w:rPr>
        <w:tab/>
      </w:r>
      <w:r w:rsidR="00441505" w:rsidRPr="00997186">
        <w:rPr>
          <w:rFonts w:eastAsia="Times New Roman"/>
          <w:szCs w:val="24"/>
        </w:rPr>
        <w:t>Technical evidentiary</w:t>
      </w:r>
      <w:r w:rsidR="00441505" w:rsidRPr="00441505">
        <w:rPr>
          <w:rFonts w:eastAsia="Times New Roman"/>
          <w:szCs w:val="24"/>
        </w:rPr>
        <w:t xml:space="preserve"> hearings began </w:t>
      </w:r>
      <w:r>
        <w:rPr>
          <w:rFonts w:eastAsia="Times New Roman"/>
          <w:szCs w:val="24"/>
        </w:rPr>
        <w:t xml:space="preserve">in Harrisburg </w:t>
      </w:r>
      <w:r w:rsidR="00441505" w:rsidRPr="00441505">
        <w:rPr>
          <w:rFonts w:eastAsia="Times New Roman"/>
          <w:szCs w:val="24"/>
        </w:rPr>
        <w:t xml:space="preserve">as scheduled on December </w:t>
      </w:r>
      <w:r>
        <w:rPr>
          <w:rFonts w:eastAsia="Times New Roman"/>
          <w:szCs w:val="24"/>
        </w:rPr>
        <w:t>16</w:t>
      </w:r>
      <w:r w:rsidR="00441505" w:rsidRPr="00441505">
        <w:rPr>
          <w:rFonts w:eastAsia="Times New Roman"/>
          <w:szCs w:val="24"/>
        </w:rPr>
        <w:t>, 201</w:t>
      </w:r>
      <w:r>
        <w:rPr>
          <w:rFonts w:eastAsia="Times New Roman"/>
          <w:szCs w:val="24"/>
        </w:rPr>
        <w:t xml:space="preserve">3 and continued on December 17 and 20, 2013. </w:t>
      </w:r>
      <w:r w:rsidR="00D45A0D">
        <w:rPr>
          <w:rFonts w:eastAsia="Times New Roman"/>
          <w:szCs w:val="24"/>
        </w:rPr>
        <w:t xml:space="preserve"> </w:t>
      </w:r>
      <w:r>
        <w:rPr>
          <w:rFonts w:eastAsia="Times New Roman"/>
          <w:szCs w:val="24"/>
        </w:rPr>
        <w:t>Except for NRG Compa</w:t>
      </w:r>
      <w:r w:rsidR="006934B4">
        <w:rPr>
          <w:rFonts w:eastAsia="Times New Roman"/>
          <w:szCs w:val="24"/>
        </w:rPr>
        <w:t xml:space="preserve">nies, the parties in attendance represented that a settlement </w:t>
      </w:r>
      <w:r w:rsidR="00CB154E">
        <w:rPr>
          <w:rFonts w:eastAsia="Times New Roman"/>
          <w:szCs w:val="24"/>
        </w:rPr>
        <w:t xml:space="preserve">had been achieved on Duquesne Light’s </w:t>
      </w:r>
      <w:r w:rsidR="006934B4">
        <w:rPr>
          <w:rFonts w:eastAsia="Times New Roman"/>
          <w:szCs w:val="24"/>
        </w:rPr>
        <w:t>rate</w:t>
      </w:r>
      <w:r w:rsidR="00CB154E">
        <w:rPr>
          <w:rFonts w:eastAsia="Times New Roman"/>
          <w:szCs w:val="24"/>
        </w:rPr>
        <w:t xml:space="preserve"> increase </w:t>
      </w:r>
    </w:p>
    <w:p w:rsidR="00D77259" w:rsidRDefault="00CB154E" w:rsidP="002A28EA">
      <w:pPr>
        <w:spacing w:after="0" w:line="360" w:lineRule="auto"/>
        <w:rPr>
          <w:rFonts w:eastAsia="Times New Roman"/>
          <w:szCs w:val="24"/>
        </w:rPr>
      </w:pPr>
      <w:r>
        <w:rPr>
          <w:rFonts w:eastAsia="Times New Roman"/>
          <w:szCs w:val="24"/>
        </w:rPr>
        <w:lastRenderedPageBreak/>
        <w:t>proposal</w:t>
      </w:r>
      <w:r w:rsidR="007A0D8D">
        <w:rPr>
          <w:rFonts w:eastAsia="Times New Roman"/>
          <w:szCs w:val="24"/>
        </w:rPr>
        <w:t xml:space="preserve"> as to the revenue requirement and revenue allocation</w:t>
      </w:r>
      <w:r w:rsidR="006934B4">
        <w:rPr>
          <w:rFonts w:eastAsia="Times New Roman"/>
          <w:szCs w:val="24"/>
        </w:rPr>
        <w:t>.</w:t>
      </w:r>
      <w:r w:rsidR="006934B4">
        <w:rPr>
          <w:rStyle w:val="FootnoteReference"/>
          <w:rFonts w:eastAsia="Times New Roman"/>
          <w:szCs w:val="24"/>
        </w:rPr>
        <w:footnoteReference w:id="3"/>
      </w:r>
      <w:r w:rsidR="006934B4">
        <w:rPr>
          <w:rFonts w:eastAsia="Times New Roman"/>
          <w:szCs w:val="24"/>
        </w:rPr>
        <w:t xml:space="preserve"> </w:t>
      </w:r>
      <w:r w:rsidR="007A0D8D">
        <w:rPr>
          <w:rFonts w:eastAsia="Times New Roman"/>
          <w:szCs w:val="24"/>
        </w:rPr>
        <w:t xml:space="preserve"> </w:t>
      </w:r>
      <w:r w:rsidR="00D77259">
        <w:rPr>
          <w:rFonts w:eastAsia="Times New Roman"/>
          <w:szCs w:val="24"/>
        </w:rPr>
        <w:t xml:space="preserve">Duquesne Light, I&amp;E, OCA, OSBA, CAUSE-PA, DII, PennFuture, and </w:t>
      </w:r>
      <w:r w:rsidR="00CA7790">
        <w:rPr>
          <w:rFonts w:eastAsia="Times New Roman"/>
          <w:szCs w:val="24"/>
        </w:rPr>
        <w:t>U. S. Steel</w:t>
      </w:r>
      <w:r w:rsidR="00D77259">
        <w:rPr>
          <w:rFonts w:eastAsia="Times New Roman"/>
          <w:szCs w:val="24"/>
        </w:rPr>
        <w:t xml:space="preserve"> </w:t>
      </w:r>
      <w:r w:rsidR="00007517">
        <w:rPr>
          <w:rFonts w:eastAsia="Times New Roman"/>
          <w:szCs w:val="24"/>
        </w:rPr>
        <w:t>(collectively</w:t>
      </w:r>
      <w:r w:rsidR="00D45A0D">
        <w:rPr>
          <w:rFonts w:eastAsia="Times New Roman"/>
          <w:szCs w:val="24"/>
        </w:rPr>
        <w:t>,</w:t>
      </w:r>
      <w:r w:rsidR="00007517">
        <w:rPr>
          <w:rFonts w:eastAsia="Times New Roman"/>
          <w:szCs w:val="24"/>
        </w:rPr>
        <w:t xml:space="preserve"> the Settling Parties) </w:t>
      </w:r>
      <w:r w:rsidR="00D77259">
        <w:rPr>
          <w:rFonts w:eastAsia="Times New Roman"/>
          <w:szCs w:val="24"/>
        </w:rPr>
        <w:t>had entered into a settlement in princip</w:t>
      </w:r>
      <w:r w:rsidR="00630708">
        <w:rPr>
          <w:rFonts w:eastAsia="Times New Roman"/>
          <w:szCs w:val="24"/>
        </w:rPr>
        <w:t>le</w:t>
      </w:r>
      <w:r w:rsidR="00D77259">
        <w:rPr>
          <w:rFonts w:eastAsia="Times New Roman"/>
          <w:szCs w:val="24"/>
        </w:rPr>
        <w:t xml:space="preserve">.  Prior to the hearing, </w:t>
      </w:r>
      <w:r w:rsidR="00237270">
        <w:rPr>
          <w:rFonts w:eastAsia="Times New Roman"/>
          <w:szCs w:val="24"/>
        </w:rPr>
        <w:t xml:space="preserve">CAAP, </w:t>
      </w:r>
      <w:r w:rsidR="00D77259">
        <w:rPr>
          <w:rFonts w:eastAsia="Times New Roman"/>
          <w:szCs w:val="24"/>
        </w:rPr>
        <w:t xml:space="preserve">CP, IGS, IBEW and Beaver Falls </w:t>
      </w:r>
      <w:r w:rsidR="000347E7">
        <w:rPr>
          <w:rFonts w:eastAsia="Times New Roman"/>
          <w:szCs w:val="24"/>
        </w:rPr>
        <w:t xml:space="preserve">Authority </w:t>
      </w:r>
      <w:r w:rsidR="00D77259">
        <w:rPr>
          <w:rFonts w:eastAsia="Times New Roman"/>
          <w:szCs w:val="24"/>
        </w:rPr>
        <w:t>had indicated they would not oppose the settlement reached by the Settling Parties.</w:t>
      </w:r>
      <w:r w:rsidR="007A0D8D">
        <w:rPr>
          <w:rStyle w:val="FootnoteReference"/>
          <w:rFonts w:eastAsia="Times New Roman"/>
          <w:szCs w:val="24"/>
        </w:rPr>
        <w:footnoteReference w:id="4"/>
      </w:r>
      <w:r w:rsidR="00D77259">
        <w:rPr>
          <w:rFonts w:eastAsia="Times New Roman"/>
          <w:szCs w:val="24"/>
        </w:rPr>
        <w:t xml:space="preserve"> </w:t>
      </w:r>
    </w:p>
    <w:p w:rsidR="008C0607" w:rsidRDefault="008C0607" w:rsidP="002A28EA">
      <w:pPr>
        <w:spacing w:after="0" w:line="360" w:lineRule="auto"/>
        <w:rPr>
          <w:rFonts w:eastAsia="Times New Roman"/>
          <w:szCs w:val="24"/>
        </w:rPr>
      </w:pPr>
    </w:p>
    <w:p w:rsidR="008C0607" w:rsidRDefault="006D5EC4" w:rsidP="002A28EA">
      <w:pPr>
        <w:spacing w:after="0" w:line="360" w:lineRule="auto"/>
        <w:rPr>
          <w:rFonts w:eastAsia="Times New Roman"/>
          <w:szCs w:val="24"/>
        </w:rPr>
      </w:pPr>
      <w:r>
        <w:rPr>
          <w:rFonts w:eastAsia="Times New Roman"/>
          <w:szCs w:val="24"/>
        </w:rPr>
        <w:tab/>
      </w:r>
      <w:r>
        <w:rPr>
          <w:rFonts w:eastAsia="Times New Roman"/>
          <w:szCs w:val="24"/>
        </w:rPr>
        <w:tab/>
        <w:t xml:space="preserve">During the evidentiary hearings, the </w:t>
      </w:r>
      <w:r w:rsidR="00263DDE">
        <w:rPr>
          <w:rFonts w:eastAsia="Times New Roman"/>
          <w:szCs w:val="24"/>
        </w:rPr>
        <w:t>Petition</w:t>
      </w:r>
      <w:r w:rsidR="006C72A0">
        <w:rPr>
          <w:rFonts w:eastAsia="Times New Roman"/>
          <w:szCs w:val="24"/>
        </w:rPr>
        <w:t>s</w:t>
      </w:r>
      <w:r w:rsidR="00263DDE">
        <w:rPr>
          <w:rFonts w:eastAsia="Times New Roman"/>
          <w:szCs w:val="24"/>
        </w:rPr>
        <w:t xml:space="preserve"> to Intervene </w:t>
      </w:r>
      <w:r>
        <w:rPr>
          <w:rFonts w:eastAsia="Times New Roman"/>
          <w:szCs w:val="24"/>
        </w:rPr>
        <w:t xml:space="preserve">filed by PennFuture and Beaver Falls </w:t>
      </w:r>
      <w:r w:rsidR="000347E7">
        <w:rPr>
          <w:rFonts w:eastAsia="Times New Roman"/>
          <w:szCs w:val="24"/>
        </w:rPr>
        <w:t xml:space="preserve">Authority </w:t>
      </w:r>
      <w:r>
        <w:rPr>
          <w:rFonts w:eastAsia="Times New Roman"/>
          <w:szCs w:val="24"/>
        </w:rPr>
        <w:t>were granted without objection</w:t>
      </w:r>
      <w:r w:rsidR="00263DDE">
        <w:rPr>
          <w:rFonts w:eastAsia="Times New Roman"/>
          <w:szCs w:val="24"/>
        </w:rPr>
        <w:t>; t</w:t>
      </w:r>
      <w:r>
        <w:rPr>
          <w:rFonts w:eastAsia="Times New Roman"/>
          <w:szCs w:val="24"/>
        </w:rPr>
        <w:t xml:space="preserve">he Formal Complaint of NRG Companies was consolidated with the </w:t>
      </w:r>
      <w:r w:rsidR="00010669">
        <w:rPr>
          <w:rFonts w:eastAsia="Times New Roman"/>
          <w:szCs w:val="24"/>
        </w:rPr>
        <w:t xml:space="preserve">base </w:t>
      </w:r>
      <w:r>
        <w:rPr>
          <w:rFonts w:eastAsia="Times New Roman"/>
          <w:szCs w:val="24"/>
        </w:rPr>
        <w:t>ra</w:t>
      </w:r>
      <w:r w:rsidR="00263DDE">
        <w:rPr>
          <w:rFonts w:eastAsia="Times New Roman"/>
          <w:szCs w:val="24"/>
        </w:rPr>
        <w:t xml:space="preserve">te proceeding; and </w:t>
      </w:r>
      <w:r w:rsidR="006C72A0">
        <w:rPr>
          <w:rFonts w:eastAsia="Times New Roman"/>
          <w:szCs w:val="24"/>
        </w:rPr>
        <w:t xml:space="preserve">Duquesne Light’s </w:t>
      </w:r>
      <w:r w:rsidR="00263DDE">
        <w:rPr>
          <w:szCs w:val="24"/>
        </w:rPr>
        <w:t xml:space="preserve">Motion to Sever </w:t>
      </w:r>
      <w:r w:rsidR="00010669">
        <w:rPr>
          <w:szCs w:val="24"/>
        </w:rPr>
        <w:t>t</w:t>
      </w:r>
      <w:r w:rsidR="00902FBC">
        <w:rPr>
          <w:szCs w:val="24"/>
        </w:rPr>
        <w:t xml:space="preserve">he Rider No. 18 section of NRG </w:t>
      </w:r>
      <w:r w:rsidR="00010669">
        <w:rPr>
          <w:szCs w:val="24"/>
        </w:rPr>
        <w:t xml:space="preserve">Companies’ Formal Complaint from the base rate proceeding </w:t>
      </w:r>
      <w:r w:rsidR="006C72A0">
        <w:rPr>
          <w:szCs w:val="24"/>
        </w:rPr>
        <w:t>was denied</w:t>
      </w:r>
      <w:r w:rsidR="00263DDE">
        <w:rPr>
          <w:szCs w:val="24"/>
        </w:rPr>
        <w:t>.</w:t>
      </w:r>
      <w:r w:rsidR="003801E9">
        <w:rPr>
          <w:szCs w:val="24"/>
        </w:rPr>
        <w:t xml:space="preserve">  </w:t>
      </w:r>
      <w:r w:rsidR="007A0D8D">
        <w:rPr>
          <w:rFonts w:eastAsia="Times New Roman"/>
          <w:szCs w:val="24"/>
        </w:rPr>
        <w:t xml:space="preserve">Pre-served </w:t>
      </w:r>
      <w:r w:rsidR="0037655F">
        <w:rPr>
          <w:rFonts w:eastAsia="Times New Roman"/>
          <w:szCs w:val="24"/>
        </w:rPr>
        <w:t xml:space="preserve">testimony </w:t>
      </w:r>
      <w:r w:rsidR="000423B2">
        <w:rPr>
          <w:rFonts w:eastAsia="Times New Roman"/>
          <w:szCs w:val="24"/>
        </w:rPr>
        <w:t xml:space="preserve">and exhibits of </w:t>
      </w:r>
      <w:r w:rsidR="008D0149">
        <w:rPr>
          <w:rFonts w:eastAsia="Times New Roman"/>
          <w:szCs w:val="24"/>
        </w:rPr>
        <w:t xml:space="preserve">the </w:t>
      </w:r>
      <w:r w:rsidR="007A0D8D">
        <w:rPr>
          <w:rFonts w:eastAsia="Times New Roman"/>
          <w:szCs w:val="24"/>
        </w:rPr>
        <w:t xml:space="preserve">various </w:t>
      </w:r>
      <w:r w:rsidR="008D0149">
        <w:rPr>
          <w:rFonts w:eastAsia="Times New Roman"/>
          <w:szCs w:val="24"/>
        </w:rPr>
        <w:t>parties</w:t>
      </w:r>
      <w:r w:rsidR="007A0D8D">
        <w:rPr>
          <w:rFonts w:eastAsia="Times New Roman"/>
          <w:szCs w:val="24"/>
        </w:rPr>
        <w:t xml:space="preserve"> w</w:t>
      </w:r>
      <w:r w:rsidR="003801E9">
        <w:rPr>
          <w:rFonts w:eastAsia="Times New Roman"/>
          <w:szCs w:val="24"/>
        </w:rPr>
        <w:t>ere</w:t>
      </w:r>
      <w:r w:rsidR="007A0D8D">
        <w:rPr>
          <w:rFonts w:eastAsia="Times New Roman"/>
          <w:szCs w:val="24"/>
        </w:rPr>
        <w:t xml:space="preserve"> admitted into the record.</w:t>
      </w:r>
      <w:r w:rsidR="002C141B">
        <w:rPr>
          <w:rFonts w:eastAsia="Times New Roman"/>
          <w:szCs w:val="24"/>
        </w:rPr>
        <w:t xml:space="preserve">  </w:t>
      </w:r>
    </w:p>
    <w:p w:rsidR="008C0607" w:rsidRDefault="008C0607" w:rsidP="002A28EA">
      <w:pPr>
        <w:spacing w:after="0" w:line="360" w:lineRule="auto"/>
        <w:rPr>
          <w:rFonts w:eastAsia="Times New Roman"/>
          <w:szCs w:val="24"/>
        </w:rPr>
      </w:pPr>
    </w:p>
    <w:p w:rsidR="007C1FC1" w:rsidRPr="003C47A3" w:rsidRDefault="008C0607" w:rsidP="002A28EA">
      <w:pPr>
        <w:spacing w:after="0" w:line="360" w:lineRule="auto"/>
        <w:rPr>
          <w:rFonts w:eastAsia="Times New Roman"/>
          <w:szCs w:val="24"/>
        </w:rPr>
      </w:pPr>
      <w:r>
        <w:rPr>
          <w:rFonts w:eastAsia="Times New Roman"/>
          <w:szCs w:val="24"/>
        </w:rPr>
        <w:tab/>
      </w:r>
      <w:r>
        <w:rPr>
          <w:rFonts w:eastAsia="Times New Roman"/>
          <w:szCs w:val="24"/>
        </w:rPr>
        <w:tab/>
      </w:r>
      <w:r w:rsidR="007C1FC1" w:rsidRPr="003C47A3">
        <w:rPr>
          <w:rFonts w:eastAsia="Times New Roman"/>
          <w:szCs w:val="24"/>
        </w:rPr>
        <w:t xml:space="preserve">NRG’s challenge to Duquesne Light’s Rider No. </w:t>
      </w:r>
      <w:r w:rsidR="002C141B" w:rsidRPr="003C47A3">
        <w:rPr>
          <w:rFonts w:eastAsia="Times New Roman"/>
          <w:szCs w:val="24"/>
        </w:rPr>
        <w:t xml:space="preserve">18 </w:t>
      </w:r>
      <w:r w:rsidR="007C1FC1" w:rsidRPr="003C47A3">
        <w:rPr>
          <w:rFonts w:eastAsia="Times New Roman"/>
          <w:szCs w:val="24"/>
        </w:rPr>
        <w:t xml:space="preserve">remained </w:t>
      </w:r>
      <w:r w:rsidRPr="003C47A3">
        <w:rPr>
          <w:rFonts w:eastAsia="Times New Roman"/>
          <w:szCs w:val="24"/>
        </w:rPr>
        <w:t>in dispute</w:t>
      </w:r>
      <w:r w:rsidR="007C1FC1" w:rsidRPr="003C47A3">
        <w:rPr>
          <w:rFonts w:eastAsia="Times New Roman"/>
          <w:szCs w:val="24"/>
        </w:rPr>
        <w:t xml:space="preserve">.  </w:t>
      </w:r>
      <w:r w:rsidR="002C141B" w:rsidRPr="003C47A3">
        <w:rPr>
          <w:rFonts w:eastAsia="Times New Roman"/>
          <w:szCs w:val="24"/>
        </w:rPr>
        <w:t>Accordingly, the following witnesses testified and were subject</w:t>
      </w:r>
      <w:r w:rsidR="00630708">
        <w:rPr>
          <w:rFonts w:eastAsia="Times New Roman"/>
          <w:szCs w:val="24"/>
        </w:rPr>
        <w:t>ed</w:t>
      </w:r>
      <w:r w:rsidR="002C141B" w:rsidRPr="003C47A3">
        <w:rPr>
          <w:rFonts w:eastAsia="Times New Roman"/>
          <w:szCs w:val="24"/>
        </w:rPr>
        <w:t xml:space="preserve"> to cross-examination:</w:t>
      </w:r>
    </w:p>
    <w:p w:rsidR="002C141B" w:rsidRDefault="002C141B" w:rsidP="002A28EA">
      <w:pPr>
        <w:spacing w:after="0" w:line="360" w:lineRule="auto"/>
        <w:rPr>
          <w:rFonts w:eastAsia="Times New Roman"/>
          <w:color w:val="FF0000"/>
          <w:szCs w:val="24"/>
        </w:rPr>
      </w:pPr>
      <w:r>
        <w:rPr>
          <w:rFonts w:eastAsia="Times New Roman"/>
          <w:color w:val="FF0000"/>
          <w:szCs w:val="24"/>
        </w:rPr>
        <w:t xml:space="preserve"> </w:t>
      </w:r>
    </w:p>
    <w:p w:rsidR="002C141B" w:rsidRDefault="002C141B" w:rsidP="00B85CE0">
      <w:pPr>
        <w:spacing w:after="0" w:line="360" w:lineRule="auto"/>
        <w:ind w:left="2160"/>
        <w:rPr>
          <w:rFonts w:eastAsia="Times New Roman"/>
          <w:szCs w:val="24"/>
        </w:rPr>
      </w:pPr>
      <w:r>
        <w:rPr>
          <w:rFonts w:eastAsia="Times New Roman"/>
          <w:szCs w:val="24"/>
        </w:rPr>
        <w:t>Christine Wilson on behalf of I&amp;E</w:t>
      </w:r>
    </w:p>
    <w:p w:rsidR="002C141B" w:rsidRDefault="002C141B" w:rsidP="00B85CE0">
      <w:pPr>
        <w:spacing w:after="0" w:line="360" w:lineRule="auto"/>
        <w:ind w:left="2160"/>
        <w:rPr>
          <w:rFonts w:eastAsia="Times New Roman"/>
          <w:szCs w:val="24"/>
        </w:rPr>
      </w:pPr>
      <w:r>
        <w:rPr>
          <w:rFonts w:eastAsia="Times New Roman"/>
          <w:szCs w:val="24"/>
        </w:rPr>
        <w:t>David J. Effron on behalf of OCA</w:t>
      </w:r>
    </w:p>
    <w:p w:rsidR="002C141B" w:rsidRDefault="002C141B" w:rsidP="00B85CE0">
      <w:pPr>
        <w:spacing w:after="0" w:line="360" w:lineRule="auto"/>
        <w:ind w:left="2160"/>
        <w:rPr>
          <w:rFonts w:eastAsia="Times New Roman"/>
          <w:szCs w:val="24"/>
        </w:rPr>
      </w:pPr>
      <w:r>
        <w:rPr>
          <w:rFonts w:eastAsia="Times New Roman"/>
          <w:szCs w:val="24"/>
        </w:rPr>
        <w:t xml:space="preserve">William </w:t>
      </w:r>
      <w:r w:rsidR="003801E9">
        <w:rPr>
          <w:rFonts w:eastAsia="Times New Roman"/>
          <w:szCs w:val="24"/>
        </w:rPr>
        <w:t>V</w:t>
      </w:r>
      <w:r>
        <w:rPr>
          <w:rFonts w:eastAsia="Times New Roman"/>
          <w:szCs w:val="24"/>
        </w:rPr>
        <w:t>. Pfro</w:t>
      </w:r>
      <w:r w:rsidR="003801E9">
        <w:rPr>
          <w:rFonts w:eastAsia="Times New Roman"/>
          <w:szCs w:val="24"/>
        </w:rPr>
        <w:t>m</w:t>
      </w:r>
      <w:r>
        <w:rPr>
          <w:rFonts w:eastAsia="Times New Roman"/>
          <w:szCs w:val="24"/>
        </w:rPr>
        <w:t>mer on behalf of Duquesne Light</w:t>
      </w:r>
    </w:p>
    <w:p w:rsidR="002C141B" w:rsidRDefault="002C141B" w:rsidP="00B85CE0">
      <w:pPr>
        <w:spacing w:after="0" w:line="360" w:lineRule="auto"/>
        <w:ind w:left="2160"/>
        <w:rPr>
          <w:rFonts w:eastAsia="Times New Roman"/>
          <w:szCs w:val="24"/>
        </w:rPr>
      </w:pPr>
      <w:r>
        <w:rPr>
          <w:rFonts w:eastAsia="Times New Roman"/>
          <w:szCs w:val="24"/>
        </w:rPr>
        <w:t>Judith Lagano on behalf of NRG</w:t>
      </w:r>
    </w:p>
    <w:p w:rsidR="005313F9" w:rsidRDefault="005313F9" w:rsidP="00B85CE0">
      <w:pPr>
        <w:spacing w:after="0" w:line="360" w:lineRule="auto"/>
        <w:ind w:left="2160"/>
        <w:rPr>
          <w:rFonts w:eastAsia="Times New Roman"/>
          <w:szCs w:val="24"/>
        </w:rPr>
      </w:pPr>
      <w:r>
        <w:rPr>
          <w:rFonts w:eastAsia="Times New Roman"/>
          <w:szCs w:val="24"/>
        </w:rPr>
        <w:t>Del Dausman on behalf of NRG</w:t>
      </w:r>
    </w:p>
    <w:p w:rsidR="005313F9" w:rsidRDefault="005313F9" w:rsidP="00B85CE0">
      <w:pPr>
        <w:spacing w:after="0" w:line="360" w:lineRule="auto"/>
        <w:ind w:left="2160"/>
        <w:rPr>
          <w:rFonts w:eastAsia="Times New Roman"/>
          <w:szCs w:val="24"/>
        </w:rPr>
      </w:pPr>
      <w:r>
        <w:rPr>
          <w:rFonts w:eastAsia="Times New Roman"/>
          <w:szCs w:val="24"/>
        </w:rPr>
        <w:t>James A. Riggio on behalf of Beaver Falls</w:t>
      </w:r>
      <w:r w:rsidR="000347E7">
        <w:rPr>
          <w:rFonts w:eastAsia="Times New Roman"/>
          <w:szCs w:val="24"/>
        </w:rPr>
        <w:t xml:space="preserve"> Authority</w:t>
      </w:r>
    </w:p>
    <w:p w:rsidR="005313F9" w:rsidRPr="002C141B" w:rsidRDefault="005313F9" w:rsidP="00B85CE0">
      <w:pPr>
        <w:spacing w:after="0" w:line="360" w:lineRule="auto"/>
        <w:ind w:left="2160"/>
        <w:rPr>
          <w:rFonts w:eastAsia="Times New Roman"/>
          <w:szCs w:val="24"/>
        </w:rPr>
      </w:pPr>
      <w:r>
        <w:rPr>
          <w:rFonts w:eastAsia="Times New Roman"/>
          <w:szCs w:val="24"/>
        </w:rPr>
        <w:t>David DeFide on behalf of Duquesne Light</w:t>
      </w:r>
    </w:p>
    <w:p w:rsidR="0089289A" w:rsidRDefault="0089289A" w:rsidP="002A28EA">
      <w:pPr>
        <w:spacing w:after="0" w:line="360" w:lineRule="auto"/>
        <w:ind w:left="1440"/>
        <w:rPr>
          <w:rFonts w:eastAsia="Times New Roman"/>
          <w:szCs w:val="24"/>
        </w:rPr>
      </w:pPr>
    </w:p>
    <w:p w:rsidR="00AA7BDB" w:rsidRDefault="0089289A" w:rsidP="002A28EA">
      <w:pPr>
        <w:spacing w:after="0" w:line="360" w:lineRule="auto"/>
        <w:rPr>
          <w:rFonts w:eastAsia="Times New Roman"/>
          <w:szCs w:val="24"/>
        </w:rPr>
      </w:pPr>
      <w:r>
        <w:rPr>
          <w:rFonts w:eastAsia="Times New Roman"/>
          <w:szCs w:val="24"/>
        </w:rPr>
        <w:lastRenderedPageBreak/>
        <w:t xml:space="preserve">The evidentiary hearing concluded on December </w:t>
      </w:r>
      <w:r w:rsidR="00AA7BDB">
        <w:rPr>
          <w:rFonts w:eastAsia="Times New Roman"/>
          <w:szCs w:val="24"/>
        </w:rPr>
        <w:t>2</w:t>
      </w:r>
      <w:r>
        <w:rPr>
          <w:rFonts w:eastAsia="Times New Roman"/>
          <w:szCs w:val="24"/>
        </w:rPr>
        <w:t xml:space="preserve">0, 2013, after which </w:t>
      </w:r>
      <w:r w:rsidR="00B81B52">
        <w:rPr>
          <w:rFonts w:eastAsia="Times New Roman"/>
          <w:szCs w:val="24"/>
        </w:rPr>
        <w:t xml:space="preserve">main briefs and reply </w:t>
      </w:r>
      <w:r>
        <w:rPr>
          <w:rFonts w:eastAsia="Times New Roman"/>
          <w:szCs w:val="24"/>
        </w:rPr>
        <w:t xml:space="preserve">briefs were filed in accordance with the </w:t>
      </w:r>
      <w:r w:rsidR="003C47A3">
        <w:rPr>
          <w:rFonts w:eastAsia="Times New Roman"/>
          <w:szCs w:val="24"/>
        </w:rPr>
        <w:t xml:space="preserve">January 2014 due dates set forth </w:t>
      </w:r>
      <w:r>
        <w:rPr>
          <w:rFonts w:eastAsia="Times New Roman"/>
          <w:szCs w:val="24"/>
        </w:rPr>
        <w:t>in the Prehearing Order.</w:t>
      </w:r>
      <w:r w:rsidR="00AA7BDB">
        <w:rPr>
          <w:rStyle w:val="FootnoteReference"/>
          <w:rFonts w:eastAsia="Times New Roman"/>
          <w:szCs w:val="24"/>
        </w:rPr>
        <w:footnoteReference w:id="5"/>
      </w:r>
    </w:p>
    <w:p w:rsidR="003801E9" w:rsidRDefault="003801E9" w:rsidP="002A28EA">
      <w:pPr>
        <w:spacing w:after="0" w:line="360" w:lineRule="auto"/>
        <w:rPr>
          <w:rFonts w:eastAsia="Times New Roman"/>
          <w:szCs w:val="24"/>
        </w:rPr>
      </w:pPr>
    </w:p>
    <w:p w:rsidR="00D979F9" w:rsidRDefault="00AA7BDB" w:rsidP="002A28EA">
      <w:pPr>
        <w:spacing w:after="0" w:line="360" w:lineRule="auto"/>
        <w:rPr>
          <w:rFonts w:eastAsia="Times New Roman"/>
          <w:szCs w:val="24"/>
        </w:rPr>
      </w:pPr>
      <w:r>
        <w:rPr>
          <w:rFonts w:eastAsia="Times New Roman"/>
          <w:szCs w:val="24"/>
        </w:rPr>
        <w:tab/>
      </w:r>
      <w:r>
        <w:rPr>
          <w:rFonts w:eastAsia="Times New Roman"/>
          <w:szCs w:val="24"/>
        </w:rPr>
        <w:tab/>
        <w:t>On January 16, 2014,</w:t>
      </w:r>
      <w:r w:rsidR="005A2593">
        <w:rPr>
          <w:rFonts w:eastAsia="Times New Roman"/>
          <w:szCs w:val="24"/>
        </w:rPr>
        <w:t xml:space="preserve"> </w:t>
      </w:r>
      <w:r>
        <w:rPr>
          <w:rFonts w:eastAsia="Times New Roman"/>
          <w:szCs w:val="24"/>
        </w:rPr>
        <w:t>a Joint Petition for Approval of Non-Unanimous Settlement</w:t>
      </w:r>
      <w:r w:rsidR="00237270">
        <w:rPr>
          <w:rFonts w:eastAsia="Times New Roman"/>
          <w:szCs w:val="24"/>
        </w:rPr>
        <w:t xml:space="preserve"> together with Appendices A through J</w:t>
      </w:r>
      <w:r w:rsidR="005A2593">
        <w:rPr>
          <w:rFonts w:eastAsia="Times New Roman"/>
          <w:szCs w:val="24"/>
        </w:rPr>
        <w:t xml:space="preserve"> </w:t>
      </w:r>
      <w:r w:rsidR="00093513">
        <w:rPr>
          <w:rFonts w:eastAsia="Times New Roman"/>
          <w:szCs w:val="24"/>
        </w:rPr>
        <w:t xml:space="preserve">(Joint Petition or Non-Unanimous Settlement or Settlement) </w:t>
      </w:r>
      <w:r w:rsidR="005A2593">
        <w:rPr>
          <w:rFonts w:eastAsia="Times New Roman"/>
          <w:szCs w:val="24"/>
        </w:rPr>
        <w:t>was filed with the Commission’s Secretary’s Bureau</w:t>
      </w:r>
      <w:r>
        <w:rPr>
          <w:rFonts w:eastAsia="Times New Roman"/>
          <w:szCs w:val="24"/>
        </w:rPr>
        <w:t>.</w:t>
      </w:r>
      <w:r w:rsidR="00D979F9">
        <w:rPr>
          <w:rStyle w:val="FootnoteReference"/>
          <w:rFonts w:eastAsia="Times New Roman"/>
          <w:szCs w:val="24"/>
        </w:rPr>
        <w:footnoteReference w:id="6"/>
      </w:r>
      <w:r w:rsidR="00F643AB">
        <w:rPr>
          <w:rFonts w:eastAsia="Times New Roman"/>
          <w:szCs w:val="24"/>
        </w:rPr>
        <w:t xml:space="preserve"> </w:t>
      </w:r>
      <w:r w:rsidR="005A2593">
        <w:rPr>
          <w:rFonts w:eastAsia="Times New Roman"/>
          <w:szCs w:val="24"/>
        </w:rPr>
        <w:t xml:space="preserve"> Duquesne Light, I&amp;E, OCA, OSBA, CAUSE-PA, DII, PennFuture, and </w:t>
      </w:r>
      <w:r w:rsidR="00CA7790">
        <w:rPr>
          <w:rFonts w:eastAsia="Times New Roman"/>
          <w:szCs w:val="24"/>
        </w:rPr>
        <w:t>U. S. Steel</w:t>
      </w:r>
      <w:r w:rsidR="005A2593">
        <w:rPr>
          <w:rFonts w:eastAsia="Times New Roman"/>
          <w:szCs w:val="24"/>
        </w:rPr>
        <w:t xml:space="preserve"> </w:t>
      </w:r>
      <w:r w:rsidR="00FE23D6">
        <w:rPr>
          <w:rFonts w:eastAsia="Times New Roman"/>
          <w:szCs w:val="24"/>
        </w:rPr>
        <w:t xml:space="preserve">(Joint Petitioners or Settling Parties) </w:t>
      </w:r>
      <w:r w:rsidR="005A2593">
        <w:rPr>
          <w:rFonts w:eastAsia="Times New Roman"/>
          <w:szCs w:val="24"/>
        </w:rPr>
        <w:t xml:space="preserve">are signatories </w:t>
      </w:r>
      <w:r w:rsidR="00AD1639">
        <w:rPr>
          <w:rFonts w:eastAsia="Times New Roman"/>
          <w:szCs w:val="24"/>
        </w:rPr>
        <w:t>to</w:t>
      </w:r>
      <w:r w:rsidR="005A2593">
        <w:rPr>
          <w:rFonts w:eastAsia="Times New Roman"/>
          <w:szCs w:val="24"/>
        </w:rPr>
        <w:t xml:space="preserve"> the Joint Petition. </w:t>
      </w:r>
      <w:r w:rsidR="0022336D">
        <w:rPr>
          <w:rFonts w:eastAsia="Times New Roman"/>
          <w:szCs w:val="24"/>
        </w:rPr>
        <w:t xml:space="preserve"> On January 23, 2014, the ALJ issued a Third Interim Order Establishing Deadline for Filing Objections and Responses to Joint Petition for Approval of Non-Unanimous Settlement.  </w:t>
      </w:r>
      <w:r w:rsidR="00D979F9">
        <w:rPr>
          <w:rFonts w:eastAsia="Times New Roman"/>
          <w:szCs w:val="24"/>
        </w:rPr>
        <w:t>Under the Third Interim Order written objections to the Joint Petition were due by January 30, 2014 and written responses were due by Feb</w:t>
      </w:r>
      <w:r w:rsidR="0037655F">
        <w:rPr>
          <w:rFonts w:eastAsia="Times New Roman"/>
          <w:szCs w:val="24"/>
        </w:rPr>
        <w:t>ru</w:t>
      </w:r>
      <w:r w:rsidR="00D979F9">
        <w:rPr>
          <w:rFonts w:eastAsia="Times New Roman"/>
          <w:szCs w:val="24"/>
        </w:rPr>
        <w:t>ary 4, 2014.</w:t>
      </w:r>
      <w:r w:rsidR="00802323">
        <w:rPr>
          <w:rFonts w:eastAsia="Times New Roman"/>
          <w:szCs w:val="24"/>
        </w:rPr>
        <w:t xml:space="preserve"> </w:t>
      </w:r>
      <w:r w:rsidR="00D979F9">
        <w:rPr>
          <w:rFonts w:eastAsia="Times New Roman"/>
          <w:szCs w:val="24"/>
        </w:rPr>
        <w:t xml:space="preserve"> </w:t>
      </w:r>
      <w:r w:rsidR="0022336D">
        <w:rPr>
          <w:rFonts w:eastAsia="Times New Roman"/>
          <w:szCs w:val="24"/>
        </w:rPr>
        <w:t>Only NRG filed objection</w:t>
      </w:r>
      <w:r w:rsidR="00D979F9">
        <w:rPr>
          <w:rFonts w:eastAsia="Times New Roman"/>
          <w:szCs w:val="24"/>
        </w:rPr>
        <w:t>s</w:t>
      </w:r>
      <w:r w:rsidR="0022336D">
        <w:rPr>
          <w:rFonts w:eastAsia="Times New Roman"/>
          <w:szCs w:val="24"/>
        </w:rPr>
        <w:t xml:space="preserve"> to the Joint Petition</w:t>
      </w:r>
      <w:r w:rsidR="00D72830">
        <w:rPr>
          <w:rFonts w:eastAsia="Times New Roman"/>
          <w:szCs w:val="24"/>
        </w:rPr>
        <w:t xml:space="preserve">; only </w:t>
      </w:r>
      <w:r w:rsidR="0022336D" w:rsidRPr="00802323">
        <w:rPr>
          <w:rFonts w:eastAsia="Times New Roman"/>
          <w:szCs w:val="24"/>
        </w:rPr>
        <w:t>Duquesne Light</w:t>
      </w:r>
      <w:r w:rsidR="00D72830">
        <w:rPr>
          <w:rFonts w:eastAsia="Times New Roman"/>
          <w:szCs w:val="24"/>
        </w:rPr>
        <w:t xml:space="preserve">, OCA, </w:t>
      </w:r>
      <w:r w:rsidR="00CA7790">
        <w:rPr>
          <w:rFonts w:eastAsia="Times New Roman"/>
          <w:szCs w:val="24"/>
        </w:rPr>
        <w:t>U. S. Steel</w:t>
      </w:r>
      <w:r w:rsidR="00D72830">
        <w:rPr>
          <w:rFonts w:eastAsia="Times New Roman"/>
          <w:szCs w:val="24"/>
        </w:rPr>
        <w:t xml:space="preserve"> and Beaver Fall</w:t>
      </w:r>
      <w:r w:rsidR="00231091">
        <w:rPr>
          <w:rFonts w:eastAsia="Times New Roman"/>
          <w:szCs w:val="24"/>
        </w:rPr>
        <w:t>s</w:t>
      </w:r>
      <w:r w:rsidR="0022336D" w:rsidRPr="00802323">
        <w:rPr>
          <w:rFonts w:eastAsia="Times New Roman"/>
          <w:szCs w:val="24"/>
        </w:rPr>
        <w:t xml:space="preserve"> </w:t>
      </w:r>
      <w:r w:rsidR="000347E7">
        <w:rPr>
          <w:rFonts w:eastAsia="Times New Roman"/>
          <w:szCs w:val="24"/>
        </w:rPr>
        <w:t xml:space="preserve">Authority </w:t>
      </w:r>
      <w:r w:rsidR="0022336D" w:rsidRPr="00802323">
        <w:rPr>
          <w:rFonts w:eastAsia="Times New Roman"/>
          <w:szCs w:val="24"/>
        </w:rPr>
        <w:t>filed response</w:t>
      </w:r>
      <w:r w:rsidR="00D72830">
        <w:rPr>
          <w:rFonts w:eastAsia="Times New Roman"/>
          <w:szCs w:val="24"/>
        </w:rPr>
        <w:t>s</w:t>
      </w:r>
      <w:r w:rsidR="0022336D" w:rsidRPr="00802323">
        <w:rPr>
          <w:rFonts w:eastAsia="Times New Roman"/>
          <w:szCs w:val="24"/>
        </w:rPr>
        <w:t xml:space="preserve"> to NRG’s objection</w:t>
      </w:r>
      <w:r w:rsidR="00B00B06">
        <w:rPr>
          <w:rFonts w:eastAsia="Times New Roman"/>
          <w:szCs w:val="24"/>
        </w:rPr>
        <w:t>s</w:t>
      </w:r>
      <w:r w:rsidR="0022336D" w:rsidRPr="00802323">
        <w:rPr>
          <w:rFonts w:eastAsia="Times New Roman"/>
          <w:szCs w:val="24"/>
        </w:rPr>
        <w:t>.</w:t>
      </w:r>
      <w:r w:rsidR="0022336D">
        <w:rPr>
          <w:rFonts w:eastAsia="Times New Roman"/>
          <w:szCs w:val="24"/>
        </w:rPr>
        <w:t xml:space="preserve">    </w:t>
      </w:r>
    </w:p>
    <w:p w:rsidR="00D979F9" w:rsidRDefault="00D979F9" w:rsidP="002A28EA">
      <w:pPr>
        <w:spacing w:after="0" w:line="360" w:lineRule="auto"/>
        <w:rPr>
          <w:rFonts w:eastAsia="Times New Roman"/>
          <w:szCs w:val="24"/>
        </w:rPr>
      </w:pPr>
    </w:p>
    <w:p w:rsidR="00F643AB" w:rsidRDefault="00D979F9" w:rsidP="002A28EA">
      <w:pPr>
        <w:spacing w:after="0" w:line="360" w:lineRule="auto"/>
        <w:rPr>
          <w:rFonts w:eastAsia="Times New Roman"/>
          <w:szCs w:val="24"/>
        </w:rPr>
      </w:pPr>
      <w:r>
        <w:rPr>
          <w:rFonts w:eastAsia="Times New Roman"/>
          <w:szCs w:val="24"/>
        </w:rPr>
        <w:tab/>
      </w:r>
      <w:r>
        <w:rPr>
          <w:rFonts w:eastAsia="Times New Roman"/>
          <w:szCs w:val="24"/>
        </w:rPr>
        <w:tab/>
      </w:r>
      <w:r w:rsidR="0022336D">
        <w:rPr>
          <w:rFonts w:eastAsia="Times New Roman"/>
          <w:szCs w:val="24"/>
        </w:rPr>
        <w:t xml:space="preserve">On February 6, 2014, the Commission issued an Opinion and Order </w:t>
      </w:r>
      <w:r>
        <w:rPr>
          <w:rFonts w:eastAsia="Times New Roman"/>
          <w:szCs w:val="24"/>
        </w:rPr>
        <w:t xml:space="preserve">declining to answer the </w:t>
      </w:r>
      <w:r w:rsidR="00231091">
        <w:rPr>
          <w:rFonts w:eastAsia="Times New Roman"/>
          <w:szCs w:val="24"/>
        </w:rPr>
        <w:t>m</w:t>
      </w:r>
      <w:r>
        <w:rPr>
          <w:rFonts w:eastAsia="Times New Roman"/>
          <w:szCs w:val="24"/>
        </w:rPr>
        <w:t xml:space="preserve">aterial </w:t>
      </w:r>
      <w:r w:rsidR="00231091">
        <w:rPr>
          <w:rFonts w:eastAsia="Times New Roman"/>
          <w:szCs w:val="24"/>
        </w:rPr>
        <w:t>q</w:t>
      </w:r>
      <w:r>
        <w:rPr>
          <w:rFonts w:eastAsia="Times New Roman"/>
          <w:szCs w:val="24"/>
        </w:rPr>
        <w:t>uestions raised in Duquesne Light’s December 13, 2013 Petition for Interlocutory Review</w:t>
      </w:r>
      <w:r w:rsidR="00CF214E">
        <w:rPr>
          <w:rFonts w:eastAsia="Times New Roman"/>
          <w:szCs w:val="24"/>
        </w:rPr>
        <w:t xml:space="preserve"> and Answer to Material Question</w:t>
      </w:r>
      <w:r w:rsidR="00D61100">
        <w:rPr>
          <w:rFonts w:eastAsia="Times New Roman"/>
          <w:szCs w:val="24"/>
        </w:rPr>
        <w:t>s</w:t>
      </w:r>
      <w:r w:rsidR="00D72830">
        <w:rPr>
          <w:rFonts w:eastAsia="Times New Roman"/>
          <w:szCs w:val="24"/>
        </w:rPr>
        <w:t xml:space="preserve"> and returning the matter to the Office of Administrative Law Judge</w:t>
      </w:r>
      <w:r>
        <w:rPr>
          <w:rFonts w:eastAsia="Times New Roman"/>
          <w:szCs w:val="24"/>
        </w:rPr>
        <w:t xml:space="preserve">.  </w:t>
      </w:r>
      <w:r w:rsidR="0022336D">
        <w:rPr>
          <w:rFonts w:eastAsia="Times New Roman"/>
          <w:szCs w:val="24"/>
        </w:rPr>
        <w:t xml:space="preserve">A Fourth Interim </w:t>
      </w:r>
      <w:r w:rsidR="00007517">
        <w:rPr>
          <w:rFonts w:eastAsia="Times New Roman"/>
          <w:szCs w:val="24"/>
        </w:rPr>
        <w:t xml:space="preserve">Order </w:t>
      </w:r>
      <w:r w:rsidR="00B279F0">
        <w:rPr>
          <w:rFonts w:eastAsia="Times New Roman"/>
          <w:szCs w:val="24"/>
        </w:rPr>
        <w:t xml:space="preserve">Admitting Joint Petition </w:t>
      </w:r>
      <w:r w:rsidR="00007517">
        <w:rPr>
          <w:rFonts w:eastAsia="Times New Roman"/>
          <w:szCs w:val="24"/>
        </w:rPr>
        <w:t>F</w:t>
      </w:r>
      <w:r w:rsidR="00B279F0">
        <w:rPr>
          <w:rFonts w:eastAsia="Times New Roman"/>
          <w:szCs w:val="24"/>
        </w:rPr>
        <w:t xml:space="preserve">or Approval </w:t>
      </w:r>
      <w:r w:rsidR="003801E9">
        <w:rPr>
          <w:rFonts w:eastAsia="Times New Roman"/>
          <w:szCs w:val="24"/>
        </w:rPr>
        <w:t>O</w:t>
      </w:r>
      <w:r w:rsidR="00B279F0">
        <w:rPr>
          <w:rFonts w:eastAsia="Times New Roman"/>
          <w:szCs w:val="24"/>
        </w:rPr>
        <w:t>f Non-Unanimous Settlemen</w:t>
      </w:r>
      <w:r w:rsidR="00D61100">
        <w:rPr>
          <w:rFonts w:eastAsia="Times New Roman"/>
          <w:szCs w:val="24"/>
        </w:rPr>
        <w:t>t</w:t>
      </w:r>
      <w:r w:rsidR="00B279F0">
        <w:rPr>
          <w:rFonts w:eastAsia="Times New Roman"/>
          <w:szCs w:val="24"/>
        </w:rPr>
        <w:t xml:space="preserve"> </w:t>
      </w:r>
      <w:r w:rsidR="00D61100">
        <w:rPr>
          <w:rFonts w:eastAsia="Times New Roman"/>
          <w:szCs w:val="24"/>
        </w:rPr>
        <w:t>I</w:t>
      </w:r>
      <w:r w:rsidR="002E55DF">
        <w:rPr>
          <w:rFonts w:eastAsia="Times New Roman"/>
          <w:szCs w:val="24"/>
        </w:rPr>
        <w:t xml:space="preserve">nto </w:t>
      </w:r>
      <w:r w:rsidR="00007517">
        <w:rPr>
          <w:rFonts w:eastAsia="Times New Roman"/>
          <w:szCs w:val="24"/>
        </w:rPr>
        <w:t>T</w:t>
      </w:r>
      <w:r w:rsidR="002E55DF">
        <w:rPr>
          <w:rFonts w:eastAsia="Times New Roman"/>
          <w:szCs w:val="24"/>
        </w:rPr>
        <w:t xml:space="preserve">he Record </w:t>
      </w:r>
      <w:r w:rsidR="00007517">
        <w:rPr>
          <w:rFonts w:eastAsia="Times New Roman"/>
          <w:szCs w:val="24"/>
        </w:rPr>
        <w:t>A</w:t>
      </w:r>
      <w:r w:rsidR="002E55DF">
        <w:rPr>
          <w:rFonts w:eastAsia="Times New Roman"/>
          <w:szCs w:val="24"/>
        </w:rPr>
        <w:t>nd</w:t>
      </w:r>
      <w:r w:rsidR="00B279F0">
        <w:rPr>
          <w:rFonts w:eastAsia="Times New Roman"/>
          <w:szCs w:val="24"/>
        </w:rPr>
        <w:t xml:space="preserve"> </w:t>
      </w:r>
      <w:r w:rsidR="0022336D">
        <w:rPr>
          <w:rFonts w:eastAsia="Times New Roman"/>
          <w:szCs w:val="24"/>
        </w:rPr>
        <w:t xml:space="preserve">Closing </w:t>
      </w:r>
      <w:r w:rsidR="00007517">
        <w:rPr>
          <w:rFonts w:eastAsia="Times New Roman"/>
          <w:szCs w:val="24"/>
        </w:rPr>
        <w:t>T</w:t>
      </w:r>
      <w:r w:rsidR="0022336D">
        <w:rPr>
          <w:rFonts w:eastAsia="Times New Roman"/>
          <w:szCs w:val="24"/>
        </w:rPr>
        <w:t>he Record was issued on February 7, 2014.</w:t>
      </w:r>
      <w:r w:rsidR="00007517">
        <w:rPr>
          <w:rStyle w:val="FootnoteReference"/>
          <w:rFonts w:eastAsia="Times New Roman"/>
          <w:szCs w:val="24"/>
        </w:rPr>
        <w:footnoteReference w:id="7"/>
      </w:r>
    </w:p>
    <w:p w:rsidR="00950DE3" w:rsidRDefault="00950DE3" w:rsidP="002A28EA">
      <w:pPr>
        <w:spacing w:after="0" w:line="360" w:lineRule="auto"/>
        <w:rPr>
          <w:rFonts w:eastAsia="Times New Roman"/>
          <w:szCs w:val="24"/>
        </w:rPr>
      </w:pPr>
    </w:p>
    <w:p w:rsidR="00950DE3" w:rsidRDefault="00950DE3" w:rsidP="00A953CF">
      <w:pPr>
        <w:spacing w:after="0" w:line="360" w:lineRule="auto"/>
        <w:rPr>
          <w:szCs w:val="24"/>
        </w:rPr>
      </w:pPr>
      <w:r>
        <w:rPr>
          <w:szCs w:val="24"/>
        </w:rPr>
        <w:tab/>
      </w:r>
      <w:r>
        <w:rPr>
          <w:szCs w:val="24"/>
        </w:rPr>
        <w:tab/>
        <w:t xml:space="preserve">After further consideration of the complexity of the Rider No. 18 issue, on March 22, 2014, via email, I informed counsel for the active parties that I would consider a motion from Duquesne  Light to reconsider an earlier motion to sever the Rider No. 18 issue, if so filed by March 25, 2014.  Any response or objection to the motion for reconsideration from the other </w:t>
      </w:r>
      <w:r>
        <w:rPr>
          <w:szCs w:val="24"/>
        </w:rPr>
        <w:lastRenderedPageBreak/>
        <w:t>parties would be due by March 26, 2014.</w:t>
      </w:r>
      <w:r w:rsidR="00A953CF">
        <w:rPr>
          <w:szCs w:val="24"/>
        </w:rPr>
        <w:t xml:space="preserve">  The March 22, 2014 email, effectively, reopened the record.</w:t>
      </w:r>
    </w:p>
    <w:p w:rsidR="00A953CF" w:rsidRDefault="00A953CF" w:rsidP="00A953CF">
      <w:pPr>
        <w:spacing w:after="0" w:line="360" w:lineRule="auto"/>
        <w:rPr>
          <w:szCs w:val="24"/>
        </w:rPr>
      </w:pPr>
    </w:p>
    <w:p w:rsidR="00A953CF" w:rsidRDefault="00A953CF" w:rsidP="00A953CF">
      <w:pPr>
        <w:spacing w:after="0" w:line="360" w:lineRule="auto"/>
      </w:pPr>
      <w:r>
        <w:tab/>
      </w:r>
      <w:r>
        <w:tab/>
        <w:t>The Motion of Duquesne Light Company to Sever From This Base Rate Proceeding the Rider No. 18 Portions of The Complaint Filed by NRG Power Midwest LP, NRG Energy Center Pittsburgh LLC and Reliant Energy Northeast LLC (Motion to Sever) was filed on March 25, 2014.</w:t>
      </w:r>
    </w:p>
    <w:p w:rsidR="00A953CF" w:rsidRDefault="00A953CF" w:rsidP="00A953CF">
      <w:pPr>
        <w:spacing w:after="0" w:line="360" w:lineRule="auto"/>
      </w:pPr>
      <w:r>
        <w:t xml:space="preserve">  </w:t>
      </w:r>
    </w:p>
    <w:p w:rsidR="00A953CF" w:rsidRDefault="00A953CF" w:rsidP="00A953CF">
      <w:pPr>
        <w:spacing w:after="0" w:line="360" w:lineRule="auto"/>
      </w:pPr>
      <w:r>
        <w:tab/>
      </w:r>
      <w:r>
        <w:tab/>
        <w:t xml:space="preserve">On March 26, 2014, NRG filed an answer opposing severance of the issues relating to Rider No. 18 into a separate complaint proceeding and, in part, suggested that the investigation be held open for “a subsequent recommended decision on the Rider No. 18 issues by a date certain and that the Commission itself </w:t>
      </w:r>
      <w:r w:rsidR="00BF380F">
        <w:t>to t</w:t>
      </w:r>
      <w:r>
        <w:t>ake action by a date certain.”  NRG’s Answer to the Motion to Sever of Duquesne Light Company, pp. 1-3.</w:t>
      </w:r>
    </w:p>
    <w:p w:rsidR="00A953CF" w:rsidRDefault="00A953CF" w:rsidP="00A953CF">
      <w:pPr>
        <w:spacing w:after="0" w:line="360" w:lineRule="auto"/>
      </w:pPr>
    </w:p>
    <w:p w:rsidR="00A953CF" w:rsidRDefault="00A953CF" w:rsidP="00A953CF">
      <w:pPr>
        <w:spacing w:after="0" w:line="360" w:lineRule="auto"/>
      </w:pPr>
      <w:r>
        <w:tab/>
      </w:r>
      <w:r>
        <w:tab/>
        <w:t>Also on March 26, 2014, Beaver Falls Municipal Authority (Beaver Falls) filed an answer to the Motion to Sever.  Beaver Falls does not object to the granting of the motion. However, Beaver Falls respectfully requests that a procedural schedule be maintained that would “envision Commission action on this case by the Commission Public Meeting of June 5, 2014, with reasonable time periods made available for any necessary exceptions or replies to exceptions.”  Beaver Falls’ Answer to Motion to Sever, pp. 2-3.</w:t>
      </w:r>
    </w:p>
    <w:p w:rsidR="00A953CF" w:rsidRDefault="00A953CF" w:rsidP="00A953CF">
      <w:pPr>
        <w:spacing w:after="0" w:line="360" w:lineRule="auto"/>
      </w:pPr>
    </w:p>
    <w:p w:rsidR="00A953CF" w:rsidRDefault="00A953CF" w:rsidP="00A953CF">
      <w:pPr>
        <w:spacing w:after="0" w:line="360" w:lineRule="auto"/>
      </w:pPr>
      <w:r>
        <w:tab/>
      </w:r>
      <w:r>
        <w:tab/>
        <w:t>The other active parties to this proceeding did not elect to file a response to the Motion to Sever by the noon deadline on March 26, 2014.</w:t>
      </w:r>
      <w:r>
        <w:tab/>
      </w:r>
    </w:p>
    <w:p w:rsidR="00A953CF" w:rsidRDefault="00A953CF" w:rsidP="00A953CF">
      <w:pPr>
        <w:spacing w:after="0" w:line="360" w:lineRule="auto"/>
      </w:pPr>
    </w:p>
    <w:p w:rsidR="00A953CF" w:rsidRDefault="00A953CF" w:rsidP="00A953CF">
      <w:pPr>
        <w:spacing w:after="0" w:line="360" w:lineRule="auto"/>
        <w:rPr>
          <w:szCs w:val="24"/>
        </w:rPr>
      </w:pPr>
      <w:r w:rsidRPr="00CA4DBB">
        <w:rPr>
          <w:szCs w:val="24"/>
        </w:rPr>
        <w:tab/>
      </w:r>
      <w:r w:rsidRPr="00CA4DBB">
        <w:rPr>
          <w:szCs w:val="24"/>
        </w:rPr>
        <w:tab/>
        <w:t xml:space="preserve">On March 27, 2014, I </w:t>
      </w:r>
      <w:r>
        <w:rPr>
          <w:szCs w:val="24"/>
        </w:rPr>
        <w:t xml:space="preserve">issued </w:t>
      </w:r>
      <w:r w:rsidRPr="00CA4DBB">
        <w:rPr>
          <w:szCs w:val="24"/>
        </w:rPr>
        <w:t xml:space="preserve">the </w:t>
      </w:r>
      <w:r>
        <w:rPr>
          <w:szCs w:val="24"/>
        </w:rPr>
        <w:t>F</w:t>
      </w:r>
      <w:r w:rsidRPr="00CA4DBB">
        <w:rPr>
          <w:szCs w:val="24"/>
        </w:rPr>
        <w:t xml:space="preserve">ifth </w:t>
      </w:r>
      <w:r>
        <w:rPr>
          <w:szCs w:val="24"/>
        </w:rPr>
        <w:t>I</w:t>
      </w:r>
      <w:r w:rsidRPr="00CA4DBB">
        <w:rPr>
          <w:szCs w:val="24"/>
        </w:rPr>
        <w:t xml:space="preserve">nterim </w:t>
      </w:r>
      <w:r>
        <w:rPr>
          <w:szCs w:val="24"/>
        </w:rPr>
        <w:t>O</w:t>
      </w:r>
      <w:r w:rsidRPr="00CA4DBB">
        <w:rPr>
          <w:szCs w:val="24"/>
        </w:rPr>
        <w:t xml:space="preserve">rder </w:t>
      </w:r>
      <w:r>
        <w:rPr>
          <w:szCs w:val="24"/>
        </w:rPr>
        <w:t>R</w:t>
      </w:r>
      <w:r w:rsidRPr="00CA4DBB">
        <w:rPr>
          <w:szCs w:val="24"/>
        </w:rPr>
        <w:t xml:space="preserve">eopening the </w:t>
      </w:r>
      <w:r>
        <w:rPr>
          <w:szCs w:val="24"/>
        </w:rPr>
        <w:t>R</w:t>
      </w:r>
      <w:r w:rsidRPr="00CA4DBB">
        <w:rPr>
          <w:szCs w:val="24"/>
        </w:rPr>
        <w:t xml:space="preserve">ecord to </w:t>
      </w:r>
      <w:r>
        <w:rPr>
          <w:szCs w:val="24"/>
        </w:rPr>
        <w:t>R</w:t>
      </w:r>
      <w:r w:rsidRPr="00CA4DBB">
        <w:rPr>
          <w:szCs w:val="24"/>
        </w:rPr>
        <w:t xml:space="preserve">econsider </w:t>
      </w:r>
      <w:r>
        <w:rPr>
          <w:szCs w:val="24"/>
        </w:rPr>
        <w:t>R</w:t>
      </w:r>
      <w:r w:rsidRPr="00CA4DBB">
        <w:rPr>
          <w:szCs w:val="24"/>
        </w:rPr>
        <w:t xml:space="preserve">espondent </w:t>
      </w:r>
      <w:r>
        <w:rPr>
          <w:szCs w:val="24"/>
        </w:rPr>
        <w:t>D</w:t>
      </w:r>
      <w:r w:rsidRPr="00CA4DBB">
        <w:rPr>
          <w:szCs w:val="24"/>
        </w:rPr>
        <w:t xml:space="preserve">uquesne </w:t>
      </w:r>
      <w:r>
        <w:rPr>
          <w:szCs w:val="24"/>
        </w:rPr>
        <w:t>L</w:t>
      </w:r>
      <w:r w:rsidRPr="00CA4DBB">
        <w:rPr>
          <w:szCs w:val="24"/>
        </w:rPr>
        <w:t xml:space="preserve">ight </w:t>
      </w:r>
      <w:r>
        <w:rPr>
          <w:szCs w:val="24"/>
        </w:rPr>
        <w:t>C</w:t>
      </w:r>
      <w:r w:rsidRPr="00CA4DBB">
        <w:rPr>
          <w:szCs w:val="24"/>
        </w:rPr>
        <w:t xml:space="preserve">ompany’s </w:t>
      </w:r>
      <w:r>
        <w:rPr>
          <w:szCs w:val="24"/>
        </w:rPr>
        <w:t>M</w:t>
      </w:r>
      <w:r w:rsidRPr="00CA4DBB">
        <w:rPr>
          <w:szCs w:val="24"/>
        </w:rPr>
        <w:t xml:space="preserve">otion to </w:t>
      </w:r>
      <w:r>
        <w:rPr>
          <w:szCs w:val="24"/>
        </w:rPr>
        <w:t>S</w:t>
      </w:r>
      <w:r w:rsidRPr="00CA4DBB">
        <w:rPr>
          <w:szCs w:val="24"/>
        </w:rPr>
        <w:t xml:space="preserve">ever </w:t>
      </w:r>
      <w:r>
        <w:rPr>
          <w:szCs w:val="24"/>
        </w:rPr>
        <w:t>F</w:t>
      </w:r>
      <w:r w:rsidRPr="00CA4DBB">
        <w:rPr>
          <w:szCs w:val="24"/>
        </w:rPr>
        <w:t xml:space="preserve">rom </w:t>
      </w:r>
      <w:r>
        <w:rPr>
          <w:szCs w:val="24"/>
        </w:rPr>
        <w:t>T</w:t>
      </w:r>
      <w:r w:rsidRPr="00CA4DBB">
        <w:rPr>
          <w:szCs w:val="24"/>
        </w:rPr>
        <w:t xml:space="preserve">his </w:t>
      </w:r>
      <w:r>
        <w:rPr>
          <w:szCs w:val="24"/>
        </w:rPr>
        <w:t>B</w:t>
      </w:r>
      <w:r w:rsidRPr="00CA4DBB">
        <w:rPr>
          <w:szCs w:val="24"/>
        </w:rPr>
        <w:t xml:space="preserve">ase </w:t>
      </w:r>
      <w:r>
        <w:rPr>
          <w:szCs w:val="24"/>
        </w:rPr>
        <w:t>R</w:t>
      </w:r>
      <w:r w:rsidRPr="00CA4DBB">
        <w:rPr>
          <w:szCs w:val="24"/>
        </w:rPr>
        <w:t xml:space="preserve">ate </w:t>
      </w:r>
      <w:r>
        <w:rPr>
          <w:szCs w:val="24"/>
        </w:rPr>
        <w:t>P</w:t>
      </w:r>
      <w:r w:rsidRPr="00CA4DBB">
        <w:rPr>
          <w:szCs w:val="24"/>
        </w:rPr>
        <w:t xml:space="preserve">roceeding </w:t>
      </w:r>
      <w:r>
        <w:rPr>
          <w:szCs w:val="24"/>
        </w:rPr>
        <w:t>C</w:t>
      </w:r>
      <w:r w:rsidRPr="00CA4DBB">
        <w:rPr>
          <w:szCs w:val="24"/>
        </w:rPr>
        <w:t xml:space="preserve">omplainants </w:t>
      </w:r>
      <w:r>
        <w:rPr>
          <w:szCs w:val="24"/>
        </w:rPr>
        <w:t>NRG C</w:t>
      </w:r>
      <w:r w:rsidRPr="00CA4DBB">
        <w:rPr>
          <w:szCs w:val="24"/>
        </w:rPr>
        <w:t xml:space="preserve">ompanies’ </w:t>
      </w:r>
      <w:r>
        <w:rPr>
          <w:szCs w:val="24"/>
        </w:rPr>
        <w:t>R</w:t>
      </w:r>
      <w:r w:rsidRPr="00CA4DBB">
        <w:rPr>
          <w:szCs w:val="24"/>
        </w:rPr>
        <w:t xml:space="preserve">ider </w:t>
      </w:r>
      <w:r>
        <w:rPr>
          <w:szCs w:val="24"/>
        </w:rPr>
        <w:t>N</w:t>
      </w:r>
      <w:r w:rsidRPr="00CA4DBB">
        <w:rPr>
          <w:szCs w:val="24"/>
        </w:rPr>
        <w:t xml:space="preserve">o. 18 </w:t>
      </w:r>
      <w:r>
        <w:rPr>
          <w:szCs w:val="24"/>
        </w:rPr>
        <w:t>I</w:t>
      </w:r>
      <w:r w:rsidRPr="00CA4DBB">
        <w:rPr>
          <w:szCs w:val="24"/>
        </w:rPr>
        <w:t>ssues</w:t>
      </w:r>
      <w:r>
        <w:rPr>
          <w:szCs w:val="24"/>
        </w:rPr>
        <w:t xml:space="preserve"> and A</w:t>
      </w:r>
      <w:r w:rsidRPr="00CA4DBB">
        <w:rPr>
          <w:szCs w:val="24"/>
        </w:rPr>
        <w:t xml:space="preserve">nswers </w:t>
      </w:r>
      <w:r>
        <w:rPr>
          <w:szCs w:val="24"/>
        </w:rPr>
        <w:t>T</w:t>
      </w:r>
      <w:r w:rsidRPr="00CA4DBB">
        <w:rPr>
          <w:szCs w:val="24"/>
        </w:rPr>
        <w:t xml:space="preserve">hereto and </w:t>
      </w:r>
      <w:r>
        <w:rPr>
          <w:szCs w:val="24"/>
        </w:rPr>
        <w:br/>
        <w:t>G</w:t>
      </w:r>
      <w:r w:rsidRPr="00CA4DBB">
        <w:rPr>
          <w:szCs w:val="24"/>
        </w:rPr>
        <w:t xml:space="preserve">ranting the </w:t>
      </w:r>
      <w:r>
        <w:rPr>
          <w:szCs w:val="24"/>
        </w:rPr>
        <w:t>M</w:t>
      </w:r>
      <w:r w:rsidRPr="00CA4DBB">
        <w:rPr>
          <w:szCs w:val="24"/>
        </w:rPr>
        <w:t xml:space="preserve">otion to </w:t>
      </w:r>
      <w:r>
        <w:rPr>
          <w:szCs w:val="24"/>
        </w:rPr>
        <w:t>S</w:t>
      </w:r>
      <w:r w:rsidRPr="00CA4DBB">
        <w:rPr>
          <w:szCs w:val="24"/>
        </w:rPr>
        <w:t>ever</w:t>
      </w:r>
      <w:r>
        <w:rPr>
          <w:szCs w:val="24"/>
        </w:rPr>
        <w:t xml:space="preserve">.  </w:t>
      </w:r>
    </w:p>
    <w:p w:rsidR="00A953CF" w:rsidRDefault="00A953CF" w:rsidP="00A953CF">
      <w:pPr>
        <w:spacing w:after="0" w:line="360" w:lineRule="auto"/>
        <w:rPr>
          <w:szCs w:val="24"/>
        </w:rPr>
      </w:pPr>
    </w:p>
    <w:p w:rsidR="00A953CF" w:rsidRDefault="00A953CF" w:rsidP="00A953CF">
      <w:pPr>
        <w:spacing w:after="0" w:line="360" w:lineRule="auto"/>
        <w:ind w:firstLine="1440"/>
      </w:pPr>
      <w:r>
        <w:rPr>
          <w:szCs w:val="24"/>
        </w:rPr>
        <w:t>The Fifth Interim Order also stated t</w:t>
      </w:r>
      <w:r w:rsidRPr="00CA4DBB">
        <w:rPr>
          <w:rFonts w:eastAsia="Times New Roman"/>
          <w:szCs w:val="24"/>
        </w:rPr>
        <w:t>hat in the base rate recommended decision,</w:t>
      </w:r>
      <w:r>
        <w:rPr>
          <w:rFonts w:eastAsia="Times New Roman"/>
          <w:szCs w:val="24"/>
        </w:rPr>
        <w:t xml:space="preserve"> </w:t>
      </w:r>
      <w:r w:rsidRPr="00CA4DBB">
        <w:rPr>
          <w:rFonts w:eastAsia="Times New Roman"/>
          <w:szCs w:val="24"/>
        </w:rPr>
        <w:t xml:space="preserve">the Rider No. 18 portion of the Complaint of </w:t>
      </w:r>
      <w:r w:rsidRPr="00CA4DBB">
        <w:t xml:space="preserve">NRG </w:t>
      </w:r>
      <w:r>
        <w:t>at Docket No</w:t>
      </w:r>
      <w:r w:rsidRPr="00CA4DBB">
        <w:t xml:space="preserve">. C-2013-2390562 </w:t>
      </w:r>
      <w:r>
        <w:t xml:space="preserve">would be </w:t>
      </w:r>
      <w:r>
        <w:lastRenderedPageBreak/>
        <w:t xml:space="preserve">recommended to the Commission for resolution in </w:t>
      </w:r>
      <w:r w:rsidRPr="00CA4DBB">
        <w:t>a separate recommended decision</w:t>
      </w:r>
      <w:r>
        <w:t>.  The Fifth Interim Order further stated t</w:t>
      </w:r>
      <w:r w:rsidRPr="00CA4DBB">
        <w:rPr>
          <w:rFonts w:eastAsia="Times New Roman"/>
          <w:szCs w:val="24"/>
        </w:rPr>
        <w:t xml:space="preserve">hat in the base rate recommended decision it </w:t>
      </w:r>
      <w:r>
        <w:rPr>
          <w:rFonts w:eastAsia="Times New Roman"/>
          <w:szCs w:val="24"/>
        </w:rPr>
        <w:t xml:space="preserve">would be </w:t>
      </w:r>
      <w:r w:rsidRPr="00CA4DBB">
        <w:rPr>
          <w:rFonts w:eastAsia="Times New Roman"/>
          <w:szCs w:val="24"/>
        </w:rPr>
        <w:t xml:space="preserve">recommended to the Commission that there is a sufficient record to resolve in a separate recommended decision the Rider No. 18 portion of the Complaint of </w:t>
      </w:r>
      <w:r w:rsidRPr="00CA4DBB">
        <w:t>NRG at Docket No. C</w:t>
      </w:r>
      <w:r>
        <w:noBreakHyphen/>
      </w:r>
      <w:r w:rsidRPr="00CA4DBB">
        <w:t>2013-2390562.</w:t>
      </w:r>
    </w:p>
    <w:p w:rsidR="00A953CF" w:rsidRDefault="00A953CF" w:rsidP="00A953CF">
      <w:pPr>
        <w:spacing w:after="0" w:line="360" w:lineRule="auto"/>
        <w:ind w:firstLine="1440"/>
      </w:pPr>
    </w:p>
    <w:p w:rsidR="00A953CF" w:rsidRDefault="00A953CF" w:rsidP="00A953CF">
      <w:pPr>
        <w:spacing w:after="0" w:line="360" w:lineRule="auto"/>
        <w:ind w:firstLine="1440"/>
      </w:pPr>
      <w:r>
        <w:t>The Fifth Interim Order also reclosed the record on March 27, 2014.</w:t>
      </w:r>
    </w:p>
    <w:p w:rsidR="00A953CF" w:rsidRDefault="00A953CF" w:rsidP="00A953CF">
      <w:pPr>
        <w:spacing w:after="0" w:line="360" w:lineRule="auto"/>
        <w:rPr>
          <w:szCs w:val="24"/>
        </w:rPr>
      </w:pPr>
    </w:p>
    <w:p w:rsidR="00950DE3" w:rsidRDefault="00950DE3" w:rsidP="00A953CF">
      <w:pPr>
        <w:spacing w:after="0" w:line="360" w:lineRule="auto"/>
        <w:rPr>
          <w:szCs w:val="24"/>
        </w:rPr>
      </w:pPr>
      <w:r>
        <w:rPr>
          <w:szCs w:val="24"/>
        </w:rPr>
        <w:tab/>
      </w:r>
      <w:r>
        <w:rPr>
          <w:szCs w:val="24"/>
        </w:rPr>
        <w:tab/>
        <w:t xml:space="preserve">However in this Recommended Decision, NRG Companies’ formal complaint and issues are referenced and mentioned below for the purpose of clarity. </w:t>
      </w:r>
    </w:p>
    <w:p w:rsidR="00950DE3" w:rsidRDefault="00950DE3" w:rsidP="0019412A">
      <w:pPr>
        <w:spacing w:after="0" w:line="360" w:lineRule="auto"/>
        <w:rPr>
          <w:rFonts w:eastAsia="Times New Roman"/>
          <w:szCs w:val="24"/>
        </w:rPr>
      </w:pPr>
    </w:p>
    <w:p w:rsidR="00997186" w:rsidRDefault="00997186" w:rsidP="0019412A">
      <w:pPr>
        <w:spacing w:after="0" w:line="360" w:lineRule="auto"/>
        <w:jc w:val="center"/>
        <w:rPr>
          <w:szCs w:val="24"/>
          <w:u w:val="single"/>
        </w:rPr>
      </w:pPr>
      <w:r>
        <w:rPr>
          <w:szCs w:val="24"/>
        </w:rPr>
        <w:t>II.</w:t>
      </w:r>
      <w:r>
        <w:rPr>
          <w:szCs w:val="24"/>
        </w:rPr>
        <w:tab/>
      </w:r>
      <w:r w:rsidRPr="00042096">
        <w:rPr>
          <w:szCs w:val="24"/>
          <w:u w:val="single"/>
        </w:rPr>
        <w:t>DESCRIPTION AND TERMS OF NON-UNANIMOUS SETTLEMENT</w:t>
      </w:r>
    </w:p>
    <w:p w:rsidR="00D979F9" w:rsidRDefault="00D979F9" w:rsidP="0019412A">
      <w:pPr>
        <w:spacing w:after="0" w:line="360" w:lineRule="auto"/>
        <w:rPr>
          <w:szCs w:val="24"/>
        </w:rPr>
      </w:pPr>
    </w:p>
    <w:p w:rsidR="00C758E6" w:rsidRDefault="00C758E6" w:rsidP="0019412A">
      <w:pPr>
        <w:spacing w:after="0" w:line="360" w:lineRule="auto"/>
        <w:rPr>
          <w:rFonts w:eastAsia="Times New Roman"/>
          <w:szCs w:val="24"/>
        </w:rPr>
      </w:pPr>
      <w:r>
        <w:rPr>
          <w:szCs w:val="24"/>
        </w:rPr>
        <w:tab/>
      </w:r>
      <w:r>
        <w:rPr>
          <w:szCs w:val="24"/>
        </w:rPr>
        <w:tab/>
        <w:t>The nineteen-page Settlement includes</w:t>
      </w:r>
      <w:r w:rsidR="00237270">
        <w:rPr>
          <w:szCs w:val="24"/>
        </w:rPr>
        <w:t xml:space="preserve"> </w:t>
      </w:r>
      <w:r w:rsidR="00237270">
        <w:rPr>
          <w:rFonts w:eastAsia="Times New Roman"/>
          <w:szCs w:val="24"/>
        </w:rPr>
        <w:t xml:space="preserve">Appendix A, the proposed schedule of rates; Appendix B, summaries of the proof of revenue calculations and distribution revenue calculations; and Appendices C through J, the respective </w:t>
      </w:r>
      <w:r w:rsidR="00FE23D6">
        <w:rPr>
          <w:rFonts w:eastAsia="Times New Roman"/>
          <w:szCs w:val="24"/>
        </w:rPr>
        <w:t>Joint Petitioners</w:t>
      </w:r>
      <w:r w:rsidR="00237270">
        <w:rPr>
          <w:rFonts w:eastAsia="Times New Roman"/>
          <w:szCs w:val="24"/>
        </w:rPr>
        <w:t xml:space="preserve">’ </w:t>
      </w:r>
      <w:r w:rsidR="00630708">
        <w:rPr>
          <w:rFonts w:eastAsia="Times New Roman"/>
          <w:szCs w:val="24"/>
        </w:rPr>
        <w:t>S</w:t>
      </w:r>
      <w:r w:rsidR="00237270">
        <w:rPr>
          <w:rFonts w:eastAsia="Times New Roman"/>
          <w:szCs w:val="24"/>
        </w:rPr>
        <w:t xml:space="preserve">tatements in </w:t>
      </w:r>
      <w:r w:rsidR="00630708">
        <w:rPr>
          <w:rFonts w:eastAsia="Times New Roman"/>
          <w:szCs w:val="24"/>
        </w:rPr>
        <w:t>S</w:t>
      </w:r>
      <w:r w:rsidR="00237270">
        <w:rPr>
          <w:rFonts w:eastAsia="Times New Roman"/>
          <w:szCs w:val="24"/>
        </w:rPr>
        <w:t xml:space="preserve">upport of the </w:t>
      </w:r>
      <w:r w:rsidR="00007517">
        <w:rPr>
          <w:rFonts w:eastAsia="Times New Roman"/>
          <w:szCs w:val="24"/>
        </w:rPr>
        <w:t>Settlement</w:t>
      </w:r>
      <w:r w:rsidR="00237270">
        <w:rPr>
          <w:rFonts w:eastAsia="Times New Roman"/>
          <w:szCs w:val="24"/>
        </w:rPr>
        <w:t>.</w:t>
      </w:r>
      <w:r w:rsidR="00237270" w:rsidRPr="00237270">
        <w:rPr>
          <w:rStyle w:val="FootnoteReference"/>
          <w:rFonts w:eastAsia="Times New Roman"/>
          <w:szCs w:val="24"/>
        </w:rPr>
        <w:t xml:space="preserve"> </w:t>
      </w:r>
      <w:r w:rsidR="00CF214E">
        <w:rPr>
          <w:rFonts w:eastAsia="Times New Roman"/>
          <w:szCs w:val="24"/>
        </w:rPr>
        <w:t xml:space="preserve"> </w:t>
      </w:r>
      <w:r w:rsidR="000461F5">
        <w:rPr>
          <w:rFonts w:eastAsia="Times New Roman"/>
          <w:szCs w:val="24"/>
        </w:rPr>
        <w:t xml:space="preserve">The Joint Petitioners submit that the Non-Unanimous Settlement is a “black box.” </w:t>
      </w:r>
      <w:r w:rsidR="0003796F">
        <w:rPr>
          <w:rFonts w:eastAsia="Times New Roman"/>
          <w:szCs w:val="24"/>
        </w:rPr>
        <w:t xml:space="preserve"> Joint Petition (JP) ¶</w:t>
      </w:r>
      <w:r w:rsidR="00902FBC">
        <w:rPr>
          <w:rFonts w:eastAsia="Times New Roman"/>
          <w:szCs w:val="24"/>
        </w:rPr>
        <w:t xml:space="preserve"> </w:t>
      </w:r>
      <w:r w:rsidR="0003796F">
        <w:rPr>
          <w:rFonts w:eastAsia="Times New Roman"/>
          <w:szCs w:val="24"/>
        </w:rPr>
        <w:t xml:space="preserve">35, p. 11.  </w:t>
      </w:r>
      <w:r w:rsidR="000461F5">
        <w:rPr>
          <w:rFonts w:eastAsia="Times New Roman"/>
          <w:szCs w:val="24"/>
        </w:rPr>
        <w:t>In other words, the</w:t>
      </w:r>
      <w:r w:rsidR="00042195">
        <w:rPr>
          <w:rFonts w:eastAsia="Times New Roman"/>
          <w:szCs w:val="24"/>
        </w:rPr>
        <w:t xml:space="preserve"> Settling Parties </w:t>
      </w:r>
      <w:r w:rsidR="000461F5">
        <w:rPr>
          <w:rFonts w:eastAsia="Times New Roman"/>
          <w:szCs w:val="24"/>
        </w:rPr>
        <w:t xml:space="preserve">have not </w:t>
      </w:r>
      <w:r w:rsidR="000461F5" w:rsidRPr="00220FF3">
        <w:t>negotiated each and every revenue and expense line item</w:t>
      </w:r>
      <w:r w:rsidR="000461F5">
        <w:t xml:space="preserve">. </w:t>
      </w:r>
      <w:r w:rsidR="00630708">
        <w:t xml:space="preserve"> </w:t>
      </w:r>
      <w:r w:rsidR="000461F5">
        <w:t xml:space="preserve">Instead they were able to </w:t>
      </w:r>
      <w:r w:rsidR="000461F5" w:rsidRPr="00220FF3">
        <w:t xml:space="preserve">agree upon a final revenue number based on their </w:t>
      </w:r>
      <w:r w:rsidR="000461F5">
        <w:t xml:space="preserve">respective </w:t>
      </w:r>
      <w:r w:rsidR="000461F5" w:rsidRPr="00220FF3">
        <w:t>revenue and expense analysis.</w:t>
      </w:r>
      <w:r w:rsidR="000461F5">
        <w:t xml:space="preserve"> </w:t>
      </w:r>
      <w:r w:rsidR="00D72830">
        <w:t xml:space="preserve"> </w:t>
      </w:r>
      <w:r w:rsidR="00CF214E">
        <w:rPr>
          <w:rFonts w:eastAsia="Times New Roman"/>
          <w:szCs w:val="24"/>
        </w:rPr>
        <w:t xml:space="preserve">The essential terms of the </w:t>
      </w:r>
      <w:r w:rsidR="00AD1639">
        <w:rPr>
          <w:rFonts w:eastAsia="Times New Roman"/>
          <w:szCs w:val="24"/>
        </w:rPr>
        <w:t>Non-Unanimous Settlement</w:t>
      </w:r>
      <w:r w:rsidR="0003796F">
        <w:rPr>
          <w:rFonts w:eastAsia="Times New Roman"/>
          <w:szCs w:val="24"/>
        </w:rPr>
        <w:t xml:space="preserve">, set forth in Part II of the Joint Petition, </w:t>
      </w:r>
      <w:r w:rsidR="0003796F" w:rsidRPr="00002597">
        <w:rPr>
          <w:rFonts w:eastAsia="Times New Roman"/>
          <w:i/>
          <w:szCs w:val="24"/>
        </w:rPr>
        <w:t>Settlement Terms and Conditions</w:t>
      </w:r>
      <w:r w:rsidR="0003796F" w:rsidRPr="0003796F">
        <w:rPr>
          <w:rFonts w:eastAsia="Times New Roman"/>
          <w:szCs w:val="24"/>
        </w:rPr>
        <w:t>,</w:t>
      </w:r>
      <w:r w:rsidR="0003796F">
        <w:rPr>
          <w:rFonts w:eastAsia="Times New Roman"/>
          <w:i/>
          <w:szCs w:val="24"/>
        </w:rPr>
        <w:t xml:space="preserve"> </w:t>
      </w:r>
      <w:r w:rsidR="00FE23D6">
        <w:rPr>
          <w:rFonts w:eastAsia="Times New Roman"/>
          <w:szCs w:val="24"/>
        </w:rPr>
        <w:t>are recited below</w:t>
      </w:r>
      <w:r w:rsidR="00AD1639">
        <w:rPr>
          <w:rFonts w:eastAsia="Times New Roman"/>
          <w:szCs w:val="24"/>
        </w:rPr>
        <w:t>.</w:t>
      </w:r>
    </w:p>
    <w:p w:rsidR="00AD1639" w:rsidRDefault="00AD1639" w:rsidP="00B85CE0">
      <w:pPr>
        <w:spacing w:after="0" w:line="360" w:lineRule="auto"/>
        <w:rPr>
          <w:rFonts w:eastAsia="Times New Roman"/>
          <w:szCs w:val="24"/>
        </w:rPr>
      </w:pPr>
    </w:p>
    <w:p w:rsidR="00AD1639" w:rsidRDefault="00AD1639" w:rsidP="00B85CE0">
      <w:pPr>
        <w:spacing w:after="0" w:line="360" w:lineRule="auto"/>
        <w:rPr>
          <w:rFonts w:eastAsia="Times New Roman"/>
          <w:szCs w:val="24"/>
          <w:u w:val="single"/>
        </w:rPr>
      </w:pPr>
      <w:r>
        <w:rPr>
          <w:rFonts w:eastAsia="Times New Roman"/>
          <w:szCs w:val="24"/>
        </w:rPr>
        <w:tab/>
      </w:r>
      <w:r w:rsidR="00630708">
        <w:rPr>
          <w:rFonts w:eastAsia="Times New Roman"/>
          <w:szCs w:val="24"/>
        </w:rPr>
        <w:tab/>
      </w:r>
      <w:r>
        <w:rPr>
          <w:rFonts w:eastAsia="Times New Roman"/>
          <w:szCs w:val="24"/>
        </w:rPr>
        <w:t>A.</w:t>
      </w:r>
      <w:r>
        <w:rPr>
          <w:rFonts w:eastAsia="Times New Roman"/>
          <w:szCs w:val="24"/>
        </w:rPr>
        <w:tab/>
      </w:r>
      <w:r w:rsidR="0003796F" w:rsidRPr="00AD1639">
        <w:rPr>
          <w:rFonts w:eastAsia="Times New Roman"/>
          <w:szCs w:val="24"/>
          <w:u w:val="single"/>
        </w:rPr>
        <w:t>REVENUE REQUIREMENT</w:t>
      </w:r>
    </w:p>
    <w:p w:rsidR="00AD1639" w:rsidRDefault="00AD1639" w:rsidP="002F745C">
      <w:pPr>
        <w:spacing w:after="0" w:line="360" w:lineRule="auto"/>
        <w:rPr>
          <w:rFonts w:eastAsia="Times New Roman"/>
          <w:szCs w:val="24"/>
        </w:rPr>
      </w:pPr>
    </w:p>
    <w:p w:rsidR="00D72830" w:rsidRDefault="00AD1639" w:rsidP="002F745C">
      <w:pPr>
        <w:spacing w:after="0" w:line="240" w:lineRule="auto"/>
        <w:ind w:left="1440" w:right="1440"/>
        <w:rPr>
          <w:rFonts w:eastAsia="Times New Roman"/>
          <w:szCs w:val="24"/>
        </w:rPr>
      </w:pPr>
      <w:r>
        <w:rPr>
          <w:rFonts w:eastAsia="Times New Roman"/>
          <w:szCs w:val="24"/>
        </w:rPr>
        <w:tab/>
      </w:r>
      <w:r w:rsidR="00C6540E">
        <w:rPr>
          <w:rFonts w:eastAsia="Times New Roman"/>
          <w:szCs w:val="24"/>
        </w:rPr>
        <w:t>28.</w:t>
      </w:r>
      <w:r w:rsidR="00C6540E">
        <w:rPr>
          <w:rFonts w:eastAsia="Times New Roman"/>
          <w:szCs w:val="24"/>
        </w:rPr>
        <w:tab/>
      </w:r>
      <w:r>
        <w:rPr>
          <w:rFonts w:eastAsia="Times New Roman"/>
          <w:szCs w:val="24"/>
        </w:rPr>
        <w:t>Duquesne Light will be permitted to increase rates by amounts designed to pro</w:t>
      </w:r>
      <w:r w:rsidR="002E55DF">
        <w:rPr>
          <w:rFonts w:eastAsia="Times New Roman"/>
          <w:szCs w:val="24"/>
        </w:rPr>
        <w:t>duce</w:t>
      </w:r>
      <w:r>
        <w:rPr>
          <w:rFonts w:eastAsia="Times New Roman"/>
          <w:szCs w:val="24"/>
        </w:rPr>
        <w:t xml:space="preserve"> an increase in distribution rev</w:t>
      </w:r>
      <w:r w:rsidR="00B279F0">
        <w:rPr>
          <w:rFonts w:eastAsia="Times New Roman"/>
          <w:szCs w:val="24"/>
        </w:rPr>
        <w:t>e</w:t>
      </w:r>
      <w:r>
        <w:rPr>
          <w:rFonts w:eastAsia="Times New Roman"/>
          <w:szCs w:val="24"/>
        </w:rPr>
        <w:t>n</w:t>
      </w:r>
      <w:r w:rsidR="00B279F0">
        <w:rPr>
          <w:rFonts w:eastAsia="Times New Roman"/>
          <w:szCs w:val="24"/>
        </w:rPr>
        <w:t>u</w:t>
      </w:r>
      <w:r>
        <w:rPr>
          <w:rFonts w:eastAsia="Times New Roman"/>
          <w:szCs w:val="24"/>
        </w:rPr>
        <w:t>es of $48 million</w:t>
      </w:r>
      <w:r w:rsidR="00B279F0">
        <w:rPr>
          <w:rFonts w:eastAsia="Times New Roman"/>
          <w:szCs w:val="24"/>
        </w:rPr>
        <w:t xml:space="preserve"> annually.  The</w:t>
      </w:r>
      <w:r w:rsidR="00042195">
        <w:rPr>
          <w:rFonts w:eastAsia="Times New Roman"/>
          <w:szCs w:val="24"/>
        </w:rPr>
        <w:t>se</w:t>
      </w:r>
      <w:r w:rsidR="00B279F0">
        <w:rPr>
          <w:rFonts w:eastAsia="Times New Roman"/>
          <w:szCs w:val="24"/>
        </w:rPr>
        <w:t xml:space="preserve"> </w:t>
      </w:r>
      <w:r w:rsidR="00630708">
        <w:rPr>
          <w:rFonts w:eastAsia="Times New Roman"/>
          <w:szCs w:val="24"/>
        </w:rPr>
        <w:t>(</w:t>
      </w:r>
      <w:r w:rsidR="00042195">
        <w:rPr>
          <w:rFonts w:eastAsia="Times New Roman"/>
          <w:szCs w:val="24"/>
        </w:rPr>
        <w:t>proposed</w:t>
      </w:r>
      <w:r w:rsidR="00630708">
        <w:rPr>
          <w:rFonts w:eastAsia="Times New Roman"/>
          <w:szCs w:val="24"/>
        </w:rPr>
        <w:t>)</w:t>
      </w:r>
      <w:r w:rsidR="00042195">
        <w:rPr>
          <w:rFonts w:eastAsia="Times New Roman"/>
          <w:szCs w:val="24"/>
        </w:rPr>
        <w:t xml:space="preserve"> </w:t>
      </w:r>
      <w:r w:rsidR="00B279F0">
        <w:rPr>
          <w:rFonts w:eastAsia="Times New Roman"/>
          <w:szCs w:val="24"/>
        </w:rPr>
        <w:t>rates</w:t>
      </w:r>
      <w:r w:rsidR="00042195">
        <w:rPr>
          <w:rFonts w:eastAsia="Times New Roman"/>
          <w:szCs w:val="24"/>
        </w:rPr>
        <w:t xml:space="preserve"> will become effective for service rendered on and after May 1, 2014.  Rates will be designed based upon </w:t>
      </w:r>
      <w:r w:rsidR="00630708">
        <w:rPr>
          <w:rFonts w:eastAsia="Times New Roman"/>
          <w:szCs w:val="24"/>
        </w:rPr>
        <w:t xml:space="preserve">the </w:t>
      </w:r>
      <w:r w:rsidR="00042195">
        <w:rPr>
          <w:rFonts w:eastAsia="Times New Roman"/>
          <w:szCs w:val="24"/>
        </w:rPr>
        <w:t xml:space="preserve">billing usage determinants set forth </w:t>
      </w:r>
      <w:r w:rsidR="00630708">
        <w:rPr>
          <w:rFonts w:eastAsia="Times New Roman"/>
          <w:szCs w:val="24"/>
        </w:rPr>
        <w:t xml:space="preserve">in </w:t>
      </w:r>
      <w:r w:rsidR="00C6540E">
        <w:rPr>
          <w:rFonts w:eastAsia="Times New Roman"/>
          <w:szCs w:val="24"/>
        </w:rPr>
        <w:t>the Company’s original filing and based upon the updated customer counts reflected in Exhibit J</w:t>
      </w:r>
      <w:r w:rsidR="00630708">
        <w:rPr>
          <w:rFonts w:eastAsia="Times New Roman"/>
          <w:szCs w:val="24"/>
        </w:rPr>
        <w:t>H</w:t>
      </w:r>
      <w:r w:rsidR="00C6540E">
        <w:rPr>
          <w:rFonts w:eastAsia="Times New Roman"/>
          <w:szCs w:val="24"/>
        </w:rPr>
        <w:t xml:space="preserve"> 1-R as submitted on December 2, 2013, and reflected in the proof of revenues at Settlement rates attached as Appendix “B”. </w:t>
      </w:r>
    </w:p>
    <w:p w:rsidR="001872D6" w:rsidRDefault="00C6540E" w:rsidP="002F745C">
      <w:pPr>
        <w:spacing w:after="0" w:line="240" w:lineRule="auto"/>
        <w:ind w:left="1440" w:right="1440"/>
        <w:rPr>
          <w:rFonts w:eastAsia="Times New Roman"/>
          <w:szCs w:val="24"/>
        </w:rPr>
      </w:pPr>
      <w:r>
        <w:rPr>
          <w:rFonts w:eastAsia="Times New Roman"/>
          <w:szCs w:val="24"/>
        </w:rPr>
        <w:lastRenderedPageBreak/>
        <w:tab/>
        <w:t>29.</w:t>
      </w:r>
      <w:r>
        <w:rPr>
          <w:rFonts w:eastAsia="Times New Roman"/>
          <w:szCs w:val="24"/>
        </w:rPr>
        <w:tab/>
      </w:r>
      <w:r w:rsidR="00751C32">
        <w:rPr>
          <w:rFonts w:eastAsia="Times New Roman"/>
          <w:szCs w:val="24"/>
        </w:rPr>
        <w:t>Commencing with calendar year 2014, Duquesne Light will deposit into its pension trusts an amount equal to $37,200,000 per year;</w:t>
      </w:r>
      <w:r w:rsidR="00E11222">
        <w:rPr>
          <w:rFonts w:eastAsia="Times New Roman"/>
          <w:szCs w:val="24"/>
        </w:rPr>
        <w:t xml:space="preserve"> provided, however, that contributions(s) in any year in excess of the foregoing may be used on a cumulative basis to satisfy future contribution obligations under th</w:t>
      </w:r>
      <w:r w:rsidR="003C0F41">
        <w:rPr>
          <w:rFonts w:eastAsia="Times New Roman"/>
          <w:szCs w:val="24"/>
        </w:rPr>
        <w:t>is</w:t>
      </w:r>
      <w:r w:rsidR="00E11222">
        <w:rPr>
          <w:rFonts w:eastAsia="Times New Roman"/>
          <w:szCs w:val="24"/>
        </w:rPr>
        <w:t xml:space="preserve"> Settlement.  </w:t>
      </w:r>
      <w:r>
        <w:rPr>
          <w:rFonts w:eastAsia="Times New Roman"/>
          <w:szCs w:val="24"/>
        </w:rPr>
        <w:t xml:space="preserve">The </w:t>
      </w:r>
      <w:r w:rsidR="00E11222">
        <w:rPr>
          <w:rFonts w:eastAsia="Times New Roman"/>
          <w:szCs w:val="24"/>
        </w:rPr>
        <w:t>Settlement provides for recover</w:t>
      </w:r>
      <w:r>
        <w:rPr>
          <w:rFonts w:eastAsia="Times New Roman"/>
          <w:szCs w:val="24"/>
        </w:rPr>
        <w:t>y</w:t>
      </w:r>
      <w:r w:rsidR="00E11222">
        <w:rPr>
          <w:rFonts w:eastAsia="Times New Roman"/>
          <w:szCs w:val="24"/>
        </w:rPr>
        <w:t xml:space="preserve"> of the expense component of $18,600,000 (50% of the average cash contributions) of projected future pension contributions.  Additionally, Duquesne Light will be permitted to include the other 50% of actual pension contributions from January 1, 2007</w:t>
      </w:r>
      <w:r w:rsidR="000D0F25">
        <w:rPr>
          <w:rFonts w:eastAsia="Times New Roman"/>
          <w:szCs w:val="24"/>
        </w:rPr>
        <w:t>, forward, net of related accumulated deferred income taxes, in rate base for rate making purposes.</w:t>
      </w:r>
      <w:r w:rsidR="00D03898">
        <w:rPr>
          <w:rFonts w:eastAsia="Times New Roman"/>
          <w:szCs w:val="24"/>
        </w:rPr>
        <w:t xml:space="preserve"> . . .  Duquesne Light shall provide a report and affidavit attesting to the actual contributions to pension trust</w:t>
      </w:r>
      <w:r w:rsidR="003C0F41">
        <w:rPr>
          <w:rFonts w:eastAsia="Times New Roman"/>
          <w:szCs w:val="24"/>
        </w:rPr>
        <w:t>s</w:t>
      </w:r>
      <w:r w:rsidR="00D03898">
        <w:rPr>
          <w:rFonts w:eastAsia="Times New Roman"/>
          <w:szCs w:val="24"/>
        </w:rPr>
        <w:t xml:space="preserve"> during each calendar year.  The report and affidavit shall be filed with the Commission, with copies provided to I&amp;E, OCA and OSBA on or before January 31 of the following calendar year, with the first report and affidavit due on or before January 31, 2015.</w:t>
      </w:r>
    </w:p>
    <w:p w:rsidR="002F745C" w:rsidRDefault="002F745C" w:rsidP="002F745C">
      <w:pPr>
        <w:spacing w:after="0" w:line="240" w:lineRule="auto"/>
        <w:ind w:left="1440" w:right="1440"/>
        <w:rPr>
          <w:rFonts w:eastAsia="Times New Roman"/>
          <w:szCs w:val="24"/>
        </w:rPr>
      </w:pPr>
    </w:p>
    <w:p w:rsidR="003E6333" w:rsidRDefault="001872D6" w:rsidP="002F745C">
      <w:pPr>
        <w:spacing w:after="0" w:line="240" w:lineRule="auto"/>
        <w:ind w:left="1440" w:right="1440"/>
        <w:rPr>
          <w:rFonts w:eastAsia="Times New Roman"/>
          <w:szCs w:val="24"/>
        </w:rPr>
      </w:pPr>
      <w:r>
        <w:rPr>
          <w:rFonts w:eastAsia="Times New Roman"/>
          <w:szCs w:val="24"/>
        </w:rPr>
        <w:tab/>
        <w:t>30.</w:t>
      </w:r>
      <w:r>
        <w:rPr>
          <w:rFonts w:eastAsia="Times New Roman"/>
          <w:szCs w:val="24"/>
        </w:rPr>
        <w:tab/>
        <w:t xml:space="preserve"> The Company’s distribution rate allowance for OPEBs (Other Post-Employment Benefits) is based upon the </w:t>
      </w:r>
      <w:r w:rsidR="00CA73F5">
        <w:rPr>
          <w:rFonts w:eastAsia="Times New Roman"/>
          <w:szCs w:val="24"/>
        </w:rPr>
        <w:t xml:space="preserve">estimated </w:t>
      </w:r>
      <w:r>
        <w:rPr>
          <w:rFonts w:eastAsia="Times New Roman"/>
          <w:szCs w:val="24"/>
        </w:rPr>
        <w:t>ASC 715</w:t>
      </w:r>
      <w:r>
        <w:rPr>
          <w:rStyle w:val="FootnoteReference"/>
          <w:rFonts w:eastAsia="Times New Roman"/>
          <w:szCs w:val="24"/>
        </w:rPr>
        <w:footnoteReference w:id="8"/>
      </w:r>
      <w:r>
        <w:rPr>
          <w:rFonts w:eastAsia="Times New Roman"/>
          <w:szCs w:val="24"/>
        </w:rPr>
        <w:t xml:space="preserve"> </w:t>
      </w:r>
      <w:r w:rsidR="003E6333">
        <w:rPr>
          <w:rFonts w:eastAsia="Times New Roman"/>
          <w:szCs w:val="24"/>
        </w:rPr>
        <w:t>cost</w:t>
      </w:r>
      <w:r w:rsidR="002F745C">
        <w:rPr>
          <w:rFonts w:eastAsia="Times New Roman"/>
          <w:szCs w:val="24"/>
        </w:rPr>
        <w:t xml:space="preserve"> </w:t>
      </w:r>
      <w:r w:rsidR="00002597">
        <w:rPr>
          <w:rFonts w:eastAsia="Times New Roman"/>
          <w:szCs w:val="24"/>
        </w:rPr>
        <w:t>f</w:t>
      </w:r>
      <w:r w:rsidR="003E6333">
        <w:rPr>
          <w:rFonts w:eastAsia="Times New Roman"/>
          <w:szCs w:val="24"/>
        </w:rPr>
        <w:t xml:space="preserve">or the Fully Projected </w:t>
      </w:r>
      <w:r w:rsidR="00002597">
        <w:rPr>
          <w:rFonts w:eastAsia="Times New Roman"/>
          <w:szCs w:val="24"/>
        </w:rPr>
        <w:t>F</w:t>
      </w:r>
      <w:r w:rsidR="003E6333">
        <w:rPr>
          <w:rFonts w:eastAsia="Times New Roman"/>
          <w:szCs w:val="24"/>
        </w:rPr>
        <w:t xml:space="preserve">uture Test Year </w:t>
      </w:r>
      <w:r w:rsidR="00002597">
        <w:rPr>
          <w:rFonts w:eastAsia="Times New Roman"/>
          <w:szCs w:val="24"/>
        </w:rPr>
        <w:t xml:space="preserve">(FPFTY) </w:t>
      </w:r>
      <w:r w:rsidR="003E6333">
        <w:rPr>
          <w:rFonts w:eastAsia="Times New Roman"/>
          <w:szCs w:val="24"/>
        </w:rPr>
        <w:t>of approximately $3,265,500,</w:t>
      </w:r>
      <w:r w:rsidR="00002597">
        <w:rPr>
          <w:rFonts w:eastAsia="Times New Roman"/>
          <w:szCs w:val="24"/>
        </w:rPr>
        <w:t xml:space="preserve"> </w:t>
      </w:r>
      <w:r w:rsidR="001C2418">
        <w:rPr>
          <w:rFonts w:eastAsia="Times New Roman"/>
          <w:szCs w:val="24"/>
        </w:rPr>
        <w:t>w</w:t>
      </w:r>
      <w:r w:rsidR="003E6333">
        <w:rPr>
          <w:rFonts w:eastAsia="Times New Roman"/>
          <w:szCs w:val="24"/>
        </w:rPr>
        <w:t>hich reflects a two-year normalization of the Net Periodic Benefit Cost for historic an</w:t>
      </w:r>
      <w:r w:rsidR="001C2418">
        <w:rPr>
          <w:rFonts w:eastAsia="Times New Roman"/>
          <w:szCs w:val="24"/>
        </w:rPr>
        <w:t xml:space="preserve">d future test year distribution costs.  The distribution expense component included in rates is approximately 50% of this estimated cost less the annual effect of the 3-year amortization of the regulatory liability of $1.1 million ($970,900 on a distribution </w:t>
      </w:r>
      <w:r w:rsidR="00CA73F5">
        <w:rPr>
          <w:rFonts w:eastAsia="Times New Roman"/>
          <w:szCs w:val="24"/>
        </w:rPr>
        <w:t xml:space="preserve">basis) as explained in Duquesne Light St. No. 2, p. 27, for a net distribution </w:t>
      </w:r>
      <w:r w:rsidR="001C2418">
        <w:rPr>
          <w:rFonts w:eastAsia="Times New Roman"/>
          <w:szCs w:val="24"/>
        </w:rPr>
        <w:t>expense of $1,309,117 ($1,632,750 ‒ $323,633 = $1,309,1</w:t>
      </w:r>
      <w:r w:rsidR="00CA73F5">
        <w:rPr>
          <w:rFonts w:eastAsia="Times New Roman"/>
          <w:szCs w:val="24"/>
        </w:rPr>
        <w:t>1</w:t>
      </w:r>
      <w:r w:rsidR="001C2418">
        <w:rPr>
          <w:rFonts w:eastAsia="Times New Roman"/>
          <w:szCs w:val="24"/>
        </w:rPr>
        <w:t xml:space="preserve">7). The remaining </w:t>
      </w:r>
      <w:r w:rsidR="00CA73F5">
        <w:rPr>
          <w:rFonts w:eastAsia="Times New Roman"/>
          <w:szCs w:val="24"/>
        </w:rPr>
        <w:t xml:space="preserve">50% of actual </w:t>
      </w:r>
      <w:r w:rsidR="001C2418">
        <w:rPr>
          <w:rFonts w:eastAsia="Times New Roman"/>
          <w:szCs w:val="24"/>
        </w:rPr>
        <w:t xml:space="preserve">ASC 715 cost will be the amount to be capitalized on the Company’s books. . . . </w:t>
      </w:r>
    </w:p>
    <w:p w:rsidR="001C2418" w:rsidRDefault="001C2418" w:rsidP="002A28EA">
      <w:pPr>
        <w:spacing w:after="0" w:line="240" w:lineRule="auto"/>
        <w:ind w:left="1440" w:right="1080"/>
        <w:rPr>
          <w:rFonts w:eastAsia="Times New Roman"/>
          <w:szCs w:val="24"/>
        </w:rPr>
      </w:pPr>
    </w:p>
    <w:p w:rsidR="00B845AD" w:rsidRDefault="00B845AD" w:rsidP="002F745C">
      <w:pPr>
        <w:spacing w:after="0" w:line="240" w:lineRule="auto"/>
        <w:ind w:left="1440" w:right="1440"/>
        <w:rPr>
          <w:rFonts w:eastAsia="Times New Roman"/>
          <w:szCs w:val="24"/>
        </w:rPr>
      </w:pPr>
      <w:r>
        <w:rPr>
          <w:rFonts w:eastAsia="Times New Roman"/>
          <w:szCs w:val="24"/>
        </w:rPr>
        <w:tab/>
        <w:t>31.</w:t>
      </w:r>
      <w:r>
        <w:rPr>
          <w:rFonts w:eastAsia="Times New Roman"/>
          <w:szCs w:val="24"/>
        </w:rPr>
        <w:tab/>
        <w:t>Duquesne Light</w:t>
      </w:r>
      <w:r w:rsidR="00CA73F5">
        <w:rPr>
          <w:rFonts w:eastAsia="Times New Roman"/>
          <w:szCs w:val="24"/>
        </w:rPr>
        <w:t>’</w:t>
      </w:r>
      <w:r>
        <w:rPr>
          <w:rFonts w:eastAsia="Times New Roman"/>
          <w:szCs w:val="24"/>
        </w:rPr>
        <w:t xml:space="preserve">s jurisdictional separation study of distribution and transmission costs and assets shall be approved for purposes of this case only and shall hold </w:t>
      </w:r>
      <w:r w:rsidR="00CA73F5">
        <w:rPr>
          <w:rFonts w:eastAsia="Times New Roman"/>
          <w:szCs w:val="24"/>
        </w:rPr>
        <w:t>n</w:t>
      </w:r>
      <w:r>
        <w:rPr>
          <w:rFonts w:eastAsia="Times New Roman"/>
          <w:szCs w:val="24"/>
        </w:rPr>
        <w:t>o precedential value in a</w:t>
      </w:r>
      <w:r w:rsidR="002F745C">
        <w:rPr>
          <w:rFonts w:eastAsia="Times New Roman"/>
          <w:szCs w:val="24"/>
        </w:rPr>
        <w:t xml:space="preserve"> </w:t>
      </w:r>
      <w:r w:rsidR="00CA73F5">
        <w:rPr>
          <w:rFonts w:eastAsia="Times New Roman"/>
          <w:szCs w:val="24"/>
        </w:rPr>
        <w:t>future base rate proceeding</w:t>
      </w:r>
      <w:r>
        <w:rPr>
          <w:rFonts w:eastAsia="Times New Roman"/>
          <w:szCs w:val="24"/>
        </w:rPr>
        <w:t>.</w:t>
      </w:r>
      <w:r w:rsidR="00344F1A">
        <w:rPr>
          <w:rFonts w:eastAsia="Times New Roman"/>
          <w:szCs w:val="24"/>
        </w:rPr>
        <w:t xml:space="preserve"> </w:t>
      </w:r>
      <w:r>
        <w:rPr>
          <w:rFonts w:eastAsia="Times New Roman"/>
          <w:szCs w:val="24"/>
        </w:rPr>
        <w:t xml:space="preserve"> All </w:t>
      </w:r>
      <w:r w:rsidR="00093513">
        <w:rPr>
          <w:rFonts w:eastAsia="Times New Roman"/>
          <w:szCs w:val="24"/>
        </w:rPr>
        <w:t>(Settling) P</w:t>
      </w:r>
      <w:r>
        <w:rPr>
          <w:rFonts w:eastAsia="Times New Roman"/>
          <w:szCs w:val="24"/>
        </w:rPr>
        <w:t>arties reserve the right to challenge the jurisdictional separation stud</w:t>
      </w:r>
      <w:r w:rsidR="00CA73F5">
        <w:rPr>
          <w:rFonts w:eastAsia="Times New Roman"/>
          <w:szCs w:val="24"/>
        </w:rPr>
        <w:t>y</w:t>
      </w:r>
      <w:r>
        <w:rPr>
          <w:rFonts w:eastAsia="Times New Roman"/>
          <w:szCs w:val="24"/>
        </w:rPr>
        <w:t xml:space="preserve"> in future matters.</w:t>
      </w:r>
    </w:p>
    <w:p w:rsidR="00B845AD" w:rsidRDefault="00B845AD" w:rsidP="002A28EA">
      <w:pPr>
        <w:spacing w:after="0" w:line="240" w:lineRule="auto"/>
        <w:ind w:left="1440" w:right="1080"/>
        <w:rPr>
          <w:rFonts w:eastAsia="Times New Roman"/>
          <w:szCs w:val="24"/>
        </w:rPr>
      </w:pPr>
    </w:p>
    <w:p w:rsidR="00D136C8" w:rsidRDefault="001C2418" w:rsidP="002F745C">
      <w:pPr>
        <w:spacing w:after="0" w:line="240" w:lineRule="auto"/>
        <w:ind w:left="1440" w:right="1440"/>
        <w:rPr>
          <w:rFonts w:eastAsia="Times New Roman"/>
          <w:szCs w:val="24"/>
        </w:rPr>
      </w:pPr>
      <w:r>
        <w:rPr>
          <w:rFonts w:eastAsia="Times New Roman"/>
          <w:szCs w:val="24"/>
        </w:rPr>
        <w:tab/>
        <w:t>3</w:t>
      </w:r>
      <w:r w:rsidR="00B845AD">
        <w:rPr>
          <w:rFonts w:eastAsia="Times New Roman"/>
          <w:szCs w:val="24"/>
        </w:rPr>
        <w:t>2</w:t>
      </w:r>
      <w:r>
        <w:rPr>
          <w:rFonts w:eastAsia="Times New Roman"/>
          <w:szCs w:val="24"/>
        </w:rPr>
        <w:t>.</w:t>
      </w:r>
      <w:r>
        <w:rPr>
          <w:rFonts w:eastAsia="Times New Roman"/>
          <w:szCs w:val="24"/>
        </w:rPr>
        <w:tab/>
        <w:t xml:space="preserve">This </w:t>
      </w:r>
      <w:r w:rsidR="00CA73F5">
        <w:rPr>
          <w:rFonts w:eastAsia="Times New Roman"/>
          <w:szCs w:val="24"/>
        </w:rPr>
        <w:t>S</w:t>
      </w:r>
      <w:r>
        <w:rPr>
          <w:rFonts w:eastAsia="Times New Roman"/>
          <w:szCs w:val="24"/>
        </w:rPr>
        <w:t xml:space="preserve">ettlement reflects a compromise of the </w:t>
      </w:r>
      <w:r w:rsidR="00CA73F5">
        <w:rPr>
          <w:rFonts w:eastAsia="Times New Roman"/>
          <w:szCs w:val="24"/>
        </w:rPr>
        <w:t xml:space="preserve">(Settling) </w:t>
      </w:r>
      <w:r>
        <w:rPr>
          <w:rFonts w:eastAsia="Times New Roman"/>
          <w:szCs w:val="24"/>
        </w:rPr>
        <w:t xml:space="preserve">Parties’ positions regarding rate base and rate of return.  If Duquesne Light is authorized to implement a Distribution System Improvement Charge (DSIC), </w:t>
      </w:r>
      <w:r w:rsidR="00D136C8">
        <w:rPr>
          <w:rFonts w:eastAsia="Times New Roman"/>
          <w:szCs w:val="24"/>
        </w:rPr>
        <w:t xml:space="preserve">then following the effective date of rates in this proceeding, Duquesne Light will be eligible to include plant additions in the DSIC once eligible account balances </w:t>
      </w:r>
      <w:r w:rsidR="00D136C8">
        <w:rPr>
          <w:rFonts w:eastAsia="Times New Roman"/>
          <w:szCs w:val="24"/>
        </w:rPr>
        <w:lastRenderedPageBreak/>
        <w:t xml:space="preserve">exceed the levels projected by Duquesne Light </w:t>
      </w:r>
      <w:r w:rsidR="00B845AD">
        <w:rPr>
          <w:rFonts w:eastAsia="Times New Roman"/>
          <w:szCs w:val="24"/>
        </w:rPr>
        <w:t xml:space="preserve">at </w:t>
      </w:r>
      <w:r w:rsidR="00D136C8">
        <w:rPr>
          <w:rFonts w:eastAsia="Times New Roman"/>
          <w:szCs w:val="24"/>
        </w:rPr>
        <w:t xml:space="preserve">(as of) April 30, 2015. </w:t>
      </w:r>
      <w:r w:rsidR="00BE65D5">
        <w:rPr>
          <w:rFonts w:eastAsia="Times New Roman"/>
          <w:szCs w:val="24"/>
        </w:rPr>
        <w:t xml:space="preserve"> </w:t>
      </w:r>
      <w:r w:rsidR="00D136C8">
        <w:rPr>
          <w:rFonts w:eastAsia="Times New Roman"/>
          <w:szCs w:val="24"/>
        </w:rPr>
        <w:t>The foregoing provision is included solely for purposes of calculating the DSIC, and is not determinative for future ratemaking purposes of the projected additions to be included in rate base in a FPFTY</w:t>
      </w:r>
      <w:r w:rsidR="00BE65D5">
        <w:rPr>
          <w:rFonts w:eastAsia="Times New Roman"/>
          <w:szCs w:val="24"/>
        </w:rPr>
        <w:t xml:space="preserve"> filing</w:t>
      </w:r>
      <w:r w:rsidR="00D136C8">
        <w:rPr>
          <w:rFonts w:eastAsia="Times New Roman"/>
          <w:szCs w:val="24"/>
        </w:rPr>
        <w:t>.</w:t>
      </w:r>
    </w:p>
    <w:p w:rsidR="00D136C8" w:rsidRDefault="00D136C8" w:rsidP="002A28EA">
      <w:pPr>
        <w:spacing w:after="0" w:line="240" w:lineRule="auto"/>
        <w:ind w:left="1440" w:right="1080"/>
        <w:rPr>
          <w:rFonts w:eastAsia="Times New Roman"/>
          <w:szCs w:val="24"/>
        </w:rPr>
      </w:pPr>
    </w:p>
    <w:p w:rsidR="00CC741A" w:rsidRDefault="00D136C8" w:rsidP="002F745C">
      <w:pPr>
        <w:spacing w:after="0" w:line="240" w:lineRule="auto"/>
        <w:ind w:left="1440" w:right="1440"/>
        <w:rPr>
          <w:rFonts w:eastAsia="Times New Roman"/>
          <w:szCs w:val="24"/>
        </w:rPr>
      </w:pPr>
      <w:r>
        <w:rPr>
          <w:rFonts w:eastAsia="Times New Roman"/>
          <w:szCs w:val="24"/>
        </w:rPr>
        <w:tab/>
        <w:t>33.</w:t>
      </w:r>
      <w:r>
        <w:rPr>
          <w:rFonts w:eastAsia="Times New Roman"/>
          <w:szCs w:val="24"/>
        </w:rPr>
        <w:tab/>
        <w:t xml:space="preserve">In order to meet the Commission’s smart meter surcharge requirements in </w:t>
      </w:r>
      <w:r>
        <w:rPr>
          <w:rFonts w:eastAsia="Times New Roman"/>
          <w:i/>
          <w:szCs w:val="24"/>
        </w:rPr>
        <w:t xml:space="preserve">Petition of Duquesne Light Company for </w:t>
      </w:r>
      <w:r w:rsidR="00B845AD">
        <w:rPr>
          <w:rFonts w:eastAsia="Times New Roman"/>
          <w:i/>
          <w:szCs w:val="24"/>
        </w:rPr>
        <w:t>A</w:t>
      </w:r>
      <w:r>
        <w:rPr>
          <w:rFonts w:eastAsia="Times New Roman"/>
          <w:i/>
          <w:szCs w:val="24"/>
        </w:rPr>
        <w:t xml:space="preserve">pproval of Smart Meter Technology Procurement and Installation Plan, </w:t>
      </w:r>
      <w:r>
        <w:rPr>
          <w:rFonts w:eastAsia="Times New Roman"/>
          <w:szCs w:val="24"/>
        </w:rPr>
        <w:t>Docket No. M-2009-2123948, and for that purpose only, Duquesne Light will use a 10% return on common equity and the capital</w:t>
      </w:r>
      <w:r w:rsidR="009E1D5A">
        <w:rPr>
          <w:rFonts w:eastAsia="Times New Roman"/>
          <w:szCs w:val="24"/>
        </w:rPr>
        <w:t xml:space="preserve"> structure proposed by the Company in this proceeding for establishing smart meter surcharge rates.  The return on common equity and capital structure ratios are limited solely to establishing the Company’s smart meter surcharge for a three-year period following the effective date of rates in this proceeding consistent with the Commission’s Smart Meter Order</w:t>
      </w:r>
      <w:r>
        <w:rPr>
          <w:rFonts w:eastAsia="Times New Roman"/>
          <w:szCs w:val="24"/>
        </w:rPr>
        <w:t xml:space="preserve"> </w:t>
      </w:r>
      <w:r w:rsidR="009E1D5A">
        <w:rPr>
          <w:rFonts w:eastAsia="Times New Roman"/>
          <w:szCs w:val="24"/>
        </w:rPr>
        <w:t xml:space="preserve">at Docket </w:t>
      </w:r>
      <w:r w:rsidR="00CC741A">
        <w:rPr>
          <w:rFonts w:eastAsia="Times New Roman"/>
          <w:szCs w:val="24"/>
        </w:rPr>
        <w:t>N</w:t>
      </w:r>
      <w:r w:rsidR="009E1D5A">
        <w:rPr>
          <w:rFonts w:eastAsia="Times New Roman"/>
          <w:szCs w:val="24"/>
        </w:rPr>
        <w:t>o. M-2009-2123948 entered on May 11, 2010</w:t>
      </w:r>
      <w:r w:rsidR="00CC741A">
        <w:rPr>
          <w:rFonts w:eastAsia="Times New Roman"/>
          <w:szCs w:val="24"/>
        </w:rPr>
        <w:t xml:space="preserve">, </w:t>
      </w:r>
      <w:r w:rsidR="009E1D5A">
        <w:rPr>
          <w:rFonts w:eastAsia="Times New Roman"/>
          <w:szCs w:val="24"/>
        </w:rPr>
        <w:t xml:space="preserve">or until the return on equity percentage and capital structure ratios are reset in the Company’s next base rate case, whichever is sooner.  It is understood and agreed that this Settlement </w:t>
      </w:r>
      <w:r w:rsidR="00CC741A">
        <w:rPr>
          <w:rFonts w:eastAsia="Times New Roman"/>
          <w:szCs w:val="24"/>
        </w:rPr>
        <w:t>is</w:t>
      </w:r>
      <w:r w:rsidR="002F745C">
        <w:rPr>
          <w:rFonts w:eastAsia="Times New Roman"/>
          <w:szCs w:val="24"/>
        </w:rPr>
        <w:t xml:space="preserve"> </w:t>
      </w:r>
      <w:r w:rsidR="00CC741A">
        <w:rPr>
          <w:rFonts w:eastAsia="Times New Roman"/>
          <w:szCs w:val="24"/>
        </w:rPr>
        <w:t xml:space="preserve">the result of compromise and does not reflect any </w:t>
      </w:r>
      <w:r w:rsidR="00187EB1">
        <w:rPr>
          <w:rFonts w:eastAsia="Times New Roman"/>
          <w:szCs w:val="24"/>
        </w:rPr>
        <w:t xml:space="preserve">(Settling) </w:t>
      </w:r>
      <w:r w:rsidR="00CC741A">
        <w:rPr>
          <w:rFonts w:eastAsia="Times New Roman"/>
          <w:szCs w:val="24"/>
        </w:rPr>
        <w:t xml:space="preserve">Party’s position with respect to the current cost of common equity or capital structure for Duquesne Light.  The Commission’s approval of this Settlement shall not be construed to represent approval of any </w:t>
      </w:r>
      <w:r w:rsidR="00187EB1">
        <w:rPr>
          <w:rFonts w:eastAsia="Times New Roman"/>
          <w:szCs w:val="24"/>
        </w:rPr>
        <w:t xml:space="preserve">(Settling) </w:t>
      </w:r>
      <w:r w:rsidR="00CC741A">
        <w:rPr>
          <w:rFonts w:eastAsia="Times New Roman"/>
          <w:szCs w:val="24"/>
        </w:rPr>
        <w:t>Party’s position on these issues.</w:t>
      </w:r>
    </w:p>
    <w:p w:rsidR="00CC741A" w:rsidRDefault="00CC741A" w:rsidP="002A28EA">
      <w:pPr>
        <w:spacing w:after="0" w:line="240" w:lineRule="auto"/>
        <w:ind w:left="1440" w:right="1080"/>
        <w:rPr>
          <w:rFonts w:eastAsia="Times New Roman"/>
          <w:szCs w:val="24"/>
        </w:rPr>
      </w:pPr>
    </w:p>
    <w:p w:rsidR="00B845AD" w:rsidRDefault="00CC741A" w:rsidP="002F745C">
      <w:pPr>
        <w:spacing w:after="0" w:line="240" w:lineRule="auto"/>
        <w:ind w:left="1440" w:right="1440"/>
        <w:rPr>
          <w:rFonts w:eastAsia="Times New Roman"/>
          <w:szCs w:val="24"/>
        </w:rPr>
      </w:pPr>
      <w:r>
        <w:rPr>
          <w:rFonts w:eastAsia="Times New Roman"/>
          <w:szCs w:val="24"/>
        </w:rPr>
        <w:tab/>
        <w:t>34.</w:t>
      </w:r>
      <w:r>
        <w:rPr>
          <w:rFonts w:eastAsia="Times New Roman"/>
          <w:szCs w:val="24"/>
        </w:rPr>
        <w:tab/>
        <w:t>Duquesne Light commits to spend $15 million on distribution system veg</w:t>
      </w:r>
      <w:r w:rsidR="00D34AA8">
        <w:rPr>
          <w:rFonts w:eastAsia="Times New Roman"/>
          <w:szCs w:val="24"/>
        </w:rPr>
        <w:t>e</w:t>
      </w:r>
      <w:r>
        <w:rPr>
          <w:rFonts w:eastAsia="Times New Roman"/>
          <w:szCs w:val="24"/>
        </w:rPr>
        <w:t>tation</w:t>
      </w:r>
      <w:r w:rsidR="00D34AA8">
        <w:rPr>
          <w:rFonts w:eastAsia="Times New Roman"/>
          <w:szCs w:val="24"/>
        </w:rPr>
        <w:t xml:space="preserve"> management on a twelve-month basis for three years commencing May 1</w:t>
      </w:r>
      <w:r w:rsidR="008C1897">
        <w:rPr>
          <w:rFonts w:eastAsia="Times New Roman"/>
          <w:szCs w:val="24"/>
        </w:rPr>
        <w:t>, 2014; provided that any short</w:t>
      </w:r>
      <w:r w:rsidR="00D34AA8">
        <w:rPr>
          <w:rFonts w:eastAsia="Times New Roman"/>
          <w:szCs w:val="24"/>
        </w:rPr>
        <w:t>fall below that level of spending on a twelve</w:t>
      </w:r>
      <w:r w:rsidR="008C1897">
        <w:rPr>
          <w:rFonts w:eastAsia="Times New Roman"/>
          <w:szCs w:val="24"/>
        </w:rPr>
        <w:t>-</w:t>
      </w:r>
      <w:r w:rsidR="00D34AA8">
        <w:rPr>
          <w:rFonts w:eastAsia="Times New Roman"/>
          <w:szCs w:val="24"/>
        </w:rPr>
        <w:t xml:space="preserve">month basis </w:t>
      </w:r>
      <w:r w:rsidR="008C1897">
        <w:rPr>
          <w:rFonts w:eastAsia="Times New Roman"/>
          <w:szCs w:val="24"/>
        </w:rPr>
        <w:t xml:space="preserve">shall be </w:t>
      </w:r>
      <w:r w:rsidR="00D34AA8">
        <w:rPr>
          <w:rFonts w:eastAsia="Times New Roman"/>
          <w:szCs w:val="24"/>
        </w:rPr>
        <w:t>expended no later than April 30, 2017.  Duq</w:t>
      </w:r>
      <w:r w:rsidR="00B845AD">
        <w:rPr>
          <w:rFonts w:eastAsia="Times New Roman"/>
          <w:szCs w:val="24"/>
        </w:rPr>
        <w:t xml:space="preserve">uesne </w:t>
      </w:r>
      <w:r w:rsidR="00344F1A">
        <w:rPr>
          <w:rFonts w:eastAsia="Times New Roman"/>
          <w:szCs w:val="24"/>
        </w:rPr>
        <w:t xml:space="preserve">Light </w:t>
      </w:r>
      <w:r w:rsidR="00B845AD">
        <w:rPr>
          <w:rFonts w:eastAsia="Times New Roman"/>
          <w:szCs w:val="24"/>
        </w:rPr>
        <w:t>will report it</w:t>
      </w:r>
      <w:r w:rsidR="008C1897">
        <w:rPr>
          <w:rFonts w:eastAsia="Times New Roman"/>
          <w:szCs w:val="24"/>
        </w:rPr>
        <w:t>s</w:t>
      </w:r>
      <w:r w:rsidR="00B845AD">
        <w:rPr>
          <w:rFonts w:eastAsia="Times New Roman"/>
          <w:szCs w:val="24"/>
        </w:rPr>
        <w:t xml:space="preserve"> distribution vegetation management spending for the three 12-month periods commencing May 1, 2014.  These annual reports will be filed with the Commission, with copies provided to I&amp;E, OCA and OSBA by October 31, 2015, October 31, 2016 and October 31, 2017.</w:t>
      </w:r>
    </w:p>
    <w:p w:rsidR="00B845AD" w:rsidRDefault="00B845AD" w:rsidP="002A28EA">
      <w:pPr>
        <w:spacing w:after="0" w:line="240" w:lineRule="auto"/>
        <w:ind w:left="1440" w:right="1080"/>
        <w:rPr>
          <w:rFonts w:eastAsia="Times New Roman"/>
          <w:szCs w:val="24"/>
        </w:rPr>
      </w:pPr>
    </w:p>
    <w:p w:rsidR="00D63A6A" w:rsidRDefault="00CC741A" w:rsidP="002F745C">
      <w:pPr>
        <w:spacing w:after="0" w:line="240" w:lineRule="auto"/>
        <w:ind w:left="1440" w:right="1440"/>
        <w:rPr>
          <w:rFonts w:eastAsia="Times New Roman"/>
          <w:szCs w:val="24"/>
        </w:rPr>
      </w:pPr>
      <w:r>
        <w:rPr>
          <w:rFonts w:eastAsia="Times New Roman"/>
          <w:szCs w:val="24"/>
        </w:rPr>
        <w:t xml:space="preserve"> </w:t>
      </w:r>
      <w:r w:rsidR="00DA377B">
        <w:rPr>
          <w:rFonts w:eastAsia="Times New Roman"/>
          <w:szCs w:val="24"/>
        </w:rPr>
        <w:tab/>
        <w:t>35.</w:t>
      </w:r>
      <w:r w:rsidR="00DA377B">
        <w:rPr>
          <w:rFonts w:eastAsia="Times New Roman"/>
          <w:szCs w:val="24"/>
        </w:rPr>
        <w:tab/>
        <w:t xml:space="preserve">Duquesne Light will file a Total Company and Pennsylvania jurisdictional report showing capital expenditures, </w:t>
      </w:r>
      <w:r w:rsidR="002A28EA">
        <w:rPr>
          <w:rFonts w:eastAsia="Times New Roman"/>
          <w:szCs w:val="24"/>
        </w:rPr>
        <w:t>plan</w:t>
      </w:r>
      <w:r w:rsidR="00FD0507">
        <w:rPr>
          <w:rFonts w:eastAsia="Times New Roman"/>
          <w:szCs w:val="24"/>
        </w:rPr>
        <w:t>t</w:t>
      </w:r>
      <w:r w:rsidR="00DA377B">
        <w:rPr>
          <w:rFonts w:eastAsia="Times New Roman"/>
          <w:szCs w:val="24"/>
        </w:rPr>
        <w:t xml:space="preserve"> additions and retirements, by month, for the FTY (Future Test Year) (</w:t>
      </w:r>
      <w:r w:rsidR="00D63A6A">
        <w:rPr>
          <w:rFonts w:eastAsia="Times New Roman"/>
          <w:szCs w:val="24"/>
        </w:rPr>
        <w:t>A</w:t>
      </w:r>
      <w:r w:rsidR="00DA377B">
        <w:rPr>
          <w:rFonts w:eastAsia="Times New Roman"/>
          <w:szCs w:val="24"/>
        </w:rPr>
        <w:t>pril 2013 through March 2014),</w:t>
      </w:r>
      <w:r w:rsidR="00FD0507">
        <w:rPr>
          <w:rFonts w:eastAsia="Times New Roman"/>
          <w:szCs w:val="24"/>
        </w:rPr>
        <w:t xml:space="preserve"> </w:t>
      </w:r>
      <w:r w:rsidR="00D63A6A">
        <w:rPr>
          <w:rFonts w:eastAsia="Times New Roman"/>
          <w:szCs w:val="24"/>
        </w:rPr>
        <w:t xml:space="preserve">plus </w:t>
      </w:r>
      <w:r w:rsidR="00FD0507">
        <w:rPr>
          <w:rFonts w:eastAsia="Times New Roman"/>
          <w:szCs w:val="24"/>
        </w:rPr>
        <w:t xml:space="preserve">the </w:t>
      </w:r>
      <w:r w:rsidR="00D63A6A">
        <w:rPr>
          <w:rFonts w:eastAsia="Times New Roman"/>
          <w:szCs w:val="24"/>
        </w:rPr>
        <w:t>gap mo</w:t>
      </w:r>
      <w:r w:rsidR="00FD0507">
        <w:rPr>
          <w:rFonts w:eastAsia="Times New Roman"/>
          <w:szCs w:val="24"/>
        </w:rPr>
        <w:t>nth of April 2014 by October 31</w:t>
      </w:r>
      <w:r w:rsidR="00D63A6A">
        <w:rPr>
          <w:rFonts w:eastAsia="Times New Roman"/>
          <w:szCs w:val="24"/>
        </w:rPr>
        <w:t xml:space="preserve">, 2014.  A similar report for the FPFTY (May 1, 2014 through April 30, 2015) will be filed by October 31, 2015.  In Duquesne Light’s next base rate proceeding, the Company will prepare a comparison of its actual expenses and </w:t>
      </w:r>
      <w:r w:rsidR="00D63A6A">
        <w:rPr>
          <w:rFonts w:eastAsia="Times New Roman"/>
          <w:szCs w:val="24"/>
        </w:rPr>
        <w:lastRenderedPageBreak/>
        <w:t xml:space="preserve">rate base additions for the twelve-months ended April 30, 2015 to its projections in this case.  However, it is recognized by the </w:t>
      </w:r>
      <w:r w:rsidR="00187EB1">
        <w:rPr>
          <w:rFonts w:eastAsia="Times New Roman"/>
          <w:szCs w:val="24"/>
        </w:rPr>
        <w:t xml:space="preserve">(Settling) </w:t>
      </w:r>
      <w:r w:rsidR="00D63A6A">
        <w:rPr>
          <w:rFonts w:eastAsia="Times New Roman"/>
          <w:szCs w:val="24"/>
        </w:rPr>
        <w:t xml:space="preserve">Parties that this is a black box settlement that is a compromise of the </w:t>
      </w:r>
      <w:r w:rsidR="00187EB1">
        <w:rPr>
          <w:rFonts w:eastAsia="Times New Roman"/>
          <w:szCs w:val="24"/>
        </w:rPr>
        <w:t xml:space="preserve">(Settling) </w:t>
      </w:r>
      <w:r w:rsidR="00D63A6A">
        <w:rPr>
          <w:rFonts w:eastAsia="Times New Roman"/>
          <w:szCs w:val="24"/>
        </w:rPr>
        <w:t>Parties’ positions on various issues.</w:t>
      </w:r>
    </w:p>
    <w:p w:rsidR="00E13F67" w:rsidRDefault="00E13F67" w:rsidP="002A28EA">
      <w:pPr>
        <w:spacing w:after="0" w:line="240" w:lineRule="auto"/>
        <w:ind w:left="1440" w:right="1080"/>
        <w:rPr>
          <w:rFonts w:eastAsia="Times New Roman"/>
          <w:szCs w:val="24"/>
        </w:rPr>
      </w:pPr>
    </w:p>
    <w:p w:rsidR="00E13F67" w:rsidRDefault="00E13F67" w:rsidP="002F745C">
      <w:pPr>
        <w:spacing w:after="0" w:line="240" w:lineRule="auto"/>
        <w:ind w:left="1440" w:right="1440"/>
        <w:rPr>
          <w:rFonts w:eastAsia="Times New Roman"/>
          <w:szCs w:val="24"/>
        </w:rPr>
      </w:pPr>
      <w:r>
        <w:rPr>
          <w:rFonts w:eastAsia="Times New Roman"/>
          <w:szCs w:val="24"/>
        </w:rPr>
        <w:tab/>
        <w:t>36.</w:t>
      </w:r>
      <w:r>
        <w:rPr>
          <w:rFonts w:eastAsia="Times New Roman"/>
          <w:szCs w:val="24"/>
        </w:rPr>
        <w:tab/>
        <w:t xml:space="preserve">The </w:t>
      </w:r>
      <w:r w:rsidR="00187EB1">
        <w:rPr>
          <w:rFonts w:eastAsia="Times New Roman"/>
          <w:szCs w:val="24"/>
        </w:rPr>
        <w:t xml:space="preserve">(Settling) </w:t>
      </w:r>
      <w:r>
        <w:rPr>
          <w:rFonts w:eastAsia="Times New Roman"/>
          <w:szCs w:val="24"/>
        </w:rPr>
        <w:t>Parties agree</w:t>
      </w:r>
      <w:r w:rsidR="00DE0D75">
        <w:rPr>
          <w:rFonts w:eastAsia="Times New Roman"/>
          <w:szCs w:val="24"/>
        </w:rPr>
        <w:t>d</w:t>
      </w:r>
      <w:r>
        <w:rPr>
          <w:rFonts w:eastAsia="Times New Roman"/>
          <w:szCs w:val="24"/>
        </w:rPr>
        <w:t xml:space="preserve"> to support a request by Duquesne Light that its Petition filed at Docket No. M-2009-2123948 to amend, to the extent necessary, the Commission’s May 6, 2013 Order approving the Company’s </w:t>
      </w:r>
      <w:r w:rsidR="00DE0D75">
        <w:rPr>
          <w:rFonts w:eastAsia="Times New Roman"/>
          <w:szCs w:val="24"/>
        </w:rPr>
        <w:t>F</w:t>
      </w:r>
      <w:r>
        <w:rPr>
          <w:rFonts w:eastAsia="Times New Roman"/>
          <w:szCs w:val="24"/>
        </w:rPr>
        <w:t>inal Smart Meter Procurement and Installation Plan requesting that FOCUS project costs,</w:t>
      </w:r>
      <w:r w:rsidR="00DE0D75">
        <w:rPr>
          <w:rStyle w:val="FootnoteReference"/>
          <w:rFonts w:eastAsia="Times New Roman"/>
          <w:szCs w:val="24"/>
        </w:rPr>
        <w:footnoteReference w:id="9"/>
      </w:r>
      <w:r>
        <w:rPr>
          <w:rFonts w:eastAsia="Times New Roman"/>
          <w:szCs w:val="24"/>
        </w:rPr>
        <w:t xml:space="preserve"> exclusive of costs that have been previously recovered through the Company’s Smart Meter Charge, be recovered in base rates</w:t>
      </w:r>
      <w:r w:rsidR="00DE0D75">
        <w:rPr>
          <w:rFonts w:eastAsia="Times New Roman"/>
          <w:szCs w:val="24"/>
        </w:rPr>
        <w:t>,</w:t>
      </w:r>
      <w:r>
        <w:rPr>
          <w:rFonts w:eastAsia="Times New Roman"/>
          <w:szCs w:val="24"/>
        </w:rPr>
        <w:t xml:space="preserve"> be consolidated with this base-rate proceeding </w:t>
      </w:r>
      <w:r w:rsidR="00DE0D75">
        <w:rPr>
          <w:rFonts w:eastAsia="Times New Roman"/>
          <w:szCs w:val="24"/>
        </w:rPr>
        <w:t xml:space="preserve">and </w:t>
      </w:r>
      <w:r>
        <w:rPr>
          <w:rFonts w:eastAsia="Times New Roman"/>
          <w:szCs w:val="24"/>
        </w:rPr>
        <w:t>be granted.</w:t>
      </w:r>
      <w:r w:rsidR="00DE0D75">
        <w:rPr>
          <w:rFonts w:eastAsia="Times New Roman"/>
          <w:szCs w:val="24"/>
        </w:rPr>
        <w:t xml:space="preserve">  </w:t>
      </w:r>
      <w:r>
        <w:rPr>
          <w:rFonts w:eastAsia="Times New Roman"/>
          <w:szCs w:val="24"/>
        </w:rPr>
        <w:t>.</w:t>
      </w:r>
      <w:r w:rsidR="00DE0D75">
        <w:rPr>
          <w:rFonts w:eastAsia="Times New Roman"/>
          <w:szCs w:val="24"/>
        </w:rPr>
        <w:t xml:space="preserve">  </w:t>
      </w:r>
      <w:r>
        <w:rPr>
          <w:rFonts w:eastAsia="Times New Roman"/>
          <w:szCs w:val="24"/>
        </w:rPr>
        <w:t>.</w:t>
      </w:r>
      <w:r w:rsidR="00DE0D75">
        <w:rPr>
          <w:rFonts w:eastAsia="Times New Roman"/>
          <w:szCs w:val="24"/>
        </w:rPr>
        <w:t xml:space="preserve">  </w:t>
      </w:r>
      <w:r>
        <w:rPr>
          <w:rFonts w:eastAsia="Times New Roman"/>
          <w:szCs w:val="24"/>
        </w:rPr>
        <w:t xml:space="preserve">.  The </w:t>
      </w:r>
      <w:r w:rsidR="00187EB1">
        <w:rPr>
          <w:rFonts w:eastAsia="Times New Roman"/>
          <w:szCs w:val="24"/>
        </w:rPr>
        <w:t xml:space="preserve">(Settling) </w:t>
      </w:r>
      <w:r w:rsidR="00093513">
        <w:rPr>
          <w:rFonts w:eastAsia="Times New Roman"/>
          <w:szCs w:val="24"/>
        </w:rPr>
        <w:t>P</w:t>
      </w:r>
      <w:r>
        <w:rPr>
          <w:rFonts w:eastAsia="Times New Roman"/>
          <w:szCs w:val="24"/>
        </w:rPr>
        <w:t xml:space="preserve">arties recognize that the Company’s Petition was granted by </w:t>
      </w:r>
      <w:r w:rsidR="00DE0D75">
        <w:rPr>
          <w:rFonts w:eastAsia="Times New Roman"/>
          <w:szCs w:val="24"/>
        </w:rPr>
        <w:t>O</w:t>
      </w:r>
      <w:r>
        <w:rPr>
          <w:rFonts w:eastAsia="Times New Roman"/>
          <w:szCs w:val="24"/>
        </w:rPr>
        <w:t xml:space="preserve">rder entered on January 9, 2014. </w:t>
      </w:r>
    </w:p>
    <w:p w:rsidR="00D63A6A" w:rsidRDefault="00D63A6A" w:rsidP="00DE0D75">
      <w:pPr>
        <w:spacing w:after="0" w:line="360" w:lineRule="auto"/>
        <w:ind w:left="1440" w:right="1080"/>
        <w:rPr>
          <w:rFonts w:eastAsia="Times New Roman"/>
          <w:szCs w:val="24"/>
        </w:rPr>
      </w:pPr>
    </w:p>
    <w:p w:rsidR="00AD1294" w:rsidRDefault="00D63A6A" w:rsidP="00AD1294">
      <w:pPr>
        <w:spacing w:after="0" w:line="360" w:lineRule="auto"/>
        <w:ind w:right="1080"/>
        <w:rPr>
          <w:rFonts w:eastAsia="Times New Roman"/>
          <w:szCs w:val="24"/>
        </w:rPr>
      </w:pPr>
      <w:r>
        <w:rPr>
          <w:rFonts w:eastAsia="Times New Roman"/>
          <w:szCs w:val="24"/>
        </w:rPr>
        <w:t>JP ¶¶ 28-3</w:t>
      </w:r>
      <w:r w:rsidR="00DE0D75">
        <w:rPr>
          <w:rFonts w:eastAsia="Times New Roman"/>
          <w:szCs w:val="24"/>
        </w:rPr>
        <w:t>6</w:t>
      </w:r>
      <w:r>
        <w:rPr>
          <w:rFonts w:eastAsia="Times New Roman"/>
          <w:szCs w:val="24"/>
        </w:rPr>
        <w:t>, pp. 7-11.</w:t>
      </w:r>
      <w:r w:rsidR="00E13F67">
        <w:rPr>
          <w:rFonts w:eastAsia="Times New Roman"/>
          <w:szCs w:val="24"/>
        </w:rPr>
        <w:t xml:space="preserve">   </w:t>
      </w:r>
      <w:r>
        <w:rPr>
          <w:rFonts w:eastAsia="Times New Roman"/>
          <w:szCs w:val="24"/>
        </w:rPr>
        <w:t>Paragraph 3</w:t>
      </w:r>
      <w:r w:rsidR="00E13F67">
        <w:rPr>
          <w:rFonts w:eastAsia="Times New Roman"/>
          <w:szCs w:val="24"/>
        </w:rPr>
        <w:t>7 contains provision</w:t>
      </w:r>
      <w:r w:rsidR="00DE0D75">
        <w:rPr>
          <w:rFonts w:eastAsia="Times New Roman"/>
          <w:szCs w:val="24"/>
        </w:rPr>
        <w:t>s</w:t>
      </w:r>
      <w:r w:rsidR="00E13F67">
        <w:rPr>
          <w:rFonts w:eastAsia="Times New Roman"/>
          <w:szCs w:val="24"/>
        </w:rPr>
        <w:t xml:space="preserve"> relating to </w:t>
      </w:r>
      <w:r w:rsidR="00A07091">
        <w:rPr>
          <w:rFonts w:eastAsia="Times New Roman"/>
          <w:szCs w:val="24"/>
        </w:rPr>
        <w:t xml:space="preserve">the treatment of </w:t>
      </w:r>
      <w:r w:rsidR="00E13F67">
        <w:rPr>
          <w:rFonts w:eastAsia="Times New Roman"/>
          <w:szCs w:val="24"/>
        </w:rPr>
        <w:t>IRS repair allow</w:t>
      </w:r>
      <w:r w:rsidR="00A07091">
        <w:rPr>
          <w:rFonts w:eastAsia="Times New Roman"/>
          <w:szCs w:val="24"/>
        </w:rPr>
        <w:t xml:space="preserve">ance. </w:t>
      </w:r>
    </w:p>
    <w:p w:rsidR="00A07091" w:rsidRDefault="00D63A6A" w:rsidP="00AD1294">
      <w:pPr>
        <w:spacing w:after="0" w:line="360" w:lineRule="auto"/>
        <w:ind w:right="1080"/>
        <w:rPr>
          <w:rFonts w:eastAsia="Times New Roman"/>
          <w:szCs w:val="24"/>
        </w:rPr>
      </w:pPr>
      <w:r>
        <w:rPr>
          <w:rFonts w:eastAsia="Times New Roman"/>
          <w:szCs w:val="24"/>
        </w:rPr>
        <w:t xml:space="preserve"> </w:t>
      </w:r>
    </w:p>
    <w:p w:rsidR="002F745C" w:rsidRDefault="00546AA4" w:rsidP="00AD1294">
      <w:pPr>
        <w:spacing w:after="0" w:line="360" w:lineRule="auto"/>
        <w:ind w:right="1080"/>
        <w:rPr>
          <w:rFonts w:eastAsia="Times New Roman"/>
          <w:szCs w:val="24"/>
        </w:rPr>
      </w:pPr>
      <w:r>
        <w:rPr>
          <w:rFonts w:eastAsia="Times New Roman"/>
          <w:szCs w:val="24"/>
        </w:rPr>
        <w:tab/>
      </w:r>
      <w:r>
        <w:rPr>
          <w:rFonts w:eastAsia="Times New Roman"/>
          <w:szCs w:val="24"/>
        </w:rPr>
        <w:tab/>
      </w:r>
      <w:r w:rsidRPr="00A07091">
        <w:rPr>
          <w:rFonts w:eastAsia="Times New Roman"/>
          <w:szCs w:val="24"/>
        </w:rPr>
        <w:t xml:space="preserve">B. </w:t>
      </w:r>
      <w:r>
        <w:rPr>
          <w:rFonts w:eastAsia="Times New Roman"/>
          <w:szCs w:val="24"/>
        </w:rPr>
        <w:tab/>
      </w:r>
      <w:r w:rsidRPr="00546AA4">
        <w:rPr>
          <w:rFonts w:eastAsia="Times New Roman"/>
          <w:szCs w:val="24"/>
          <w:u w:val="single"/>
        </w:rPr>
        <w:t>UNIVERSAL SERVICE AND CUSTOMER SERVICE</w:t>
      </w:r>
      <w:r>
        <w:rPr>
          <w:rFonts w:eastAsia="Times New Roman"/>
          <w:szCs w:val="24"/>
        </w:rPr>
        <w:t xml:space="preserve"> </w:t>
      </w:r>
    </w:p>
    <w:p w:rsidR="002F745C" w:rsidRDefault="002F745C" w:rsidP="002F745C">
      <w:pPr>
        <w:spacing w:after="0" w:line="360" w:lineRule="auto"/>
        <w:ind w:right="1080"/>
        <w:rPr>
          <w:rFonts w:eastAsia="Times New Roman"/>
          <w:szCs w:val="24"/>
        </w:rPr>
      </w:pPr>
      <w:r>
        <w:rPr>
          <w:rFonts w:eastAsia="Times New Roman"/>
          <w:szCs w:val="24"/>
        </w:rPr>
        <w:tab/>
      </w:r>
    </w:p>
    <w:p w:rsidR="002F745C" w:rsidRDefault="002F745C" w:rsidP="00532F61">
      <w:pPr>
        <w:spacing w:after="0" w:line="240" w:lineRule="auto"/>
        <w:ind w:left="1440" w:right="1440"/>
      </w:pPr>
      <w:r>
        <w:t>38.</w:t>
      </w:r>
      <w:r>
        <w:tab/>
        <w:t>Duquesne Light agrees to an increase in the annual target of LIURP (Low Income Usage Reduction Income Program) from 2,555 in its currently filed Universal Service and Energy Conservation Plan (USECP) for 2014 to 2017 to 3,100 visits.  Duquesne Light also agrees to increase the maximum CAP</w:t>
      </w:r>
      <w:r w:rsidR="00D42E21">
        <w:t xml:space="preserve"> (Customer Assistance Program) </w:t>
      </w:r>
      <w:r w:rsidR="00E83AA3">
        <w:t>c</w:t>
      </w:r>
      <w:r>
        <w:t>redits for non-heat customers from $560</w:t>
      </w:r>
      <w:r w:rsidR="00E83AA3">
        <w:t xml:space="preserve"> per year</w:t>
      </w:r>
      <w:r>
        <w:t xml:space="preserve"> to $700 per year and for heating customers from $1,400 per year to $1,800 per yea</w:t>
      </w:r>
      <w:r w:rsidR="00935965">
        <w:t xml:space="preserve">r, effective January 1, 2015.  </w:t>
      </w:r>
      <w:r>
        <w:t>Any increases in costs will be recovered in the Universal Service Charge.  . . .</w:t>
      </w:r>
    </w:p>
    <w:p w:rsidR="00532F61" w:rsidRDefault="00532F61" w:rsidP="00532F61">
      <w:pPr>
        <w:spacing w:after="0" w:line="360" w:lineRule="auto"/>
        <w:ind w:left="1440" w:right="1440"/>
      </w:pPr>
    </w:p>
    <w:p w:rsidR="002F745C" w:rsidRDefault="002F745C" w:rsidP="00532F61">
      <w:pPr>
        <w:spacing w:after="0" w:line="360" w:lineRule="auto"/>
        <w:rPr>
          <w:rFonts w:eastAsia="Times New Roman"/>
          <w:szCs w:val="24"/>
        </w:rPr>
      </w:pPr>
      <w:r>
        <w:rPr>
          <w:rFonts w:eastAsia="Times New Roman"/>
          <w:szCs w:val="24"/>
        </w:rPr>
        <w:t>JP ¶</w:t>
      </w:r>
      <w:r w:rsidR="00902FBC">
        <w:rPr>
          <w:rFonts w:eastAsia="Times New Roman"/>
          <w:szCs w:val="24"/>
        </w:rPr>
        <w:t xml:space="preserve"> 38, p. 12.  </w:t>
      </w:r>
      <w:r>
        <w:rPr>
          <w:rFonts w:eastAsia="Times New Roman"/>
          <w:szCs w:val="24"/>
        </w:rPr>
        <w:t>Paragraphs 39 through 41 contain provisions relating to the initiation of a collaborative to discuss storm communication-related issues</w:t>
      </w:r>
      <w:r w:rsidR="00532F61">
        <w:rPr>
          <w:rFonts w:eastAsia="Times New Roman"/>
          <w:szCs w:val="24"/>
        </w:rPr>
        <w:t>,</w:t>
      </w:r>
      <w:r>
        <w:rPr>
          <w:rFonts w:eastAsia="Times New Roman"/>
          <w:szCs w:val="24"/>
        </w:rPr>
        <w:t xml:space="preserve"> the Company</w:t>
      </w:r>
      <w:r w:rsidR="00532F61">
        <w:rPr>
          <w:rFonts w:eastAsia="Times New Roman"/>
          <w:szCs w:val="24"/>
        </w:rPr>
        <w:t xml:space="preserve">’s retreat </w:t>
      </w:r>
      <w:r>
        <w:rPr>
          <w:rFonts w:eastAsia="Times New Roman"/>
          <w:szCs w:val="24"/>
        </w:rPr>
        <w:t xml:space="preserve">from requiring CAP applicants to provide Social Security </w:t>
      </w:r>
      <w:r w:rsidR="00755070">
        <w:rPr>
          <w:rFonts w:eastAsia="Times New Roman"/>
          <w:szCs w:val="24"/>
        </w:rPr>
        <w:t>n</w:t>
      </w:r>
      <w:r>
        <w:rPr>
          <w:rFonts w:eastAsia="Times New Roman"/>
          <w:szCs w:val="24"/>
        </w:rPr>
        <w:t>umbers as a prerequisite to CAP participation</w:t>
      </w:r>
      <w:r w:rsidR="00532F61">
        <w:rPr>
          <w:rFonts w:eastAsia="Times New Roman"/>
          <w:szCs w:val="24"/>
        </w:rPr>
        <w:t>, and revitalizing its Red Flags Plan</w:t>
      </w:r>
      <w:r>
        <w:rPr>
          <w:rFonts w:eastAsia="Times New Roman"/>
          <w:szCs w:val="24"/>
        </w:rPr>
        <w:t>.</w:t>
      </w:r>
    </w:p>
    <w:p w:rsidR="002F745C" w:rsidRDefault="002F745C" w:rsidP="00935965">
      <w:pPr>
        <w:spacing w:after="0" w:line="360" w:lineRule="auto"/>
        <w:rPr>
          <w:rFonts w:eastAsia="Times New Roman"/>
          <w:szCs w:val="24"/>
        </w:rPr>
      </w:pPr>
    </w:p>
    <w:p w:rsidR="005416E8" w:rsidRDefault="005416E8">
      <w:pPr>
        <w:rPr>
          <w:rFonts w:eastAsia="Times New Roman"/>
          <w:szCs w:val="24"/>
        </w:rPr>
      </w:pPr>
      <w:r>
        <w:rPr>
          <w:rFonts w:eastAsia="Times New Roman"/>
          <w:szCs w:val="24"/>
        </w:rPr>
        <w:br w:type="page"/>
      </w:r>
    </w:p>
    <w:p w:rsidR="002F745C" w:rsidRDefault="002F745C" w:rsidP="00935965">
      <w:pPr>
        <w:spacing w:after="0" w:line="360" w:lineRule="auto"/>
        <w:rPr>
          <w:rFonts w:eastAsia="Times New Roman"/>
          <w:szCs w:val="24"/>
          <w:u w:val="single"/>
        </w:rPr>
      </w:pPr>
      <w:r>
        <w:rPr>
          <w:rFonts w:eastAsia="Times New Roman"/>
          <w:szCs w:val="24"/>
        </w:rPr>
        <w:lastRenderedPageBreak/>
        <w:tab/>
        <w:t>C.</w:t>
      </w:r>
      <w:r>
        <w:rPr>
          <w:rFonts w:eastAsia="Times New Roman"/>
          <w:szCs w:val="24"/>
        </w:rPr>
        <w:tab/>
      </w:r>
      <w:r>
        <w:rPr>
          <w:rFonts w:eastAsia="Times New Roman"/>
          <w:szCs w:val="24"/>
          <w:u w:val="single"/>
        </w:rPr>
        <w:t>REVENUE ALLOCATION AND RATE DESIGN</w:t>
      </w:r>
    </w:p>
    <w:p w:rsidR="002F745C" w:rsidRDefault="002F745C" w:rsidP="00935965">
      <w:pPr>
        <w:spacing w:after="0" w:line="360" w:lineRule="auto"/>
      </w:pPr>
    </w:p>
    <w:p w:rsidR="002F745C" w:rsidRDefault="002F745C" w:rsidP="001479CC">
      <w:pPr>
        <w:spacing w:after="0" w:line="240" w:lineRule="auto"/>
        <w:ind w:left="1440" w:right="1440"/>
      </w:pPr>
      <w:r>
        <w:tab/>
        <w:t>42.</w:t>
      </w:r>
      <w:r>
        <w:tab/>
        <w:t xml:space="preserve">The </w:t>
      </w:r>
      <w:r w:rsidR="00187EB1">
        <w:t xml:space="preserve">(Settling) </w:t>
      </w:r>
      <w:r>
        <w:t xml:space="preserve">Parties have agreed to allocate the $48 million revenue allocation in </w:t>
      </w:r>
      <w:r w:rsidR="00187EB1">
        <w:t>the</w:t>
      </w:r>
      <w:r>
        <w:t xml:space="preserve"> manner set forth in Appendix “B”.  The </w:t>
      </w:r>
      <w:r w:rsidR="00187EB1">
        <w:t xml:space="preserve">(Settling) </w:t>
      </w:r>
      <w:r>
        <w:t xml:space="preserve">Parties agree that the revenue allocation is a reasonable compromise of the revenue allocation positions advanced by the </w:t>
      </w:r>
      <w:r w:rsidR="00187EB1">
        <w:t xml:space="preserve">(Settling) </w:t>
      </w:r>
      <w:r>
        <w:t xml:space="preserve">Parties. </w:t>
      </w:r>
    </w:p>
    <w:p w:rsidR="002F745C" w:rsidRDefault="002F745C" w:rsidP="002F745C">
      <w:pPr>
        <w:spacing w:after="0" w:line="240" w:lineRule="auto"/>
        <w:ind w:left="1440" w:right="1080"/>
      </w:pPr>
    </w:p>
    <w:p w:rsidR="002F745C" w:rsidRDefault="002F745C" w:rsidP="001479CC">
      <w:pPr>
        <w:spacing w:after="0" w:line="240" w:lineRule="auto"/>
        <w:ind w:left="1440" w:right="1440"/>
      </w:pPr>
      <w:r>
        <w:tab/>
        <w:t>43.</w:t>
      </w:r>
      <w:r>
        <w:tab/>
        <w:t>The rate design for each rate class to recover the revenue allocation to each class at the settlement increase of $48 million is set forth in Appendix “B”.  The fixed monthly customer charge for Rates RS (Residential Service)</w:t>
      </w:r>
      <w:r w:rsidR="00935965">
        <w:t>,</w:t>
      </w:r>
      <w:r>
        <w:t xml:space="preserve"> RA (Residential Service Heating</w:t>
      </w:r>
      <w:r w:rsidR="00187EB1">
        <w:t>),</w:t>
      </w:r>
      <w:r>
        <w:t xml:space="preserve"> and RH (Residential Service Add-On Heat Pump) will be increased from $7.00 per month to $10.00 per month.  The Rate L (Large Power Service) redesign that provides a new rate only for service taken at transmission voltage (138 kV) is approved.</w:t>
      </w:r>
    </w:p>
    <w:p w:rsidR="002F745C" w:rsidRDefault="002F745C" w:rsidP="002F745C">
      <w:pPr>
        <w:spacing w:after="0" w:line="360" w:lineRule="auto"/>
        <w:ind w:left="1440" w:right="1080"/>
      </w:pPr>
    </w:p>
    <w:p w:rsidR="002F745C" w:rsidRDefault="002F745C" w:rsidP="002F745C">
      <w:pPr>
        <w:spacing w:after="0" w:line="240" w:lineRule="auto"/>
        <w:ind w:left="1440" w:right="1080" w:hanging="720"/>
      </w:pPr>
      <w:r>
        <w:t>D.</w:t>
      </w:r>
      <w:r>
        <w:tab/>
      </w:r>
      <w:r>
        <w:rPr>
          <w:u w:val="single"/>
        </w:rPr>
        <w:t xml:space="preserve">DUQUESNE LIGHT </w:t>
      </w:r>
      <w:r w:rsidR="00187EB1">
        <w:rPr>
          <w:u w:val="single"/>
        </w:rPr>
        <w:t>L</w:t>
      </w:r>
      <w:r>
        <w:rPr>
          <w:u w:val="single"/>
        </w:rPr>
        <w:t>ED STREET LIGHT PILOT PROGRAM</w:t>
      </w:r>
      <w:r>
        <w:tab/>
        <w:t xml:space="preserve"> </w:t>
      </w:r>
    </w:p>
    <w:p w:rsidR="002F745C" w:rsidRDefault="002F745C" w:rsidP="002F745C">
      <w:pPr>
        <w:spacing w:after="0" w:line="360" w:lineRule="auto"/>
        <w:ind w:left="1440" w:right="1080" w:hanging="720"/>
      </w:pPr>
    </w:p>
    <w:p w:rsidR="002F745C" w:rsidRDefault="002F745C" w:rsidP="001479CC">
      <w:pPr>
        <w:spacing w:after="0" w:line="240" w:lineRule="auto"/>
        <w:ind w:left="1440" w:right="1440" w:hanging="720"/>
      </w:pPr>
      <w:r>
        <w:tab/>
      </w:r>
      <w:r>
        <w:tab/>
        <w:t>44.</w:t>
      </w:r>
      <w:r>
        <w:tab/>
        <w:t>Working in concert with interested municipalities, the Company agrees to install up to a total of 1,500 LED</w:t>
      </w:r>
      <w:r>
        <w:rPr>
          <w:b/>
        </w:rPr>
        <w:t xml:space="preserve"> (</w:t>
      </w:r>
      <w:r>
        <w:rPr>
          <w:rStyle w:val="Emphasis"/>
          <w:b/>
          <w:color w:val="444444"/>
        </w:rPr>
        <w:t>light-emitting diode)</w:t>
      </w:r>
      <w:r>
        <w:rPr>
          <w:b/>
        </w:rPr>
        <w:t xml:space="preserve"> </w:t>
      </w:r>
      <w:r>
        <w:t xml:space="preserve">lights per year at nominal lamp wattages of 43 or 106 watts, which are the 70 watt and 150 watt High Pressure Sodium Light (HPS) equivalents, respectively, under Rate SM (Street Lighting Municipal).  The distribution rates for these LED lights will be $11.16 per month and $12.82 per month, respectively. </w:t>
      </w:r>
    </w:p>
    <w:p w:rsidR="002F745C" w:rsidRDefault="002F745C" w:rsidP="00A21F92">
      <w:pPr>
        <w:spacing w:after="0" w:line="360" w:lineRule="auto"/>
        <w:ind w:left="1440" w:hanging="1440"/>
      </w:pPr>
    </w:p>
    <w:p w:rsidR="009D3543" w:rsidRDefault="00902FBC" w:rsidP="002F745C">
      <w:pPr>
        <w:spacing w:after="0" w:line="360" w:lineRule="auto"/>
        <w:rPr>
          <w:rFonts w:eastAsia="Times New Roman"/>
          <w:szCs w:val="24"/>
        </w:rPr>
      </w:pPr>
      <w:r>
        <w:rPr>
          <w:rFonts w:eastAsia="Times New Roman"/>
          <w:szCs w:val="24"/>
        </w:rPr>
        <w:t xml:space="preserve">JP ¶ </w:t>
      </w:r>
      <w:r w:rsidR="002F745C">
        <w:rPr>
          <w:rFonts w:eastAsia="Times New Roman"/>
          <w:szCs w:val="24"/>
        </w:rPr>
        <w:t xml:space="preserve">44, p. 13.  Paragraphs 45 through 48 contain additional provisions relating to the Company’s LED </w:t>
      </w:r>
      <w:r w:rsidR="009D3543">
        <w:rPr>
          <w:rFonts w:eastAsia="Times New Roman"/>
          <w:szCs w:val="24"/>
        </w:rPr>
        <w:t>P</w:t>
      </w:r>
      <w:r w:rsidR="002F745C">
        <w:rPr>
          <w:rFonts w:eastAsia="Times New Roman"/>
          <w:szCs w:val="24"/>
        </w:rPr>
        <w:t xml:space="preserve">ilot </w:t>
      </w:r>
      <w:r w:rsidR="009D3543">
        <w:rPr>
          <w:rFonts w:eastAsia="Times New Roman"/>
          <w:szCs w:val="24"/>
        </w:rPr>
        <w:t>P</w:t>
      </w:r>
      <w:r w:rsidR="002F745C">
        <w:rPr>
          <w:rFonts w:eastAsia="Times New Roman"/>
          <w:szCs w:val="24"/>
        </w:rPr>
        <w:t>rogram.</w:t>
      </w:r>
    </w:p>
    <w:p w:rsidR="005416E8" w:rsidRDefault="005416E8" w:rsidP="002F745C">
      <w:pPr>
        <w:spacing w:after="0" w:line="360" w:lineRule="auto"/>
        <w:rPr>
          <w:rFonts w:eastAsia="Times New Roman"/>
          <w:szCs w:val="24"/>
        </w:rPr>
      </w:pPr>
    </w:p>
    <w:p w:rsidR="002F745C" w:rsidRDefault="002F745C" w:rsidP="002F745C">
      <w:pPr>
        <w:spacing w:after="0" w:line="360" w:lineRule="auto"/>
        <w:rPr>
          <w:rFonts w:eastAsia="Times New Roman"/>
          <w:szCs w:val="24"/>
        </w:rPr>
      </w:pPr>
      <w:r>
        <w:rPr>
          <w:rFonts w:eastAsia="Times New Roman"/>
          <w:szCs w:val="24"/>
        </w:rPr>
        <w:t xml:space="preserve">  </w:t>
      </w:r>
      <w:r>
        <w:rPr>
          <w:rFonts w:eastAsia="Times New Roman"/>
          <w:szCs w:val="24"/>
        </w:rPr>
        <w:tab/>
      </w:r>
      <w:r>
        <w:rPr>
          <w:rFonts w:eastAsia="Times New Roman"/>
          <w:szCs w:val="24"/>
        </w:rPr>
        <w:tab/>
        <w:t>The Settling Parties contend, “This Settlement was achieved by the Joint Petitioners after an extensive investigation of Duquesne Light’s filing, including extensive informal and formal discovery and the filing of direct, rebuttal, surrebuttal and rejoinder testimony by a numb</w:t>
      </w:r>
      <w:r w:rsidR="00902FBC">
        <w:rPr>
          <w:rFonts w:eastAsia="Times New Roman"/>
          <w:szCs w:val="24"/>
        </w:rPr>
        <w:t xml:space="preserve">er of the Joint Petitioners.”  </w:t>
      </w:r>
      <w:r>
        <w:rPr>
          <w:rFonts w:eastAsia="Times New Roman"/>
          <w:szCs w:val="24"/>
        </w:rPr>
        <w:t>JP ¶</w:t>
      </w:r>
      <w:r w:rsidR="00902FBC">
        <w:rPr>
          <w:rFonts w:eastAsia="Times New Roman"/>
          <w:szCs w:val="24"/>
        </w:rPr>
        <w:t xml:space="preserve"> </w:t>
      </w:r>
      <w:r>
        <w:rPr>
          <w:rFonts w:eastAsia="Times New Roman"/>
          <w:szCs w:val="24"/>
        </w:rPr>
        <w:t>52, p. 15.  They contend the Settlement is in the public interest for the reasons set forth in their respective Statements in Support.  JP, Appendices C through J.</w:t>
      </w:r>
      <w:r w:rsidR="00935965">
        <w:rPr>
          <w:rFonts w:eastAsia="Times New Roman"/>
          <w:szCs w:val="24"/>
        </w:rPr>
        <w:t xml:space="preserve"> </w:t>
      </w:r>
      <w:r>
        <w:rPr>
          <w:rFonts w:eastAsia="Times New Roman"/>
          <w:szCs w:val="24"/>
        </w:rPr>
        <w:t xml:space="preserve"> </w:t>
      </w:r>
    </w:p>
    <w:p w:rsidR="002F745C" w:rsidRDefault="002F745C" w:rsidP="002F745C">
      <w:pPr>
        <w:spacing w:after="0" w:line="360" w:lineRule="auto"/>
        <w:rPr>
          <w:rFonts w:eastAsia="Times New Roman"/>
          <w:szCs w:val="24"/>
        </w:rPr>
      </w:pPr>
    </w:p>
    <w:p w:rsidR="002F745C" w:rsidRDefault="002F745C" w:rsidP="002F745C">
      <w:pPr>
        <w:spacing w:after="0" w:line="360" w:lineRule="auto"/>
        <w:rPr>
          <w:rFonts w:eastAsia="Times New Roman"/>
          <w:szCs w:val="24"/>
        </w:rPr>
      </w:pPr>
      <w:r>
        <w:rPr>
          <w:rFonts w:eastAsia="Times New Roman"/>
          <w:szCs w:val="24"/>
        </w:rPr>
        <w:lastRenderedPageBreak/>
        <w:tab/>
      </w:r>
      <w:r>
        <w:rPr>
          <w:rFonts w:eastAsia="Times New Roman"/>
          <w:szCs w:val="24"/>
        </w:rPr>
        <w:tab/>
        <w:t>The Settlement is conditioned upon Commission approval of the terms and conditions without m</w:t>
      </w:r>
      <w:r w:rsidR="00935965">
        <w:rPr>
          <w:rFonts w:eastAsia="Times New Roman"/>
          <w:szCs w:val="24"/>
        </w:rPr>
        <w:t>odification.  JP ¶</w:t>
      </w:r>
      <w:r w:rsidR="00902FBC">
        <w:rPr>
          <w:rFonts w:eastAsia="Times New Roman"/>
          <w:szCs w:val="24"/>
        </w:rPr>
        <w:t xml:space="preserve"> </w:t>
      </w:r>
      <w:r w:rsidR="00935965">
        <w:rPr>
          <w:rFonts w:eastAsia="Times New Roman"/>
          <w:szCs w:val="24"/>
        </w:rPr>
        <w:t xml:space="preserve">55, p. 15.  </w:t>
      </w:r>
      <w:r>
        <w:rPr>
          <w:rFonts w:eastAsia="Times New Roman"/>
          <w:szCs w:val="24"/>
        </w:rPr>
        <w:t>Further the Joint Petition provides that approval of the Settlement does not preclude the Joint Petitioners from filing Exceptions in responses to issues raised by NRG Companies.  JP ¶</w:t>
      </w:r>
      <w:r w:rsidR="00902FBC">
        <w:rPr>
          <w:rFonts w:eastAsia="Times New Roman"/>
          <w:szCs w:val="24"/>
        </w:rPr>
        <w:t xml:space="preserve"> </w:t>
      </w:r>
      <w:r>
        <w:rPr>
          <w:rFonts w:eastAsia="Times New Roman"/>
          <w:szCs w:val="24"/>
        </w:rPr>
        <w:t>61, p. 17.</w:t>
      </w:r>
      <w:r w:rsidR="00935965">
        <w:rPr>
          <w:rFonts w:eastAsia="Times New Roman"/>
          <w:szCs w:val="24"/>
        </w:rPr>
        <w:t xml:space="preserve"> </w:t>
      </w:r>
      <w:r>
        <w:rPr>
          <w:rFonts w:eastAsia="Times New Roman"/>
          <w:szCs w:val="24"/>
        </w:rPr>
        <w:t xml:space="preserve"> </w:t>
      </w:r>
    </w:p>
    <w:p w:rsidR="002F745C" w:rsidRDefault="002F745C" w:rsidP="002F745C">
      <w:pPr>
        <w:spacing w:after="0" w:line="360" w:lineRule="auto"/>
        <w:rPr>
          <w:rFonts w:eastAsia="Times New Roman"/>
          <w:szCs w:val="24"/>
        </w:rPr>
      </w:pPr>
    </w:p>
    <w:p w:rsidR="002F745C" w:rsidRDefault="002F745C" w:rsidP="00AD1294">
      <w:pPr>
        <w:spacing w:after="0" w:line="360" w:lineRule="auto"/>
        <w:rPr>
          <w:rFonts w:eastAsia="Times New Roman"/>
          <w:szCs w:val="24"/>
        </w:rPr>
      </w:pPr>
      <w:r>
        <w:rPr>
          <w:rFonts w:eastAsia="Times New Roman"/>
          <w:szCs w:val="24"/>
        </w:rPr>
        <w:tab/>
      </w:r>
      <w:r>
        <w:rPr>
          <w:rFonts w:eastAsia="Times New Roman"/>
          <w:szCs w:val="24"/>
        </w:rPr>
        <w:tab/>
        <w:t>The Joint Petitioners conclude and respectfully request that the ALJ and Commission approve the proposed Settlement, without modification, and deny NRG Companies’</w:t>
      </w:r>
      <w:r w:rsidR="00935965">
        <w:rPr>
          <w:rFonts w:eastAsia="Times New Roman"/>
          <w:szCs w:val="24"/>
        </w:rPr>
        <w:t xml:space="preserve"> opposition to the Settlement</w:t>
      </w:r>
      <w:r w:rsidR="00D42E21">
        <w:rPr>
          <w:rFonts w:eastAsia="Times New Roman"/>
          <w:szCs w:val="24"/>
        </w:rPr>
        <w:t>.</w:t>
      </w:r>
      <w:r w:rsidR="00935965">
        <w:rPr>
          <w:rFonts w:eastAsia="Times New Roman"/>
          <w:szCs w:val="24"/>
        </w:rPr>
        <w:t xml:space="preserve">  </w:t>
      </w:r>
      <w:r>
        <w:rPr>
          <w:rFonts w:eastAsia="Times New Roman"/>
          <w:szCs w:val="24"/>
        </w:rPr>
        <w:t>The Joint Petitioners further request the investigation into this</w:t>
      </w:r>
      <w:r w:rsidR="001479CC">
        <w:rPr>
          <w:rFonts w:eastAsia="Times New Roman"/>
          <w:szCs w:val="24"/>
        </w:rPr>
        <w:t xml:space="preserve"> matter be terminated and that the </w:t>
      </w:r>
      <w:r>
        <w:rPr>
          <w:rFonts w:eastAsia="Times New Roman"/>
          <w:szCs w:val="24"/>
        </w:rPr>
        <w:t>Commission issue an Order authorizing Duquesne Light to file that tariff attached as Appendix A to the Joint Petition to become effective for service on or after May 1, 2014.</w:t>
      </w:r>
    </w:p>
    <w:p w:rsidR="002F745C" w:rsidRDefault="002F745C" w:rsidP="00AD1294">
      <w:pPr>
        <w:spacing w:after="0" w:line="360" w:lineRule="auto"/>
        <w:rPr>
          <w:rFonts w:eastAsia="Times New Roman"/>
          <w:szCs w:val="24"/>
        </w:rPr>
      </w:pPr>
      <w:r>
        <w:rPr>
          <w:rFonts w:eastAsia="Times New Roman"/>
          <w:szCs w:val="24"/>
        </w:rPr>
        <w:t xml:space="preserve"> </w:t>
      </w:r>
    </w:p>
    <w:p w:rsidR="002F745C" w:rsidRDefault="002F745C" w:rsidP="00AD1294">
      <w:pPr>
        <w:spacing w:after="0" w:line="360" w:lineRule="auto"/>
        <w:jc w:val="center"/>
        <w:rPr>
          <w:u w:val="single"/>
        </w:rPr>
      </w:pPr>
      <w:r>
        <w:t>III.</w:t>
      </w:r>
      <w:r>
        <w:tab/>
      </w:r>
      <w:r>
        <w:rPr>
          <w:u w:val="single"/>
        </w:rPr>
        <w:t>CONTESTED ISSUE:  DUQUE</w:t>
      </w:r>
      <w:r w:rsidR="00551E40">
        <w:rPr>
          <w:u w:val="single"/>
        </w:rPr>
        <w:t>SN</w:t>
      </w:r>
      <w:r>
        <w:rPr>
          <w:u w:val="single"/>
        </w:rPr>
        <w:t>E LIGHT’S RIDER NO. 18</w:t>
      </w:r>
    </w:p>
    <w:p w:rsidR="002F745C" w:rsidRDefault="002F745C" w:rsidP="00AD1294">
      <w:pPr>
        <w:spacing w:after="0" w:line="360" w:lineRule="auto"/>
        <w:rPr>
          <w:u w:val="single"/>
        </w:rPr>
      </w:pPr>
    </w:p>
    <w:p w:rsidR="002F745C" w:rsidRPr="001479CC" w:rsidRDefault="002F745C" w:rsidP="00AD1294">
      <w:pPr>
        <w:pStyle w:val="ListParagraph"/>
        <w:numPr>
          <w:ilvl w:val="0"/>
          <w:numId w:val="2"/>
        </w:numPr>
        <w:spacing w:after="0" w:line="360" w:lineRule="auto"/>
        <w:ind w:left="720"/>
        <w:rPr>
          <w:u w:val="single"/>
        </w:rPr>
      </w:pPr>
      <w:r w:rsidRPr="001479CC">
        <w:rPr>
          <w:u w:val="single"/>
        </w:rPr>
        <w:t>NRG’s Complaint and Duquesne Light’s Answer</w:t>
      </w:r>
    </w:p>
    <w:p w:rsidR="001479CC" w:rsidRDefault="001479CC" w:rsidP="001479CC">
      <w:pPr>
        <w:pStyle w:val="ListParagraph"/>
        <w:spacing w:after="0" w:line="360" w:lineRule="auto"/>
        <w:ind w:left="1440"/>
      </w:pPr>
    </w:p>
    <w:p w:rsidR="002F745C" w:rsidRDefault="002F745C" w:rsidP="003968E2">
      <w:pPr>
        <w:spacing w:after="0" w:line="360" w:lineRule="auto"/>
      </w:pPr>
      <w:r>
        <w:tab/>
      </w:r>
      <w:r>
        <w:tab/>
        <w:t>NRG Companies include NRG Power Midwest (NRG Midwest), NRG Energy Center Pittsburgh LLC (NRGP), and Reliant Energy Northw</w:t>
      </w:r>
      <w:r w:rsidR="00EB7866">
        <w:t>e</w:t>
      </w:r>
      <w:r w:rsidR="003968E2">
        <w:t xml:space="preserve">st LLC (REN).  </w:t>
      </w:r>
      <w:r>
        <w:t xml:space="preserve">NRG Midwest is a wholesale power generation company operating generation facilities in Pennsylvania. </w:t>
      </w:r>
      <w:r w:rsidR="003968E2">
        <w:t xml:space="preserve"> </w:t>
      </w:r>
      <w:r>
        <w:t>NRG Complaint ¶</w:t>
      </w:r>
      <w:r w:rsidR="00755070">
        <w:t xml:space="preserve"> </w:t>
      </w:r>
      <w:r>
        <w:t xml:space="preserve">2.  NRGP is a jurisdictional public utility providing steam, hot water and chilled water service to approximately 35 different buildings (approximately 6.3 million square feet) in the City of Pittsburgh. </w:t>
      </w:r>
      <w:r w:rsidR="003968E2">
        <w:t xml:space="preserve"> </w:t>
      </w:r>
      <w:r>
        <w:rPr>
          <w:i/>
        </w:rPr>
        <w:t xml:space="preserve">Id. </w:t>
      </w:r>
      <w:r w:rsidR="00755070">
        <w:t xml:space="preserve">at </w:t>
      </w:r>
      <w:r>
        <w:t xml:space="preserve">3.  REN is an electric generation supplier (EGS) licensed by the Commission to provide electricity and related services to Pennsylvania customers, including Duquesne Light’s service territory. </w:t>
      </w:r>
      <w:r w:rsidR="003968E2">
        <w:t xml:space="preserve"> </w:t>
      </w:r>
      <w:r>
        <w:rPr>
          <w:i/>
        </w:rPr>
        <w:t>Id.</w:t>
      </w:r>
      <w:r>
        <w:t xml:space="preserve"> </w:t>
      </w:r>
      <w:r w:rsidR="00755070">
        <w:t xml:space="preserve">at </w:t>
      </w:r>
      <w:r>
        <w:t>4.</w:t>
      </w:r>
    </w:p>
    <w:p w:rsidR="00755070" w:rsidRDefault="00755070" w:rsidP="003968E2">
      <w:pPr>
        <w:spacing w:after="0" w:line="360" w:lineRule="auto"/>
      </w:pPr>
    </w:p>
    <w:p w:rsidR="002F745C" w:rsidRDefault="002F745C" w:rsidP="003968E2">
      <w:pPr>
        <w:spacing w:after="0" w:line="360" w:lineRule="auto"/>
      </w:pPr>
      <w:r>
        <w:tab/>
      </w:r>
      <w:r>
        <w:tab/>
        <w:t>In their complaint, NRG Companies asserted as follows:</w:t>
      </w:r>
    </w:p>
    <w:p w:rsidR="002F745C" w:rsidRDefault="002F745C" w:rsidP="003968E2">
      <w:pPr>
        <w:spacing w:after="0" w:line="360" w:lineRule="auto"/>
      </w:pPr>
    </w:p>
    <w:p w:rsidR="002F745C" w:rsidRDefault="002F745C" w:rsidP="001479CC">
      <w:pPr>
        <w:spacing w:after="0" w:line="240" w:lineRule="auto"/>
        <w:ind w:left="1440" w:right="1440"/>
      </w:pPr>
      <w:r>
        <w:t>11.</w:t>
      </w:r>
      <w:r>
        <w:tab/>
        <w:t xml:space="preserve">The NRG Companies collectively oppose Duquesne Light’s proposed rate increase on the grounds that it may be unjust, unreasonable and in violation of the law and will or may produce an excessive return on investment in violation of the Public Utility Code, 66 Pa. C.S. §§ 1301 </w:t>
      </w:r>
      <w:r>
        <w:rPr>
          <w:i/>
        </w:rPr>
        <w:t>et seq.</w:t>
      </w:r>
      <w:r>
        <w:t xml:space="preserve">  The NRG Companies are also concerned that the proposed allocation of the revenue increase and </w:t>
      </w:r>
      <w:r>
        <w:lastRenderedPageBreak/>
        <w:t xml:space="preserve">proposed rate design may be unlawfully discriminatory, in violation of the Public Utility Code, 66 Pa. C.S. §§ 1301 and 1304, and may otherwise be contrary to sound ratemaking principles and public policy.  The NRG Companies also seek to ensure that the Tariff is not in violation of the Electricity Generation Choice and Competition Act, 66 Pa.C.S. § 2801, </w:t>
      </w:r>
      <w:r>
        <w:rPr>
          <w:i/>
        </w:rPr>
        <w:t>et seq.</w:t>
      </w:r>
      <w:r>
        <w:t xml:space="preserve"> </w:t>
      </w:r>
      <w:r w:rsidR="003968E2">
        <w:t xml:space="preserve"> </w:t>
      </w:r>
      <w:r>
        <w:t>Finally, Rider No. 18 of Duquesne Light’s Tariff should be examined to ensure that the terms</w:t>
      </w:r>
      <w:r w:rsidR="00C06F01">
        <w:t>,</w:t>
      </w:r>
      <w:r>
        <w:t xml:space="preserve"> conditions and electric energy purchase price continue to be just, reasonable, and non-discriminatory.</w:t>
      </w:r>
    </w:p>
    <w:p w:rsidR="002F745C" w:rsidRDefault="002F745C" w:rsidP="003968E2">
      <w:pPr>
        <w:spacing w:after="0" w:line="360" w:lineRule="auto"/>
        <w:ind w:left="1440" w:right="1080"/>
      </w:pPr>
    </w:p>
    <w:p w:rsidR="002F745C" w:rsidRDefault="002F745C" w:rsidP="00755070">
      <w:pPr>
        <w:spacing w:after="0" w:line="360" w:lineRule="auto"/>
        <w:ind w:left="1440" w:right="1080" w:hanging="1440"/>
      </w:pPr>
      <w:r>
        <w:rPr>
          <w:i/>
        </w:rPr>
        <w:t xml:space="preserve">Id. </w:t>
      </w:r>
      <w:r>
        <w:t xml:space="preserve"> </w:t>
      </w:r>
      <w:r w:rsidR="00755070">
        <w:t xml:space="preserve">at </w:t>
      </w:r>
      <w:r>
        <w:t>11.</w:t>
      </w:r>
    </w:p>
    <w:p w:rsidR="002F745C" w:rsidRDefault="002F745C" w:rsidP="00755070">
      <w:pPr>
        <w:spacing w:after="0" w:line="360" w:lineRule="auto"/>
      </w:pPr>
    </w:p>
    <w:p w:rsidR="002F745C" w:rsidRDefault="002F745C" w:rsidP="00755070">
      <w:pPr>
        <w:spacing w:after="0" w:line="360" w:lineRule="auto"/>
      </w:pPr>
      <w:r>
        <w:tab/>
      </w:r>
      <w:r>
        <w:tab/>
        <w:t xml:space="preserve">Duquesne Light’s Rider No. 18, in pertinent part, provides that the Company will </w:t>
      </w:r>
    </w:p>
    <w:p w:rsidR="002F745C" w:rsidRDefault="002F745C" w:rsidP="002F745C">
      <w:pPr>
        <w:spacing w:after="0" w:line="360" w:lineRule="auto"/>
      </w:pPr>
      <w:r>
        <w:t>purchase electric energy from a qualifying facility (QF).</w:t>
      </w:r>
      <w:r>
        <w:rPr>
          <w:rStyle w:val="FootnoteReference"/>
        </w:rPr>
        <w:footnoteReference w:id="10"/>
      </w:r>
      <w:r>
        <w:rPr>
          <w:vertAlign w:val="superscript"/>
        </w:rPr>
        <w:t xml:space="preserve">, </w:t>
      </w:r>
      <w:r>
        <w:rPr>
          <w:rStyle w:val="FootnoteReference"/>
        </w:rPr>
        <w:footnoteReference w:id="11"/>
      </w:r>
      <w:r w:rsidR="003968E2">
        <w:t xml:space="preserve">  </w:t>
      </w:r>
      <w:r>
        <w:t>“The electric energy will be purchased, as available, from such facilities at the rate of six (6) cents per kilowatt-hour, or at a rate based on the Company’s avoided costs</w:t>
      </w:r>
      <w:r>
        <w:rPr>
          <w:rStyle w:val="FootnoteReference"/>
        </w:rPr>
        <w:footnoteReference w:id="12"/>
      </w:r>
      <w:r>
        <w:t xml:space="preserve"> when such costs exceed six (6) cents per kilowatt-hour.”  Rider No. 18. </w:t>
      </w:r>
    </w:p>
    <w:p w:rsidR="002F745C" w:rsidRDefault="002F745C" w:rsidP="002F745C">
      <w:pPr>
        <w:spacing w:after="0" w:line="360" w:lineRule="auto"/>
      </w:pPr>
    </w:p>
    <w:p w:rsidR="002F745C" w:rsidRDefault="002F745C" w:rsidP="002F745C">
      <w:pPr>
        <w:spacing w:after="0" w:line="480" w:lineRule="auto"/>
        <w:ind w:left="1440" w:right="1080"/>
      </w:pPr>
      <w:r>
        <w:t>NRG Companies further asserted the following in their complaint.</w:t>
      </w:r>
    </w:p>
    <w:p w:rsidR="002F745C" w:rsidRDefault="002F745C" w:rsidP="001479CC">
      <w:pPr>
        <w:spacing w:after="0" w:line="240" w:lineRule="auto"/>
        <w:ind w:left="1440" w:right="1440"/>
      </w:pPr>
      <w:r>
        <w:t>13.</w:t>
      </w:r>
      <w:r>
        <w:tab/>
        <w:t>NRG Midwest, through various transactions, is a party to a certain Revised QF Agency Agreement, as amended, with Duquesne Light under which NRG Midwest is the ultimate offtaker of the net electric output of two small hydroelectric power generators located in Pennsylvania.</w:t>
      </w:r>
      <w:r>
        <w:rPr>
          <w:rStyle w:val="FootnoteReference"/>
        </w:rPr>
        <w:footnoteReference w:id="13"/>
      </w:r>
    </w:p>
    <w:p w:rsidR="002F745C" w:rsidRDefault="002F745C" w:rsidP="002F745C">
      <w:pPr>
        <w:spacing w:after="0" w:line="240" w:lineRule="auto"/>
        <w:ind w:left="1440" w:right="1080"/>
      </w:pPr>
    </w:p>
    <w:p w:rsidR="002F745C" w:rsidRDefault="002F745C" w:rsidP="001479CC">
      <w:pPr>
        <w:spacing w:after="0" w:line="240" w:lineRule="auto"/>
        <w:ind w:left="1440" w:right="1440"/>
      </w:pPr>
      <w:r>
        <w:t>14.</w:t>
      </w:r>
      <w:r>
        <w:tab/>
        <w:t xml:space="preserve">Per the power purchase agreements currently in place between Duquesne Light and the small hydroelectric power generators (“the PPAs”), the electric energy is purchased subject to the terms and conditions of Duquesne Light’s Tariff . . . .   The </w:t>
      </w:r>
      <w:r>
        <w:lastRenderedPageBreak/>
        <w:t>price of the power so purchased by NRG Midwest is governed, under both the PPAs and the amended Revised QF Agreement, b</w:t>
      </w:r>
      <w:r w:rsidR="002932CD">
        <w:t>y</w:t>
      </w:r>
      <w:r>
        <w:t xml:space="preserve"> Contract Rider No. 18 to Duquesne Light’s Tariff.</w:t>
      </w:r>
    </w:p>
    <w:p w:rsidR="002F745C" w:rsidRDefault="002F745C" w:rsidP="002F745C">
      <w:pPr>
        <w:spacing w:after="0" w:line="240" w:lineRule="auto"/>
        <w:ind w:left="1440" w:right="1080"/>
      </w:pPr>
    </w:p>
    <w:p w:rsidR="002F745C" w:rsidRDefault="002F745C" w:rsidP="001479CC">
      <w:pPr>
        <w:spacing w:after="0" w:line="240" w:lineRule="auto"/>
        <w:ind w:left="1440" w:right="1440"/>
      </w:pPr>
      <w:r>
        <w:t>15.</w:t>
      </w:r>
      <w:r>
        <w:tab/>
        <w:t>Because NRG Midwest’</w:t>
      </w:r>
      <w:r w:rsidR="003968E2">
        <w:t>s</w:t>
      </w:r>
      <w:r>
        <w:t xml:space="preserve"> relationship with Duquesne Light through both the PPAs and the amended Revised QF Agency Agreement is specifically governed by the provisions of Duquesne Light’s approved Tariff, and because current Tariff Rider No. 18 may present an indirect form of rate discrimination benefitting certain customer-generators, NRG Midwest’s interest in the present matter is direct, immediate and substantial.</w:t>
      </w:r>
    </w:p>
    <w:p w:rsidR="002F745C" w:rsidRDefault="002F745C" w:rsidP="002F745C">
      <w:pPr>
        <w:spacing w:after="0" w:line="360" w:lineRule="auto"/>
        <w:ind w:left="1440" w:right="1080" w:hanging="1440"/>
      </w:pPr>
      <w:r>
        <w:tab/>
      </w:r>
      <w:r>
        <w:tab/>
      </w:r>
    </w:p>
    <w:p w:rsidR="002F745C" w:rsidRDefault="002F745C" w:rsidP="002F745C">
      <w:pPr>
        <w:spacing w:after="0" w:line="360" w:lineRule="auto"/>
      </w:pPr>
      <w:r>
        <w:t>NRG Complaint ¶¶ 13-15.</w:t>
      </w:r>
    </w:p>
    <w:p w:rsidR="00AD1294" w:rsidRDefault="00AD1294" w:rsidP="002F745C">
      <w:pPr>
        <w:spacing w:after="0" w:line="360" w:lineRule="auto"/>
      </w:pPr>
    </w:p>
    <w:p w:rsidR="002F745C" w:rsidRDefault="002F745C" w:rsidP="002F745C">
      <w:pPr>
        <w:spacing w:after="0" w:line="360" w:lineRule="auto"/>
      </w:pPr>
      <w:r>
        <w:tab/>
      </w:r>
      <w:r>
        <w:tab/>
        <w:t xml:space="preserve">Duquesne Light admitted NRG’s assertions in Paragraph 13 of the complaint and admitted, in part, the agency agreement asserted in NRG’s Paragraph 14.  Duquesne Light further maintained the agency agreement was subject to Duquesne Light’s FERC-approved </w:t>
      </w:r>
      <w:r w:rsidR="00C06F01">
        <w:t xml:space="preserve">(Federal Energy Regulatory Commission) </w:t>
      </w:r>
      <w:r>
        <w:t>tariff.  As to Paragraph 15, Duquesne Light stated, in part, the averments were conclusions of law to which no responsive pleading was required.   Duquesne Light’s Answer ¶¶ 13-15.</w:t>
      </w:r>
    </w:p>
    <w:p w:rsidR="001479CC" w:rsidRDefault="001479CC" w:rsidP="002F745C">
      <w:pPr>
        <w:spacing w:after="0" w:line="360" w:lineRule="auto"/>
      </w:pPr>
    </w:p>
    <w:p w:rsidR="002F745C" w:rsidRDefault="002F745C" w:rsidP="00C06F01">
      <w:pPr>
        <w:spacing w:after="0" w:line="360" w:lineRule="auto"/>
        <w:ind w:right="1080"/>
      </w:pPr>
      <w:r>
        <w:t>B.</w:t>
      </w:r>
      <w:r>
        <w:tab/>
      </w:r>
      <w:r>
        <w:rPr>
          <w:u w:val="single"/>
        </w:rPr>
        <w:t>Rider No. 18 Dispute</w:t>
      </w:r>
    </w:p>
    <w:p w:rsidR="002F745C" w:rsidRDefault="002F745C" w:rsidP="002F745C">
      <w:pPr>
        <w:spacing w:after="0" w:line="360" w:lineRule="auto"/>
      </w:pPr>
    </w:p>
    <w:p w:rsidR="002F745C" w:rsidRDefault="002F745C" w:rsidP="002F745C">
      <w:pPr>
        <w:spacing w:after="0" w:line="360" w:lineRule="auto"/>
      </w:pPr>
      <w:r>
        <w:tab/>
      </w:r>
      <w:r>
        <w:tab/>
        <w:t>Subsequent to the hearings, NRG retreated from its concerns as to the proposed allocation of the revenue increase and proposed rate design.  Instead NRG reserved the right to challenge the Settling Parties’ Settlement once it was filed and focused on Rider No. 18 issues.  NRG argued as follows:</w:t>
      </w:r>
    </w:p>
    <w:p w:rsidR="002F745C" w:rsidRDefault="002F745C" w:rsidP="002F745C">
      <w:pPr>
        <w:spacing w:after="0" w:line="360" w:lineRule="auto"/>
      </w:pPr>
    </w:p>
    <w:p w:rsidR="002F745C" w:rsidRDefault="002F745C" w:rsidP="001479CC">
      <w:pPr>
        <w:spacing w:after="0" w:line="240" w:lineRule="auto"/>
        <w:ind w:left="1440" w:right="1440"/>
      </w:pPr>
      <w:r>
        <w:t>Upon consideration of the evidence elicited at the hearing in this proceeding, the NRG Companies have decided not to contest the various non-unanimous settlement issues identified in the common brief outline circulated by Duquesne Light to the parties.  . . .  Specifically the NRG Companies reserve the right to argue that terms regarding Rider No. 18 should be included in any approval by the Commission of a settlement.</w:t>
      </w:r>
    </w:p>
    <w:p w:rsidR="002F745C" w:rsidRDefault="002F745C" w:rsidP="002F745C">
      <w:pPr>
        <w:spacing w:after="0" w:line="360" w:lineRule="auto"/>
        <w:ind w:left="1440" w:right="1080"/>
      </w:pPr>
    </w:p>
    <w:p w:rsidR="002F745C" w:rsidRDefault="002F745C" w:rsidP="006073DE">
      <w:pPr>
        <w:spacing w:after="0" w:line="240" w:lineRule="auto"/>
        <w:ind w:right="1080"/>
      </w:pPr>
      <w:r>
        <w:t>NRG Main Brief, pp. 7-8.</w:t>
      </w:r>
    </w:p>
    <w:p w:rsidR="002F745C" w:rsidRDefault="002F745C" w:rsidP="006073DE">
      <w:pPr>
        <w:spacing w:after="0" w:line="360" w:lineRule="auto"/>
        <w:ind w:right="1080"/>
      </w:pPr>
      <w:r>
        <w:lastRenderedPageBreak/>
        <w:tab/>
      </w:r>
      <w:r>
        <w:tab/>
        <w:t xml:space="preserve">Concerning Rider No. 18, NRG raises two questions:  </w:t>
      </w:r>
    </w:p>
    <w:p w:rsidR="00B85CE0" w:rsidRDefault="00B85CE0" w:rsidP="00B85CE0">
      <w:pPr>
        <w:spacing w:after="0" w:line="240" w:lineRule="auto"/>
        <w:ind w:left="1440" w:right="1440"/>
      </w:pPr>
    </w:p>
    <w:p w:rsidR="002F745C" w:rsidRDefault="002F745C" w:rsidP="00B85CE0">
      <w:pPr>
        <w:spacing w:after="0" w:line="240" w:lineRule="auto"/>
        <w:ind w:left="1440" w:right="1440"/>
      </w:pPr>
      <w:r>
        <w:t>Should the Commission permit Duquesne Light’s Rider No. 18 to remain in its tariff, with the force and effect of law, where the provisions and intent of Rider No. 18 are no longer consistent with the Pennsylvania regulatory scheme following the enactment of the Electricity Generation Customer Choice and Competition Act and the Alternative Energy Portfolio Standards Act?</w:t>
      </w:r>
    </w:p>
    <w:p w:rsidR="002F745C" w:rsidRDefault="002F745C" w:rsidP="002F745C">
      <w:pPr>
        <w:spacing w:after="0" w:line="240" w:lineRule="auto"/>
        <w:ind w:left="1440" w:right="1080"/>
      </w:pPr>
    </w:p>
    <w:p w:rsidR="002F745C" w:rsidRDefault="002F745C" w:rsidP="001479CC">
      <w:pPr>
        <w:spacing w:after="0" w:line="240" w:lineRule="auto"/>
        <w:ind w:left="1440" w:right="1440"/>
      </w:pPr>
      <w:r>
        <w:t>Does the energy purchase price contained in Duquesne Light</w:t>
      </w:r>
      <w:r w:rsidR="002B6106">
        <w:t>’</w:t>
      </w:r>
      <w:r>
        <w:t>s Rider No. 18 reflect a just and reasonable price such that it should continue to remain in Duquesne Light’s tariff with the force and effect of law?</w:t>
      </w:r>
    </w:p>
    <w:p w:rsidR="002F745C" w:rsidRDefault="002F745C" w:rsidP="006073DE">
      <w:pPr>
        <w:spacing w:after="0" w:line="360" w:lineRule="auto"/>
        <w:ind w:left="1440" w:right="1080"/>
      </w:pPr>
    </w:p>
    <w:p w:rsidR="002F745C" w:rsidRDefault="002F745C" w:rsidP="006073DE">
      <w:pPr>
        <w:spacing w:after="0" w:line="360" w:lineRule="auto"/>
      </w:pPr>
      <w:r>
        <w:t xml:space="preserve">NRG Main Brief, pp. 5-6.  NRG submits that both questions should be answered in the negative.  As relief, NRG submits Rider No. 18 should be removed from Duquesne Light’s Tariff, or in the alternative, the six cents per kilowatt-hour price should be revised to </w:t>
      </w:r>
      <w:r w:rsidR="002B6106">
        <w:t xml:space="preserve">a </w:t>
      </w:r>
      <w:r>
        <w:t>“price that approximates the average day-ahead locational marginal pricing in the Duquesne Zone.”  NRG Reply Brief, p. 14.</w:t>
      </w:r>
    </w:p>
    <w:p w:rsidR="002F745C" w:rsidRDefault="002F745C" w:rsidP="002F745C">
      <w:pPr>
        <w:spacing w:after="0" w:line="360" w:lineRule="auto"/>
      </w:pPr>
    </w:p>
    <w:p w:rsidR="00C21D32" w:rsidRDefault="002F745C" w:rsidP="00C21D32">
      <w:pPr>
        <w:spacing w:after="0" w:line="360" w:lineRule="auto"/>
        <w:rPr>
          <w:szCs w:val="24"/>
        </w:rPr>
      </w:pPr>
      <w:r>
        <w:tab/>
      </w:r>
      <w:r>
        <w:tab/>
      </w:r>
      <w:r w:rsidR="00C21D32">
        <w:rPr>
          <w:szCs w:val="24"/>
        </w:rPr>
        <w:t>Duquesne Light and Beaver Falls Authority briefed the Rider No. 18 issues and each, in part, argued that 1) NRG Companies had failed to join an indispensable party, i.e., Beaver Valley Power Company, 2) the Commission lacked jurisdiction over the Rider No. 18 issues, and 3) NRG Companies had failed to carry its burden of proving that Rider No. 18 was unjust, unreasonable and discriminatory.</w:t>
      </w:r>
    </w:p>
    <w:p w:rsidR="005416E8" w:rsidRDefault="005416E8" w:rsidP="00C21D32">
      <w:pPr>
        <w:spacing w:after="0" w:line="360" w:lineRule="auto"/>
        <w:ind w:right="1080"/>
        <w:jc w:val="center"/>
      </w:pPr>
    </w:p>
    <w:p w:rsidR="002F745C" w:rsidRDefault="002F745C" w:rsidP="00C21D32">
      <w:pPr>
        <w:spacing w:after="0" w:line="360" w:lineRule="auto"/>
        <w:ind w:right="1080"/>
        <w:jc w:val="center"/>
        <w:rPr>
          <w:u w:val="single"/>
        </w:rPr>
      </w:pPr>
      <w:r>
        <w:t>IV.</w:t>
      </w:r>
      <w:r w:rsidR="00A25469">
        <w:tab/>
      </w:r>
      <w:r>
        <w:rPr>
          <w:u w:val="single"/>
        </w:rPr>
        <w:t>FINDINGS OF FACT</w:t>
      </w:r>
    </w:p>
    <w:p w:rsidR="002F745C" w:rsidRDefault="002F745C" w:rsidP="00C21D32">
      <w:pPr>
        <w:spacing w:after="0" w:line="360" w:lineRule="auto"/>
        <w:ind w:right="1080"/>
      </w:pPr>
      <w:r>
        <w:tab/>
      </w:r>
    </w:p>
    <w:p w:rsidR="002F745C" w:rsidRDefault="002F745C" w:rsidP="00C21D32">
      <w:pPr>
        <w:spacing w:after="0" w:line="360" w:lineRule="auto"/>
      </w:pPr>
      <w:r>
        <w:tab/>
      </w:r>
      <w:r>
        <w:tab/>
        <w:t>1.</w:t>
      </w:r>
      <w:r>
        <w:tab/>
        <w:t>On August 2, 2013, Duquesne Light filed Supplement No. 81 to become effective on October 1, 2013, together with support</w:t>
      </w:r>
      <w:r w:rsidR="00C06F01">
        <w:t>ing</w:t>
      </w:r>
      <w:r>
        <w:t xml:space="preserve"> data, written testimony, and exhibits.</w:t>
      </w:r>
    </w:p>
    <w:p w:rsidR="002F745C" w:rsidRDefault="002F745C" w:rsidP="002F745C">
      <w:pPr>
        <w:spacing w:after="0" w:line="360" w:lineRule="auto"/>
        <w:ind w:right="1080"/>
      </w:pPr>
    </w:p>
    <w:p w:rsidR="002F745C" w:rsidRDefault="002F745C" w:rsidP="002F745C">
      <w:pPr>
        <w:spacing w:after="0" w:line="360" w:lineRule="auto"/>
      </w:pPr>
      <w:r>
        <w:tab/>
      </w:r>
      <w:r>
        <w:tab/>
        <w:t>2.</w:t>
      </w:r>
      <w:r>
        <w:tab/>
        <w:t>Duquesne Light, in Supplement No. 81, proposed a general increase in distribution rates designed to produce approximately $76.3 million in additional annual base rate operating revenues based upon dat</w:t>
      </w:r>
      <w:r w:rsidR="002932CD">
        <w:t>a</w:t>
      </w:r>
      <w:r>
        <w:t xml:space="preserve"> for a Fully Projected Future Test Year (FPFTY) ending April 30, 2015.  Duquesne Light Exhibit No. 2.</w:t>
      </w:r>
    </w:p>
    <w:p w:rsidR="002F745C" w:rsidRDefault="002F745C" w:rsidP="002F745C">
      <w:pPr>
        <w:spacing w:after="0" w:line="360" w:lineRule="auto"/>
      </w:pPr>
      <w:r>
        <w:lastRenderedPageBreak/>
        <w:tab/>
      </w:r>
      <w:r>
        <w:tab/>
        <w:t>3.</w:t>
      </w:r>
      <w:r>
        <w:tab/>
        <w:t>The cost of providing elect</w:t>
      </w:r>
      <w:r w:rsidR="00755070">
        <w:t>ric</w:t>
      </w:r>
      <w:r>
        <w:t xml:space="preserve"> distribution service has increased in many areas, including increased investment in facilities to maintain high levels of service and reliability, increased operation and maintenance (O&amp;M) expenses related to vegetation management and increased costs for the Company’s Information Technology (IT) and cyber security initiatives.  Duquesne Light St. No. 2, pp. 4-5.</w:t>
      </w:r>
    </w:p>
    <w:p w:rsidR="002F745C" w:rsidRDefault="002F745C" w:rsidP="002F745C">
      <w:pPr>
        <w:spacing w:after="0" w:line="360" w:lineRule="auto"/>
      </w:pPr>
    </w:p>
    <w:p w:rsidR="002F745C" w:rsidRDefault="002F745C" w:rsidP="002F745C">
      <w:pPr>
        <w:spacing w:after="0" w:line="360" w:lineRule="auto"/>
      </w:pPr>
      <w:r>
        <w:tab/>
      </w:r>
      <w:r>
        <w:tab/>
        <w:t>4.</w:t>
      </w:r>
      <w:r>
        <w:tab/>
        <w:t>The Company is in the process of implementing a major IT project, referred to as the FOCUS project, to implement a new customer information and billing system, a Meter Data Management System and several other systems that will provide back office IT systems to support the use of smart meters.  Duquesne Light St. No. 1, p. 9.</w:t>
      </w:r>
    </w:p>
    <w:p w:rsidR="00514106" w:rsidRDefault="00514106" w:rsidP="002F745C">
      <w:pPr>
        <w:spacing w:after="0" w:line="360" w:lineRule="auto"/>
      </w:pPr>
    </w:p>
    <w:p w:rsidR="002F745C" w:rsidRDefault="002F745C" w:rsidP="002F745C">
      <w:pPr>
        <w:spacing w:after="0" w:line="360" w:lineRule="auto"/>
      </w:pPr>
      <w:r>
        <w:tab/>
      </w:r>
      <w:r>
        <w:tab/>
        <w:t>5.</w:t>
      </w:r>
      <w:r>
        <w:tab/>
        <w:t>The Company has incurred and continues to incur significant O&amp;M expenses for its IT projects, an average of approximately $4.66 million per year for the Historical Test Year (HTY), Future Test Year (FTY) and Fully Projected Future Test Year (FPFTY).  Duquesne Light Exhibit No. 2, Schedule D-11.</w:t>
      </w:r>
    </w:p>
    <w:p w:rsidR="002F745C" w:rsidRDefault="002F745C" w:rsidP="002F745C">
      <w:pPr>
        <w:spacing w:after="0" w:line="360" w:lineRule="auto"/>
      </w:pPr>
    </w:p>
    <w:p w:rsidR="002F745C" w:rsidRDefault="002F745C" w:rsidP="002F745C">
      <w:pPr>
        <w:spacing w:after="0" w:line="360" w:lineRule="auto"/>
        <w:rPr>
          <w:szCs w:val="24"/>
        </w:rPr>
      </w:pPr>
      <w:r>
        <w:tab/>
      </w:r>
      <w:r>
        <w:tab/>
        <w:t>6.</w:t>
      </w:r>
      <w:r>
        <w:tab/>
        <w:t xml:space="preserve">The Company is enhancing its vegetation management program to meet increasing challenges in maintaining highly reliable and continuous service to customers and reduce outages from storms.  Duquesne Light St. No. 4, p. 2.  The </w:t>
      </w:r>
      <w:r w:rsidR="001237DB">
        <w:t>C</w:t>
      </w:r>
      <w:r>
        <w:rPr>
          <w:szCs w:val="24"/>
        </w:rPr>
        <w:t>ompany is projecting an increase in vegetation management spending from $8.1 million in the HTY, to $12.3 million for the FTY and $15 million for the FPFTY.</w:t>
      </w:r>
    </w:p>
    <w:p w:rsidR="005416E8" w:rsidRDefault="005416E8" w:rsidP="002F745C">
      <w:pPr>
        <w:spacing w:after="0" w:line="360" w:lineRule="auto"/>
        <w:rPr>
          <w:szCs w:val="24"/>
        </w:rPr>
      </w:pPr>
    </w:p>
    <w:p w:rsidR="002F745C" w:rsidRDefault="002F745C" w:rsidP="002F745C">
      <w:pPr>
        <w:spacing w:after="0" w:line="360" w:lineRule="auto"/>
      </w:pPr>
      <w:r>
        <w:rPr>
          <w:szCs w:val="24"/>
        </w:rPr>
        <w:tab/>
      </w:r>
      <w:r>
        <w:rPr>
          <w:szCs w:val="24"/>
        </w:rPr>
        <w:tab/>
        <w:t>7.</w:t>
      </w:r>
      <w:r>
        <w:rPr>
          <w:szCs w:val="24"/>
        </w:rPr>
        <w:tab/>
        <w:t xml:space="preserve">The increase in vegetation management spending is primarily due to three factors: (1) increased contractor costs; (2) increased work to eliminate ash trees that have </w:t>
      </w:r>
      <w:r w:rsidR="00BF380F">
        <w:rPr>
          <w:szCs w:val="24"/>
        </w:rPr>
        <w:t>been infected</w:t>
      </w:r>
      <w:r>
        <w:rPr>
          <w:szCs w:val="24"/>
        </w:rPr>
        <w:t xml:space="preserve"> by the emerald ash borer that pose a safety threat to the Company’s distribution system; and (3) a change in the Company’s vegetation management specifications to include pruning or removal of targeted trees that have a higher potential of causing outages due to falling trees and limbs.  </w:t>
      </w:r>
      <w:r>
        <w:t>Duquesne Light St. No. 4-R, pp. 3-4.</w:t>
      </w:r>
    </w:p>
    <w:p w:rsidR="002F745C" w:rsidRDefault="002F745C" w:rsidP="002F745C">
      <w:pPr>
        <w:spacing w:after="0" w:line="360" w:lineRule="auto"/>
      </w:pPr>
    </w:p>
    <w:p w:rsidR="002F745C" w:rsidRDefault="002F745C" w:rsidP="002F745C">
      <w:pPr>
        <w:spacing w:after="0" w:line="360" w:lineRule="auto"/>
      </w:pPr>
      <w:r>
        <w:lastRenderedPageBreak/>
        <w:tab/>
      </w:r>
      <w:r>
        <w:tab/>
        <w:t>8.</w:t>
      </w:r>
      <w:r>
        <w:tab/>
        <w:t xml:space="preserve">The Company is committing to spend $15 million for distribution system vegetation management on an annual basis for three years commencing with the effective date of new rates in this proceeding. </w:t>
      </w:r>
      <w:r w:rsidR="00AA29AE">
        <w:t xml:space="preserve"> </w:t>
      </w:r>
      <w:r>
        <w:t>Duquesne Light St. No. 4, p. 9.</w:t>
      </w:r>
    </w:p>
    <w:p w:rsidR="002F745C" w:rsidRDefault="002F745C" w:rsidP="002F745C">
      <w:pPr>
        <w:spacing w:after="0" w:line="360" w:lineRule="auto"/>
      </w:pPr>
    </w:p>
    <w:p w:rsidR="002F745C" w:rsidRDefault="002F745C" w:rsidP="002F745C">
      <w:pPr>
        <w:spacing w:after="0" w:line="360" w:lineRule="auto"/>
      </w:pPr>
      <w:r>
        <w:tab/>
      </w:r>
      <w:r>
        <w:tab/>
        <w:t>9.</w:t>
      </w:r>
      <w:r>
        <w:tab/>
        <w:t xml:space="preserve">The Company will incur a significant cost increase related to its need to expand its IT team and to assure appropriate levels of cyber security. </w:t>
      </w:r>
      <w:r w:rsidR="00AA29AE">
        <w:t xml:space="preserve"> </w:t>
      </w:r>
      <w:r>
        <w:t>The Company has recently hired a Chief Information Officer who will build a team to provide increased oversight of the Company’s IT initiatives.  Duquesne Light St. No. 1, p. 13; Duquesne Light St. No. 2-R, p. 9.</w:t>
      </w:r>
    </w:p>
    <w:p w:rsidR="002F745C" w:rsidRDefault="002F745C" w:rsidP="002F745C">
      <w:pPr>
        <w:spacing w:after="0" w:line="360" w:lineRule="auto"/>
      </w:pPr>
    </w:p>
    <w:p w:rsidR="002F745C" w:rsidRDefault="002F745C" w:rsidP="002F745C">
      <w:pPr>
        <w:spacing w:after="0" w:line="360" w:lineRule="auto"/>
        <w:rPr>
          <w:i/>
        </w:rPr>
      </w:pPr>
      <w:r>
        <w:tab/>
      </w:r>
      <w:r>
        <w:tab/>
        <w:t>10.</w:t>
      </w:r>
      <w:r>
        <w:tab/>
        <w:t xml:space="preserve">Absent rate relief, Duquesne Light projected an overall return on rate base of </w:t>
      </w:r>
      <w:r w:rsidR="00AA29AE">
        <w:t>approximate</w:t>
      </w:r>
      <w:r>
        <w:t>ly 5.67% for the FPFTY.  Duquesne Light Exhibit No. 2, Schedule C-1, column 2, line 3.</w:t>
      </w:r>
    </w:p>
    <w:p w:rsidR="002F745C" w:rsidRDefault="002F745C" w:rsidP="002F745C">
      <w:pPr>
        <w:spacing w:after="0" w:line="360" w:lineRule="auto"/>
      </w:pPr>
    </w:p>
    <w:p w:rsidR="002F745C" w:rsidRDefault="002F745C" w:rsidP="002F745C">
      <w:pPr>
        <w:spacing w:after="0" w:line="360" w:lineRule="auto"/>
      </w:pPr>
      <w:r>
        <w:tab/>
      </w:r>
      <w:r>
        <w:tab/>
        <w:t>11.</w:t>
      </w:r>
      <w:r>
        <w:tab/>
        <w:t>The distribution revenue increase of $48 million is within the range of litigation positions of the parties that presented evidence regarding revenue and expenses in this proceeding.</w:t>
      </w:r>
      <w:r w:rsidR="00AA29AE">
        <w:t xml:space="preserve"> </w:t>
      </w:r>
      <w:r>
        <w:t xml:space="preserve"> I&amp;E St. No. 2-SR, p.</w:t>
      </w:r>
      <w:r w:rsidR="00AA29AE">
        <w:t xml:space="preserve"> </w:t>
      </w:r>
      <w:r>
        <w:t>22; OCA St. No. 1-SR, p. 22; OCA St. No. 1-SR, p.</w:t>
      </w:r>
      <w:r w:rsidR="00AA29AE">
        <w:t xml:space="preserve"> </w:t>
      </w:r>
      <w:r>
        <w:t>2.</w:t>
      </w:r>
    </w:p>
    <w:p w:rsidR="002F745C" w:rsidRDefault="002F745C" w:rsidP="002F745C">
      <w:pPr>
        <w:spacing w:after="0" w:line="360" w:lineRule="auto"/>
      </w:pPr>
    </w:p>
    <w:p w:rsidR="002F745C" w:rsidRDefault="002F745C" w:rsidP="002F745C">
      <w:pPr>
        <w:spacing w:after="0" w:line="360" w:lineRule="auto"/>
      </w:pPr>
      <w:r>
        <w:tab/>
      </w:r>
      <w:r>
        <w:tab/>
        <w:t>12.</w:t>
      </w:r>
      <w:r>
        <w:tab/>
        <w:t>The proposed Settlement is a “black box.”  The Settling Parties did not negotiate each and every revenue and expense item but reached a compromise on the final revenue number based upon their respective revenue and expense analysis.</w:t>
      </w:r>
    </w:p>
    <w:p w:rsidR="00783452" w:rsidRDefault="00783452" w:rsidP="002F745C">
      <w:pPr>
        <w:spacing w:after="0" w:line="360" w:lineRule="auto"/>
      </w:pPr>
    </w:p>
    <w:p w:rsidR="002F745C" w:rsidRDefault="002F745C" w:rsidP="002F745C">
      <w:pPr>
        <w:spacing w:after="0" w:line="360" w:lineRule="auto"/>
      </w:pPr>
      <w:r>
        <w:tab/>
      </w:r>
      <w:r>
        <w:tab/>
        <w:t>13.</w:t>
      </w:r>
      <w:r>
        <w:tab/>
        <w:t>On January 30, 2014, NRG filed O</w:t>
      </w:r>
      <w:r w:rsidR="00AB4746">
        <w:t xml:space="preserve">bjections of NRG Power Midwest </w:t>
      </w:r>
      <w:r>
        <w:t>LP, NRG Energy Center Pittsburgh, and Reliant Energy Northeast LLC to the Joint Petition For Non-Unanimous Settlement.  NRG’s Objections to Settlement.</w:t>
      </w:r>
    </w:p>
    <w:p w:rsidR="005416E8" w:rsidRDefault="005416E8" w:rsidP="002F745C">
      <w:pPr>
        <w:spacing w:after="0" w:line="360" w:lineRule="auto"/>
      </w:pPr>
    </w:p>
    <w:p w:rsidR="002F745C" w:rsidRDefault="002F745C" w:rsidP="002F745C">
      <w:pPr>
        <w:spacing w:after="0" w:line="360" w:lineRule="auto"/>
      </w:pPr>
      <w:r>
        <w:tab/>
      </w:r>
      <w:r>
        <w:tab/>
        <w:t>14.</w:t>
      </w:r>
      <w:r>
        <w:tab/>
        <w:t xml:space="preserve">NRG was the only party to this proceeding to file objections to the proposed Settlement.   </w:t>
      </w:r>
    </w:p>
    <w:p w:rsidR="002F745C" w:rsidRDefault="002F745C" w:rsidP="002F745C">
      <w:pPr>
        <w:spacing w:after="0" w:line="360" w:lineRule="auto"/>
      </w:pPr>
    </w:p>
    <w:p w:rsidR="002F745C" w:rsidRDefault="002F745C" w:rsidP="002F745C">
      <w:pPr>
        <w:spacing w:after="0" w:line="360" w:lineRule="auto"/>
      </w:pPr>
      <w:r>
        <w:tab/>
      </w:r>
      <w:r>
        <w:tab/>
        <w:t>15.</w:t>
      </w:r>
      <w:r>
        <w:tab/>
        <w:t xml:space="preserve">NRG filed objections to the proposed Settlement as not being in the public interest because “[t]he Settlement does not address the concerns raised about Rider No. 18.”   NRG’s Objections to Settlement, p. 3.  </w:t>
      </w:r>
    </w:p>
    <w:p w:rsidR="002F745C" w:rsidRDefault="002F745C" w:rsidP="002F745C">
      <w:pPr>
        <w:spacing w:after="0" w:line="360" w:lineRule="auto"/>
      </w:pPr>
      <w:r>
        <w:lastRenderedPageBreak/>
        <w:tab/>
      </w:r>
      <w:r>
        <w:tab/>
        <w:t>16.</w:t>
      </w:r>
      <w:r>
        <w:tab/>
        <w:t xml:space="preserve">On February 4, 2014, </w:t>
      </w:r>
      <w:r>
        <w:rPr>
          <w:rFonts w:eastAsia="Times New Roman"/>
          <w:szCs w:val="24"/>
        </w:rPr>
        <w:t>Du</w:t>
      </w:r>
      <w:r w:rsidR="00B937F0">
        <w:rPr>
          <w:rFonts w:eastAsia="Times New Roman"/>
          <w:szCs w:val="24"/>
        </w:rPr>
        <w:t xml:space="preserve">quesne Light, OCA, CAUSE-PA, </w:t>
      </w:r>
      <w:r w:rsidR="00CA7790">
        <w:rPr>
          <w:rFonts w:eastAsia="Times New Roman"/>
          <w:szCs w:val="24"/>
        </w:rPr>
        <w:t>U. S. Steel</w:t>
      </w:r>
      <w:r>
        <w:rPr>
          <w:rFonts w:eastAsia="Times New Roman"/>
          <w:szCs w:val="24"/>
        </w:rPr>
        <w:t xml:space="preserve"> and Beaver Falls </w:t>
      </w:r>
      <w:r w:rsidR="000347E7">
        <w:rPr>
          <w:rFonts w:eastAsia="Times New Roman"/>
          <w:szCs w:val="24"/>
        </w:rPr>
        <w:t xml:space="preserve">Municipal Authority (Beaver Falls Authority) </w:t>
      </w:r>
      <w:r>
        <w:rPr>
          <w:rFonts w:eastAsia="Times New Roman"/>
          <w:szCs w:val="24"/>
        </w:rPr>
        <w:t xml:space="preserve">filed responses to NRG’s objections to the proposed Settlement.  Each submitted NRG’s objections should be denied and the Settlement should be approved.  </w:t>
      </w:r>
    </w:p>
    <w:p w:rsidR="002F745C" w:rsidRDefault="002F745C" w:rsidP="002F745C">
      <w:pPr>
        <w:spacing w:after="0" w:line="360" w:lineRule="auto"/>
      </w:pPr>
      <w:r>
        <w:tab/>
      </w:r>
      <w:r>
        <w:tab/>
      </w:r>
    </w:p>
    <w:p w:rsidR="00F90A93" w:rsidRDefault="00F90A93" w:rsidP="00A21F92">
      <w:pPr>
        <w:spacing w:after="0" w:line="360" w:lineRule="auto"/>
        <w:jc w:val="center"/>
      </w:pPr>
      <w:r>
        <w:t>V.</w:t>
      </w:r>
      <w:r>
        <w:tab/>
      </w:r>
      <w:r>
        <w:rPr>
          <w:u w:val="single"/>
        </w:rPr>
        <w:t>DISCUSSION</w:t>
      </w:r>
    </w:p>
    <w:p w:rsidR="00F90A93" w:rsidRDefault="00F90A93" w:rsidP="00A21F92">
      <w:pPr>
        <w:spacing w:after="0" w:line="360" w:lineRule="auto"/>
      </w:pPr>
    </w:p>
    <w:p w:rsidR="00F90A93" w:rsidRDefault="00F90A93" w:rsidP="00A21F92">
      <w:pPr>
        <w:spacing w:after="0" w:line="360" w:lineRule="auto"/>
      </w:pPr>
      <w:r>
        <w:t xml:space="preserve">A. </w:t>
      </w:r>
      <w:r>
        <w:tab/>
      </w:r>
      <w:r>
        <w:rPr>
          <w:u w:val="single"/>
        </w:rPr>
        <w:t>Applicable Legal Principles</w:t>
      </w:r>
    </w:p>
    <w:p w:rsidR="00F90A93" w:rsidRDefault="00F90A93" w:rsidP="00F90A93">
      <w:pPr>
        <w:spacing w:after="0" w:line="360" w:lineRule="auto"/>
      </w:pPr>
    </w:p>
    <w:p w:rsidR="00F90A93" w:rsidRDefault="00F90A93" w:rsidP="00F90A93">
      <w:pPr>
        <w:spacing w:after="0" w:line="360" w:lineRule="auto"/>
        <w:ind w:firstLine="720"/>
        <w:rPr>
          <w:u w:val="single"/>
        </w:rPr>
      </w:pPr>
      <w:r>
        <w:t>1.</w:t>
      </w:r>
      <w:r>
        <w:tab/>
      </w:r>
      <w:r>
        <w:rPr>
          <w:u w:val="single"/>
        </w:rPr>
        <w:t>Commission Policy of Settlements</w:t>
      </w:r>
    </w:p>
    <w:p w:rsidR="00F90A93" w:rsidRDefault="00F90A93" w:rsidP="00F90A93">
      <w:pPr>
        <w:spacing w:after="0" w:line="360" w:lineRule="auto"/>
        <w:ind w:firstLine="720"/>
      </w:pPr>
    </w:p>
    <w:p w:rsidR="00F90A93" w:rsidRDefault="00F90A93" w:rsidP="00F90A93">
      <w:pPr>
        <w:spacing w:after="0" w:line="360" w:lineRule="auto"/>
      </w:pPr>
      <w:r>
        <w:tab/>
      </w:r>
      <w:r>
        <w:tab/>
        <w:t>The Commission encourages parties in contested on-the-record proceedin</w:t>
      </w:r>
      <w:r w:rsidR="00E90009">
        <w:t>gs to settle cases.  See 52 Pa.</w:t>
      </w:r>
      <w:r>
        <w:t>Code §</w:t>
      </w:r>
      <w:r w:rsidR="00E90009">
        <w:t xml:space="preserve"> </w:t>
      </w:r>
      <w:r>
        <w:t>5.231(a).  Settlements eliminate or significantly reduce the time, effort, and expense of litigating a proceeding to its final conclusion, which might include review of the Commission’s decision by the Pennsylvania appellate courts.  Such savings directly benefit the individual parties to a proceeding, however, these savings also benefit the Commission and all ratepayers of the utility, who otherwise may have to bear the financial burden such litigation necessarily entails.</w:t>
      </w:r>
    </w:p>
    <w:p w:rsidR="00F90A93" w:rsidRDefault="00F90A93" w:rsidP="00F90A93">
      <w:pPr>
        <w:spacing w:after="0" w:line="360" w:lineRule="auto"/>
      </w:pPr>
    </w:p>
    <w:p w:rsidR="00F90A93" w:rsidRDefault="00F90A93" w:rsidP="00F90A93">
      <w:pPr>
        <w:spacing w:after="0" w:line="360" w:lineRule="auto"/>
      </w:pPr>
      <w:r>
        <w:tab/>
      </w:r>
      <w:r>
        <w:tab/>
        <w:t>The Commission’s policy to encourage “black box” settlements was recently restated, in ruling upon a private complainant’s exceptions to the “black box” settlement</w:t>
      </w:r>
      <w:r w:rsidR="00E90009">
        <w:t>,</w:t>
      </w:r>
      <w:r>
        <w:t xml:space="preserve"> as follows.</w:t>
      </w:r>
    </w:p>
    <w:p w:rsidR="00F90A93" w:rsidRDefault="00F90A93" w:rsidP="00F90A93">
      <w:pPr>
        <w:spacing w:after="0" w:line="240" w:lineRule="auto"/>
        <w:rPr>
          <w:szCs w:val="24"/>
        </w:rPr>
      </w:pPr>
    </w:p>
    <w:p w:rsidR="00F90A93" w:rsidRDefault="00F90A93" w:rsidP="00F90A93">
      <w:pPr>
        <w:spacing w:after="0" w:line="240" w:lineRule="auto"/>
        <w:ind w:left="1440" w:right="1440"/>
        <w:rPr>
          <w:szCs w:val="24"/>
        </w:rPr>
      </w:pPr>
      <w:r>
        <w:rPr>
          <w:szCs w:val="24"/>
        </w:rPr>
        <w:t xml:space="preserve">We have historically permitted the use of “black box” settlements as a means of promoting settlement among the parties in contentious base rate proceedings.  </w:t>
      </w:r>
      <w:r>
        <w:rPr>
          <w:i/>
          <w:iCs/>
          <w:szCs w:val="24"/>
        </w:rPr>
        <w:t>See</w:t>
      </w:r>
      <w:r>
        <w:rPr>
          <w:szCs w:val="24"/>
        </w:rPr>
        <w:t xml:space="preserve">, </w:t>
      </w:r>
      <w:r>
        <w:rPr>
          <w:i/>
          <w:iCs/>
          <w:szCs w:val="24"/>
        </w:rPr>
        <w:t>Pa. PUC v. Wellsboro Electric Co</w:t>
      </w:r>
      <w:r>
        <w:rPr>
          <w:szCs w:val="24"/>
        </w:rPr>
        <w:t xml:space="preserve">., Docket No. R-2010-2172662 (Final Order entered January 13, 2011); </w:t>
      </w:r>
      <w:r>
        <w:rPr>
          <w:i/>
          <w:iCs/>
          <w:szCs w:val="24"/>
        </w:rPr>
        <w:t>Pa. PUC v. Citizens’ Electric Co. of Lewisburg, PA</w:t>
      </w:r>
      <w:r>
        <w:rPr>
          <w:szCs w:val="24"/>
        </w:rPr>
        <w:t xml:space="preserve">, Docket No. R-2010-2172665 (Final Order entered January 13, 2011).  Settlement of rate cases saves a significant amount of time and expense for customers, companies, and the Commission and often results in alternatives that may not have been realized during the litigation process.  Determining a company’s revenue requirement is a calculation involving many complex and interrelated adjustments that affect expenses, depreciation, rate </w:t>
      </w:r>
      <w:r>
        <w:rPr>
          <w:szCs w:val="24"/>
        </w:rPr>
        <w:lastRenderedPageBreak/>
        <w:t xml:space="preserve">base, taxes and the company’s cost of capital.  Reaching an agreement between various parties on each component of a rate increase can be difficult and impractical in many cases.  For these reasons, we support the use of a “black box” settlement in this proceeding and, accordingly, deny this Exception. </w:t>
      </w:r>
    </w:p>
    <w:p w:rsidR="00F90A93" w:rsidRDefault="00F90A93" w:rsidP="00F90A93">
      <w:pPr>
        <w:spacing w:after="0" w:line="360" w:lineRule="auto"/>
        <w:rPr>
          <w:szCs w:val="24"/>
        </w:rPr>
      </w:pPr>
    </w:p>
    <w:p w:rsidR="00F90A93" w:rsidRDefault="00F90A93" w:rsidP="00F90A93">
      <w:pPr>
        <w:spacing w:after="0" w:line="360" w:lineRule="auto"/>
        <w:rPr>
          <w:szCs w:val="24"/>
        </w:rPr>
      </w:pPr>
      <w:r w:rsidRPr="00E90009">
        <w:rPr>
          <w:i/>
          <w:szCs w:val="24"/>
        </w:rPr>
        <w:t>Pa. P</w:t>
      </w:r>
      <w:r w:rsidR="00E90009">
        <w:rPr>
          <w:i/>
          <w:szCs w:val="24"/>
        </w:rPr>
        <w:t>ub. Util. Comm’n</w:t>
      </w:r>
      <w:r w:rsidRPr="00E90009">
        <w:rPr>
          <w:i/>
          <w:szCs w:val="24"/>
        </w:rPr>
        <w:t>, et al. v. Peoples TWP</w:t>
      </w:r>
      <w:r>
        <w:rPr>
          <w:szCs w:val="24"/>
        </w:rPr>
        <w:t>, Docket No. R-2013-2355886 (Opinion and Order entered December 19, 2013, p. 28).</w:t>
      </w:r>
    </w:p>
    <w:p w:rsidR="00F90A93" w:rsidRDefault="00F90A93" w:rsidP="00F90A93">
      <w:pPr>
        <w:spacing w:after="0" w:line="360" w:lineRule="auto"/>
        <w:rPr>
          <w:szCs w:val="24"/>
        </w:rPr>
      </w:pPr>
    </w:p>
    <w:p w:rsidR="00F90A93" w:rsidRDefault="00F90A93" w:rsidP="00F90A93">
      <w:pPr>
        <w:spacing w:after="0" w:line="360" w:lineRule="auto"/>
      </w:pPr>
      <w:r>
        <w:tab/>
      </w:r>
      <w:r>
        <w:tab/>
        <w:t>Once the settling parties have submitted their joint settlement petition for approval, the princip</w:t>
      </w:r>
      <w:r w:rsidR="00E74487">
        <w:t>al</w:t>
      </w:r>
      <w:r>
        <w:t xml:space="preserve"> issue for Commission consideration is whether the agreement serves the public interest.  </w:t>
      </w:r>
      <w:r w:rsidR="005F1CA6">
        <w:rPr>
          <w:i/>
        </w:rPr>
        <w:t>Pa. Pub. Util. Comm’n</w:t>
      </w:r>
      <w:r>
        <w:rPr>
          <w:i/>
        </w:rPr>
        <w:t xml:space="preserve"> v. Philadelphia Electric Company</w:t>
      </w:r>
      <w:r>
        <w:t xml:space="preserve">, 60 Pa. PUC 1, 21 (1985); </w:t>
      </w:r>
      <w:r w:rsidR="005F1CA6">
        <w:rPr>
          <w:i/>
        </w:rPr>
        <w:t>Pa. Pub. Util. Comm’n</w:t>
      </w:r>
      <w:r>
        <w:rPr>
          <w:i/>
        </w:rPr>
        <w:t xml:space="preserve"> v. </w:t>
      </w:r>
      <w:r w:rsidR="00A74623">
        <w:rPr>
          <w:i/>
        </w:rPr>
        <w:t>CS</w:t>
      </w:r>
      <w:r>
        <w:rPr>
          <w:i/>
        </w:rPr>
        <w:t xml:space="preserve"> Water and Sewer Associates</w:t>
      </w:r>
      <w:r>
        <w:t xml:space="preserve">, 74 Pa. PUC 767, 771 (1991). </w:t>
      </w:r>
    </w:p>
    <w:p w:rsidR="00093513" w:rsidRDefault="00093513" w:rsidP="00F90A93">
      <w:pPr>
        <w:spacing w:after="0" w:line="360" w:lineRule="auto"/>
      </w:pPr>
    </w:p>
    <w:p w:rsidR="006C3CE2" w:rsidRDefault="00F90A93" w:rsidP="006C3CE2">
      <w:pPr>
        <w:spacing w:after="0" w:line="360" w:lineRule="auto"/>
        <w:rPr>
          <w:rFonts w:eastAsia="Times New Roman"/>
          <w:b/>
          <w:color w:val="000000"/>
          <w:szCs w:val="24"/>
        </w:rPr>
      </w:pPr>
      <w:r>
        <w:tab/>
      </w:r>
      <w:r w:rsidR="00514106">
        <w:rPr>
          <w:rFonts w:eastAsia="Times New Roman"/>
          <w:color w:val="000000"/>
          <w:szCs w:val="24"/>
        </w:rPr>
        <w:t>2</w:t>
      </w:r>
      <w:r w:rsidR="006C3CE2">
        <w:rPr>
          <w:rFonts w:eastAsia="Times New Roman"/>
          <w:b/>
          <w:color w:val="000000"/>
          <w:szCs w:val="24"/>
        </w:rPr>
        <w:t>.</w:t>
      </w:r>
      <w:r w:rsidR="006C3CE2">
        <w:rPr>
          <w:rFonts w:eastAsia="Times New Roman"/>
          <w:b/>
          <w:color w:val="000000"/>
          <w:szCs w:val="24"/>
        </w:rPr>
        <w:tab/>
      </w:r>
      <w:r w:rsidR="006C3CE2">
        <w:rPr>
          <w:rFonts w:eastAsia="Times New Roman"/>
          <w:color w:val="000000"/>
          <w:szCs w:val="24"/>
          <w:u w:val="single"/>
        </w:rPr>
        <w:t>Burden of Proof</w:t>
      </w:r>
    </w:p>
    <w:p w:rsidR="006C3CE2" w:rsidRDefault="006C3CE2" w:rsidP="006C3CE2">
      <w:pPr>
        <w:tabs>
          <w:tab w:val="left" w:pos="-720"/>
        </w:tabs>
        <w:suppressAutoHyphens/>
        <w:spacing w:after="0" w:line="360" w:lineRule="auto"/>
        <w:rPr>
          <w:rFonts w:eastAsia="Times New Roman"/>
          <w:szCs w:val="24"/>
        </w:rPr>
      </w:pPr>
    </w:p>
    <w:p w:rsidR="006C3CE2" w:rsidRDefault="006C3CE2" w:rsidP="006C3CE2">
      <w:pPr>
        <w:spacing w:after="0" w:line="360" w:lineRule="auto"/>
      </w:pPr>
      <w:r>
        <w:rPr>
          <w:rFonts w:eastAsia="Times New Roman"/>
          <w:szCs w:val="24"/>
        </w:rPr>
        <w:tab/>
      </w:r>
      <w:r>
        <w:rPr>
          <w:rFonts w:eastAsia="Times New Roman"/>
          <w:szCs w:val="24"/>
        </w:rPr>
        <w:tab/>
        <w:t>When the Commission on its own motion initiates an investigation into a proposed or existing rate of a public utility, the burden of proof as to the justness and reasonableness of the proposed or existing rat</w:t>
      </w:r>
      <w:r w:rsidR="00987E9D">
        <w:rPr>
          <w:rFonts w:eastAsia="Times New Roman"/>
          <w:szCs w:val="24"/>
        </w:rPr>
        <w:t xml:space="preserve">e is upon the public utility.  </w:t>
      </w:r>
      <w:r>
        <w:t>The Public Utility Code, Section 315(a), provides as follows:</w:t>
      </w:r>
    </w:p>
    <w:p w:rsidR="006C3CE2" w:rsidRDefault="006C3CE2" w:rsidP="006C3CE2">
      <w:pPr>
        <w:spacing w:after="0" w:line="360" w:lineRule="auto"/>
      </w:pPr>
    </w:p>
    <w:p w:rsidR="006C3CE2" w:rsidRDefault="006C3CE2" w:rsidP="006C3CE2">
      <w:pPr>
        <w:spacing w:after="0"/>
        <w:ind w:left="1440" w:right="1440"/>
      </w:pPr>
      <w:r>
        <w:t xml:space="preserve">(a)  Reasonableness of rates. – In any proceeding upon the motion of the commission, involving any </w:t>
      </w:r>
      <w:r>
        <w:rPr>
          <w:i/>
        </w:rPr>
        <w:t>proposed or existing</w:t>
      </w:r>
      <w:r>
        <w:t xml:space="preserve"> rate of any public utility, or in any proceedings upon complaint involving any proposed increase in rates, </w:t>
      </w:r>
      <w:r>
        <w:rPr>
          <w:i/>
        </w:rPr>
        <w:t>the burden of proof to show that the rate involved is just and reasonable shall be upon the public utility</w:t>
      </w:r>
      <w:r>
        <w:t>.</w:t>
      </w:r>
    </w:p>
    <w:p w:rsidR="006C3CE2" w:rsidRDefault="006C3CE2" w:rsidP="006C3CE2">
      <w:pPr>
        <w:tabs>
          <w:tab w:val="left" w:pos="9360"/>
        </w:tabs>
        <w:spacing w:after="0" w:line="360" w:lineRule="auto"/>
      </w:pPr>
    </w:p>
    <w:p w:rsidR="006C3CE2" w:rsidRDefault="006C3CE2" w:rsidP="006C3CE2">
      <w:pPr>
        <w:tabs>
          <w:tab w:val="left" w:pos="9360"/>
        </w:tabs>
        <w:spacing w:after="0" w:line="360" w:lineRule="auto"/>
      </w:pPr>
      <w:r>
        <w:t>66 Pa. C.S. § 315(a) (emphasis added).</w:t>
      </w:r>
    </w:p>
    <w:p w:rsidR="006C3CE2" w:rsidRDefault="006C3CE2" w:rsidP="006C3CE2">
      <w:pPr>
        <w:tabs>
          <w:tab w:val="left" w:pos="9360"/>
        </w:tabs>
        <w:spacing w:after="0" w:line="360" w:lineRule="auto"/>
      </w:pPr>
    </w:p>
    <w:p w:rsidR="006C3CE2" w:rsidRDefault="006C3CE2" w:rsidP="006C3CE2">
      <w:pPr>
        <w:spacing w:after="0" w:line="360" w:lineRule="auto"/>
      </w:pPr>
      <w:r>
        <w:tab/>
      </w:r>
      <w:r>
        <w:tab/>
        <w:t xml:space="preserve">In construing Section 315(a), the Commonwealth Court has stated: </w:t>
      </w:r>
    </w:p>
    <w:p w:rsidR="006C3CE2" w:rsidRDefault="006C3CE2" w:rsidP="006C3CE2">
      <w:pPr>
        <w:spacing w:after="0"/>
        <w:ind w:left="1440" w:right="1440"/>
      </w:pPr>
    </w:p>
    <w:p w:rsidR="006C3CE2" w:rsidRDefault="006C3CE2" w:rsidP="006C3CE2">
      <w:pPr>
        <w:spacing w:after="0"/>
        <w:ind w:left="1440" w:right="1440"/>
      </w:pPr>
      <w:r>
        <w:t>Section 315(a) of the Public Utility Code, 66 Pa.C.S. §315(a), places the burden of proving the justness and reasonableness of a proposed rate hike squarely on the public utility.  It is well-</w:t>
      </w:r>
      <w:r>
        <w:lastRenderedPageBreak/>
        <w:t xml:space="preserve">established that the evidence adduced by a utility to meet this burden must be substantial.  </w:t>
      </w:r>
    </w:p>
    <w:p w:rsidR="006C3CE2" w:rsidRDefault="006C3CE2" w:rsidP="006C3CE2">
      <w:pPr>
        <w:tabs>
          <w:tab w:val="left" w:pos="9360"/>
        </w:tabs>
        <w:spacing w:after="0" w:line="360" w:lineRule="auto"/>
        <w:rPr>
          <w:i/>
        </w:rPr>
      </w:pPr>
    </w:p>
    <w:p w:rsidR="006C3CE2" w:rsidRDefault="006C3CE2" w:rsidP="006C3CE2">
      <w:pPr>
        <w:tabs>
          <w:tab w:val="left" w:pos="9360"/>
        </w:tabs>
        <w:spacing w:after="0" w:line="360" w:lineRule="auto"/>
      </w:pPr>
      <w:r>
        <w:rPr>
          <w:i/>
        </w:rPr>
        <w:t>Lower Frederick Twp. v. Pa. P</w:t>
      </w:r>
      <w:r w:rsidR="00987E9D">
        <w:rPr>
          <w:i/>
        </w:rPr>
        <w:t>ub. Util. Comm’n</w:t>
      </w:r>
      <w:r w:rsidR="00987E9D">
        <w:t>, 409 A.2d 505, 507 (Pa.</w:t>
      </w:r>
      <w:r>
        <w:t xml:space="preserve">Cmwlth. 1980).  </w:t>
      </w:r>
      <w:r>
        <w:rPr>
          <w:i/>
        </w:rPr>
        <w:t>See also</w:t>
      </w:r>
      <w:r>
        <w:t xml:space="preserve"> </w:t>
      </w:r>
      <w:r>
        <w:rPr>
          <w:i/>
        </w:rPr>
        <w:t xml:space="preserve">Brockway Glass v. </w:t>
      </w:r>
      <w:r w:rsidR="00987E9D">
        <w:rPr>
          <w:i/>
        </w:rPr>
        <w:t>Pa. Pub. Util. Comm’n</w:t>
      </w:r>
      <w:r>
        <w:t>, 437 A.2d 1067, 1070 (Pa.Cmwlth. 1981).</w:t>
      </w:r>
    </w:p>
    <w:p w:rsidR="006C3CE2" w:rsidRDefault="006C3CE2" w:rsidP="006C3CE2">
      <w:pPr>
        <w:spacing w:after="0" w:line="360" w:lineRule="auto"/>
      </w:pPr>
    </w:p>
    <w:p w:rsidR="006C3CE2" w:rsidRDefault="006C3CE2" w:rsidP="006C3CE2">
      <w:pPr>
        <w:spacing w:after="0" w:line="360" w:lineRule="auto"/>
      </w:pPr>
      <w:r>
        <w:tab/>
      </w:r>
      <w:r>
        <w:tab/>
        <w:t xml:space="preserve">In rate proceedings, the burden of proof does not shift to parties challenging a requested rate.  Rather, the utility’s burden of establishing the justness and reasonableness of every component of its rate request is an affirmative one and that burden remains with the utility throughout the course of the rate proceeding.  The courts have held that there is no similar burden placed on other parties to justify a proposed adjustment to the utility’s filing.  </w:t>
      </w:r>
      <w:r>
        <w:rPr>
          <w:i/>
        </w:rPr>
        <w:t xml:space="preserve">Berner v. </w:t>
      </w:r>
      <w:r w:rsidR="00987E9D">
        <w:rPr>
          <w:i/>
        </w:rPr>
        <w:t>Pa. Pub. Util. Comm’n</w:t>
      </w:r>
      <w:r>
        <w:rPr>
          <w:i/>
        </w:rPr>
        <w:t>,</w:t>
      </w:r>
      <w:r>
        <w:t xml:space="preserve"> 116 A.2d 738, 744 (Pa. 1955).</w:t>
      </w:r>
    </w:p>
    <w:p w:rsidR="006C3CE2" w:rsidRDefault="006C3CE2" w:rsidP="006C3CE2">
      <w:pPr>
        <w:spacing w:after="0" w:line="360" w:lineRule="auto"/>
      </w:pPr>
    </w:p>
    <w:p w:rsidR="006C3CE2" w:rsidRDefault="006C3CE2" w:rsidP="006C3CE2">
      <w:pPr>
        <w:spacing w:after="0" w:line="360" w:lineRule="auto"/>
        <w:rPr>
          <w:rFonts w:eastAsia="Times New Roman"/>
          <w:szCs w:val="24"/>
        </w:rPr>
      </w:pPr>
      <w:r>
        <w:tab/>
      </w:r>
      <w:r>
        <w:tab/>
      </w:r>
      <w:r>
        <w:rPr>
          <w:rFonts w:eastAsia="Times New Roman"/>
          <w:szCs w:val="24"/>
        </w:rPr>
        <w:t xml:space="preserve">Additionally the Code requires every rate of a public utility to be just and reasonable. </w:t>
      </w:r>
    </w:p>
    <w:p w:rsidR="006C3CE2" w:rsidRDefault="006C3CE2" w:rsidP="006C3CE2">
      <w:pPr>
        <w:spacing w:after="0" w:line="240" w:lineRule="auto"/>
        <w:rPr>
          <w:rFonts w:eastAsia="Times New Roman"/>
          <w:szCs w:val="24"/>
        </w:rPr>
      </w:pPr>
    </w:p>
    <w:p w:rsidR="006C3CE2" w:rsidRDefault="006C3CE2" w:rsidP="006C3CE2">
      <w:pPr>
        <w:spacing w:after="0" w:line="240" w:lineRule="auto"/>
        <w:ind w:left="1440" w:right="1080"/>
        <w:rPr>
          <w:rFonts w:eastAsia="Times New Roman"/>
          <w:szCs w:val="24"/>
        </w:rPr>
      </w:pPr>
      <w:r>
        <w:rPr>
          <w:rFonts w:eastAsia="Times New Roman"/>
          <w:szCs w:val="24"/>
        </w:rPr>
        <w:t>Every rate made, demanded, or received by any public utility, or by any two or more public utilities, jointly, shall be just and reasonable and in conformity with regulations of the commission.</w:t>
      </w:r>
    </w:p>
    <w:p w:rsidR="006C3CE2" w:rsidRDefault="006C3CE2" w:rsidP="00AD1294">
      <w:pPr>
        <w:spacing w:after="0" w:line="360" w:lineRule="auto"/>
        <w:ind w:left="1440" w:right="1080"/>
        <w:rPr>
          <w:rFonts w:eastAsia="Times New Roman"/>
          <w:szCs w:val="24"/>
        </w:rPr>
      </w:pPr>
    </w:p>
    <w:p w:rsidR="006C3CE2" w:rsidRDefault="006C3CE2" w:rsidP="00AD1294">
      <w:pPr>
        <w:spacing w:after="0" w:line="360" w:lineRule="auto"/>
        <w:ind w:left="1440" w:right="1080" w:hanging="1440"/>
        <w:rPr>
          <w:rFonts w:eastAsia="Times New Roman"/>
          <w:szCs w:val="24"/>
        </w:rPr>
      </w:pPr>
      <w:r>
        <w:rPr>
          <w:rFonts w:eastAsia="Times New Roman"/>
          <w:szCs w:val="24"/>
        </w:rPr>
        <w:t>66 Pa.C.S. § 1301.</w:t>
      </w:r>
    </w:p>
    <w:p w:rsidR="006C3CE2" w:rsidRDefault="006C3CE2" w:rsidP="006C3CE2">
      <w:pPr>
        <w:spacing w:after="0" w:line="360" w:lineRule="auto"/>
        <w:ind w:left="1440" w:right="1080" w:hanging="1440"/>
        <w:rPr>
          <w:rFonts w:eastAsia="Times New Roman"/>
          <w:szCs w:val="24"/>
        </w:rPr>
      </w:pPr>
    </w:p>
    <w:p w:rsidR="00F90A93" w:rsidRDefault="00F90A93" w:rsidP="00987E9D">
      <w:pPr>
        <w:spacing w:after="0" w:line="360" w:lineRule="auto"/>
        <w:jc w:val="center"/>
        <w:rPr>
          <w:u w:val="single"/>
        </w:rPr>
      </w:pPr>
      <w:r>
        <w:t>VI.</w:t>
      </w:r>
      <w:r>
        <w:tab/>
      </w:r>
      <w:r>
        <w:rPr>
          <w:u w:val="single"/>
        </w:rPr>
        <w:t>STATEMENTS OF THE SETTLING PARTIES IN SUPPORT OF THE SETTLEMENT</w:t>
      </w:r>
    </w:p>
    <w:p w:rsidR="00F90A93" w:rsidRDefault="00F90A93" w:rsidP="00987E9D">
      <w:pPr>
        <w:spacing w:after="0" w:line="360" w:lineRule="auto"/>
      </w:pPr>
      <w:r>
        <w:tab/>
      </w:r>
      <w:r>
        <w:tab/>
      </w:r>
    </w:p>
    <w:p w:rsidR="00F90A93" w:rsidRDefault="00F90A93" w:rsidP="00987E9D">
      <w:pPr>
        <w:spacing w:after="0" w:line="360" w:lineRule="auto"/>
      </w:pPr>
      <w:r>
        <w:tab/>
      </w:r>
      <w:r>
        <w:tab/>
        <w:t>For the Commission’s consideration</w:t>
      </w:r>
      <w:r w:rsidR="00457B49">
        <w:t>,</w:t>
      </w:r>
      <w:r>
        <w:t xml:space="preserve"> the Settling Parties submitted separate </w:t>
      </w:r>
      <w:r w:rsidR="00AE7446">
        <w:t xml:space="preserve">Statements </w:t>
      </w:r>
      <w:r>
        <w:t>in Support of the Non-Unanimous Settlement.  Their positions are summarized below.</w:t>
      </w:r>
    </w:p>
    <w:p w:rsidR="00352CE4" w:rsidRDefault="00352CE4" w:rsidP="00987E9D">
      <w:pPr>
        <w:spacing w:after="0" w:line="360" w:lineRule="auto"/>
      </w:pPr>
    </w:p>
    <w:p w:rsidR="00F90A93" w:rsidRDefault="00457B49" w:rsidP="00F90A93">
      <w:pPr>
        <w:spacing w:after="0" w:line="360" w:lineRule="auto"/>
      </w:pPr>
      <w:r>
        <w:t>A.</w:t>
      </w:r>
      <w:r w:rsidR="00F90A93">
        <w:tab/>
      </w:r>
      <w:r w:rsidR="00F90A93">
        <w:rPr>
          <w:u w:val="single"/>
        </w:rPr>
        <w:t>Duquesne Light’s Position</w:t>
      </w:r>
    </w:p>
    <w:p w:rsidR="00F90A93" w:rsidRDefault="00352CE4" w:rsidP="00352CE4">
      <w:pPr>
        <w:tabs>
          <w:tab w:val="left" w:pos="2580"/>
        </w:tabs>
        <w:spacing w:after="0" w:line="360" w:lineRule="auto"/>
      </w:pPr>
      <w:r>
        <w:tab/>
      </w:r>
    </w:p>
    <w:p w:rsidR="00F90A93" w:rsidRDefault="00F90A93" w:rsidP="00F90A93">
      <w:pPr>
        <w:spacing w:after="0" w:line="360" w:lineRule="auto"/>
      </w:pPr>
      <w:r>
        <w:tab/>
      </w:r>
      <w:r>
        <w:tab/>
        <w:t xml:space="preserve">Duquesne Light contends the Settlement was achieved after an extensive investigation of the Company’s operations and finances.  There was informal discovery, and the </w:t>
      </w:r>
      <w:r w:rsidR="00D87D15">
        <w:t>C</w:t>
      </w:r>
      <w:r>
        <w:t xml:space="preserve">ompany responded to approximately 500 formal discovery requests.  Five rounds of testimony </w:t>
      </w:r>
      <w:r>
        <w:lastRenderedPageBreak/>
        <w:t>were filed, including the Company’s direct testimony, and other parties’ direct testimony, rebuttal testimony, surrebuttal testimony and rejoinder testimony.  Duquesne Light St. in Support, p. 2.</w:t>
      </w:r>
    </w:p>
    <w:p w:rsidR="00F90A93" w:rsidRDefault="00F90A93" w:rsidP="00F90A93">
      <w:pPr>
        <w:spacing w:after="0" w:line="360" w:lineRule="auto"/>
      </w:pPr>
    </w:p>
    <w:p w:rsidR="00F90A93" w:rsidRDefault="00F90A93" w:rsidP="00F90A93">
      <w:pPr>
        <w:spacing w:after="0" w:line="360" w:lineRule="auto"/>
      </w:pPr>
      <w:r>
        <w:tab/>
      </w:r>
      <w:r>
        <w:tab/>
        <w:t xml:space="preserve">The Company submits there is no opposition to the Settlement except for NRG Companies’ challenge “that terms regarding Rider No. 18 should be included in any approval by the Commission of a settlement.”  </w:t>
      </w:r>
      <w:r>
        <w:rPr>
          <w:i/>
        </w:rPr>
        <w:t>Id.</w:t>
      </w:r>
      <w:r>
        <w:t xml:space="preserve">  The Company urges the Settlement is just and reasonable, supported by substantial evidence and should be approved without modification.  </w:t>
      </w:r>
      <w:r>
        <w:rPr>
          <w:i/>
        </w:rPr>
        <w:t>Id.</w:t>
      </w:r>
    </w:p>
    <w:p w:rsidR="00F90A93" w:rsidRDefault="00F90A93" w:rsidP="00F90A93">
      <w:pPr>
        <w:spacing w:after="0" w:line="360" w:lineRule="auto"/>
      </w:pPr>
    </w:p>
    <w:p w:rsidR="00F90A93" w:rsidRDefault="00457B49" w:rsidP="00457B49">
      <w:pPr>
        <w:spacing w:after="0" w:line="360" w:lineRule="auto"/>
        <w:ind w:firstLine="720"/>
      </w:pPr>
      <w:r>
        <w:t>1.</w:t>
      </w:r>
      <w:r w:rsidR="00F90A93">
        <w:tab/>
      </w:r>
      <w:r w:rsidR="00F90A93">
        <w:rPr>
          <w:u w:val="single"/>
        </w:rPr>
        <w:t>Revenue Requirement</w:t>
      </w:r>
      <w:r w:rsidR="00F90A93">
        <w:rPr>
          <w:i/>
        </w:rPr>
        <w:t xml:space="preserve"> </w:t>
      </w:r>
    </w:p>
    <w:p w:rsidR="00F90A93" w:rsidRDefault="00F90A93" w:rsidP="00F90A93">
      <w:pPr>
        <w:spacing w:after="0" w:line="360" w:lineRule="auto"/>
      </w:pPr>
    </w:p>
    <w:p w:rsidR="00F90A93" w:rsidRDefault="00F90A93" w:rsidP="00F90A93">
      <w:pPr>
        <w:spacing w:after="0" w:line="360" w:lineRule="auto"/>
      </w:pPr>
      <w:r>
        <w:tab/>
      </w:r>
      <w:r>
        <w:tab/>
        <w:t>Duquesne asserts the proposed revenue increase of $49 million is reasonable and supported by substantial evidence for the following reasons.</w:t>
      </w:r>
    </w:p>
    <w:p w:rsidR="00F90A93" w:rsidRDefault="00F90A93" w:rsidP="00F90A93">
      <w:pPr>
        <w:spacing w:after="0" w:line="360" w:lineRule="auto"/>
        <w:ind w:left="1440" w:right="1080"/>
      </w:pPr>
    </w:p>
    <w:p w:rsidR="00F90A93" w:rsidRDefault="00F90A93" w:rsidP="00F90A93">
      <w:pPr>
        <w:spacing w:after="0" w:line="240" w:lineRule="auto"/>
        <w:ind w:left="1440" w:right="1440"/>
      </w:pPr>
      <w:r>
        <w:t xml:space="preserve">The distribution revenue increase of $48 </w:t>
      </w:r>
      <w:r w:rsidR="00AE7446">
        <w:t xml:space="preserve">million </w:t>
      </w:r>
      <w:r>
        <w:t>is approximately 66% of the proposed revenue increase of $72.732 million set forth in the Company’s rebuttal testimony.</w:t>
      </w:r>
    </w:p>
    <w:p w:rsidR="00F90A93" w:rsidRDefault="00F90A93" w:rsidP="00F90A93">
      <w:pPr>
        <w:spacing w:after="0" w:line="240" w:lineRule="auto"/>
        <w:ind w:left="1440" w:right="1440"/>
      </w:pPr>
    </w:p>
    <w:p w:rsidR="00F90A93" w:rsidRDefault="00F90A93" w:rsidP="00F90A93">
      <w:pPr>
        <w:spacing w:after="0" w:line="240" w:lineRule="auto"/>
        <w:ind w:left="1440" w:right="1440"/>
      </w:pPr>
      <w:r>
        <w:t xml:space="preserve">As explained by the Company’s Vice President of Strategy and External Affairs, Mr. </w:t>
      </w:r>
      <w:r w:rsidR="00AE7446">
        <w:t xml:space="preserve">David </w:t>
      </w:r>
      <w:r>
        <w:t>Bordo, the Company has undertaken considerable efforts to control costs, improve customer service and continue to provide highly reliable service to customers since the Company’s last base rate proceeding in 2010.  (Duquesne Light St. No. 1, p.</w:t>
      </w:r>
      <w:r w:rsidR="00AE7446">
        <w:t xml:space="preserve"> </w:t>
      </w:r>
      <w:r>
        <w:t>4.)  … the Company’s costs of providing electric distribution service have increased in many areas, including increased investment in facilities to maintain high levels of service and reliability, increased operation and maintenance (“O&amp;M”) expenses related to vegetation management and increased costs for the Company’s cyber security initiatives.  (Duquesne Light St. No. 2, pp.</w:t>
      </w:r>
      <w:r w:rsidR="00AE7446">
        <w:t xml:space="preserve"> </w:t>
      </w:r>
      <w:r>
        <w:t>4-5; Initial Brief, p. 21)</w:t>
      </w:r>
    </w:p>
    <w:p w:rsidR="00F90A93" w:rsidRDefault="00F90A93" w:rsidP="00F90A93">
      <w:pPr>
        <w:spacing w:after="0" w:line="360" w:lineRule="auto"/>
        <w:ind w:left="1440" w:right="1440"/>
      </w:pPr>
    </w:p>
    <w:p w:rsidR="00F90A93" w:rsidRDefault="00F90A93" w:rsidP="00F90A93">
      <w:pPr>
        <w:spacing w:after="0" w:line="240" w:lineRule="auto"/>
        <w:ind w:left="1440" w:right="1440"/>
      </w:pPr>
      <w:r>
        <w:t>Absent rate relief, Duquesne Light projected an overall return on rate base of approximately 5.67% for the full</w:t>
      </w:r>
      <w:r w:rsidR="00503026">
        <w:t>y</w:t>
      </w:r>
      <w:r>
        <w:t xml:space="preserve"> projected future test year (“FPFTY”)</w:t>
      </w:r>
      <w:r w:rsidR="00503026">
        <w:t xml:space="preserve">. </w:t>
      </w:r>
      <w:r>
        <w:t xml:space="preserve"> (See Duquesne Light Exh. No. 2, Schedule C-1, Column 2, line 3.)  This would translate into a return on equity for the FPFTY of 6.06% (5.</w:t>
      </w:r>
      <w:r w:rsidR="00503026">
        <w:t>67</w:t>
      </w:r>
      <w:r>
        <w:t xml:space="preserve">% </w:t>
      </w:r>
      <w:r w:rsidR="00BF380F">
        <w:t>ROR ‒</w:t>
      </w:r>
      <w:r>
        <w:t xml:space="preserve"> 2.22% Interest ‒ 0.30% Preferred = 3.15% Equity/51.94</w:t>
      </w:r>
      <w:r w:rsidR="00503026">
        <w:t xml:space="preserve"> </w:t>
      </w:r>
      <w:r>
        <w:t xml:space="preserve">Equity Ratio = 6.06% ROE).  This is not significantly higher than Duquesne Light’s weighted cost rate of 5.89% for preferred stock, see Duquesne Light Exh. No. 2, </w:t>
      </w:r>
      <w:r w:rsidR="00503026">
        <w:lastRenderedPageBreak/>
        <w:t>S</w:t>
      </w:r>
      <w:r>
        <w:t xml:space="preserve">chedule B-9, </w:t>
      </w:r>
      <w:r w:rsidR="00503026">
        <w:t>C</w:t>
      </w:r>
      <w:r>
        <w:t>olumn 4, line 7, and less than 100 basis points higher than the Company’s average weight</w:t>
      </w:r>
      <w:r w:rsidR="00503026">
        <w:t>ed cost rate of 5.18% for long-</w:t>
      </w:r>
      <w:r>
        <w:t>term debt.  (See Duquesne Light Exh. No. 2, Schedule B-8, Column 4, line 16; Duquesne Light Initial Brief, pp.</w:t>
      </w:r>
      <w:r w:rsidR="00503026">
        <w:t xml:space="preserve"> </w:t>
      </w:r>
      <w:r>
        <w:t>22-23.)  ….</w:t>
      </w:r>
    </w:p>
    <w:p w:rsidR="00F90A93" w:rsidRDefault="00F90A93" w:rsidP="00F90A93">
      <w:pPr>
        <w:spacing w:after="0" w:line="240" w:lineRule="auto"/>
        <w:ind w:left="1440" w:right="1440"/>
      </w:pPr>
    </w:p>
    <w:p w:rsidR="00F90A93" w:rsidRDefault="00F90A93" w:rsidP="00F90A93">
      <w:pPr>
        <w:spacing w:after="0" w:line="240" w:lineRule="auto"/>
        <w:ind w:left="1440" w:right="1440"/>
      </w:pPr>
      <w:r>
        <w:t xml:space="preserve">The $48 million </w:t>
      </w:r>
      <w:r w:rsidR="00457B49">
        <w:t xml:space="preserve">increase … will allow Duquesne </w:t>
      </w:r>
      <w:r>
        <w:t>Light to recover its necessary expense</w:t>
      </w:r>
      <w:r w:rsidR="00503026">
        <w:t>s</w:t>
      </w:r>
      <w:r>
        <w:t xml:space="preserve">, including the expense component of pension contributions and significant increases in vegetation management expenses that are designed to reduce the frequency and duration of service outages.  The revenue increase provides the Company with the reasonable opportunity to earn a fair return. </w:t>
      </w:r>
      <w:r w:rsidR="00E74487">
        <w:t xml:space="preserve"> </w:t>
      </w:r>
      <w:r>
        <w:t>The revenue increase should also allow the Company to attract capital on reasonable terms and allow the Company to continue to provide safe and reliable service to customer</w:t>
      </w:r>
      <w:r w:rsidR="00503026">
        <w:t>s</w:t>
      </w:r>
      <w:r>
        <w:t>.</w:t>
      </w:r>
    </w:p>
    <w:p w:rsidR="00F90A93" w:rsidRDefault="00F90A93" w:rsidP="00F90A93">
      <w:pPr>
        <w:spacing w:after="0" w:line="240" w:lineRule="auto"/>
        <w:ind w:left="1440" w:right="1440"/>
      </w:pPr>
    </w:p>
    <w:p w:rsidR="00F90A93" w:rsidRDefault="00F90A93" w:rsidP="00F90A93">
      <w:pPr>
        <w:spacing w:after="0" w:line="240" w:lineRule="auto"/>
        <w:ind w:left="1440" w:right="1440"/>
      </w:pPr>
      <w:r>
        <w:t>….</w:t>
      </w:r>
    </w:p>
    <w:p w:rsidR="00F90A93" w:rsidRDefault="00F90A93" w:rsidP="00F90A93">
      <w:pPr>
        <w:spacing w:after="0" w:line="240" w:lineRule="auto"/>
        <w:ind w:left="1440" w:right="1080"/>
      </w:pPr>
    </w:p>
    <w:p w:rsidR="00F90A93" w:rsidRDefault="00F90A93" w:rsidP="00F90A93">
      <w:pPr>
        <w:spacing w:after="0" w:line="240" w:lineRule="auto"/>
        <w:ind w:left="1440" w:right="1440"/>
      </w:pPr>
      <w:r>
        <w:t>The revenue requirement under the Settlement is generally a “black box” number.  Under a “black box” settlement, parties do not specifically identify rate base, revenues and expenses and return that are allowed or disallowed.  The Company has found that the “black box” concept often facilitates settlement agreements because parties are not required to identify a specific return on equity or specifically identify rate base, revenues and/or expenses and return that are allowed or disallowed.  This process allows a settlement without requiring parties to abandon or reverse their positions on important issues, which could impact their position</w:t>
      </w:r>
      <w:r w:rsidR="004B3127">
        <w:t>s</w:t>
      </w:r>
      <w:r>
        <w:t xml:space="preserve"> in later cases. . . . .</w:t>
      </w:r>
    </w:p>
    <w:p w:rsidR="00F90A93" w:rsidRDefault="00F90A93" w:rsidP="00F90A93">
      <w:pPr>
        <w:spacing w:after="0" w:line="240" w:lineRule="auto"/>
        <w:ind w:left="1440" w:right="1440"/>
      </w:pPr>
    </w:p>
    <w:p w:rsidR="00F90A93" w:rsidRDefault="00F90A93" w:rsidP="00F90A93">
      <w:pPr>
        <w:spacing w:after="0" w:line="240" w:lineRule="auto"/>
        <w:ind w:left="1440" w:right="1440"/>
      </w:pPr>
      <w:r>
        <w:t>Exceptions to the “black box” concept under this Settlement were made to specify pension funding requirements, other post</w:t>
      </w:r>
      <w:r w:rsidR="00BA5EE2">
        <w:t xml:space="preserve"> </w:t>
      </w:r>
      <w:r>
        <w:t>employment benefits (“OPEB”) funding requirements, vegetation management spending requirements, and a return on equity and capital structure for purpose</w:t>
      </w:r>
      <w:r w:rsidR="00BA5EE2">
        <w:t>s</w:t>
      </w:r>
      <w:r>
        <w:t xml:space="preserve"> of calculat</w:t>
      </w:r>
      <w:r w:rsidR="00BA5EE2">
        <w:t>ing</w:t>
      </w:r>
      <w:r>
        <w:t xml:space="preserve"> the smart meter costs to be recovered under the smart meter charge. . . . .</w:t>
      </w:r>
    </w:p>
    <w:p w:rsidR="00F90A93" w:rsidRDefault="00F90A93" w:rsidP="00F90A93">
      <w:pPr>
        <w:spacing w:after="0" w:line="240" w:lineRule="auto"/>
        <w:ind w:left="1440" w:right="1440"/>
      </w:pPr>
    </w:p>
    <w:p w:rsidR="00F90A93" w:rsidRDefault="00F90A93" w:rsidP="00F90A93">
      <w:pPr>
        <w:spacing w:after="0" w:line="240" w:lineRule="auto"/>
        <w:ind w:left="1440" w:right="1080"/>
      </w:pPr>
    </w:p>
    <w:p w:rsidR="00F90A93" w:rsidRDefault="00F90A93" w:rsidP="00F90A93">
      <w:pPr>
        <w:spacing w:after="0" w:line="360" w:lineRule="auto"/>
      </w:pPr>
      <w:r>
        <w:t>Duquesne Light St. in Support, pp. 3-6.</w:t>
      </w:r>
    </w:p>
    <w:p w:rsidR="00B8164C" w:rsidRDefault="00B8164C" w:rsidP="00A24E02">
      <w:pPr>
        <w:spacing w:after="0" w:line="240" w:lineRule="auto"/>
        <w:ind w:left="1440" w:right="1080" w:hanging="720"/>
      </w:pPr>
    </w:p>
    <w:p w:rsidR="00F90A93" w:rsidRDefault="00F90A93" w:rsidP="00A24E02">
      <w:pPr>
        <w:spacing w:after="0" w:line="240" w:lineRule="auto"/>
        <w:ind w:left="1440" w:right="1080" w:hanging="720"/>
        <w:rPr>
          <w:u w:val="single"/>
        </w:rPr>
      </w:pPr>
      <w:r>
        <w:t xml:space="preserve"> </w:t>
      </w:r>
      <w:r w:rsidR="00457B49">
        <w:t>2</w:t>
      </w:r>
      <w:r>
        <w:t>.</w:t>
      </w:r>
      <w:r>
        <w:tab/>
      </w:r>
      <w:r>
        <w:rPr>
          <w:u w:val="single"/>
        </w:rPr>
        <w:t>Pensions</w:t>
      </w:r>
    </w:p>
    <w:p w:rsidR="00F90A93" w:rsidRDefault="00F90A93" w:rsidP="00F90A93">
      <w:pPr>
        <w:spacing w:after="0" w:line="240" w:lineRule="auto"/>
        <w:ind w:left="1440" w:right="1080"/>
        <w:rPr>
          <w:u w:val="single"/>
        </w:rPr>
      </w:pPr>
    </w:p>
    <w:p w:rsidR="00F90A93" w:rsidRDefault="00F90A93" w:rsidP="00F90A93">
      <w:pPr>
        <w:spacing w:after="0" w:line="240" w:lineRule="auto"/>
        <w:ind w:left="1440" w:right="1440"/>
      </w:pPr>
      <w:r>
        <w:t xml:space="preserve">The Settlement includes key provisions concerning the amount of Duquesne Light’s ongoing pension contributions. </w:t>
      </w:r>
      <w:r w:rsidR="00457B49">
        <w:t xml:space="preserve"> </w:t>
      </w:r>
      <w:r>
        <w:t>Under the Settlement, Duquesne Light has agreed to contribute to its pension trusts an amount equal to</w:t>
      </w:r>
      <w:r w:rsidR="00457B49">
        <w:t xml:space="preserve"> </w:t>
      </w:r>
      <w:r>
        <w:t xml:space="preserve">$37.2 million per year commencing with calendar year 2014.  If contributions are made in any year in </w:t>
      </w:r>
      <w:r>
        <w:lastRenderedPageBreak/>
        <w:t>excess of the $37.2 million, Duquesne Light may use the cumulative excess to satisfy future contribution obligations under the Settlement (Settlement ¶ 29.)  Duquesne Light will annually report contributions to the Commission and I&amp;E, OCA and OSBA to allow monitoring of the commitment.  Duquesne Light believes that this Settlement provision is important because it will ensure that adequate funds are contributed to the Company’s pension plans.</w:t>
      </w:r>
    </w:p>
    <w:p w:rsidR="00F90A93" w:rsidRDefault="00F90A93" w:rsidP="00F90A93">
      <w:pPr>
        <w:spacing w:after="0" w:line="240" w:lineRule="auto"/>
        <w:ind w:left="1440" w:right="1080"/>
      </w:pPr>
    </w:p>
    <w:p w:rsidR="00F90A93" w:rsidRDefault="00F90A93" w:rsidP="00F90A93">
      <w:pPr>
        <w:spacing w:after="0" w:line="240" w:lineRule="auto"/>
        <w:ind w:left="1440" w:right="1440"/>
      </w:pPr>
      <w:r>
        <w:t>The Settlement also will allow Duquesne Light to include in rate base the capitalized amount of actual pension contributions (50%), net of related accumulated deferred income taxes, for ratemaking purposes. (Settlement ¶ 29.)  However, depreciation expense will be based on the amounts capitalized under ASC 715 recorded on the Company’s books.  This approach allows the Company to maintain its books in accordance with Generally Accepted Accounting Principles (“GAAP”) and also reflect in rate base the excess of cash contributions to be capitalized over amount</w:t>
      </w:r>
      <w:r w:rsidR="004D46AA">
        <w:t>s</w:t>
      </w:r>
      <w:r>
        <w:t xml:space="preserve"> of pension costs capitalized per books, net of deferred taxes.  . . . .</w:t>
      </w:r>
    </w:p>
    <w:p w:rsidR="00F90A93" w:rsidRDefault="00F90A93" w:rsidP="00F90A93">
      <w:pPr>
        <w:spacing w:after="0" w:line="240" w:lineRule="auto"/>
        <w:ind w:left="1440" w:right="1080"/>
      </w:pPr>
    </w:p>
    <w:p w:rsidR="00F90A93" w:rsidRDefault="00F90A93" w:rsidP="00F90A93">
      <w:pPr>
        <w:spacing w:after="0" w:line="240" w:lineRule="auto"/>
        <w:ind w:left="1440" w:right="1440"/>
      </w:pPr>
      <w:r>
        <w:t>The Settlement adopts a mechanism that allows Duquesne Light to reduce pension funding outside of a base rate proceeding.  This mechanism is based on OCA’s alternative reserve a</w:t>
      </w:r>
      <w:r w:rsidR="004D46AA">
        <w:t>cc</w:t>
      </w:r>
      <w:r>
        <w:t>ount propos</w:t>
      </w:r>
      <w:r w:rsidR="004D46AA">
        <w:t>al</w:t>
      </w:r>
      <w:r>
        <w:t xml:space="preserve"> in this proceeding.  (OCA St. No. 1, p</w:t>
      </w:r>
      <w:r w:rsidR="004D46AA">
        <w:t>.</w:t>
      </w:r>
      <w:r>
        <w:t xml:space="preserve"> 36</w:t>
      </w:r>
      <w:r w:rsidR="004D46AA">
        <w:t>.</w:t>
      </w:r>
      <w:r>
        <w:t>)  If Duquesne Light concludes that a contribution of less than $37,200,00 to the pension trust is appropriate, the Settlement allows the Company to reduce the pension contribution and record a regulatory liability on its books of account that is equal to 50% of the reduction to the pension contribution below the level of $37,200,000.  Any regulatory liability recorded will be reduced to the extent of 50% of contributions in excess of $37,200,000 in subsequent years.  If a regulatory liability remains at the time of the Company’s next rate proceeding, the regulatory liability amount will be returned to ratepayers as directed in the next base rate proceeding.  Any amount recorded as regulatory liability shall not bear an interest obligation.</w:t>
      </w:r>
    </w:p>
    <w:p w:rsidR="00F90A93" w:rsidRDefault="00F90A93" w:rsidP="00F90A93">
      <w:pPr>
        <w:spacing w:after="0" w:line="240" w:lineRule="auto"/>
        <w:ind w:left="1440" w:right="1440"/>
      </w:pPr>
    </w:p>
    <w:p w:rsidR="00F90A93" w:rsidRDefault="00F90A93" w:rsidP="00F90A93">
      <w:pPr>
        <w:spacing w:after="0" w:line="240" w:lineRule="auto"/>
        <w:ind w:left="1440" w:right="1440"/>
      </w:pPr>
      <w:r>
        <w:t>Th</w:t>
      </w:r>
      <w:r w:rsidR="004D46AA">
        <w:t>is</w:t>
      </w:r>
      <w:r>
        <w:t xml:space="preserve"> Settlement provision is in the public interest because it will allow Duquesne Light to reduce its pension contribution if its funding obligation decreases without requiring a full base rate case proceeding and without rate changes between base rate cases, while making certain that any amounts recovered but not deposited in the pension trust will be returned to customers.  . . . .</w:t>
      </w:r>
    </w:p>
    <w:p w:rsidR="00F90A93" w:rsidRDefault="00F90A93" w:rsidP="00F90A93">
      <w:pPr>
        <w:spacing w:after="0" w:line="360" w:lineRule="auto"/>
        <w:ind w:right="1440"/>
      </w:pPr>
    </w:p>
    <w:p w:rsidR="00F90A93" w:rsidRDefault="00F90A93" w:rsidP="00F90A93">
      <w:pPr>
        <w:spacing w:after="0" w:line="360" w:lineRule="auto"/>
      </w:pPr>
      <w:r>
        <w:t>Duquesne Light St. in Support, pp. 7-8.</w:t>
      </w:r>
    </w:p>
    <w:p w:rsidR="00F90A93" w:rsidRDefault="00457B49" w:rsidP="00457B49">
      <w:pPr>
        <w:spacing w:after="0" w:line="360" w:lineRule="auto"/>
        <w:ind w:firstLine="720"/>
        <w:rPr>
          <w:u w:val="single"/>
        </w:rPr>
      </w:pPr>
      <w:r>
        <w:lastRenderedPageBreak/>
        <w:t>3</w:t>
      </w:r>
      <w:r w:rsidR="00F90A93">
        <w:t>.</w:t>
      </w:r>
      <w:r w:rsidR="00F90A93">
        <w:tab/>
      </w:r>
      <w:r w:rsidR="00F90A93">
        <w:rPr>
          <w:u w:val="single"/>
        </w:rPr>
        <w:t>OPEBs</w:t>
      </w:r>
    </w:p>
    <w:p w:rsidR="00F90A93" w:rsidRDefault="00F90A93" w:rsidP="00F90A93">
      <w:pPr>
        <w:spacing w:after="0" w:line="360" w:lineRule="auto"/>
        <w:rPr>
          <w:u w:val="single"/>
        </w:rPr>
      </w:pPr>
    </w:p>
    <w:p w:rsidR="00F90A93" w:rsidRDefault="00F90A93" w:rsidP="00F90A93">
      <w:pPr>
        <w:spacing w:after="0" w:line="240" w:lineRule="auto"/>
        <w:ind w:left="1440" w:right="1440"/>
      </w:pPr>
      <w:r>
        <w:t>The Settlement contains specific provision</w:t>
      </w:r>
      <w:r w:rsidR="004D46AA">
        <w:t>s</w:t>
      </w:r>
      <w:r>
        <w:t xml:space="preserve"> for meeting the </w:t>
      </w:r>
      <w:r w:rsidR="004D46AA">
        <w:t>C</w:t>
      </w:r>
      <w:r>
        <w:t xml:space="preserve">ompany’s Other Post Employment Benefits (“OPEB”) requirements.  (Settlement ¶ 30.) </w:t>
      </w:r>
      <w:r w:rsidR="00E74487">
        <w:t xml:space="preserve"> </w:t>
      </w:r>
      <w:r>
        <w:t xml:space="preserve">The Company’s distribution rate allowance for OPEBs is based upon the estimated ASC 715 cost for the Fully Projected Future Test Year of approximately $3,265,500, which reflects a two-year normalization of the Net Periodic Benefit Cost for historic and future test year distribution costs.  The distribution expense component included in rates is approximately 50% of this estimated cost less the annual effect of the 3-year amortization of the regulatory liability of $1.1 million ($970,900 on a distribution basis) as explained in Duquesne Light St. No. 2, p. 27, for a net </w:t>
      </w:r>
      <w:r w:rsidR="004D46AA">
        <w:t>distribution expense of $1,309,</w:t>
      </w:r>
      <w:r>
        <w:t>117 ($1,632,750 - $323,633 = $1,309,117).  The remaining 50% of actual ASC 715 cost will be the amount to be capitalized to plant accounts on the Company</w:t>
      </w:r>
      <w:r w:rsidR="004D46AA">
        <w:t>’s</w:t>
      </w:r>
      <w:r>
        <w:t xml:space="preserve"> books. </w:t>
      </w:r>
      <w:r w:rsidR="00457B49">
        <w:t xml:space="preserve"> </w:t>
      </w:r>
      <w:r>
        <w:t>The actual labor capitalization ratio will be used to determine the split between ca</w:t>
      </w:r>
      <w:r w:rsidR="00457B49">
        <w:t>pitalized and expensed amounts.</w:t>
      </w:r>
      <w:r>
        <w:t xml:space="preserve">  In addition, under the Settlement, the Company has agreed to deposit in</w:t>
      </w:r>
      <w:r w:rsidR="004D46AA">
        <w:t>to</w:t>
      </w:r>
      <w:r>
        <w:t xml:space="preserve"> its Voluntary Employee Beneficiary Associated (“VEBA”) trust the full amount of annual OPEB costs calculated by the Company’</w:t>
      </w:r>
      <w:r w:rsidR="004D46AA">
        <w:t>s</w:t>
      </w:r>
      <w:r>
        <w:t xml:space="preserve"> actuary pursuant to ASC 715</w:t>
      </w:r>
      <w:r w:rsidR="004D46AA">
        <w:t>.</w:t>
      </w:r>
      <w:r>
        <w:t xml:space="preserve">  The Company accounts for the difference between the net periodic post–retirement benefit expense determined annually by the actuary in accordance with ASC 715 and the amount of the ASC 715 post-retirement benefit expense used to establish rates.  That difference is recorded as regulatory asset or liability and will be expense</w:t>
      </w:r>
      <w:r w:rsidR="00716314">
        <w:t>d</w:t>
      </w:r>
      <w:r>
        <w:t xml:space="preserve"> or credited in future rate proceedings in determining OPEB expense included in rates. </w:t>
      </w:r>
    </w:p>
    <w:p w:rsidR="00F90A93" w:rsidRDefault="00F90A93" w:rsidP="00F90A93">
      <w:pPr>
        <w:spacing w:after="0" w:line="240" w:lineRule="auto"/>
        <w:ind w:left="1440" w:right="1440"/>
      </w:pPr>
      <w:r>
        <w:t xml:space="preserve"> </w:t>
      </w:r>
    </w:p>
    <w:p w:rsidR="00F90A93" w:rsidRDefault="00F90A93" w:rsidP="00F90A93">
      <w:pPr>
        <w:spacing w:after="0" w:line="240" w:lineRule="auto"/>
        <w:ind w:left="1440" w:right="1440"/>
      </w:pPr>
    </w:p>
    <w:p w:rsidR="00F90A93" w:rsidRDefault="00F90A93" w:rsidP="00F90A93">
      <w:pPr>
        <w:spacing w:after="0" w:line="360" w:lineRule="auto"/>
      </w:pPr>
      <w:r>
        <w:t>Duquesne Light St. in Support, p. 9.  The Company argues the above Settlement terms provide clarity regarding the ratemaking an</w:t>
      </w:r>
      <w:r w:rsidR="00457B49">
        <w:t xml:space="preserve">d accounting treatment of OPEBs, </w:t>
      </w:r>
      <w:r>
        <w:t>provide for funding of the VEBA trust and provide that the Company will be able to recover its expected OPEB costs.   Additionally, any over or under recovery of costs is to be amortize</w:t>
      </w:r>
      <w:r w:rsidR="00457B49">
        <w:t>d</w:t>
      </w:r>
      <w:r>
        <w:t xml:space="preserve"> in future base rate proceedings. </w:t>
      </w:r>
      <w:r w:rsidR="00457B49">
        <w:t xml:space="preserve"> </w:t>
      </w:r>
      <w:r>
        <w:t xml:space="preserve">As a result the Company maintains the OPEBs provisions are in the public interest. </w:t>
      </w:r>
    </w:p>
    <w:p w:rsidR="00F90A93" w:rsidRDefault="00F90A93" w:rsidP="00A24E02">
      <w:pPr>
        <w:spacing w:after="0" w:line="360" w:lineRule="auto"/>
        <w:rPr>
          <w:i/>
        </w:rPr>
      </w:pPr>
      <w:r>
        <w:rPr>
          <w:i/>
        </w:rPr>
        <w:t>Id.</w:t>
      </w:r>
    </w:p>
    <w:p w:rsidR="00AD1294" w:rsidRDefault="00AD1294"/>
    <w:p w:rsidR="00DF4F2D" w:rsidRDefault="00DF4F2D">
      <w:r>
        <w:br w:type="page"/>
      </w:r>
    </w:p>
    <w:p w:rsidR="00FA1BC6" w:rsidRDefault="00FA1BC6" w:rsidP="00A24E02">
      <w:pPr>
        <w:spacing w:after="0" w:line="360" w:lineRule="auto"/>
      </w:pPr>
      <w:r>
        <w:lastRenderedPageBreak/>
        <w:tab/>
        <w:t>4.</w:t>
      </w:r>
      <w:r>
        <w:tab/>
      </w:r>
      <w:r>
        <w:rPr>
          <w:u w:val="single"/>
        </w:rPr>
        <w:t>Vegetation Management</w:t>
      </w:r>
    </w:p>
    <w:p w:rsidR="00FA1BC6" w:rsidRDefault="00FA1BC6" w:rsidP="00FA1BC6">
      <w:pPr>
        <w:spacing w:after="0" w:line="360" w:lineRule="auto"/>
      </w:pPr>
    </w:p>
    <w:p w:rsidR="00FA1BC6" w:rsidRDefault="00FA1BC6" w:rsidP="00FA1BC6">
      <w:pPr>
        <w:spacing w:after="0" w:line="360" w:lineRule="auto"/>
      </w:pPr>
      <w:r>
        <w:tab/>
      </w:r>
      <w:r>
        <w:tab/>
        <w:t>Duquesne Light asserts it is committed to spending $15 million on distribution system vegetation management on a twelve-month basis for three years commencing May 1, 2014, provided that any shortfall below that level of spending on a twelve-month basis shall be expended no later than April 30, 2017.  Duquesne has agreed to annually file with the Commission reports as to its distribution vegetation management spending for the three 12-month periods.  The annual reports will be filed, copies to be provided to I&amp;E, OCA and OSBA, by October 31, 2015, October 31, 2016 and October 31, 2017.  Duquesne Light St. in Support, p.</w:t>
      </w:r>
      <w:r w:rsidR="00457B49">
        <w:t> </w:t>
      </w:r>
      <w:r>
        <w:t>10.</w:t>
      </w:r>
    </w:p>
    <w:p w:rsidR="00FA1BC6" w:rsidRDefault="00FA1BC6" w:rsidP="00FA1BC6">
      <w:pPr>
        <w:spacing w:after="0" w:line="360" w:lineRule="auto"/>
      </w:pPr>
    </w:p>
    <w:p w:rsidR="00FA1BC6" w:rsidRDefault="00FA1BC6" w:rsidP="00FA1BC6">
      <w:pPr>
        <w:spacing w:after="0" w:line="360" w:lineRule="auto"/>
      </w:pPr>
      <w:r>
        <w:tab/>
      </w:r>
      <w:r>
        <w:tab/>
        <w:t>Duquesne Light contends it will incur significant increases in vegetation management expenses from the HTY to the FPFTY.  The Company submits it projected an increase in its distribution vegetation management spending from $8.1 million in the HTY, to $12.3 million for the FTY and $15 million for the FPFTY.  The Company maintains the increase in spending is primarily due to three factors: increased contractor costs, increased work to eliminate ash trees that have been infected by the emerald ash borer that pose a safety threat to the Company’s distribution system, and an expansion of the Company’s distribution vegetation management specifications to include pruning or removal of targeted trees that have a higher potential for causing outages due to falling trees and limbs.  Duquesne Light St. No. 4-R, pp. 3-4.</w:t>
      </w:r>
    </w:p>
    <w:p w:rsidR="00FA1BC6" w:rsidRDefault="00FA1BC6" w:rsidP="00FA1BC6">
      <w:pPr>
        <w:spacing w:after="0" w:line="360" w:lineRule="auto"/>
      </w:pPr>
      <w:r>
        <w:t>The Company submits this provision is in the public interest because it provides Duquesne Light with cost recovery of necessary vegetation management and expense and provides the Settling Parties with certainty that the Company will spend the</w:t>
      </w:r>
      <w:r w:rsidR="00457B49">
        <w:t xml:space="preserve"> rate allowance as indicated.  </w:t>
      </w:r>
      <w:r>
        <w:t>Duquesne Light St. in Support, p. 11.</w:t>
      </w:r>
    </w:p>
    <w:p w:rsidR="00FA1BC6" w:rsidRDefault="00FA1BC6" w:rsidP="00FA1BC6">
      <w:pPr>
        <w:spacing w:after="0" w:line="360" w:lineRule="auto"/>
      </w:pPr>
      <w:r>
        <w:t xml:space="preserve"> </w:t>
      </w:r>
    </w:p>
    <w:p w:rsidR="00FA1BC6" w:rsidRDefault="00FA1BC6" w:rsidP="00FA1BC6">
      <w:pPr>
        <w:spacing w:after="0" w:line="360" w:lineRule="auto"/>
        <w:ind w:left="1440" w:right="1080" w:hanging="720"/>
      </w:pPr>
      <w:r>
        <w:t>5.</w:t>
      </w:r>
      <w:r>
        <w:tab/>
      </w:r>
      <w:r w:rsidRPr="0080776A">
        <w:rPr>
          <w:u w:val="single"/>
        </w:rPr>
        <w:t>DSIC</w:t>
      </w:r>
    </w:p>
    <w:p w:rsidR="00FA1BC6" w:rsidRDefault="00FA1BC6" w:rsidP="00FA1BC6">
      <w:pPr>
        <w:spacing w:after="0" w:line="360" w:lineRule="auto"/>
        <w:ind w:left="1440" w:right="1080"/>
      </w:pPr>
    </w:p>
    <w:p w:rsidR="00FA1BC6" w:rsidRDefault="00FA1BC6" w:rsidP="00FA1BC6">
      <w:pPr>
        <w:spacing w:after="0" w:line="360" w:lineRule="auto"/>
      </w:pPr>
      <w:r>
        <w:tab/>
      </w:r>
      <w:r>
        <w:tab/>
        <w:t xml:space="preserve">Concerning a Distribution System Improvement Charge (DSIC), for the purpose of clarity, the Company contends if it is authorized to implement a DSIC following the effective date of rates in this proceeding, “Duquesne Light will be eligible to include plant additions in the </w:t>
      </w:r>
      <w:r>
        <w:lastRenderedPageBreak/>
        <w:t xml:space="preserve">DSIC once eligible account balances exceed the levels projected by Duquesne Light (as of) April 30, 2015.”  </w:t>
      </w:r>
      <w:r>
        <w:rPr>
          <w:i/>
        </w:rPr>
        <w:t>Id.</w:t>
      </w:r>
      <w:r>
        <w:t xml:space="preserve"> </w:t>
      </w:r>
    </w:p>
    <w:p w:rsidR="00FA1BC6" w:rsidRDefault="00FA1BC6" w:rsidP="00FA1BC6">
      <w:pPr>
        <w:spacing w:after="0" w:line="360" w:lineRule="auto"/>
      </w:pPr>
    </w:p>
    <w:p w:rsidR="00FA1BC6" w:rsidRDefault="00FA1BC6" w:rsidP="00FA1BC6">
      <w:pPr>
        <w:spacing w:after="0" w:line="360" w:lineRule="auto"/>
        <w:rPr>
          <w:u w:val="single"/>
        </w:rPr>
      </w:pPr>
      <w:r>
        <w:tab/>
        <w:t>6.</w:t>
      </w:r>
      <w:r>
        <w:tab/>
      </w:r>
      <w:r>
        <w:rPr>
          <w:u w:val="single"/>
        </w:rPr>
        <w:t>Smart Meters</w:t>
      </w:r>
    </w:p>
    <w:p w:rsidR="00FA1BC6" w:rsidRDefault="00FA1BC6" w:rsidP="00FA1BC6">
      <w:pPr>
        <w:spacing w:after="0" w:line="360" w:lineRule="auto"/>
        <w:rPr>
          <w:u w:val="single"/>
        </w:rPr>
      </w:pPr>
    </w:p>
    <w:p w:rsidR="00FA1BC6" w:rsidRDefault="00FA1BC6" w:rsidP="00FA1BC6">
      <w:pPr>
        <w:pStyle w:val="BodyText2"/>
        <w:spacing w:line="360" w:lineRule="auto"/>
        <w:ind w:firstLine="0"/>
        <w:jc w:val="left"/>
      </w:pPr>
      <w:r>
        <w:tab/>
      </w:r>
      <w:r>
        <w:tab/>
        <w:t>Under the Settlement terms, the Settling Parties have agreed that the Company will use a 10% return on equity (ROE) and the capital structure proposed by the Company for establishing its smart meter charge (SMC) rate for a three-year period following the effective date of rates in this proceeding.  Settlement ¶</w:t>
      </w:r>
      <w:r w:rsidR="00457B49">
        <w:t xml:space="preserve"> </w:t>
      </w:r>
      <w:r>
        <w:t xml:space="preserve">33.  Duquesne Light notes that when its smart meter filing was approved the Commission ruled that in the event parties settle future Company base rate proceedings, </w:t>
      </w:r>
      <w:r w:rsidRPr="009C6D70">
        <w:t xml:space="preserve">parties are to establish capital structure ratios and a ROE for the Company to use in calculating its SMC.  </w:t>
      </w:r>
      <w:r w:rsidRPr="009C6D70">
        <w:rPr>
          <w:i/>
        </w:rPr>
        <w:t>Petition of Duquesne Light Company for Approval of Smart Meter Technology Procurement and Installation Plan</w:t>
      </w:r>
      <w:r w:rsidRPr="009C6D70">
        <w:t xml:space="preserve">, Docket No. M-2009-2123948, Order entered May 11, 2010, pp. 19, 25.  Consistent with the Smart Meter Order, the </w:t>
      </w:r>
      <w:r>
        <w:t>Settling Parties</w:t>
      </w:r>
      <w:r w:rsidRPr="009C6D70">
        <w:t xml:space="preserve"> agreed to a capital structure ratio and ROE for the Company’s SMC.  Duquesne St. in Support, pp. </w:t>
      </w:r>
      <w:r>
        <w:t>11-12</w:t>
      </w:r>
      <w:r w:rsidRPr="009C6D70">
        <w:t>.</w:t>
      </w:r>
    </w:p>
    <w:p w:rsidR="00FA1BC6" w:rsidRDefault="00FA1BC6" w:rsidP="00FA1BC6">
      <w:pPr>
        <w:pStyle w:val="BodyText2"/>
        <w:spacing w:line="360" w:lineRule="auto"/>
        <w:ind w:firstLine="0"/>
        <w:jc w:val="left"/>
      </w:pPr>
    </w:p>
    <w:p w:rsidR="00FA1BC6" w:rsidRDefault="00FA1BC6" w:rsidP="00FA1BC6">
      <w:pPr>
        <w:pStyle w:val="BodyText2"/>
        <w:spacing w:line="240" w:lineRule="auto"/>
        <w:ind w:left="1440" w:right="1440" w:firstLine="0"/>
        <w:jc w:val="left"/>
      </w:pPr>
      <w:r>
        <w:t>The Settlement further recognizes that the Commission granted Duquesne Light’s Petition filed at Docket No. M-2009-2123948 to amend, to the extent necessary, the Commission’s May 6, 2013 order approving the Company’s Final Smart Meter Procurement and Installation Plan requesting that FOCUS project costs, exclusive of costs that have been previously recovered through the Company’s Smart Meter Charge, be consolidated with this base-rate proceeding.  Consistent therewith, Settlement rates include the projected FOCUS costs to be capitalized in the FPFTY.  Settlement rates also include a normalized le</w:t>
      </w:r>
      <w:r w:rsidR="009E0866">
        <w:t xml:space="preserve">vel (average of $5,466,000) of </w:t>
      </w:r>
      <w:r>
        <w:t>Information Technology development expenses for the Historic Test Year, Future Test Year and Fully Projected Future Test Year.</w:t>
      </w:r>
    </w:p>
    <w:p w:rsidR="00FA1BC6" w:rsidRDefault="00FA1BC6" w:rsidP="00FA1BC6">
      <w:pPr>
        <w:pStyle w:val="BodyText2"/>
        <w:spacing w:line="360" w:lineRule="auto"/>
        <w:ind w:left="1440" w:hanging="1440"/>
        <w:jc w:val="left"/>
      </w:pPr>
    </w:p>
    <w:p w:rsidR="00FA1BC6" w:rsidRDefault="00FA1BC6" w:rsidP="00FA1BC6">
      <w:pPr>
        <w:pStyle w:val="BodyText2"/>
        <w:spacing w:line="360" w:lineRule="auto"/>
        <w:ind w:left="1440" w:hanging="1440"/>
        <w:jc w:val="left"/>
      </w:pPr>
      <w:r>
        <w:t xml:space="preserve">Duquesne Light St. in Support, p. 12.  </w:t>
      </w:r>
    </w:p>
    <w:p w:rsidR="00FA1BC6" w:rsidRDefault="00FA1BC6" w:rsidP="00FA1BC6">
      <w:pPr>
        <w:pStyle w:val="BodyText2"/>
        <w:spacing w:line="360" w:lineRule="auto"/>
        <w:ind w:left="1440" w:hanging="1440"/>
        <w:jc w:val="left"/>
      </w:pPr>
    </w:p>
    <w:p w:rsidR="00DF4F2D" w:rsidRDefault="00DF4F2D">
      <w:pPr>
        <w:rPr>
          <w:rFonts w:eastAsia="Times New Roman"/>
          <w:szCs w:val="24"/>
        </w:rPr>
      </w:pPr>
      <w:r>
        <w:br w:type="page"/>
      </w:r>
    </w:p>
    <w:p w:rsidR="00FA1BC6" w:rsidRDefault="00FA1BC6" w:rsidP="00FA1BC6">
      <w:pPr>
        <w:pStyle w:val="BodyText2"/>
        <w:spacing w:line="360" w:lineRule="auto"/>
        <w:ind w:left="720" w:hanging="720"/>
        <w:jc w:val="left"/>
        <w:rPr>
          <w:u w:val="single"/>
        </w:rPr>
      </w:pPr>
      <w:r>
        <w:lastRenderedPageBreak/>
        <w:tab/>
        <w:t>7.</w:t>
      </w:r>
      <w:r>
        <w:tab/>
      </w:r>
      <w:r>
        <w:rPr>
          <w:u w:val="single"/>
        </w:rPr>
        <w:t>Rate Base, Revenue and Expense and Reporting Requirements</w:t>
      </w:r>
    </w:p>
    <w:p w:rsidR="00FA1BC6" w:rsidRDefault="00FA1BC6" w:rsidP="00FA1BC6">
      <w:pPr>
        <w:pStyle w:val="BodyText2"/>
        <w:spacing w:line="360" w:lineRule="auto"/>
        <w:ind w:left="1440" w:hanging="1440"/>
        <w:jc w:val="left"/>
        <w:rPr>
          <w:u w:val="single"/>
        </w:rPr>
      </w:pPr>
    </w:p>
    <w:p w:rsidR="00FA1BC6" w:rsidRDefault="00FA1BC6" w:rsidP="00FA1BC6">
      <w:pPr>
        <w:pStyle w:val="BodyText2"/>
        <w:spacing w:line="360" w:lineRule="auto"/>
        <w:ind w:firstLine="0"/>
        <w:jc w:val="left"/>
      </w:pPr>
      <w:r>
        <w:tab/>
      </w:r>
      <w:r>
        <w:tab/>
        <w:t>According to Duquesne Light</w:t>
      </w:r>
      <w:r w:rsidR="00457B49">
        <w:t>,</w:t>
      </w:r>
      <w:r>
        <w:t xml:space="preserve"> the Settlement terms require the Company to file a Total Company and Pennsylvania jurisdictional report showing capital expenditures, plant additions and retirements, by month for the FTY</w:t>
      </w:r>
      <w:r w:rsidR="00457B49">
        <w:t xml:space="preserve"> (April 2013 through March 2014</w:t>
      </w:r>
      <w:r>
        <w:t xml:space="preserve">), plus the gap month of April 2014 by October 31, 2014.  A similar report will be filed by October 31, 2015.   In the Company’s next base rate proceeding, Duquesne Light will prepare a comparison of its actual expenses and area base additions for the twelve-months ended April 30, 2015 to its projections in this case.  Duquesne Light St. in Support, p. 12.  </w:t>
      </w:r>
    </w:p>
    <w:p w:rsidR="00FA1BC6" w:rsidRDefault="00FA1BC6" w:rsidP="00FA1BC6">
      <w:pPr>
        <w:pStyle w:val="BodyText2"/>
        <w:spacing w:line="360" w:lineRule="auto"/>
        <w:ind w:left="1440" w:hanging="1440"/>
        <w:jc w:val="left"/>
      </w:pPr>
    </w:p>
    <w:p w:rsidR="00FA1BC6" w:rsidRDefault="00FA1BC6" w:rsidP="00FA1BC6">
      <w:pPr>
        <w:pStyle w:val="BodyText2"/>
        <w:spacing w:line="360" w:lineRule="auto"/>
        <w:ind w:left="720" w:hanging="720"/>
        <w:jc w:val="left"/>
        <w:rPr>
          <w:u w:val="single"/>
        </w:rPr>
      </w:pPr>
      <w:r>
        <w:tab/>
        <w:t>8.</w:t>
      </w:r>
      <w:r>
        <w:tab/>
      </w:r>
      <w:r w:rsidRPr="00B24A6D">
        <w:rPr>
          <w:u w:val="single"/>
        </w:rPr>
        <w:t>Income Tax Account Related to Mixed Service Costs</w:t>
      </w:r>
    </w:p>
    <w:p w:rsidR="00FA1BC6" w:rsidRDefault="00FA1BC6" w:rsidP="00FA1BC6">
      <w:pPr>
        <w:pStyle w:val="BodyText2"/>
        <w:spacing w:line="360" w:lineRule="auto"/>
        <w:ind w:left="1440" w:hanging="1440"/>
        <w:jc w:val="left"/>
      </w:pPr>
    </w:p>
    <w:p w:rsidR="00FA1BC6" w:rsidRDefault="00FA1BC6" w:rsidP="00FA1BC6">
      <w:pPr>
        <w:pStyle w:val="BodyText2"/>
        <w:spacing w:line="360" w:lineRule="auto"/>
        <w:ind w:firstLine="0"/>
        <w:jc w:val="left"/>
      </w:pPr>
      <w:r>
        <w:tab/>
      </w:r>
      <w:r w:rsidR="00457B49">
        <w:tab/>
      </w:r>
      <w:r>
        <w:t xml:space="preserve">Concerning income tax accounting for mixed service costs, Duquesne Light states the following. </w:t>
      </w:r>
    </w:p>
    <w:p w:rsidR="00FA1BC6" w:rsidRDefault="00FA1BC6" w:rsidP="00FA1BC6">
      <w:pPr>
        <w:pStyle w:val="BodyText2"/>
        <w:spacing w:line="360" w:lineRule="auto"/>
        <w:ind w:firstLine="0"/>
        <w:jc w:val="left"/>
      </w:pPr>
      <w:r>
        <w:t xml:space="preserve"> </w:t>
      </w:r>
      <w:r>
        <w:tab/>
      </w:r>
    </w:p>
    <w:p w:rsidR="00FA1BC6" w:rsidRDefault="00FA1BC6" w:rsidP="00FA1BC6">
      <w:pPr>
        <w:pStyle w:val="BodyText2"/>
        <w:spacing w:line="240" w:lineRule="auto"/>
        <w:ind w:left="1440" w:right="1440" w:hanging="1440"/>
        <w:jc w:val="left"/>
      </w:pPr>
      <w:r>
        <w:tab/>
        <w:t xml:space="preserve">Consistent with the Company’s normalization treatment of its IRS repair allowance approved in the Company’s last base rate proceeding, if the Company implements a change in income tax accounting for its 263A mixed service costs as permitted under IRS guidance, the Company will record the “catch up” reduction to its income tax liability in account 282 on its regulated books of account.  The “catch up” adjustment represents the refund for the cumulative effect of the election to change a method of accounting, also referred to as the IRC Section 481(a) adjustment.  This will increase the Accumulated Deferred Income Tax (“ADIT”) which will result in a decrease to rate base in future base rate proceedings. </w:t>
      </w:r>
    </w:p>
    <w:p w:rsidR="00FA1BC6" w:rsidRDefault="00FA1BC6" w:rsidP="00FA1BC6">
      <w:pPr>
        <w:pStyle w:val="BodyText2"/>
        <w:spacing w:line="240" w:lineRule="auto"/>
        <w:ind w:left="1440" w:right="1080" w:hanging="1440"/>
        <w:jc w:val="left"/>
      </w:pPr>
    </w:p>
    <w:p w:rsidR="00FA1BC6" w:rsidRDefault="00FA1BC6" w:rsidP="00FA1BC6">
      <w:pPr>
        <w:pStyle w:val="BodyText2"/>
        <w:spacing w:line="360" w:lineRule="auto"/>
        <w:ind w:left="1440" w:right="1080" w:hanging="1440"/>
        <w:jc w:val="left"/>
      </w:pPr>
      <w:r>
        <w:t>Duquesne Lig</w:t>
      </w:r>
      <w:r w:rsidR="00902FBC">
        <w:t xml:space="preserve">ht St. in Support, p. 12; JP ¶¶ </w:t>
      </w:r>
      <w:r>
        <w:t>36-37.</w:t>
      </w:r>
    </w:p>
    <w:p w:rsidR="00FA1BC6" w:rsidRDefault="00FA1BC6" w:rsidP="00FA1BC6">
      <w:pPr>
        <w:pStyle w:val="BodyText2"/>
        <w:spacing w:line="360" w:lineRule="auto"/>
        <w:ind w:left="1440" w:right="1080" w:hanging="1440"/>
        <w:jc w:val="left"/>
      </w:pPr>
    </w:p>
    <w:p w:rsidR="00FA1BC6" w:rsidRPr="00F832B1" w:rsidRDefault="00FA1BC6" w:rsidP="00555769">
      <w:pPr>
        <w:pStyle w:val="BodyText2"/>
        <w:spacing w:line="360" w:lineRule="auto"/>
        <w:ind w:left="720" w:right="1080" w:hanging="720"/>
        <w:jc w:val="left"/>
      </w:pPr>
      <w:r>
        <w:tab/>
        <w:t>9.</w:t>
      </w:r>
      <w:r>
        <w:tab/>
        <w:t xml:space="preserve">   </w:t>
      </w:r>
      <w:r w:rsidRPr="00F832B1">
        <w:rPr>
          <w:u w:val="single"/>
        </w:rPr>
        <w:t>Universal Service and Customer Service</w:t>
      </w:r>
    </w:p>
    <w:p w:rsidR="00FA1BC6" w:rsidRDefault="00FA1BC6" w:rsidP="00555769">
      <w:pPr>
        <w:pStyle w:val="BodyText2"/>
        <w:spacing w:line="360" w:lineRule="auto"/>
        <w:ind w:firstLine="0"/>
        <w:jc w:val="left"/>
      </w:pPr>
    </w:p>
    <w:p w:rsidR="00FA1BC6" w:rsidRDefault="00FA1BC6" w:rsidP="00555769">
      <w:pPr>
        <w:pStyle w:val="BodyText2"/>
        <w:spacing w:line="360" w:lineRule="auto"/>
        <w:ind w:firstLine="0"/>
        <w:jc w:val="left"/>
      </w:pPr>
      <w:r>
        <w:tab/>
      </w:r>
      <w:r>
        <w:tab/>
        <w:t xml:space="preserve">CAUSE-PA and OCA raised certain customer service concerns in this proceeding.  Duquesne Light submits that in response to these concerns the Settlement provides that the Company will increase its annual target Low Income Usage Reduction Program </w:t>
      </w:r>
      <w:r>
        <w:lastRenderedPageBreak/>
        <w:t>(LIURP) visits from 2,555 to 3,100 for 2014 through 2017.  In addition the Company will increase its maximum CAP credits for non-heat customers from $560 per year to $700 per year and for heating customers from $1,400 per year to $1,800 per year commencing January 1, 2015.  Under the Settlement terms, Duquesne Light will no</w:t>
      </w:r>
      <w:r w:rsidR="00755070">
        <w:t>t require customers to provide S</w:t>
      </w:r>
      <w:r>
        <w:t xml:space="preserve">ocial </w:t>
      </w:r>
      <w:r w:rsidR="00755070">
        <w:t>S</w:t>
      </w:r>
      <w:r>
        <w:t xml:space="preserve">ecurity numbers as a prerequisite to participating in CAP, provided the customer can provide sufficient alternative identification.  The increased costs of these changes will be recovered in the Company’s Universal Service Charge.  Further, the Company will file an amendment to its Universal Service and Energy Conservation Plan to incorporate these changes within 60 days of Settlement approval. </w:t>
      </w:r>
    </w:p>
    <w:p w:rsidR="00FA1BC6" w:rsidRDefault="00FA1BC6" w:rsidP="00FA1BC6">
      <w:pPr>
        <w:pStyle w:val="BodyText2"/>
        <w:spacing w:line="360" w:lineRule="auto"/>
        <w:ind w:firstLine="0"/>
        <w:jc w:val="left"/>
      </w:pPr>
    </w:p>
    <w:p w:rsidR="00FA1BC6" w:rsidRDefault="00FA1BC6" w:rsidP="00555769">
      <w:pPr>
        <w:pStyle w:val="BodyText2"/>
        <w:spacing w:line="360" w:lineRule="auto"/>
        <w:ind w:firstLine="0"/>
        <w:jc w:val="left"/>
      </w:pPr>
      <w:r>
        <w:tab/>
      </w:r>
      <w:r>
        <w:tab/>
        <w:t>According to Duquesne Light</w:t>
      </w:r>
      <w:r w:rsidR="0006531B">
        <w:t>,</w:t>
      </w:r>
      <w:r>
        <w:t xml:space="preserve"> the Settlement provisions also address customer service related to storm communications and the Company’s Red Flags Plan.</w:t>
      </w:r>
      <w:r>
        <w:rPr>
          <w:rStyle w:val="FootnoteReference"/>
        </w:rPr>
        <w:footnoteReference w:id="14"/>
      </w:r>
      <w:r>
        <w:t xml:space="preserve">  Within </w:t>
      </w:r>
      <w:r w:rsidR="002C559D">
        <w:t>six</w:t>
      </w:r>
      <w:r>
        <w:t xml:space="preserve"> months of the conclusion of this proceeding, Duquesne Light has agreed to conduct a collaborative with interested parties to discuss storm communication</w:t>
      </w:r>
      <w:r w:rsidR="00716314">
        <w:t>-</w:t>
      </w:r>
      <w:r>
        <w:t xml:space="preserve">related issues and to refresh its Red Flags Plan and to provide the Plan to interested parties.  Duquesne Light </w:t>
      </w:r>
      <w:r w:rsidR="00902FBC">
        <w:t xml:space="preserve">St. in Support, </w:t>
      </w:r>
      <w:r w:rsidR="0006531B">
        <w:t>p</w:t>
      </w:r>
      <w:r w:rsidR="00902FBC">
        <w:t xml:space="preserve">p. 13-16; JP ¶¶ </w:t>
      </w:r>
      <w:r>
        <w:t>8-41.</w:t>
      </w:r>
    </w:p>
    <w:p w:rsidR="00FA1BC6" w:rsidRDefault="00FA1BC6" w:rsidP="00555769">
      <w:pPr>
        <w:pStyle w:val="BodyText2"/>
        <w:spacing w:line="360" w:lineRule="auto"/>
        <w:ind w:firstLine="0"/>
        <w:jc w:val="left"/>
      </w:pPr>
    </w:p>
    <w:p w:rsidR="00FA1BC6" w:rsidRDefault="00FA1BC6" w:rsidP="00555769">
      <w:pPr>
        <w:pStyle w:val="BodyText2"/>
        <w:spacing w:line="360" w:lineRule="auto"/>
        <w:ind w:firstLine="0"/>
        <w:jc w:val="left"/>
        <w:rPr>
          <w:u w:val="single"/>
        </w:rPr>
      </w:pPr>
      <w:r>
        <w:tab/>
        <w:t>10.</w:t>
      </w:r>
      <w:r>
        <w:tab/>
      </w:r>
      <w:r>
        <w:rPr>
          <w:u w:val="single"/>
        </w:rPr>
        <w:t>Revenue Allocation, Rate Design and LED Street Lights</w:t>
      </w:r>
    </w:p>
    <w:p w:rsidR="00FA1BC6" w:rsidRDefault="00FA1BC6" w:rsidP="00555769">
      <w:pPr>
        <w:pStyle w:val="BodyText2"/>
        <w:spacing w:line="360" w:lineRule="auto"/>
        <w:ind w:firstLine="0"/>
        <w:jc w:val="left"/>
      </w:pPr>
    </w:p>
    <w:p w:rsidR="00FA1BC6" w:rsidRPr="00BF149D" w:rsidRDefault="00FA1BC6" w:rsidP="00555769">
      <w:pPr>
        <w:pStyle w:val="BodyText2"/>
        <w:spacing w:line="360" w:lineRule="auto"/>
        <w:ind w:firstLine="0"/>
        <w:jc w:val="left"/>
      </w:pPr>
      <w:r>
        <w:tab/>
      </w:r>
      <w:r>
        <w:tab/>
        <w:t>a.</w:t>
      </w:r>
      <w:r>
        <w:tab/>
      </w:r>
      <w:r w:rsidRPr="00BF149D">
        <w:rPr>
          <w:u w:val="single"/>
        </w:rPr>
        <w:t>Revenue Allocation</w:t>
      </w:r>
    </w:p>
    <w:p w:rsidR="00FA1BC6" w:rsidRPr="00784F6B" w:rsidRDefault="00FA1BC6" w:rsidP="00FA1BC6">
      <w:pPr>
        <w:pStyle w:val="BodyText2"/>
        <w:spacing w:line="360" w:lineRule="auto"/>
        <w:ind w:firstLine="0"/>
        <w:jc w:val="left"/>
        <w:rPr>
          <w:u w:val="single"/>
        </w:rPr>
      </w:pPr>
    </w:p>
    <w:p w:rsidR="00FA1BC6" w:rsidRDefault="00FA1BC6" w:rsidP="00FA1BC6">
      <w:pPr>
        <w:pStyle w:val="BodyText2"/>
        <w:spacing w:line="360" w:lineRule="auto"/>
        <w:ind w:firstLine="0"/>
        <w:jc w:val="left"/>
      </w:pPr>
      <w:r>
        <w:tab/>
      </w:r>
      <w:r>
        <w:tab/>
        <w:t xml:space="preserve">Duquesne Light maintains that the Settling Parties presented competing evidence as to revenue allocation and rate design, but they were able to set aside differences and resolve all their issues.  </w:t>
      </w:r>
    </w:p>
    <w:p w:rsidR="006073DE" w:rsidRDefault="00FA1BC6" w:rsidP="00FA1BC6">
      <w:pPr>
        <w:pStyle w:val="BodyText2"/>
        <w:spacing w:line="240" w:lineRule="auto"/>
        <w:ind w:left="1440" w:right="1440" w:firstLine="0"/>
        <w:jc w:val="left"/>
      </w:pPr>
      <w:r>
        <w:t>The revenue allocation initially proposed by the Company was in the middle of the range of class increases proposed by the parties.  (Duquesne Light St. No. 12-R, p.</w:t>
      </w:r>
      <w:r w:rsidR="00716314">
        <w:t xml:space="preserve"> </w:t>
      </w:r>
      <w:r>
        <w:t xml:space="preserve">4.)  Attachment 1 to the Company’s Statement in Support demonstrates that the allocation of the revenue increase under the Settlement also is within the </w:t>
      </w:r>
    </w:p>
    <w:p w:rsidR="00FA1BC6" w:rsidRDefault="00FA1BC6" w:rsidP="00FA1BC6">
      <w:pPr>
        <w:pStyle w:val="BodyText2"/>
        <w:spacing w:line="240" w:lineRule="auto"/>
        <w:ind w:left="1440" w:right="1440" w:firstLine="0"/>
        <w:jc w:val="left"/>
      </w:pPr>
      <w:r>
        <w:lastRenderedPageBreak/>
        <w:t>range proposed by the parties.  Attachment 1</w:t>
      </w:r>
      <w:r>
        <w:rPr>
          <w:rStyle w:val="FootnoteReference"/>
        </w:rPr>
        <w:footnoteReference w:id="15"/>
      </w:r>
      <w:r>
        <w:t xml:space="preserve"> shows the maximum and minimum increase/decrease proposed by any part at the full proposed increase and a 37% scale back of each of those proposals. The 37% scale back represents the percentage reduction of the increase from the initially proposed increase of $76.277 million to $48 million. . . . .  The Company[’s] initially proposed allocation at the full rate increase moved all class returns closer to the Company average rate of return.</w:t>
      </w:r>
      <w:r w:rsidR="0006531B">
        <w:t xml:space="preserve"> </w:t>
      </w:r>
      <w:r>
        <w:t xml:space="preserve"> (Duq</w:t>
      </w:r>
      <w:r w:rsidR="0006531B">
        <w:t xml:space="preserve">uesne Light St. No. 12, p. 5.)  </w:t>
      </w:r>
      <w:r>
        <w:t>As shown on page 2 of Attachment 1, the allocations to the rate classes under the Settlement generally are consistent with a 37% scale back of the Company’s class cost of service study.  Therefore, the Settlement revenue allocation also will move class rates of return closer to system average.</w:t>
      </w:r>
    </w:p>
    <w:p w:rsidR="00FA1BC6" w:rsidRDefault="00FA1BC6" w:rsidP="00FA1BC6">
      <w:pPr>
        <w:pStyle w:val="BodyText2"/>
        <w:spacing w:line="240" w:lineRule="auto"/>
        <w:ind w:left="1440" w:right="1440" w:firstLine="0"/>
        <w:jc w:val="left"/>
      </w:pPr>
    </w:p>
    <w:p w:rsidR="00FA1BC6" w:rsidRDefault="00FA1BC6" w:rsidP="00FA1BC6">
      <w:pPr>
        <w:pStyle w:val="BodyText2"/>
        <w:spacing w:line="240" w:lineRule="auto"/>
        <w:ind w:left="1440" w:right="1440" w:firstLine="0"/>
        <w:jc w:val="left"/>
      </w:pPr>
      <w:r>
        <w:t xml:space="preserve">Given these considerations, Duquesne Light believes that the revenue allocation under the Settlement is fully consistent with the Commonwealth Court’s decision in </w:t>
      </w:r>
      <w:r>
        <w:rPr>
          <w:i/>
        </w:rPr>
        <w:t>Lloyd v. Pa. P.U.C.,</w:t>
      </w:r>
      <w:r w:rsidRPr="00F47FB6">
        <w:t xml:space="preserve"> 904 A.2d 101 (Pa. Cmw</w:t>
      </w:r>
      <w:r>
        <w:t>l</w:t>
      </w:r>
      <w:r w:rsidRPr="00F47FB6">
        <w:t>th. 2006)</w:t>
      </w:r>
      <w:r>
        <w:t xml:space="preserve"> and prior court precedent regarding revenue allocation.</w:t>
      </w:r>
      <w:r w:rsidR="0006531B">
        <w:t xml:space="preserve"> </w:t>
      </w:r>
      <w:r>
        <w:t xml:space="preserve"> In compliance with </w:t>
      </w:r>
      <w:r>
        <w:rPr>
          <w:i/>
        </w:rPr>
        <w:t>Lloyd,</w:t>
      </w:r>
      <w:r>
        <w:t xml:space="preserve"> the Settlement moves all rate classes closer to a system average return based [on] Duquesne Light’s class cost of service study. </w:t>
      </w:r>
      <w:r>
        <w:tab/>
      </w:r>
      <w:r>
        <w:tab/>
      </w:r>
    </w:p>
    <w:p w:rsidR="00FA1BC6" w:rsidRDefault="00FA1BC6" w:rsidP="00555769">
      <w:pPr>
        <w:pStyle w:val="BodyText2"/>
        <w:spacing w:line="360" w:lineRule="auto"/>
        <w:ind w:firstLine="0"/>
        <w:jc w:val="left"/>
      </w:pPr>
      <w:r>
        <w:tab/>
      </w:r>
    </w:p>
    <w:p w:rsidR="00FA1BC6" w:rsidRDefault="00FA1BC6" w:rsidP="00555769">
      <w:pPr>
        <w:pStyle w:val="BodyText2"/>
        <w:spacing w:line="360" w:lineRule="auto"/>
        <w:ind w:firstLine="0"/>
        <w:jc w:val="left"/>
      </w:pPr>
      <w:r>
        <w:t xml:space="preserve">Duquesne Light St. in Support, </w:t>
      </w:r>
      <w:r w:rsidR="0006531B">
        <w:t>p</w:t>
      </w:r>
      <w:r>
        <w:t>p. 16-17.</w:t>
      </w:r>
    </w:p>
    <w:p w:rsidR="00555769" w:rsidRDefault="00555769" w:rsidP="00555769">
      <w:pPr>
        <w:pStyle w:val="BodyText2"/>
        <w:spacing w:line="360" w:lineRule="auto"/>
        <w:ind w:firstLine="0"/>
        <w:jc w:val="left"/>
      </w:pPr>
    </w:p>
    <w:p w:rsidR="00FA1BC6" w:rsidRDefault="00FA1BC6" w:rsidP="00555769">
      <w:pPr>
        <w:pStyle w:val="BodyText2"/>
        <w:spacing w:line="360" w:lineRule="auto"/>
        <w:ind w:firstLine="0"/>
        <w:jc w:val="left"/>
        <w:rPr>
          <w:u w:val="single"/>
        </w:rPr>
      </w:pPr>
      <w:r>
        <w:tab/>
      </w:r>
      <w:r>
        <w:tab/>
        <w:t>b.</w:t>
      </w:r>
      <w:r>
        <w:tab/>
      </w:r>
      <w:r w:rsidRPr="00F47FB6">
        <w:rPr>
          <w:u w:val="single"/>
        </w:rPr>
        <w:t>R</w:t>
      </w:r>
      <w:r>
        <w:rPr>
          <w:u w:val="single"/>
        </w:rPr>
        <w:t>ate Design</w:t>
      </w:r>
    </w:p>
    <w:p w:rsidR="00FA1BC6" w:rsidRPr="00F47FB6" w:rsidRDefault="00FA1BC6" w:rsidP="00555769">
      <w:pPr>
        <w:pStyle w:val="BodyText2"/>
        <w:spacing w:line="360" w:lineRule="auto"/>
        <w:ind w:firstLine="0"/>
        <w:jc w:val="left"/>
        <w:rPr>
          <w:u w:val="single"/>
        </w:rPr>
      </w:pPr>
    </w:p>
    <w:p w:rsidR="00FA1BC6" w:rsidRDefault="00FA1BC6" w:rsidP="00FA1BC6">
      <w:pPr>
        <w:pStyle w:val="BodyText2"/>
        <w:spacing w:line="360" w:lineRule="auto"/>
        <w:ind w:firstLine="0"/>
        <w:jc w:val="left"/>
      </w:pPr>
      <w:r>
        <w:tab/>
      </w:r>
      <w:r>
        <w:tab/>
        <w:t>Duquesne Light had proposed to increase its residential customer charge from $7.00 per month to $15.00 per month.  (Duquesne Light St. No. 12, p.</w:t>
      </w:r>
      <w:r w:rsidR="0006531B">
        <w:t xml:space="preserve"> </w:t>
      </w:r>
      <w:r>
        <w:t>8.)  I&amp;E proposed $11.85 per month, and OCA proposed a charge of no more than $8.00 per month.  While Duquesne  Light submits its cost of service study supports a higher residential customer charge, the Settling Parties were able to agree on a $10.00 month charge.  Duquesne Light St. in Support, p. 19.</w:t>
      </w:r>
    </w:p>
    <w:p w:rsidR="00AD1294" w:rsidRDefault="00AD1294">
      <w:pPr>
        <w:rPr>
          <w:rFonts w:eastAsia="Times New Roman"/>
          <w:szCs w:val="24"/>
        </w:rPr>
      </w:pPr>
    </w:p>
    <w:p w:rsidR="00DF4F2D" w:rsidRDefault="00DF4F2D">
      <w:pPr>
        <w:rPr>
          <w:rFonts w:eastAsia="Times New Roman"/>
          <w:szCs w:val="24"/>
        </w:rPr>
      </w:pPr>
      <w:r>
        <w:br w:type="page"/>
      </w:r>
    </w:p>
    <w:p w:rsidR="00FA1BC6" w:rsidRDefault="00FA1BC6" w:rsidP="00FA1BC6">
      <w:pPr>
        <w:pStyle w:val="BodyText2"/>
        <w:spacing w:line="360" w:lineRule="auto"/>
        <w:ind w:firstLine="0"/>
        <w:jc w:val="left"/>
      </w:pPr>
      <w:r>
        <w:lastRenderedPageBreak/>
        <w:tab/>
      </w:r>
      <w:r>
        <w:tab/>
        <w:t>c.</w:t>
      </w:r>
      <w:r>
        <w:tab/>
      </w:r>
      <w:r w:rsidRPr="00B26C5D">
        <w:rPr>
          <w:u w:val="single"/>
        </w:rPr>
        <w:t>LED Street Light Pilot Program</w:t>
      </w:r>
      <w:r>
        <w:tab/>
      </w:r>
    </w:p>
    <w:p w:rsidR="00FA1BC6" w:rsidRDefault="00FA1BC6" w:rsidP="00FA1BC6">
      <w:pPr>
        <w:pStyle w:val="BodyText2"/>
        <w:spacing w:line="360" w:lineRule="auto"/>
        <w:ind w:firstLine="0"/>
        <w:jc w:val="left"/>
      </w:pPr>
    </w:p>
    <w:p w:rsidR="00FA1BC6" w:rsidRDefault="00FA1BC6" w:rsidP="00FA1BC6">
      <w:pPr>
        <w:pStyle w:val="BodyText2"/>
        <w:spacing w:line="360" w:lineRule="auto"/>
        <w:ind w:firstLine="0"/>
        <w:jc w:val="left"/>
      </w:pPr>
      <w:r>
        <w:tab/>
      </w:r>
      <w:r>
        <w:tab/>
        <w:t xml:space="preserve">The Company proposes to adopt Light Emitting Diode (LED) street lighting rates.  Duquesne Light St. No. 12, p. 17.   Under its tariff, Duquesne Light pays for and installs the majority of street lights in its service territory.  The majority of its street light rates are designed to recover the costs of the street lighting fixture, installation costs and maintenance costs for the light.  The Company submits that LED Street lights are relatively new technology.  Therefore there is uncertainty as to the life of such lights. </w:t>
      </w:r>
      <w:r w:rsidR="0006531B">
        <w:t xml:space="preserve"> </w:t>
      </w:r>
      <w:r>
        <w:t xml:space="preserve">Based upon an RFP process for the costs of the LED fixture, the Company developed its LED street light rates. </w:t>
      </w:r>
      <w:r w:rsidR="0006531B">
        <w:t xml:space="preserve"> </w:t>
      </w:r>
      <w:r>
        <w:t>Duquesn</w:t>
      </w:r>
      <w:r w:rsidR="0006531B">
        <w:t xml:space="preserve">e Light St. No. 12-SR, p. 7.  </w:t>
      </w:r>
      <w:r>
        <w:t>However PennFuture claimed the street light rates were too high.  PennFu</w:t>
      </w:r>
      <w:r w:rsidR="0006531B">
        <w:t>t</w:t>
      </w:r>
      <w:r>
        <w:t>ure St. No. 1, p.</w:t>
      </w:r>
      <w:r w:rsidR="002C559D">
        <w:t> </w:t>
      </w:r>
      <w:r>
        <w:t>5.</w:t>
      </w:r>
    </w:p>
    <w:p w:rsidR="00FA1BC6" w:rsidRDefault="00FA1BC6" w:rsidP="00FA1BC6">
      <w:pPr>
        <w:pStyle w:val="BodyText2"/>
        <w:spacing w:line="360" w:lineRule="auto"/>
        <w:ind w:firstLine="0"/>
        <w:jc w:val="left"/>
      </w:pPr>
    </w:p>
    <w:p w:rsidR="00FA1BC6" w:rsidRDefault="00FA1BC6" w:rsidP="00FA1BC6">
      <w:pPr>
        <w:pStyle w:val="BodyText2"/>
        <w:spacing w:line="360" w:lineRule="auto"/>
        <w:ind w:firstLine="0"/>
        <w:jc w:val="left"/>
      </w:pPr>
      <w:r>
        <w:tab/>
      </w:r>
      <w:r>
        <w:tab/>
        <w:t>Duquesne Light submits the Settling Parties reached a compromise whereby the Company will adopt a LED Street Light Pilot Program.  In accordance with the Pilot Program, Duquesne Light will work with interested municipalities to install up to a total of 1,500 LED lights per year at nominal lamp wattages of 43 or 106 watts, which are the 70 watt and 150 watt HPS (High Pressure Sodium) light equivalents, which use more energy.  The distribution rates for these LED lights will be $11.16 per month and $12.82 per month, respectively.  Duquesne Light St. in Support, p. 20.</w:t>
      </w:r>
    </w:p>
    <w:p w:rsidR="00FA1BC6" w:rsidRDefault="00FA1BC6" w:rsidP="00FA1BC6">
      <w:pPr>
        <w:pStyle w:val="BodyText2"/>
        <w:spacing w:line="360" w:lineRule="auto"/>
        <w:ind w:firstLine="0"/>
        <w:jc w:val="left"/>
      </w:pPr>
    </w:p>
    <w:p w:rsidR="00FA1BC6" w:rsidRPr="00D9087D" w:rsidRDefault="00FA1BC6" w:rsidP="00FA1BC6">
      <w:pPr>
        <w:pStyle w:val="BodyText2"/>
        <w:spacing w:line="360" w:lineRule="auto"/>
        <w:ind w:firstLine="0"/>
        <w:jc w:val="left"/>
      </w:pPr>
      <w:r>
        <w:tab/>
      </w:r>
      <w:r>
        <w:tab/>
        <w:t xml:space="preserve">According to the Company, it will work with interested municipalities to implement the Pilot Program.  The Pilot Program places a cap on the number of LED installations that is sufficient to all interested municipalities to participate during the pilot period which runs from the effective date of rates in this proceeding until the end of the future test year in the </w:t>
      </w:r>
      <w:r w:rsidR="00D87D15">
        <w:t>C</w:t>
      </w:r>
      <w:r>
        <w:t xml:space="preserve">ompany’s next rate proceeding.  The Pilot Program provides for reporting </w:t>
      </w:r>
      <w:r w:rsidR="007E7E5D">
        <w:t>periods</w:t>
      </w:r>
      <w:r>
        <w:t xml:space="preserve"> to allow interested parties to evaluate the program benefits. </w:t>
      </w:r>
      <w:r w:rsidR="0006531B">
        <w:t xml:space="preserve"> </w:t>
      </w:r>
      <w:r>
        <w:rPr>
          <w:i/>
        </w:rPr>
        <w:t xml:space="preserve">Id. </w:t>
      </w:r>
      <w:r>
        <w:t xml:space="preserve"> The LED fixtures provide the opportunity for energy savings due to lower energy usage.  Therefore, the Company argues the Pilot Program advances the interests of all interested parties.</w:t>
      </w:r>
    </w:p>
    <w:p w:rsidR="00AD1294" w:rsidRDefault="00AD1294">
      <w:pPr>
        <w:rPr>
          <w:rFonts w:eastAsia="Times New Roman"/>
          <w:szCs w:val="24"/>
        </w:rPr>
      </w:pPr>
    </w:p>
    <w:p w:rsidR="00DF4F2D" w:rsidRDefault="00DF4F2D">
      <w:pPr>
        <w:rPr>
          <w:rFonts w:eastAsia="Times New Roman"/>
          <w:szCs w:val="24"/>
        </w:rPr>
      </w:pPr>
      <w:r>
        <w:br w:type="page"/>
      </w:r>
    </w:p>
    <w:p w:rsidR="00FA1BC6" w:rsidRPr="009C6D70" w:rsidRDefault="00FA1BC6" w:rsidP="00FA1BC6">
      <w:pPr>
        <w:pStyle w:val="BodyText2"/>
        <w:ind w:firstLine="0"/>
        <w:jc w:val="left"/>
      </w:pPr>
      <w:r>
        <w:lastRenderedPageBreak/>
        <w:t>B.</w:t>
      </w:r>
      <w:r>
        <w:tab/>
      </w:r>
      <w:r w:rsidRPr="007A2460">
        <w:rPr>
          <w:u w:val="single"/>
        </w:rPr>
        <w:t>I&amp;E’s Position</w:t>
      </w:r>
      <w:r>
        <w:tab/>
      </w:r>
    </w:p>
    <w:p w:rsidR="00FA1BC6" w:rsidRPr="009C6D70" w:rsidRDefault="00FA1BC6" w:rsidP="00FA1BC6">
      <w:pPr>
        <w:pStyle w:val="BodyText2"/>
        <w:spacing w:line="360" w:lineRule="auto"/>
        <w:ind w:firstLine="1440"/>
        <w:jc w:val="left"/>
      </w:pPr>
    </w:p>
    <w:p w:rsidR="00FA1BC6" w:rsidRDefault="00FA1BC6" w:rsidP="00FA1BC6">
      <w:pPr>
        <w:spacing w:after="0" w:line="360" w:lineRule="auto"/>
        <w:ind w:firstLine="720"/>
        <w:rPr>
          <w:rFonts w:eastAsia="Times New Roman"/>
          <w:szCs w:val="24"/>
        </w:rPr>
      </w:pPr>
      <w:r w:rsidRPr="00AB306F">
        <w:rPr>
          <w:rFonts w:eastAsia="Times New Roman"/>
          <w:szCs w:val="24"/>
        </w:rPr>
        <w:tab/>
      </w:r>
      <w:r>
        <w:rPr>
          <w:rFonts w:eastAsia="Times New Roman"/>
          <w:szCs w:val="24"/>
        </w:rPr>
        <w:t>The Commission’s Bureau of Investigation and Enforcement (</w:t>
      </w:r>
      <w:r w:rsidRPr="00AB306F">
        <w:rPr>
          <w:rFonts w:eastAsia="Times New Roman"/>
          <w:szCs w:val="24"/>
        </w:rPr>
        <w:t>I&amp;E</w:t>
      </w:r>
      <w:r>
        <w:rPr>
          <w:rFonts w:eastAsia="Times New Roman"/>
          <w:szCs w:val="24"/>
        </w:rPr>
        <w:t>)</w:t>
      </w:r>
      <w:r w:rsidRPr="00AB306F">
        <w:rPr>
          <w:rFonts w:eastAsia="Times New Roman"/>
          <w:szCs w:val="24"/>
        </w:rPr>
        <w:t xml:space="preserve"> is charged with the representation of the public interest in proceedings relating to rates, rate-related services and application proceedings affecting the public interest held before the Commission.  Consequently, in negotiated settlements, it is incumbent upon I&amp;E to ensure that the public interest is served and to quantify to what extent amicable resolution of any such proceeding will benefit the public interest.</w:t>
      </w:r>
    </w:p>
    <w:p w:rsidR="00FA1BC6" w:rsidRDefault="00FA1BC6" w:rsidP="00FA1BC6">
      <w:pPr>
        <w:spacing w:after="0" w:line="360" w:lineRule="auto"/>
        <w:ind w:firstLine="720"/>
        <w:rPr>
          <w:rFonts w:eastAsia="Times New Roman"/>
          <w:szCs w:val="24"/>
        </w:rPr>
      </w:pPr>
    </w:p>
    <w:p w:rsidR="00FA1BC6" w:rsidRDefault="00FA1BC6" w:rsidP="00FA1BC6">
      <w:pPr>
        <w:spacing w:after="0" w:line="360" w:lineRule="auto"/>
        <w:ind w:firstLine="720"/>
        <w:rPr>
          <w:rFonts w:eastAsia="Times New Roman"/>
          <w:szCs w:val="24"/>
        </w:rPr>
      </w:pPr>
      <w:r>
        <w:rPr>
          <w:rFonts w:eastAsia="Times New Roman"/>
          <w:szCs w:val="24"/>
        </w:rPr>
        <w:tab/>
        <w:t>I&amp;E acknowledges that the Settlement is a “black box” as its provisions are not based upon any particular adjustments or ratemaking approach, unless otherwise specifically stated in the Settlement Petition.  I&amp;E references the Commission Chairman’s recent endorsement of “black box” settlements.  The Chairman remarked that he enthusiastically supported “black box” settlements:</w:t>
      </w:r>
    </w:p>
    <w:p w:rsidR="00FA1BC6" w:rsidRDefault="00FA1BC6" w:rsidP="00FA1BC6">
      <w:pPr>
        <w:spacing w:after="0" w:line="240" w:lineRule="auto"/>
        <w:ind w:left="1440" w:right="1080"/>
        <w:rPr>
          <w:rFonts w:eastAsia="Times New Roman"/>
          <w:szCs w:val="24"/>
        </w:rPr>
      </w:pPr>
      <w:r>
        <w:rPr>
          <w:rFonts w:eastAsia="Times New Roman"/>
          <w:szCs w:val="24"/>
        </w:rPr>
        <w:tab/>
      </w:r>
    </w:p>
    <w:p w:rsidR="00FA1BC6" w:rsidRDefault="00FA1BC6" w:rsidP="00FA1BC6">
      <w:pPr>
        <w:spacing w:after="0" w:line="240" w:lineRule="auto"/>
        <w:ind w:left="1440" w:right="1440"/>
        <w:rPr>
          <w:rFonts w:eastAsia="Times New Roman"/>
          <w:szCs w:val="24"/>
        </w:rPr>
      </w:pPr>
      <w:r>
        <w:rPr>
          <w:rFonts w:eastAsia="Times New Roman"/>
          <w:szCs w:val="24"/>
        </w:rPr>
        <w:t>Determination of a company’s revenue requirement is a calculation that involves many complex and interrelated adjustments affecting revenue, expenses, rate base and the company’s cost of capital.  To reach agreement on each component of a rate increase is an undertaking that in many cases would be difficult, time-consuming, expensive and perhaps impossible.  Black box settlements are an integral component of the process of delivering timely and cost</w:t>
      </w:r>
      <w:r w:rsidR="00E80569">
        <w:rPr>
          <w:rFonts w:eastAsia="Times New Roman"/>
          <w:szCs w:val="24"/>
        </w:rPr>
        <w:t>-effective</w:t>
      </w:r>
      <w:r>
        <w:rPr>
          <w:rFonts w:eastAsia="Times New Roman"/>
          <w:szCs w:val="24"/>
        </w:rPr>
        <w:t xml:space="preserve"> regulation.</w:t>
      </w:r>
      <w:r>
        <w:rPr>
          <w:rStyle w:val="FootnoteReference"/>
          <w:rFonts w:eastAsia="Times New Roman"/>
          <w:szCs w:val="24"/>
        </w:rPr>
        <w:footnoteReference w:id="16"/>
      </w:r>
    </w:p>
    <w:p w:rsidR="00FA1BC6" w:rsidRDefault="00FA1BC6" w:rsidP="00FA1BC6">
      <w:pPr>
        <w:spacing w:after="0" w:line="360" w:lineRule="auto"/>
        <w:ind w:firstLine="720"/>
        <w:rPr>
          <w:rFonts w:eastAsia="Times New Roman"/>
          <w:szCs w:val="24"/>
        </w:rPr>
      </w:pPr>
    </w:p>
    <w:p w:rsidR="00FA1BC6" w:rsidRPr="00AB306F" w:rsidRDefault="00FA1BC6" w:rsidP="00FA1BC6">
      <w:pPr>
        <w:spacing w:after="0" w:line="360" w:lineRule="auto"/>
        <w:rPr>
          <w:rFonts w:eastAsia="Times New Roman"/>
          <w:color w:val="000000"/>
          <w:spacing w:val="-3"/>
          <w:szCs w:val="24"/>
        </w:rPr>
      </w:pPr>
      <w:r>
        <w:rPr>
          <w:rFonts w:eastAsia="Times New Roman"/>
          <w:szCs w:val="24"/>
        </w:rPr>
        <w:t>I&amp;E St. in Support, p. 3.</w:t>
      </w:r>
    </w:p>
    <w:p w:rsidR="00FA1BC6" w:rsidRDefault="00FA1BC6" w:rsidP="00FA1BC6">
      <w:pPr>
        <w:spacing w:after="0" w:line="360" w:lineRule="auto"/>
        <w:rPr>
          <w:rFonts w:eastAsia="Times New Roman"/>
          <w:color w:val="000000"/>
          <w:szCs w:val="24"/>
        </w:rPr>
      </w:pPr>
      <w:r w:rsidRPr="00AB306F">
        <w:rPr>
          <w:rFonts w:eastAsia="Times New Roman"/>
          <w:color w:val="000000"/>
          <w:szCs w:val="24"/>
        </w:rPr>
        <w:tab/>
      </w:r>
      <w:r w:rsidRPr="00AB306F">
        <w:rPr>
          <w:rFonts w:eastAsia="Times New Roman"/>
          <w:color w:val="000000"/>
          <w:szCs w:val="24"/>
        </w:rPr>
        <w:tab/>
        <w:t>Prior to agreeing to the instant settlement, I&amp;E explains that</w:t>
      </w:r>
      <w:r>
        <w:rPr>
          <w:rFonts w:eastAsia="Times New Roman"/>
          <w:color w:val="000000"/>
          <w:szCs w:val="24"/>
        </w:rPr>
        <w:t xml:space="preserve">, </w:t>
      </w:r>
      <w:r w:rsidRPr="001730F1">
        <w:rPr>
          <w:rFonts w:eastAsia="Times New Roman"/>
          <w:i/>
          <w:color w:val="000000"/>
          <w:szCs w:val="24"/>
        </w:rPr>
        <w:t>inter</w:t>
      </w:r>
      <w:r>
        <w:rPr>
          <w:rFonts w:eastAsia="Times New Roman"/>
          <w:color w:val="000000"/>
          <w:szCs w:val="24"/>
        </w:rPr>
        <w:t xml:space="preserve"> </w:t>
      </w:r>
      <w:r w:rsidRPr="001730F1">
        <w:rPr>
          <w:rFonts w:eastAsia="Times New Roman"/>
          <w:i/>
          <w:color w:val="000000"/>
          <w:szCs w:val="24"/>
        </w:rPr>
        <w:t>alia</w:t>
      </w:r>
      <w:r>
        <w:rPr>
          <w:rFonts w:eastAsia="Times New Roman"/>
          <w:i/>
          <w:color w:val="000000"/>
          <w:szCs w:val="24"/>
        </w:rPr>
        <w:t>,</w:t>
      </w:r>
      <w:r w:rsidRPr="00AB306F">
        <w:rPr>
          <w:rFonts w:eastAsia="Times New Roman"/>
          <w:color w:val="000000"/>
          <w:szCs w:val="24"/>
        </w:rPr>
        <w:t xml:space="preserve"> it </w:t>
      </w:r>
      <w:r>
        <w:rPr>
          <w:rFonts w:eastAsia="Times New Roman"/>
          <w:color w:val="000000"/>
          <w:szCs w:val="24"/>
        </w:rPr>
        <w:t>performed the following actions:</w:t>
      </w:r>
    </w:p>
    <w:p w:rsidR="00FA1BC6" w:rsidRDefault="00FA1BC6" w:rsidP="00FA1BC6">
      <w:pPr>
        <w:spacing w:after="0" w:line="360" w:lineRule="auto"/>
        <w:rPr>
          <w:rFonts w:eastAsia="Times New Roman"/>
          <w:color w:val="000000"/>
          <w:szCs w:val="24"/>
        </w:rPr>
      </w:pPr>
    </w:p>
    <w:p w:rsidR="00FA1BC6" w:rsidRDefault="00FA1BC6" w:rsidP="00FA1BC6">
      <w:pPr>
        <w:tabs>
          <w:tab w:val="left" w:pos="2160"/>
        </w:tabs>
        <w:spacing w:after="0" w:line="240" w:lineRule="auto"/>
        <w:ind w:left="1440" w:right="1440"/>
        <w:rPr>
          <w:rFonts w:eastAsia="Times New Roman"/>
          <w:color w:val="000000"/>
          <w:szCs w:val="24"/>
        </w:rPr>
      </w:pPr>
      <w:r>
        <w:rPr>
          <w:rFonts w:eastAsia="Times New Roman"/>
          <w:color w:val="000000"/>
          <w:szCs w:val="24"/>
        </w:rPr>
        <w:tab/>
        <w:t xml:space="preserve">(1) </w:t>
      </w:r>
      <w:r>
        <w:rPr>
          <w:rFonts w:eastAsia="Times New Roman"/>
          <w:color w:val="000000"/>
          <w:szCs w:val="24"/>
        </w:rPr>
        <w:tab/>
        <w:t>reviewed the Company’s filing, accompanying testimony and supporting information;</w:t>
      </w:r>
    </w:p>
    <w:p w:rsidR="00DF4F2D" w:rsidRDefault="00DF4F2D" w:rsidP="00FA1BC6">
      <w:pPr>
        <w:tabs>
          <w:tab w:val="left" w:pos="2160"/>
        </w:tabs>
        <w:spacing w:after="0" w:line="240" w:lineRule="auto"/>
        <w:ind w:left="1440" w:right="1440"/>
        <w:rPr>
          <w:rFonts w:eastAsia="Times New Roman"/>
          <w:color w:val="000000"/>
          <w:szCs w:val="24"/>
        </w:rPr>
      </w:pPr>
    </w:p>
    <w:p w:rsidR="00FA1BC6" w:rsidRDefault="00FA1BC6" w:rsidP="00FA1BC6">
      <w:pPr>
        <w:tabs>
          <w:tab w:val="left" w:pos="2160"/>
        </w:tabs>
        <w:spacing w:after="0" w:line="240" w:lineRule="auto"/>
        <w:ind w:left="1440" w:right="1440"/>
        <w:rPr>
          <w:rFonts w:eastAsia="Times New Roman"/>
          <w:color w:val="000000"/>
          <w:szCs w:val="24"/>
        </w:rPr>
      </w:pPr>
      <w:r>
        <w:rPr>
          <w:rFonts w:eastAsia="Times New Roman"/>
          <w:color w:val="000000"/>
          <w:szCs w:val="24"/>
        </w:rPr>
        <w:lastRenderedPageBreak/>
        <w:tab/>
        <w:t xml:space="preserve">(2) </w:t>
      </w:r>
      <w:r>
        <w:rPr>
          <w:rFonts w:eastAsia="Times New Roman"/>
          <w:color w:val="000000"/>
          <w:szCs w:val="24"/>
        </w:rPr>
        <w:tab/>
        <w:t>submitted discovery and analyzed the provided responses;</w:t>
      </w:r>
    </w:p>
    <w:p w:rsidR="00FA1BC6" w:rsidRDefault="00FA1BC6" w:rsidP="00FA1BC6">
      <w:pPr>
        <w:tabs>
          <w:tab w:val="left" w:pos="2160"/>
        </w:tabs>
        <w:spacing w:after="0" w:line="240" w:lineRule="auto"/>
        <w:ind w:left="1440" w:right="1440"/>
        <w:rPr>
          <w:rFonts w:eastAsia="Times New Roman"/>
          <w:color w:val="000000"/>
          <w:szCs w:val="24"/>
        </w:rPr>
      </w:pPr>
    </w:p>
    <w:p w:rsidR="00FA1BC6" w:rsidRDefault="00FA1BC6" w:rsidP="00FA1BC6">
      <w:pPr>
        <w:tabs>
          <w:tab w:val="left" w:pos="2160"/>
        </w:tabs>
        <w:spacing w:after="0" w:line="240" w:lineRule="auto"/>
        <w:ind w:left="1440" w:right="1440"/>
        <w:rPr>
          <w:rFonts w:eastAsia="Times New Roman"/>
          <w:color w:val="000000"/>
          <w:szCs w:val="24"/>
        </w:rPr>
      </w:pPr>
      <w:r>
        <w:rPr>
          <w:rFonts w:eastAsia="Times New Roman"/>
          <w:color w:val="000000"/>
          <w:szCs w:val="24"/>
        </w:rPr>
        <w:tab/>
        <w:t xml:space="preserve">(3) </w:t>
      </w:r>
      <w:r>
        <w:rPr>
          <w:rFonts w:eastAsia="Times New Roman"/>
          <w:color w:val="000000"/>
          <w:szCs w:val="24"/>
        </w:rPr>
        <w:tab/>
        <w:t xml:space="preserve">reviewed and analyzed the pre-filed testimonies and exhibits of other parties; </w:t>
      </w:r>
    </w:p>
    <w:p w:rsidR="00FA1BC6" w:rsidRDefault="00FA1BC6" w:rsidP="00FA1BC6">
      <w:pPr>
        <w:tabs>
          <w:tab w:val="left" w:pos="2160"/>
        </w:tabs>
        <w:spacing w:after="0" w:line="240" w:lineRule="auto"/>
        <w:ind w:left="1440" w:right="1440"/>
        <w:rPr>
          <w:rFonts w:eastAsia="Times New Roman"/>
          <w:color w:val="000000"/>
          <w:szCs w:val="24"/>
        </w:rPr>
      </w:pPr>
      <w:r>
        <w:rPr>
          <w:rFonts w:eastAsia="Times New Roman"/>
          <w:color w:val="000000"/>
          <w:szCs w:val="24"/>
        </w:rPr>
        <w:tab/>
      </w:r>
      <w:r>
        <w:rPr>
          <w:rFonts w:eastAsia="Times New Roman"/>
          <w:color w:val="000000"/>
          <w:szCs w:val="24"/>
        </w:rPr>
        <w:tab/>
      </w:r>
    </w:p>
    <w:p w:rsidR="00FA1BC6" w:rsidRDefault="00FA1BC6" w:rsidP="00FA1BC6">
      <w:pPr>
        <w:tabs>
          <w:tab w:val="left" w:pos="2160"/>
        </w:tabs>
        <w:spacing w:after="0" w:line="240" w:lineRule="auto"/>
        <w:ind w:left="1440" w:right="1440"/>
        <w:rPr>
          <w:rFonts w:eastAsia="Times New Roman"/>
          <w:color w:val="000000"/>
          <w:szCs w:val="24"/>
        </w:rPr>
      </w:pPr>
      <w:r>
        <w:rPr>
          <w:rFonts w:eastAsia="Times New Roman"/>
          <w:color w:val="000000"/>
          <w:szCs w:val="24"/>
        </w:rPr>
        <w:tab/>
        <w:t xml:space="preserve">(4) </w:t>
      </w:r>
      <w:r>
        <w:rPr>
          <w:rFonts w:eastAsia="Times New Roman"/>
          <w:color w:val="000000"/>
          <w:szCs w:val="24"/>
        </w:rPr>
        <w:tab/>
        <w:t xml:space="preserve">distributed the direct testimonies of the four assigned I&amp;E technical experts; </w:t>
      </w:r>
    </w:p>
    <w:p w:rsidR="00FA1BC6" w:rsidRDefault="00FA1BC6" w:rsidP="00FA1BC6">
      <w:pPr>
        <w:tabs>
          <w:tab w:val="left" w:pos="2160"/>
        </w:tabs>
        <w:spacing w:after="0" w:line="240" w:lineRule="auto"/>
        <w:ind w:left="1440" w:right="1080"/>
        <w:rPr>
          <w:rFonts w:eastAsia="Times New Roman"/>
          <w:color w:val="000000"/>
          <w:szCs w:val="24"/>
        </w:rPr>
      </w:pPr>
    </w:p>
    <w:p w:rsidR="00FA1BC6" w:rsidRDefault="00FA1BC6" w:rsidP="00FA1BC6">
      <w:pPr>
        <w:tabs>
          <w:tab w:val="left" w:pos="2160"/>
        </w:tabs>
        <w:spacing w:after="0" w:line="240" w:lineRule="auto"/>
        <w:ind w:left="1440" w:right="1080"/>
        <w:rPr>
          <w:rFonts w:eastAsia="Times New Roman"/>
          <w:color w:val="000000"/>
          <w:szCs w:val="24"/>
        </w:rPr>
      </w:pPr>
      <w:r>
        <w:rPr>
          <w:rFonts w:eastAsia="Times New Roman"/>
          <w:color w:val="000000"/>
          <w:szCs w:val="24"/>
        </w:rPr>
        <w:tab/>
        <w:t xml:space="preserve">(5) </w:t>
      </w:r>
      <w:r>
        <w:rPr>
          <w:rFonts w:eastAsia="Times New Roman"/>
          <w:color w:val="000000"/>
          <w:szCs w:val="24"/>
        </w:rPr>
        <w:tab/>
        <w:t>and participated in evidentiary hearings.</w:t>
      </w:r>
    </w:p>
    <w:p w:rsidR="00FA1BC6" w:rsidRDefault="00FA1BC6" w:rsidP="0006531B">
      <w:pPr>
        <w:tabs>
          <w:tab w:val="left" w:pos="2160"/>
        </w:tabs>
        <w:spacing w:after="0" w:line="360" w:lineRule="auto"/>
        <w:ind w:left="1440" w:right="1080"/>
        <w:rPr>
          <w:rFonts w:eastAsia="Times New Roman"/>
          <w:color w:val="000000"/>
          <w:szCs w:val="24"/>
        </w:rPr>
      </w:pPr>
    </w:p>
    <w:p w:rsidR="00FA1BC6" w:rsidRDefault="00FA1BC6" w:rsidP="0006531B">
      <w:pPr>
        <w:tabs>
          <w:tab w:val="left" w:pos="2160"/>
        </w:tabs>
        <w:spacing w:after="0" w:line="360" w:lineRule="auto"/>
        <w:ind w:left="1440" w:right="1080" w:hanging="1440"/>
        <w:rPr>
          <w:rFonts w:eastAsia="Times New Roman"/>
          <w:color w:val="000000"/>
          <w:szCs w:val="24"/>
        </w:rPr>
      </w:pPr>
      <w:r>
        <w:rPr>
          <w:rFonts w:eastAsia="Times New Roman"/>
          <w:i/>
          <w:szCs w:val="24"/>
        </w:rPr>
        <w:t>Id.</w:t>
      </w:r>
      <w:r>
        <w:rPr>
          <w:rFonts w:eastAsia="Times New Roman"/>
          <w:szCs w:val="24"/>
        </w:rPr>
        <w:t xml:space="preserve"> at 6-7.</w:t>
      </w:r>
      <w:r>
        <w:rPr>
          <w:rFonts w:eastAsia="Times New Roman"/>
          <w:color w:val="000000"/>
          <w:szCs w:val="24"/>
        </w:rPr>
        <w:tab/>
      </w:r>
      <w:r>
        <w:rPr>
          <w:rFonts w:eastAsia="Times New Roman"/>
          <w:color w:val="000000"/>
          <w:szCs w:val="24"/>
        </w:rPr>
        <w:tab/>
        <w:t xml:space="preserve"> </w:t>
      </w:r>
    </w:p>
    <w:p w:rsidR="00FA1BC6" w:rsidRDefault="00FA1BC6" w:rsidP="00FA1BC6">
      <w:pPr>
        <w:spacing w:after="0" w:line="360" w:lineRule="auto"/>
        <w:rPr>
          <w:rFonts w:cstheme="minorBidi"/>
          <w:color w:val="000000"/>
        </w:rPr>
      </w:pPr>
      <w:r>
        <w:rPr>
          <w:rFonts w:cstheme="minorBidi"/>
          <w:color w:val="000000"/>
        </w:rPr>
        <w:tab/>
      </w:r>
      <w:r>
        <w:rPr>
          <w:rFonts w:cstheme="minorBidi"/>
          <w:color w:val="000000"/>
        </w:rPr>
        <w:tab/>
      </w:r>
    </w:p>
    <w:p w:rsidR="00FA1BC6" w:rsidRDefault="00FA1BC6" w:rsidP="00FA1BC6">
      <w:pPr>
        <w:spacing w:after="0" w:line="360" w:lineRule="auto"/>
        <w:ind w:left="1440" w:right="1080"/>
        <w:rPr>
          <w:rFonts w:cstheme="minorBidi"/>
          <w:color w:val="000000"/>
        </w:rPr>
      </w:pPr>
      <w:r>
        <w:rPr>
          <w:rFonts w:cstheme="minorBidi"/>
          <w:color w:val="000000"/>
        </w:rPr>
        <w:t xml:space="preserve">I&amp;E agrees that the terms and conditions of the Settlement are in the public interest for a number of reasons, including that the </w:t>
      </w:r>
      <w:r w:rsidR="005330BE">
        <w:rPr>
          <w:rFonts w:cstheme="minorBidi"/>
          <w:color w:val="000000"/>
        </w:rPr>
        <w:t>S</w:t>
      </w:r>
      <w:r>
        <w:rPr>
          <w:rFonts w:cstheme="minorBidi"/>
          <w:color w:val="000000"/>
        </w:rPr>
        <w:t>ettlement:</w:t>
      </w:r>
    </w:p>
    <w:p w:rsidR="00FA1BC6" w:rsidRDefault="00FA1BC6" w:rsidP="00FA1BC6">
      <w:pPr>
        <w:spacing w:after="0" w:line="360" w:lineRule="auto"/>
        <w:ind w:left="1440" w:right="1080"/>
        <w:rPr>
          <w:rFonts w:cstheme="minorBidi"/>
          <w:color w:val="000000"/>
        </w:rPr>
      </w:pPr>
    </w:p>
    <w:p w:rsidR="00FA1BC6" w:rsidRDefault="00FA1BC6" w:rsidP="00FA1BC6">
      <w:pPr>
        <w:spacing w:after="0" w:line="240" w:lineRule="auto"/>
        <w:ind w:left="2160" w:right="1620"/>
        <w:rPr>
          <w:rFonts w:cstheme="minorBidi"/>
          <w:color w:val="000000"/>
        </w:rPr>
      </w:pPr>
      <w:r>
        <w:rPr>
          <w:rFonts w:cstheme="minorBidi"/>
          <w:color w:val="000000"/>
        </w:rPr>
        <w:t>(a)</w:t>
      </w:r>
      <w:r>
        <w:rPr>
          <w:rFonts w:cstheme="minorBidi"/>
          <w:color w:val="000000"/>
        </w:rPr>
        <w:tab/>
        <w:t xml:space="preserve">provides for a level of annual operating revenues </w:t>
      </w:r>
      <w:r>
        <w:rPr>
          <w:rFonts w:cstheme="minorBidi"/>
          <w:color w:val="000000"/>
        </w:rPr>
        <w:tab/>
        <w:t xml:space="preserve">that I&amp;E . . . agrees is reasonable and lawful, </w:t>
      </w:r>
      <w:r>
        <w:rPr>
          <w:rFonts w:cstheme="minorBidi"/>
          <w:color w:val="000000"/>
        </w:rPr>
        <w:tab/>
        <w:t xml:space="preserve">specifically an increase in present annual </w:t>
      </w:r>
      <w:r>
        <w:rPr>
          <w:rFonts w:cstheme="minorBidi"/>
          <w:color w:val="000000"/>
        </w:rPr>
        <w:tab/>
        <w:t xml:space="preserve">operating revenue of $49 million, as shown on the </w:t>
      </w:r>
      <w:r>
        <w:rPr>
          <w:rFonts w:cstheme="minorBidi"/>
          <w:color w:val="000000"/>
        </w:rPr>
        <w:tab/>
        <w:t xml:space="preserve">Proof of  Revenues . . . . </w:t>
      </w:r>
    </w:p>
    <w:p w:rsidR="00FA1BC6" w:rsidRDefault="00FA1BC6" w:rsidP="00FA1BC6">
      <w:pPr>
        <w:spacing w:after="0" w:line="240" w:lineRule="auto"/>
        <w:ind w:left="2160" w:right="1620"/>
        <w:rPr>
          <w:rFonts w:cstheme="minorBidi"/>
          <w:color w:val="000000"/>
        </w:rPr>
      </w:pPr>
    </w:p>
    <w:p w:rsidR="00FA1BC6" w:rsidRDefault="00FA1BC6" w:rsidP="00FA1BC6">
      <w:pPr>
        <w:spacing w:after="0" w:line="240" w:lineRule="auto"/>
        <w:ind w:left="2160" w:right="1620"/>
        <w:rPr>
          <w:rFonts w:cstheme="minorBidi"/>
          <w:color w:val="000000"/>
        </w:rPr>
      </w:pPr>
      <w:r>
        <w:rPr>
          <w:rFonts w:cstheme="minorBidi"/>
          <w:color w:val="000000"/>
        </w:rPr>
        <w:t>(b)</w:t>
      </w:r>
      <w:r>
        <w:rPr>
          <w:rFonts w:cstheme="minorBidi"/>
          <w:color w:val="000000"/>
        </w:rPr>
        <w:tab/>
        <w:t>. . . avoids the</w:t>
      </w:r>
      <w:r>
        <w:rPr>
          <w:rFonts w:cstheme="minorBidi"/>
          <w:color w:val="000000"/>
        </w:rPr>
        <w:tab/>
        <w:t xml:space="preserve">necessity of further administrative </w:t>
      </w:r>
      <w:r>
        <w:rPr>
          <w:rFonts w:cstheme="minorBidi"/>
          <w:color w:val="000000"/>
        </w:rPr>
        <w:tab/>
        <w:t xml:space="preserve">and possible appellate court proceedings, which </w:t>
      </w:r>
      <w:r>
        <w:rPr>
          <w:rFonts w:cstheme="minorBidi"/>
          <w:color w:val="000000"/>
        </w:rPr>
        <w:tab/>
        <w:t xml:space="preserve">would have been at substantial cost to the </w:t>
      </w:r>
      <w:r>
        <w:rPr>
          <w:rFonts w:cstheme="minorBidi"/>
          <w:color w:val="000000"/>
        </w:rPr>
        <w:tab/>
        <w:t xml:space="preserve">involved parties and the Company’s ratepayers </w:t>
      </w:r>
      <w:r>
        <w:rPr>
          <w:rFonts w:cstheme="minorBidi"/>
          <w:color w:val="000000"/>
        </w:rPr>
        <w:tab/>
        <w:t xml:space="preserve">and thereby conserves time and expenses for all </w:t>
      </w:r>
      <w:r>
        <w:rPr>
          <w:rFonts w:cstheme="minorBidi"/>
          <w:color w:val="000000"/>
        </w:rPr>
        <w:tab/>
        <w:t xml:space="preserve">involved. </w:t>
      </w:r>
    </w:p>
    <w:p w:rsidR="00FA1BC6" w:rsidRDefault="00FA1BC6" w:rsidP="00FA1BC6">
      <w:pPr>
        <w:spacing w:after="0" w:line="240" w:lineRule="auto"/>
        <w:ind w:left="2160" w:right="1620"/>
        <w:rPr>
          <w:rFonts w:cstheme="minorBidi"/>
          <w:color w:val="000000"/>
        </w:rPr>
      </w:pPr>
    </w:p>
    <w:p w:rsidR="00FA1BC6" w:rsidRDefault="00FA1BC6" w:rsidP="0006531B">
      <w:pPr>
        <w:spacing w:after="0" w:line="360" w:lineRule="auto"/>
        <w:rPr>
          <w:rFonts w:eastAsia="Times New Roman"/>
          <w:szCs w:val="24"/>
        </w:rPr>
      </w:pPr>
      <w:r>
        <w:rPr>
          <w:rFonts w:eastAsia="Times New Roman"/>
          <w:i/>
          <w:szCs w:val="24"/>
        </w:rPr>
        <w:t>Id.</w:t>
      </w:r>
      <w:r>
        <w:rPr>
          <w:rFonts w:eastAsia="Times New Roman"/>
          <w:szCs w:val="24"/>
        </w:rPr>
        <w:t xml:space="preserve"> at 7.</w:t>
      </w:r>
    </w:p>
    <w:p w:rsidR="00FA1BC6" w:rsidRDefault="00FA1BC6" w:rsidP="0006531B">
      <w:pPr>
        <w:spacing w:after="0" w:line="360" w:lineRule="auto"/>
        <w:rPr>
          <w:rFonts w:eastAsia="Times New Roman"/>
          <w:szCs w:val="24"/>
        </w:rPr>
      </w:pPr>
    </w:p>
    <w:p w:rsidR="00FA1BC6" w:rsidRDefault="00FA1BC6" w:rsidP="0006531B">
      <w:pPr>
        <w:spacing w:after="0" w:line="360" w:lineRule="auto"/>
        <w:rPr>
          <w:rFonts w:eastAsia="Times New Roman"/>
          <w:szCs w:val="24"/>
          <w:u w:val="single"/>
        </w:rPr>
      </w:pPr>
      <w:r>
        <w:rPr>
          <w:rFonts w:eastAsia="Times New Roman"/>
          <w:szCs w:val="24"/>
        </w:rPr>
        <w:t>C.</w:t>
      </w:r>
      <w:r>
        <w:rPr>
          <w:rFonts w:eastAsia="Times New Roman"/>
          <w:szCs w:val="24"/>
        </w:rPr>
        <w:tab/>
      </w:r>
      <w:r>
        <w:rPr>
          <w:rFonts w:eastAsia="Times New Roman"/>
          <w:szCs w:val="24"/>
          <w:u w:val="single"/>
        </w:rPr>
        <w:t>OCA’s Position</w:t>
      </w:r>
    </w:p>
    <w:p w:rsidR="00FA1BC6" w:rsidRDefault="00FA1BC6" w:rsidP="0006531B">
      <w:pPr>
        <w:spacing w:after="0" w:line="360" w:lineRule="auto"/>
        <w:rPr>
          <w:rFonts w:eastAsia="Times New Roman"/>
          <w:szCs w:val="24"/>
        </w:rPr>
      </w:pPr>
    </w:p>
    <w:p w:rsidR="00FA1BC6" w:rsidRPr="005635E1" w:rsidRDefault="0006531B" w:rsidP="0006531B">
      <w:pPr>
        <w:spacing w:after="0" w:line="360" w:lineRule="auto"/>
        <w:rPr>
          <w:rFonts w:eastAsia="Times New Roman"/>
          <w:szCs w:val="24"/>
          <w:u w:val="single"/>
        </w:rPr>
      </w:pPr>
      <w:r>
        <w:rPr>
          <w:rFonts w:eastAsia="Times New Roman"/>
          <w:szCs w:val="24"/>
        </w:rPr>
        <w:tab/>
      </w:r>
      <w:r w:rsidR="00FA1BC6">
        <w:rPr>
          <w:rFonts w:eastAsia="Times New Roman"/>
          <w:szCs w:val="24"/>
        </w:rPr>
        <w:t>1.</w:t>
      </w:r>
      <w:r w:rsidR="00FA1BC6">
        <w:rPr>
          <w:rFonts w:eastAsia="Times New Roman"/>
          <w:szCs w:val="24"/>
        </w:rPr>
        <w:tab/>
      </w:r>
      <w:r w:rsidR="00FA1BC6">
        <w:rPr>
          <w:rFonts w:eastAsia="Times New Roman"/>
          <w:szCs w:val="24"/>
          <w:u w:val="single"/>
        </w:rPr>
        <w:t>Revenue Requirement</w:t>
      </w:r>
    </w:p>
    <w:p w:rsidR="00FA1BC6" w:rsidRDefault="00FA1BC6" w:rsidP="0006531B">
      <w:pPr>
        <w:spacing w:after="0" w:line="360" w:lineRule="auto"/>
        <w:rPr>
          <w:rFonts w:eastAsia="Times New Roman"/>
          <w:szCs w:val="24"/>
        </w:rPr>
      </w:pPr>
    </w:p>
    <w:p w:rsidR="00FA1BC6" w:rsidRDefault="00FA1BC6" w:rsidP="0006531B">
      <w:pPr>
        <w:spacing w:after="0" w:line="360" w:lineRule="auto"/>
        <w:rPr>
          <w:rFonts w:eastAsia="Times New Roman"/>
          <w:szCs w:val="24"/>
        </w:rPr>
      </w:pPr>
      <w:r>
        <w:rPr>
          <w:rFonts w:eastAsia="Times New Roman"/>
          <w:szCs w:val="24"/>
        </w:rPr>
        <w:tab/>
      </w:r>
      <w:r>
        <w:rPr>
          <w:rFonts w:eastAsia="Times New Roman"/>
          <w:szCs w:val="24"/>
        </w:rPr>
        <w:tab/>
        <w:t xml:space="preserve">OCA submits that the distribution base rate increase of $48 million under the proposed Settlement is approximately $28.3 million less than the $76.3 million rate increase initially requested by the Company.  The Settling Parties’ compromise resulted in an increase of approximately 11% as opposed to the Company’s original request of 17.6% in distribution </w:t>
      </w:r>
      <w:r>
        <w:rPr>
          <w:rFonts w:eastAsia="Times New Roman"/>
          <w:szCs w:val="24"/>
        </w:rPr>
        <w:lastRenderedPageBreak/>
        <w:t>revenues.  Similar to I&amp;E, OCA also acknowledges that the compromise “represents a ‘black box’ settlement of all revenue requirement and return on equity issues, with the limited exceptions contained in the Settlement.”  OCA urges that black box settlements provide timely resolution of disputes without the significant expense of prolonged litigation.  OCA St. in Support, p. 6.</w:t>
      </w:r>
    </w:p>
    <w:p w:rsidR="00FA1BC6" w:rsidRDefault="00FA1BC6" w:rsidP="00FA1BC6">
      <w:pPr>
        <w:spacing w:after="0" w:line="360" w:lineRule="auto"/>
        <w:rPr>
          <w:rFonts w:eastAsia="Times New Roman"/>
          <w:szCs w:val="24"/>
        </w:rPr>
      </w:pPr>
    </w:p>
    <w:p w:rsidR="00FA1BC6" w:rsidRDefault="0006531B" w:rsidP="00FA1BC6">
      <w:pPr>
        <w:spacing w:after="0" w:line="360" w:lineRule="auto"/>
        <w:rPr>
          <w:rFonts w:eastAsia="Times New Roman"/>
          <w:szCs w:val="24"/>
        </w:rPr>
      </w:pPr>
      <w:r>
        <w:rPr>
          <w:rFonts w:eastAsia="Times New Roman"/>
          <w:szCs w:val="24"/>
        </w:rPr>
        <w:tab/>
      </w:r>
      <w:r w:rsidR="00FA1BC6">
        <w:rPr>
          <w:rFonts w:eastAsia="Times New Roman"/>
          <w:szCs w:val="24"/>
        </w:rPr>
        <w:t>2.</w:t>
      </w:r>
      <w:r w:rsidR="00FA1BC6">
        <w:rPr>
          <w:rFonts w:eastAsia="Times New Roman"/>
          <w:szCs w:val="24"/>
        </w:rPr>
        <w:tab/>
      </w:r>
      <w:r w:rsidR="00FA1BC6">
        <w:rPr>
          <w:rFonts w:eastAsia="Times New Roman"/>
          <w:szCs w:val="24"/>
          <w:u w:val="single"/>
        </w:rPr>
        <w:t>Pension and OPEB</w:t>
      </w:r>
    </w:p>
    <w:p w:rsidR="00FA1BC6" w:rsidRDefault="00FA1BC6" w:rsidP="00FA1BC6">
      <w:pPr>
        <w:spacing w:after="0" w:line="360" w:lineRule="auto"/>
        <w:rPr>
          <w:rFonts w:eastAsia="Times New Roman"/>
          <w:szCs w:val="24"/>
        </w:rPr>
      </w:pPr>
    </w:p>
    <w:p w:rsidR="00FA1BC6" w:rsidRDefault="00FA1BC6" w:rsidP="00FA1BC6">
      <w:pPr>
        <w:spacing w:after="0" w:line="360" w:lineRule="auto"/>
        <w:rPr>
          <w:rFonts w:eastAsia="Times New Roman"/>
          <w:szCs w:val="24"/>
        </w:rPr>
      </w:pPr>
      <w:r>
        <w:rPr>
          <w:rFonts w:eastAsia="Times New Roman"/>
          <w:szCs w:val="24"/>
        </w:rPr>
        <w:tab/>
      </w:r>
      <w:r>
        <w:rPr>
          <w:rFonts w:eastAsia="Times New Roman"/>
          <w:szCs w:val="24"/>
        </w:rPr>
        <w:tab/>
        <w:t>In this proceeding, OCA’s witness, David J. Effron, recommended rejection of Duquesne Light’s pro</w:t>
      </w:r>
      <w:r w:rsidR="0006531B">
        <w:rPr>
          <w:rFonts w:eastAsia="Times New Roman"/>
          <w:szCs w:val="24"/>
        </w:rPr>
        <w:t xml:space="preserve">posed pension rate mechanism.  </w:t>
      </w:r>
      <w:r>
        <w:rPr>
          <w:rFonts w:eastAsia="Times New Roman"/>
          <w:szCs w:val="24"/>
        </w:rPr>
        <w:t xml:space="preserve">The Company had proposed to automatically adjust the amount of pension expense in customer rates, if the Company’s actual pension contribution went below the level of pension expense included in base rate. </w:t>
      </w:r>
      <w:r w:rsidR="0006531B">
        <w:rPr>
          <w:rFonts w:eastAsia="Times New Roman"/>
          <w:szCs w:val="24"/>
        </w:rPr>
        <w:t xml:space="preserve"> </w:t>
      </w:r>
      <w:r>
        <w:rPr>
          <w:rFonts w:eastAsia="Times New Roman"/>
          <w:szCs w:val="24"/>
        </w:rPr>
        <w:t>If the Company’s pension expense subsequently increased, there would be an upward adjustment, but no higher than the amount initially included in base rates.  In opposition to the proposal, Mr. Effron testified as follows:</w:t>
      </w:r>
    </w:p>
    <w:p w:rsidR="00FA1BC6" w:rsidRDefault="00FA1BC6" w:rsidP="00FA1BC6">
      <w:pPr>
        <w:spacing w:after="0" w:line="360" w:lineRule="auto"/>
        <w:rPr>
          <w:rFonts w:eastAsia="Times New Roman"/>
          <w:szCs w:val="24"/>
        </w:rPr>
      </w:pPr>
    </w:p>
    <w:p w:rsidR="00FA1BC6" w:rsidRDefault="00FA1BC6" w:rsidP="00FA1BC6">
      <w:pPr>
        <w:spacing w:after="0" w:line="240" w:lineRule="auto"/>
        <w:ind w:left="1440" w:right="1440"/>
        <w:rPr>
          <w:rFonts w:eastAsia="Times New Roman"/>
          <w:szCs w:val="24"/>
        </w:rPr>
      </w:pPr>
      <w:r>
        <w:rPr>
          <w:rFonts w:eastAsia="Times New Roman"/>
          <w:szCs w:val="24"/>
        </w:rPr>
        <w:t xml:space="preserve">As a general rule, such mechanisms are not appropriate, in that they reduce incentive to control costs and entail elements of what is sometimes referred to as single issue ratemaking.  Further, such mechanisms detract from rate stability, in that rates can go down then up to reflect changes in the costs covered by the mechanisms.  In addition, it is not clear that such a mechanism is even necessary, as the Company does not forecast significant reductions to its pension contributions until 2017, which may well be subsequent to the Company’s next rate case. </w:t>
      </w:r>
    </w:p>
    <w:p w:rsidR="00555769" w:rsidRPr="005635E1" w:rsidRDefault="00555769" w:rsidP="00FA1BC6">
      <w:pPr>
        <w:spacing w:after="0" w:line="240" w:lineRule="auto"/>
        <w:ind w:left="1440" w:right="1440"/>
      </w:pPr>
    </w:p>
    <w:p w:rsidR="00FA1BC6" w:rsidRDefault="00FA1BC6" w:rsidP="00555769">
      <w:pPr>
        <w:spacing w:after="0" w:line="360" w:lineRule="auto"/>
      </w:pPr>
      <w:r>
        <w:rPr>
          <w:i/>
        </w:rPr>
        <w:t>Id.</w:t>
      </w:r>
      <w:r>
        <w:t xml:space="preserve"> at 6-7.</w:t>
      </w:r>
    </w:p>
    <w:p w:rsidR="00555769" w:rsidRDefault="00555769" w:rsidP="00555769">
      <w:pPr>
        <w:spacing w:after="0" w:line="360" w:lineRule="auto"/>
      </w:pPr>
    </w:p>
    <w:p w:rsidR="00FA1BC6" w:rsidRPr="00DB0BDC" w:rsidRDefault="00FA1BC6" w:rsidP="00555769">
      <w:pPr>
        <w:spacing w:after="0" w:line="360" w:lineRule="auto"/>
      </w:pPr>
      <w:r>
        <w:tab/>
      </w:r>
      <w:r>
        <w:tab/>
        <w:t xml:space="preserve">In the Settlement, Duquesne Light agreed to forego implementing a pension rate adjustment mechanism. </w:t>
      </w:r>
      <w:r w:rsidR="0006531B">
        <w:t xml:space="preserve"> </w:t>
      </w:r>
      <w:r>
        <w:t>Commencing in 2014</w:t>
      </w:r>
      <w:r w:rsidR="0006531B">
        <w:t>,</w:t>
      </w:r>
      <w:r>
        <w:t xml:space="preserve"> the Company will deposit $37.2 million per year into its pension trusts. </w:t>
      </w:r>
      <w:r w:rsidR="0006531B">
        <w:t xml:space="preserve"> </w:t>
      </w:r>
      <w:r>
        <w:t xml:space="preserve">Half of </w:t>
      </w:r>
      <w:r w:rsidR="0006531B">
        <w:t>t</w:t>
      </w:r>
      <w:r>
        <w:t>his amount will be collected from customers as an expense, and the other half, net of accumulated deferred income taxes, will be capitalized.  There is a provision for a regulatory liability in the event that the Company collects more in rates than it cont</w:t>
      </w:r>
      <w:r w:rsidR="0006531B">
        <w:t xml:space="preserve">ributes to its pension trust.  </w:t>
      </w:r>
      <w:r>
        <w:t xml:space="preserve">Additionally by January 31, 2015, the Company must provide a </w:t>
      </w:r>
      <w:r>
        <w:lastRenderedPageBreak/>
        <w:t xml:space="preserve">report and affidavit to the Commission and parties attesting to the actual contributions to pension trusts during the contribution year.  </w:t>
      </w:r>
      <w:r>
        <w:rPr>
          <w:i/>
        </w:rPr>
        <w:t>Id.</w:t>
      </w:r>
      <w:r>
        <w:t xml:space="preserve"> at 7.</w:t>
      </w:r>
    </w:p>
    <w:p w:rsidR="00FA1BC6" w:rsidRDefault="00FA1BC6" w:rsidP="00FA1BC6">
      <w:pPr>
        <w:spacing w:after="0" w:line="360" w:lineRule="auto"/>
      </w:pPr>
    </w:p>
    <w:p w:rsidR="00FA1BC6" w:rsidRPr="006A5AAE" w:rsidRDefault="00FA1BC6" w:rsidP="00FA1BC6">
      <w:pPr>
        <w:spacing w:after="0" w:line="360" w:lineRule="auto"/>
      </w:pPr>
      <w:r>
        <w:tab/>
      </w:r>
      <w:r>
        <w:tab/>
        <w:t xml:space="preserve">Further the Company agrees to continue funding its OPEBs (Other Pension Employee Benefits) by depositing the full amount of annual costs calculated by the Company’s actuary pursuant to ASC 715. </w:t>
      </w:r>
      <w:r w:rsidR="0006531B">
        <w:t xml:space="preserve"> </w:t>
      </w:r>
      <w:r>
        <w:t xml:space="preserve">The distribution rate allowance for OPEB will be approximately $3,265,500, with 50%, or $1,309,117, included in rates as the distribution expense component, and the remaining 50% to be capitalized on the Company’s books.  OCA suggests the Settlement pension provisions constitute a reasonable compromise of the parties’ positions and are consistent with sound ratemaking principles.  </w:t>
      </w:r>
      <w:r>
        <w:rPr>
          <w:i/>
        </w:rPr>
        <w:t>Id.</w:t>
      </w:r>
      <w:r>
        <w:t xml:space="preserve"> at 7-8.    </w:t>
      </w:r>
    </w:p>
    <w:p w:rsidR="00FA1BC6" w:rsidRDefault="00FA1BC6" w:rsidP="00FA1BC6">
      <w:pPr>
        <w:spacing w:after="0" w:line="360" w:lineRule="auto"/>
      </w:pPr>
    </w:p>
    <w:p w:rsidR="00FA1BC6" w:rsidRDefault="00FA1BC6" w:rsidP="00FA1BC6">
      <w:pPr>
        <w:spacing w:after="0" w:line="240" w:lineRule="auto"/>
      </w:pPr>
      <w:r>
        <w:tab/>
        <w:t>3.</w:t>
      </w:r>
      <w:r>
        <w:tab/>
      </w:r>
      <w:r>
        <w:rPr>
          <w:u w:val="single"/>
        </w:rPr>
        <w:t>DSIC</w:t>
      </w:r>
    </w:p>
    <w:p w:rsidR="00FA1BC6" w:rsidRDefault="00FA1BC6" w:rsidP="00FA1BC6">
      <w:pPr>
        <w:spacing w:after="0" w:line="360" w:lineRule="auto"/>
      </w:pPr>
    </w:p>
    <w:p w:rsidR="00FA1BC6" w:rsidRDefault="00FA1BC6" w:rsidP="00FA1BC6">
      <w:pPr>
        <w:spacing w:after="0" w:line="360" w:lineRule="auto"/>
      </w:pPr>
      <w:r>
        <w:tab/>
      </w:r>
      <w:r>
        <w:tab/>
        <w:t xml:space="preserve">According to OCA under the Settlement, Duquesne Light will not be entitled to include plant additions in any DSIC that it may request until eligible account balances exceed the level projected by the Company as of April 30, 2015.  Thus the Settlement clearly establishes the base level of plant investment that must be realized before any incremental expenditure can be recovered through a DSIC.  </w:t>
      </w:r>
      <w:r>
        <w:rPr>
          <w:i/>
        </w:rPr>
        <w:t>Id.</w:t>
      </w:r>
      <w:r>
        <w:t xml:space="preserve"> at 8.</w:t>
      </w:r>
    </w:p>
    <w:p w:rsidR="00FA1BC6" w:rsidRDefault="00FA1BC6" w:rsidP="00FA1BC6">
      <w:pPr>
        <w:spacing w:after="0" w:line="360" w:lineRule="auto"/>
      </w:pPr>
      <w:r>
        <w:tab/>
      </w:r>
    </w:p>
    <w:p w:rsidR="00FA1BC6" w:rsidRDefault="00FA1BC6" w:rsidP="00FA1BC6">
      <w:pPr>
        <w:spacing w:after="0" w:line="360" w:lineRule="auto"/>
        <w:rPr>
          <w:u w:val="single"/>
        </w:rPr>
      </w:pPr>
      <w:r>
        <w:tab/>
        <w:t>4.</w:t>
      </w:r>
      <w:r>
        <w:tab/>
      </w:r>
      <w:r>
        <w:rPr>
          <w:u w:val="single"/>
        </w:rPr>
        <w:t>Smart Meters</w:t>
      </w:r>
    </w:p>
    <w:p w:rsidR="00FA1BC6" w:rsidRPr="0032368D" w:rsidRDefault="00FA1BC6" w:rsidP="00FA1BC6">
      <w:pPr>
        <w:spacing w:after="0" w:line="360" w:lineRule="auto"/>
        <w:rPr>
          <w:u w:val="single"/>
        </w:rPr>
      </w:pPr>
    </w:p>
    <w:p w:rsidR="00FA1BC6" w:rsidRDefault="00FA1BC6" w:rsidP="00FA1BC6">
      <w:pPr>
        <w:spacing w:after="0" w:line="360" w:lineRule="auto"/>
      </w:pPr>
      <w:r>
        <w:tab/>
      </w:r>
      <w:r>
        <w:tab/>
        <w:t>OCA maintains that the Settling Parties agreed that Duquesne Light will use a common equity return</w:t>
      </w:r>
      <w:r w:rsidR="0006531B">
        <w:t xml:space="preserve"> rate of 10.0% and the capital </w:t>
      </w:r>
      <w:r>
        <w:t xml:space="preserve">structure proposed by the </w:t>
      </w:r>
      <w:r w:rsidR="0006531B">
        <w:t>C</w:t>
      </w:r>
      <w:r>
        <w:t>ompany for its smart me</w:t>
      </w:r>
      <w:r w:rsidR="0006531B">
        <w:t xml:space="preserve">ter charge.  </w:t>
      </w:r>
      <w:r w:rsidR="00093513">
        <w:t>JP</w:t>
      </w:r>
      <w:r w:rsidR="0006531B">
        <w:t xml:space="preserve"> ¶ 32.  </w:t>
      </w:r>
      <w:r>
        <w:t xml:space="preserve">The 10% return on equity and capital structure ratios are limited solely to establishing Duquesne Light’s smart meter surcharge for the three-year period following the implementation of rates from this proceeding or until the ratios are reset in the Company’s next base rate proceeding, whichever is sooner.  </w:t>
      </w:r>
      <w:r>
        <w:rPr>
          <w:i/>
        </w:rPr>
        <w:t>Id.</w:t>
      </w:r>
    </w:p>
    <w:p w:rsidR="00FA1BC6" w:rsidRDefault="00FA1BC6" w:rsidP="00FA1BC6">
      <w:pPr>
        <w:spacing w:after="0" w:line="360" w:lineRule="auto"/>
      </w:pPr>
    </w:p>
    <w:p w:rsidR="00DF4F2D" w:rsidRDefault="00DF4F2D">
      <w:r>
        <w:br w:type="page"/>
      </w:r>
    </w:p>
    <w:p w:rsidR="00FA1BC6" w:rsidRDefault="00FA1BC6" w:rsidP="00FA1BC6">
      <w:pPr>
        <w:spacing w:after="0" w:line="360" w:lineRule="auto"/>
      </w:pPr>
      <w:r>
        <w:lastRenderedPageBreak/>
        <w:tab/>
        <w:t>5.</w:t>
      </w:r>
      <w:r>
        <w:tab/>
      </w:r>
      <w:r>
        <w:rPr>
          <w:u w:val="single"/>
        </w:rPr>
        <w:t>Vegetation Management</w:t>
      </w:r>
    </w:p>
    <w:p w:rsidR="00FA1BC6" w:rsidRDefault="00FA1BC6" w:rsidP="00FA1BC6">
      <w:pPr>
        <w:spacing w:after="0" w:line="360" w:lineRule="auto"/>
      </w:pPr>
      <w:r>
        <w:tab/>
      </w:r>
      <w:r>
        <w:tab/>
      </w:r>
    </w:p>
    <w:p w:rsidR="00FA1BC6" w:rsidRDefault="00FA1BC6" w:rsidP="00FA1BC6">
      <w:pPr>
        <w:spacing w:after="0" w:line="360" w:lineRule="auto"/>
      </w:pPr>
      <w:r>
        <w:tab/>
      </w:r>
      <w:r>
        <w:tab/>
        <w:t>Duquesne Light projected its spending on distribution</w:t>
      </w:r>
      <w:r w:rsidR="0006531B">
        <w:t>-</w:t>
      </w:r>
      <w:r>
        <w:t>related vegetation management to increase to $15 million.  OCA’s witness, Mr. Effron, challenged this projection as lacking in documentary support and proposed an adjustment to the increase.  In response, Duquesne Light provided additional information supporting the increase.  As a result, OCA’s witness no longer recommended a</w:t>
      </w:r>
      <w:r w:rsidR="0006531B">
        <w:t xml:space="preserve">n adjustment to this expense.  </w:t>
      </w:r>
      <w:r>
        <w:rPr>
          <w:i/>
        </w:rPr>
        <w:t xml:space="preserve">Id. </w:t>
      </w:r>
      <w:r w:rsidR="0006531B">
        <w:t>a</w:t>
      </w:r>
      <w:r w:rsidR="0006531B" w:rsidRPr="0006531B">
        <w:t>t</w:t>
      </w:r>
      <w:r w:rsidR="0006531B">
        <w:rPr>
          <w:i/>
        </w:rPr>
        <w:t xml:space="preserve"> </w:t>
      </w:r>
      <w:r>
        <w:t>9.</w:t>
      </w:r>
    </w:p>
    <w:p w:rsidR="00FA1BC6" w:rsidRDefault="00FA1BC6" w:rsidP="00FA1BC6">
      <w:pPr>
        <w:spacing w:after="0" w:line="360" w:lineRule="auto"/>
      </w:pPr>
    </w:p>
    <w:p w:rsidR="00FA1BC6" w:rsidRPr="00365B44" w:rsidRDefault="00FA1BC6" w:rsidP="00FA1BC6">
      <w:pPr>
        <w:spacing w:after="0" w:line="360" w:lineRule="auto"/>
      </w:pPr>
      <w:r>
        <w:tab/>
      </w:r>
      <w:r>
        <w:tab/>
        <w:t xml:space="preserve">Pursuant to the Settlement terms, Duquesne Light </w:t>
      </w:r>
      <w:r w:rsidR="009C5786">
        <w:t>committed</w:t>
      </w:r>
      <w:r>
        <w:t xml:space="preserve"> to spend</w:t>
      </w:r>
      <w:r w:rsidR="009C5786">
        <w:t>ing</w:t>
      </w:r>
      <w:r>
        <w:t xml:space="preserve"> $15 million per year on distribution system vegetation management for three years commencing May 14, 2014, and to file with the Commission annual vegetation management spending reports for each year and copy I&amp;E, OCA and OSBA.  Since the vegetation management provision guarantees that the Company will commit to spend the full $15 million, OCA submits this provision will provide reliability to the system.  Thus, this provision is in the public interest.  </w:t>
      </w:r>
      <w:r>
        <w:rPr>
          <w:i/>
        </w:rPr>
        <w:t>Id.</w:t>
      </w:r>
      <w:r>
        <w:t xml:space="preserve"> at 9-10.</w:t>
      </w:r>
    </w:p>
    <w:p w:rsidR="00FA1BC6" w:rsidRDefault="00FA1BC6" w:rsidP="00FA1BC6">
      <w:pPr>
        <w:spacing w:after="0" w:line="360" w:lineRule="auto"/>
        <w:rPr>
          <w:i/>
        </w:rPr>
      </w:pPr>
    </w:p>
    <w:p w:rsidR="00FA1BC6" w:rsidRDefault="00FA1BC6" w:rsidP="00FA1BC6">
      <w:pPr>
        <w:spacing w:after="0" w:line="360" w:lineRule="auto"/>
      </w:pPr>
      <w:r>
        <w:tab/>
      </w:r>
      <w:r w:rsidR="0006531B">
        <w:t>6</w:t>
      </w:r>
      <w:r>
        <w:t>.</w:t>
      </w:r>
      <w:r>
        <w:tab/>
      </w:r>
      <w:r w:rsidRPr="001A173A">
        <w:rPr>
          <w:u w:val="single"/>
        </w:rPr>
        <w:t>Reporting Provisions</w:t>
      </w:r>
    </w:p>
    <w:p w:rsidR="00FA1BC6" w:rsidRDefault="00FA1BC6" w:rsidP="00FA1BC6">
      <w:pPr>
        <w:spacing w:after="0" w:line="360" w:lineRule="auto"/>
      </w:pPr>
    </w:p>
    <w:p w:rsidR="00FA1BC6" w:rsidRPr="001448AA" w:rsidRDefault="00FA1BC6" w:rsidP="00FA1BC6">
      <w:pPr>
        <w:spacing w:after="0" w:line="360" w:lineRule="auto"/>
      </w:pPr>
      <w:r>
        <w:tab/>
      </w:r>
      <w:r>
        <w:tab/>
        <w:t>According to OCA, the Company has agreed to file a Total Company and Pennsylvania Jurisdictional report showing its capital expenditures, plant additions an</w:t>
      </w:r>
      <w:r w:rsidR="0006531B">
        <w:t xml:space="preserve">d retirements for the FPFTY.  </w:t>
      </w:r>
      <w:r>
        <w:t xml:space="preserve">The Company will also provide in its next base rate filing a comparison of actual expenses and rate base additions for the twelve months ending April 30, 2015, to its projections in this case.  Thus, OCA contends the reporting provisions of the Settlement comply with Section 315, 66 Pa.C.S. § 315(e), which provides that a utility shall provide appropriate data evidencing the accuracy of the estimates of its FPFTY.  </w:t>
      </w:r>
      <w:r>
        <w:rPr>
          <w:i/>
        </w:rPr>
        <w:t>Id.</w:t>
      </w:r>
      <w:r>
        <w:t xml:space="preserve"> at 10. </w:t>
      </w:r>
    </w:p>
    <w:p w:rsidR="00FA1BC6" w:rsidRPr="00343543" w:rsidRDefault="00FA1BC6" w:rsidP="00FA1BC6">
      <w:pPr>
        <w:spacing w:after="0" w:line="360" w:lineRule="auto"/>
        <w:rPr>
          <w:u w:val="single"/>
        </w:rPr>
      </w:pPr>
    </w:p>
    <w:p w:rsidR="00DF4F2D" w:rsidRDefault="00DF4F2D">
      <w:r>
        <w:br w:type="page"/>
      </w:r>
    </w:p>
    <w:p w:rsidR="00FA1BC6" w:rsidRDefault="00FA1BC6" w:rsidP="00FA1BC6">
      <w:pPr>
        <w:spacing w:after="0" w:line="360" w:lineRule="auto"/>
        <w:rPr>
          <w:u w:val="single"/>
        </w:rPr>
      </w:pPr>
      <w:r>
        <w:lastRenderedPageBreak/>
        <w:tab/>
      </w:r>
      <w:r w:rsidR="0006531B">
        <w:t>7</w:t>
      </w:r>
      <w:r>
        <w:t>.</w:t>
      </w:r>
      <w:r>
        <w:tab/>
      </w:r>
      <w:r w:rsidRPr="009F1C77">
        <w:rPr>
          <w:u w:val="single"/>
        </w:rPr>
        <w:t>FOCUS Costs</w:t>
      </w:r>
    </w:p>
    <w:p w:rsidR="00555769" w:rsidRDefault="00555769" w:rsidP="00FA1BC6">
      <w:pPr>
        <w:spacing w:after="0" w:line="360" w:lineRule="auto"/>
      </w:pPr>
    </w:p>
    <w:p w:rsidR="00FA1BC6" w:rsidRPr="00D75C30" w:rsidRDefault="00FA1BC6" w:rsidP="00FA1BC6">
      <w:pPr>
        <w:spacing w:after="0" w:line="360" w:lineRule="auto"/>
        <w:rPr>
          <w:i/>
        </w:rPr>
      </w:pPr>
      <w:r>
        <w:tab/>
      </w:r>
      <w:r>
        <w:tab/>
        <w:t>OCA maintains that FOCUS costs</w:t>
      </w:r>
      <w:r>
        <w:rPr>
          <w:rStyle w:val="FootnoteReference"/>
        </w:rPr>
        <w:footnoteReference w:id="17"/>
      </w:r>
      <w:r>
        <w:t xml:space="preserve"> reflect the Commission’s Order entered on January 9, 2014, at Docket No. M-2009-21</w:t>
      </w:r>
      <w:r w:rsidR="00AE4108">
        <w:t xml:space="preserve">23948, approving the Company’s </w:t>
      </w:r>
      <w:r>
        <w:t xml:space="preserve">petition requesting these costs, exclusive of costs that have been previously recovered through the Company’s smart meter surcharge, be recovered in base rates.  The revenue requirement agreement reached in this Settlement includes the projected FOCUS costs and Information Technology development expenses.  According to OCA under the Settlement, all other smart meter costs will be recovered in the </w:t>
      </w:r>
      <w:r w:rsidR="00AE4108">
        <w:t>C</w:t>
      </w:r>
      <w:r>
        <w:t xml:space="preserve">ompany’s smart meter surcharge.  </w:t>
      </w:r>
      <w:r>
        <w:rPr>
          <w:i/>
        </w:rPr>
        <w:t>Id.</w:t>
      </w:r>
    </w:p>
    <w:p w:rsidR="00FA1BC6" w:rsidRDefault="00FA1BC6" w:rsidP="00FA1BC6">
      <w:pPr>
        <w:spacing w:after="0" w:line="360" w:lineRule="auto"/>
      </w:pPr>
    </w:p>
    <w:p w:rsidR="00FA1BC6" w:rsidRPr="007E05A1" w:rsidRDefault="00FA1BC6" w:rsidP="00FA1BC6">
      <w:pPr>
        <w:spacing w:after="0" w:line="360" w:lineRule="auto"/>
      </w:pPr>
      <w:r>
        <w:tab/>
      </w:r>
      <w:r w:rsidR="00AE4108">
        <w:t>8</w:t>
      </w:r>
      <w:r>
        <w:t>.</w:t>
      </w:r>
      <w:r>
        <w:tab/>
      </w:r>
      <w:r w:rsidRPr="007E05A1">
        <w:rPr>
          <w:u w:val="single"/>
        </w:rPr>
        <w:t>IRS Repair Allowance</w:t>
      </w:r>
    </w:p>
    <w:p w:rsidR="00FA1BC6" w:rsidRDefault="00FA1BC6" w:rsidP="00FA1BC6">
      <w:pPr>
        <w:spacing w:after="0" w:line="360" w:lineRule="auto"/>
      </w:pPr>
    </w:p>
    <w:p w:rsidR="00FA1BC6" w:rsidRDefault="00FA1BC6" w:rsidP="00FA1BC6">
      <w:pPr>
        <w:spacing w:after="0" w:line="360" w:lineRule="auto"/>
      </w:pPr>
      <w:r>
        <w:tab/>
      </w:r>
      <w:r>
        <w:tab/>
        <w:t>OCA submits that Duquesne Light’s obligations regarding IRS rules for repair allowance deductions are set forth in Pa</w:t>
      </w:r>
      <w:r w:rsidR="00AE4108">
        <w:t xml:space="preserve">ragraph 37 of the Settlement.  </w:t>
      </w:r>
      <w:r>
        <w:t>These provisions have been carried forward from settlement of the Company’s 2010 base rate case at Docket No. R</w:t>
      </w:r>
      <w:r w:rsidR="00AE4108">
        <w:noBreakHyphen/>
      </w:r>
      <w:r>
        <w:t xml:space="preserve">2010-2179522.  OCA submits that these provisions will continue to adequately preserve the economic value of the deductions for customers and therefore, should be approved by the Commission.  </w:t>
      </w:r>
      <w:r>
        <w:rPr>
          <w:i/>
        </w:rPr>
        <w:t xml:space="preserve">Id. </w:t>
      </w:r>
      <w:r>
        <w:t>at 11.</w:t>
      </w:r>
    </w:p>
    <w:p w:rsidR="00FA1BC6" w:rsidRDefault="00FA1BC6" w:rsidP="00FA1BC6">
      <w:pPr>
        <w:spacing w:after="0" w:line="360" w:lineRule="auto"/>
      </w:pPr>
    </w:p>
    <w:p w:rsidR="00FA1BC6" w:rsidRDefault="00FA1BC6" w:rsidP="00FA1BC6">
      <w:pPr>
        <w:spacing w:after="0" w:line="360" w:lineRule="auto"/>
      </w:pPr>
      <w:r>
        <w:tab/>
      </w:r>
      <w:r w:rsidR="00AE4108">
        <w:t>9</w:t>
      </w:r>
      <w:r>
        <w:t>.</w:t>
      </w:r>
      <w:r>
        <w:tab/>
      </w:r>
      <w:r>
        <w:rPr>
          <w:u w:val="single"/>
        </w:rPr>
        <w:t>Revenue Allocation and Rate Design</w:t>
      </w:r>
    </w:p>
    <w:p w:rsidR="00FA1BC6" w:rsidRDefault="00FA1BC6" w:rsidP="00FA1BC6">
      <w:pPr>
        <w:spacing w:after="0" w:line="360" w:lineRule="auto"/>
      </w:pPr>
    </w:p>
    <w:p w:rsidR="00FA1BC6" w:rsidRPr="006641A4" w:rsidRDefault="00FA1BC6" w:rsidP="00FA1BC6">
      <w:pPr>
        <w:spacing w:after="0" w:line="360" w:lineRule="auto"/>
      </w:pPr>
      <w:r>
        <w:tab/>
      </w:r>
      <w:r>
        <w:tab/>
        <w:t>OCA proffers that Duquesne Light originally proposed to allocate $53.1 million of its proposed $76.3 million revenue increase request to residential customers based upon the Company’s cost of services study (COSS).  This allocation would have resulted in a 23.7% increase to the Rate RS (residential service) class on a distribution-only basis.  OCA’s witness, Glenn A. Watkins, conducted his own COSS, and he recommended that the RS class rate allocation be approximately $44 million (a 19.35% increase) of the proposed revenue increase, or a proportional lesser amount if the Commission authorized an increas</w:t>
      </w:r>
      <w:r w:rsidR="00AE4108">
        <w:t xml:space="preserve">e of less than $76.3 million.  </w:t>
      </w:r>
      <w:r>
        <w:t>Under Mr. Watkins</w:t>
      </w:r>
      <w:r w:rsidR="00AE4108">
        <w:t>’</w:t>
      </w:r>
      <w:r>
        <w:t xml:space="preserve"> recommendation, the RA (Residential Service Heating) and RH </w:t>
      </w:r>
      <w:r>
        <w:lastRenderedPageBreak/>
        <w:t xml:space="preserve">(Residential Service Add-On Heat Pump) class distribution rates would increase by 27.27% and 22.72%, respectively. </w:t>
      </w:r>
      <w:r w:rsidR="00AE4108">
        <w:t xml:space="preserve"> </w:t>
      </w:r>
      <w:r>
        <w:t xml:space="preserve">Other parties also proposed various allocations. </w:t>
      </w:r>
      <w:r w:rsidR="00AE4108">
        <w:t xml:space="preserve"> </w:t>
      </w:r>
      <w:r>
        <w:rPr>
          <w:i/>
        </w:rPr>
        <w:t>Id.</w:t>
      </w:r>
      <w:r>
        <w:t xml:space="preserve"> at 12.</w:t>
      </w:r>
    </w:p>
    <w:p w:rsidR="00AE4108" w:rsidRDefault="00AE4108" w:rsidP="00FA1BC6">
      <w:pPr>
        <w:spacing w:after="0" w:line="360" w:lineRule="auto"/>
      </w:pPr>
    </w:p>
    <w:p w:rsidR="00FA1BC6" w:rsidRDefault="00FA1BC6" w:rsidP="00FA1BC6">
      <w:pPr>
        <w:spacing w:after="0" w:line="360" w:lineRule="auto"/>
      </w:pPr>
      <w:r>
        <w:tab/>
      </w:r>
      <w:r>
        <w:tab/>
        <w:t xml:space="preserve">OCA contends that based upon the varying revenue allocations proposed by the parties, the agreed upon allocations in the Settlement </w:t>
      </w:r>
      <w:r w:rsidR="007E7E5D">
        <w:t>are</w:t>
      </w:r>
      <w:r>
        <w:t xml:space="preserve"> within the range of reasonable outcomes that would result from the full litigation of this case. </w:t>
      </w:r>
      <w:r w:rsidR="00AE4108">
        <w:t xml:space="preserve"> </w:t>
      </w:r>
      <w:r>
        <w:t xml:space="preserve">Therefore, the revenue allocation is reasonable and in the public interest.  Under the Settlement, the Company will be permitted an approximate 11% increase in distribution revenues.  The Rate RS will receive an approximate 15.2% increase on a distribution basis, the RH class a 15.3% increase, and the RA class a 17.7% increase.  </w:t>
      </w:r>
      <w:r>
        <w:rPr>
          <w:i/>
        </w:rPr>
        <w:t>Id.</w:t>
      </w:r>
      <w:r>
        <w:t xml:space="preserve"> </w:t>
      </w:r>
    </w:p>
    <w:p w:rsidR="00FA1BC6" w:rsidRDefault="00FA1BC6" w:rsidP="00FA1BC6">
      <w:pPr>
        <w:spacing w:after="0" w:line="360" w:lineRule="auto"/>
      </w:pPr>
    </w:p>
    <w:p w:rsidR="00FA1BC6" w:rsidRPr="00D1285E" w:rsidRDefault="00FA1BC6" w:rsidP="00FA1BC6">
      <w:pPr>
        <w:spacing w:after="0" w:line="360" w:lineRule="auto"/>
        <w:rPr>
          <w:u w:val="single"/>
        </w:rPr>
      </w:pPr>
      <w:r>
        <w:tab/>
        <w:t>1</w:t>
      </w:r>
      <w:r w:rsidR="00AE4108">
        <w:t>0</w:t>
      </w:r>
      <w:r>
        <w:t>.</w:t>
      </w:r>
      <w:r>
        <w:tab/>
      </w:r>
      <w:r>
        <w:rPr>
          <w:u w:val="single"/>
        </w:rPr>
        <w:t xml:space="preserve">Residential Rate Design  </w:t>
      </w:r>
    </w:p>
    <w:p w:rsidR="00FA1BC6" w:rsidRDefault="00FA1BC6" w:rsidP="00FA1BC6">
      <w:pPr>
        <w:spacing w:after="0" w:line="360" w:lineRule="auto"/>
      </w:pPr>
      <w:r>
        <w:tab/>
      </w:r>
      <w:r>
        <w:tab/>
      </w:r>
    </w:p>
    <w:p w:rsidR="00FA1BC6" w:rsidRDefault="00FA1BC6" w:rsidP="00FA1BC6">
      <w:pPr>
        <w:spacing w:after="0" w:line="360" w:lineRule="auto"/>
      </w:pPr>
      <w:r>
        <w:tab/>
      </w:r>
      <w:r>
        <w:tab/>
        <w:t>OCA submits the Settlement provides that Duquesne Light’s monthly residential customer charge for rates RS, RH and RA will increase to $10.00, which is an increase of $3.00 as opposed to the Company’s request for an $8.00 increase.  According to OCA</w:t>
      </w:r>
      <w:r w:rsidR="00AE4108">
        <w:t>,</w:t>
      </w:r>
      <w:r>
        <w:t xml:space="preserve"> the $3.00 increase is a reasonable compromise between the positions of the Company, OCA and I&amp;E.</w:t>
      </w:r>
    </w:p>
    <w:p w:rsidR="00FA1BC6" w:rsidRDefault="00FA1BC6" w:rsidP="00FA1BC6">
      <w:pPr>
        <w:spacing w:after="0" w:line="360" w:lineRule="auto"/>
      </w:pPr>
      <w:r>
        <w:t>OCA submits that the residential rate design established in the Settlement is reasonable</w:t>
      </w:r>
      <w:r w:rsidR="00AE4108">
        <w:t xml:space="preserve"> and consistent with sound rate</w:t>
      </w:r>
      <w:r>
        <w:t xml:space="preserve">making principles. </w:t>
      </w:r>
      <w:r w:rsidR="00AE4108">
        <w:t xml:space="preserve"> </w:t>
      </w:r>
      <w:r>
        <w:t>OCA also states that by not unduly increasing the customer charge and reflecting costs in the commodity charge, customer</w:t>
      </w:r>
      <w:r w:rsidR="00AE4108">
        <w:t>s</w:t>
      </w:r>
      <w:r>
        <w:t xml:space="preserve"> have increased incentive to conserve, a benefit that is not realized through high fixed customer charges.  </w:t>
      </w:r>
      <w:r>
        <w:rPr>
          <w:i/>
        </w:rPr>
        <w:t>Id.</w:t>
      </w:r>
      <w:r>
        <w:t xml:space="preserve"> at 13.</w:t>
      </w:r>
    </w:p>
    <w:p w:rsidR="00FA1BC6" w:rsidRDefault="00FA1BC6" w:rsidP="00FA1BC6">
      <w:pPr>
        <w:spacing w:after="0" w:line="360" w:lineRule="auto"/>
      </w:pPr>
    </w:p>
    <w:p w:rsidR="00FA1BC6" w:rsidRPr="00C06BB3" w:rsidRDefault="00FA1BC6" w:rsidP="00FA1BC6">
      <w:pPr>
        <w:spacing w:after="0" w:line="360" w:lineRule="auto"/>
      </w:pPr>
      <w:r>
        <w:tab/>
        <w:t>1</w:t>
      </w:r>
      <w:r w:rsidR="00AE4108">
        <w:t>1</w:t>
      </w:r>
      <w:r>
        <w:t>.</w:t>
      </w:r>
      <w:r>
        <w:tab/>
      </w:r>
      <w:r w:rsidRPr="00AD08DD">
        <w:rPr>
          <w:u w:val="single"/>
        </w:rPr>
        <w:t>Universal Service Charge and Customer Service</w:t>
      </w:r>
    </w:p>
    <w:p w:rsidR="00FA1BC6" w:rsidRDefault="00FA1BC6" w:rsidP="00FA1BC6">
      <w:pPr>
        <w:spacing w:after="0" w:line="360" w:lineRule="auto"/>
      </w:pPr>
    </w:p>
    <w:p w:rsidR="00FA1BC6" w:rsidRDefault="00FA1BC6" w:rsidP="00FA1BC6">
      <w:pPr>
        <w:spacing w:after="0" w:line="360" w:lineRule="auto"/>
      </w:pPr>
      <w:r>
        <w:t xml:space="preserve"> </w:t>
      </w:r>
      <w:r>
        <w:tab/>
      </w:r>
      <w:r>
        <w:tab/>
        <w:t>a.</w:t>
      </w:r>
      <w:r>
        <w:tab/>
      </w:r>
      <w:r w:rsidRPr="00AD08DD">
        <w:rPr>
          <w:u w:val="single"/>
        </w:rPr>
        <w:t>Red Flag</w:t>
      </w:r>
      <w:r w:rsidR="007E7E5D">
        <w:rPr>
          <w:u w:val="single"/>
        </w:rPr>
        <w:t>s</w:t>
      </w:r>
      <w:r w:rsidRPr="00AD08DD">
        <w:rPr>
          <w:u w:val="single"/>
        </w:rPr>
        <w:t xml:space="preserve"> Plan and Identity Theft Prevention</w:t>
      </w:r>
      <w:r>
        <w:tab/>
      </w:r>
    </w:p>
    <w:p w:rsidR="00FA1BC6" w:rsidRDefault="00FA1BC6" w:rsidP="00FA1BC6">
      <w:pPr>
        <w:spacing w:after="0" w:line="360" w:lineRule="auto"/>
      </w:pPr>
    </w:p>
    <w:p w:rsidR="00FA1BC6" w:rsidRDefault="00FA1BC6" w:rsidP="00FA1BC6">
      <w:pPr>
        <w:spacing w:after="0" w:line="360" w:lineRule="auto"/>
      </w:pPr>
      <w:r>
        <w:tab/>
      </w:r>
      <w:r>
        <w:tab/>
        <w:t>OCA maintains that the Settlement addresses its concerns regarding the privacy and security of customer data collected by the Company.  Under the Settlement</w:t>
      </w:r>
      <w:r w:rsidR="00AE4108">
        <w:t>,</w:t>
      </w:r>
      <w:r>
        <w:t xml:space="preserve"> the Company </w:t>
      </w:r>
      <w:r>
        <w:lastRenderedPageBreak/>
        <w:t>agrees to refresh its Red Flag</w:t>
      </w:r>
      <w:r w:rsidR="007E7E5D">
        <w:t>s</w:t>
      </w:r>
      <w:r>
        <w:t xml:space="preserve"> Plan</w:t>
      </w:r>
      <w:r>
        <w:rPr>
          <w:rStyle w:val="FootnoteReference"/>
        </w:rPr>
        <w:footnoteReference w:id="18"/>
      </w:r>
      <w:r>
        <w:t xml:space="preserve"> and to provide copies to interested parties within six months after the conclusion of these proceedings.  The Company also agrees to no longer require Social Security </w:t>
      </w:r>
      <w:r w:rsidR="00755070">
        <w:t>n</w:t>
      </w:r>
      <w:r>
        <w:t xml:space="preserve">umbers as a prerequisite for enrollment in its Customer Assistance Program (CAP).  </w:t>
      </w:r>
      <w:r>
        <w:rPr>
          <w:i/>
        </w:rPr>
        <w:t>Id.</w:t>
      </w:r>
      <w:r>
        <w:t xml:space="preserve"> at 14.</w:t>
      </w:r>
    </w:p>
    <w:p w:rsidR="00FA1BC6" w:rsidRPr="001A42D0" w:rsidRDefault="00FA1BC6" w:rsidP="00FA1BC6">
      <w:pPr>
        <w:spacing w:after="0" w:line="360" w:lineRule="auto"/>
      </w:pPr>
    </w:p>
    <w:p w:rsidR="00FA1BC6" w:rsidRDefault="00FA1BC6" w:rsidP="00FA1BC6">
      <w:pPr>
        <w:spacing w:after="0" w:line="360" w:lineRule="auto"/>
      </w:pPr>
      <w:r>
        <w:tab/>
      </w:r>
      <w:r>
        <w:tab/>
        <w:t>b.</w:t>
      </w:r>
      <w:r>
        <w:tab/>
      </w:r>
      <w:r>
        <w:rPr>
          <w:u w:val="single"/>
        </w:rPr>
        <w:t>Storm Communications</w:t>
      </w:r>
    </w:p>
    <w:p w:rsidR="00FA1BC6" w:rsidRDefault="00FA1BC6" w:rsidP="00FA1BC6">
      <w:pPr>
        <w:spacing w:after="0" w:line="360" w:lineRule="auto"/>
      </w:pPr>
    </w:p>
    <w:p w:rsidR="00FA1BC6" w:rsidRDefault="00FA1BC6" w:rsidP="00FA1BC6">
      <w:pPr>
        <w:spacing w:after="0" w:line="360" w:lineRule="auto"/>
      </w:pPr>
      <w:r>
        <w:tab/>
      </w:r>
      <w:r>
        <w:tab/>
        <w:t>OCA claims the Settlement addresses its concerns regarding how the Company could improve storm-related customer communications.  OCA recommended that Duquesne Light develop procedures that would allow the Company to work with local social service providers and local officials to notify them of medically</w:t>
      </w:r>
      <w:r w:rsidR="00AE4108">
        <w:t>-</w:t>
      </w:r>
      <w:r>
        <w:t>needy customers who may be without service for extended periods of time and to develop a partnership with these providers to help serve these customers during an outage.  OCA also suggested that the Company develop culturally-appropriate, multi-lingual media messaging during storm events, along with multi-lingual capacity for non-English speaking customers to contact the Company through its IVR (intera</w:t>
      </w:r>
      <w:r w:rsidR="00AE4108">
        <w:t xml:space="preserve">ctive voice response) system.  </w:t>
      </w:r>
      <w:r>
        <w:t>Pursuant to the Settlement, Duquesne Light agrees to initiate a collaborative with interested parties within six month</w:t>
      </w:r>
      <w:r w:rsidR="00AE4108">
        <w:t>s</w:t>
      </w:r>
      <w:r>
        <w:t xml:space="preserve"> of the conclusion of this proceeding to discuss it</w:t>
      </w:r>
      <w:r w:rsidR="00AE4108">
        <w:t>s</w:t>
      </w:r>
      <w:r>
        <w:t xml:space="preserve"> communications with customers during storm events.  Duquesne Light’s communications with customers during storm events is a safety issue. </w:t>
      </w:r>
      <w:r w:rsidR="00AE4108">
        <w:t xml:space="preserve"> </w:t>
      </w:r>
      <w:r>
        <w:t>Thus, OCA submits Duquesne Light’s initiation of a collaborative for storm</w:t>
      </w:r>
      <w:r w:rsidR="00AE4108">
        <w:t>-</w:t>
      </w:r>
      <w:r>
        <w:t>related issu</w:t>
      </w:r>
      <w:r w:rsidR="00AE4108">
        <w:t xml:space="preserve">es is in the public interest.  </w:t>
      </w:r>
      <w:r>
        <w:rPr>
          <w:i/>
        </w:rPr>
        <w:t>Id.</w:t>
      </w:r>
      <w:r>
        <w:t xml:space="preserve"> </w:t>
      </w:r>
      <w:r w:rsidR="00AE4108">
        <w:t xml:space="preserve">at </w:t>
      </w:r>
      <w:r>
        <w:t>15.</w:t>
      </w:r>
    </w:p>
    <w:p w:rsidR="00FA1BC6" w:rsidRDefault="00FA1BC6" w:rsidP="00FA1BC6">
      <w:pPr>
        <w:spacing w:after="0" w:line="360" w:lineRule="auto"/>
      </w:pPr>
    </w:p>
    <w:p w:rsidR="00FA1BC6" w:rsidRPr="00BD26FD" w:rsidRDefault="00FA1BC6" w:rsidP="00FA1BC6">
      <w:pPr>
        <w:spacing w:after="0" w:line="360" w:lineRule="auto"/>
      </w:pPr>
      <w:r>
        <w:tab/>
      </w:r>
      <w:r>
        <w:tab/>
        <w:t>c.</w:t>
      </w:r>
      <w:r>
        <w:tab/>
      </w:r>
      <w:r w:rsidRPr="00BD26FD">
        <w:rPr>
          <w:u w:val="single"/>
        </w:rPr>
        <w:t>Maximum CAP Credits</w:t>
      </w:r>
    </w:p>
    <w:p w:rsidR="00FA1BC6" w:rsidRPr="00BD26FD" w:rsidRDefault="00FA1BC6" w:rsidP="00FA1BC6">
      <w:pPr>
        <w:spacing w:after="0" w:line="360" w:lineRule="auto"/>
      </w:pPr>
    </w:p>
    <w:p w:rsidR="00FA1BC6" w:rsidRDefault="00FA1BC6" w:rsidP="00FA1BC6">
      <w:pPr>
        <w:spacing w:after="0" w:line="360" w:lineRule="auto"/>
      </w:pPr>
      <w:r w:rsidRPr="00BD26FD">
        <w:tab/>
      </w:r>
      <w:r>
        <w:tab/>
        <w:t>The Settlement provides for an increase of Duquesne Light’s maximum CAP credits for non-heat customer</w:t>
      </w:r>
      <w:r w:rsidR="00AE4108">
        <w:t>s</w:t>
      </w:r>
      <w:r>
        <w:t xml:space="preserve"> from $560 per year to $700 per year and for heating customer</w:t>
      </w:r>
      <w:r w:rsidR="00AE4108">
        <w:t>s</w:t>
      </w:r>
      <w:r>
        <w:t xml:space="preserve"> from $1,400 per year to $1,800, effective January 1, 2015.  According to OCA, CAUSE-PA raised concerns with the Company’s maximum CAP credits and recommended that the Company aggregate maximum credits or, in the alternative, increase the maximum CAP credits based on </w:t>
      </w:r>
      <w:r>
        <w:lastRenderedPageBreak/>
        <w:t>the change in the Consumer Price Index since 1992.  However, I&amp;E disagreed with CAUSE-PA’s recommendations to aggregate CAP credits or increase the maximum CAP credit based on the Consumer Price Index.  I&amp;E proposed that the Company’s maximum CAP credits be increased to $700 for non-heating and $1,800 for heating customers.  OCA agreed with CAUSE-PA regarding aggregating CAP credits and disagreed with CAUSE-PA’s alternative recommendation for the Company to increase the maximum CAP credits based</w:t>
      </w:r>
      <w:r w:rsidR="00AE4108">
        <w:t xml:space="preserve"> on the Consumer Price Index.  </w:t>
      </w:r>
      <w:r>
        <w:t>OCA submits that increasing the maximum CAP credit to $700 for non-heating customer</w:t>
      </w:r>
      <w:r w:rsidR="00AE4108">
        <w:t>s</w:t>
      </w:r>
      <w:r>
        <w:t xml:space="preserve"> and $1,800 for heating customers is a reasonable compromise between the parties and is in the public interest.  </w:t>
      </w:r>
      <w:r>
        <w:rPr>
          <w:i/>
        </w:rPr>
        <w:t xml:space="preserve">Id. </w:t>
      </w:r>
      <w:r>
        <w:t>at 15.</w:t>
      </w:r>
    </w:p>
    <w:p w:rsidR="00FA1BC6" w:rsidRDefault="00FA1BC6" w:rsidP="00FA1BC6">
      <w:pPr>
        <w:spacing w:after="0" w:line="360" w:lineRule="auto"/>
      </w:pPr>
    </w:p>
    <w:p w:rsidR="00FA1BC6" w:rsidRDefault="00FA1BC6" w:rsidP="00FA1BC6">
      <w:pPr>
        <w:spacing w:after="0" w:line="360" w:lineRule="auto"/>
      </w:pPr>
      <w:r>
        <w:tab/>
      </w:r>
      <w:r>
        <w:tab/>
        <w:t>d.</w:t>
      </w:r>
      <w:r>
        <w:tab/>
      </w:r>
      <w:r>
        <w:rPr>
          <w:u w:val="single"/>
        </w:rPr>
        <w:t>LIURP</w:t>
      </w:r>
    </w:p>
    <w:p w:rsidR="00FA1BC6" w:rsidRPr="005E37D9" w:rsidRDefault="00FA1BC6" w:rsidP="00FA1BC6">
      <w:pPr>
        <w:spacing w:after="0" w:line="360" w:lineRule="auto"/>
      </w:pPr>
    </w:p>
    <w:p w:rsidR="00FA1BC6" w:rsidRPr="005E37D9" w:rsidRDefault="00FA1BC6" w:rsidP="00FA1BC6">
      <w:pPr>
        <w:spacing w:after="0" w:line="360" w:lineRule="auto"/>
      </w:pPr>
      <w:r>
        <w:tab/>
      </w:r>
      <w:r>
        <w:tab/>
        <w:t>The Settlement provides that the Company will increase its annual LIURP (Low Income Usage Reduction Program) target from 2,555 homes to 3,100 homes in the years 2014 through 2017, and will amend its Universal Service and Energy Conservation Plan for 2014 to 2016, filed at Docket N</w:t>
      </w:r>
      <w:r w:rsidR="00AE4108">
        <w:t>o</w:t>
      </w:r>
      <w:r>
        <w:t xml:space="preserve">. M-2013-2350946, to reflect this change.  OCA submits that this provision is in the public interest, as increasing the Company’s annual LIURP targets for 2014 through 2017 brings the Company’s annual LIURP target closer to the Company’s average annual LIURP target of 3,663 homes from 2008 through 2012.  </w:t>
      </w:r>
      <w:r>
        <w:rPr>
          <w:i/>
        </w:rPr>
        <w:t>Id.</w:t>
      </w:r>
      <w:r>
        <w:t xml:space="preserve"> at 7.</w:t>
      </w:r>
    </w:p>
    <w:p w:rsidR="00FA1BC6" w:rsidRPr="005E37D9" w:rsidRDefault="00FA1BC6" w:rsidP="00FA1BC6">
      <w:pPr>
        <w:spacing w:after="0" w:line="360" w:lineRule="auto"/>
      </w:pPr>
      <w:r w:rsidRPr="005E37D9">
        <w:tab/>
      </w:r>
    </w:p>
    <w:p w:rsidR="00FA1BC6" w:rsidRPr="00BD26FD" w:rsidRDefault="00FA1BC6" w:rsidP="00FA1BC6">
      <w:pPr>
        <w:spacing w:after="0" w:line="360" w:lineRule="auto"/>
      </w:pPr>
      <w:r>
        <w:t>D.</w:t>
      </w:r>
      <w:r>
        <w:tab/>
      </w:r>
      <w:r w:rsidRPr="005B775C">
        <w:rPr>
          <w:u w:val="single"/>
        </w:rPr>
        <w:t>OSBA’s Position</w:t>
      </w:r>
    </w:p>
    <w:p w:rsidR="00FA1BC6" w:rsidRDefault="00FA1BC6" w:rsidP="00FA1BC6">
      <w:pPr>
        <w:spacing w:after="0" w:line="360" w:lineRule="auto"/>
        <w:rPr>
          <w:u w:val="single"/>
        </w:rPr>
      </w:pPr>
    </w:p>
    <w:p w:rsidR="00FA1BC6" w:rsidRDefault="00FA1BC6" w:rsidP="00FA1BC6">
      <w:pPr>
        <w:spacing w:after="0" w:line="360" w:lineRule="auto"/>
      </w:pPr>
      <w:r>
        <w:t xml:space="preserve">  </w:t>
      </w:r>
      <w:r>
        <w:tab/>
      </w:r>
      <w:r>
        <w:tab/>
        <w:t xml:space="preserve">The Office of Small Business Advocate (OSBA), as an agency of the Commonwealth, represents the interest of small business consumers in proceedings before the Commission. </w:t>
      </w:r>
      <w:r w:rsidR="00AE4108">
        <w:t xml:space="preserve"> </w:t>
      </w:r>
      <w:r>
        <w:tab/>
        <w:t>In this proceeding, OSBA was concerned about the following:</w:t>
      </w:r>
    </w:p>
    <w:p w:rsidR="00FA1BC6" w:rsidRDefault="00FA1BC6" w:rsidP="00FA1BC6">
      <w:pPr>
        <w:spacing w:after="0" w:line="240" w:lineRule="auto"/>
        <w:ind w:left="1440" w:right="1080"/>
      </w:pPr>
    </w:p>
    <w:p w:rsidR="00FA1BC6" w:rsidRDefault="00FA1BC6" w:rsidP="00FA1BC6">
      <w:pPr>
        <w:spacing w:after="0" w:line="240" w:lineRule="auto"/>
        <w:ind w:left="2160" w:right="1440" w:hanging="720"/>
      </w:pPr>
      <w:r>
        <w:t>1.</w:t>
      </w:r>
      <w:r>
        <w:tab/>
        <w:t>Whether the Company’s proposed 11.25% Return on Equity was excessive;</w:t>
      </w:r>
    </w:p>
    <w:p w:rsidR="00FA1BC6" w:rsidRDefault="00FA1BC6" w:rsidP="00FA1BC6">
      <w:pPr>
        <w:spacing w:after="0" w:line="240" w:lineRule="auto"/>
        <w:ind w:left="2160" w:right="1440" w:hanging="720"/>
      </w:pPr>
    </w:p>
    <w:p w:rsidR="00FA1BC6" w:rsidRDefault="00FA1BC6" w:rsidP="00FA1BC6">
      <w:pPr>
        <w:spacing w:after="0" w:line="240" w:lineRule="auto"/>
        <w:ind w:left="2160" w:right="1440" w:hanging="720"/>
      </w:pPr>
      <w:r>
        <w:t>2.</w:t>
      </w:r>
      <w:r>
        <w:tab/>
        <w:t>Whether the Company’s jurisdictional and class cost-of-service methodologies were appropriate;</w:t>
      </w:r>
    </w:p>
    <w:p w:rsidR="00FA1BC6" w:rsidRDefault="00FA1BC6" w:rsidP="00FA1BC6">
      <w:pPr>
        <w:spacing w:after="0" w:line="240" w:lineRule="auto"/>
        <w:ind w:left="2160" w:right="1440" w:hanging="720"/>
      </w:pPr>
    </w:p>
    <w:p w:rsidR="00FA1BC6" w:rsidRDefault="00FA1BC6" w:rsidP="00FA1BC6">
      <w:pPr>
        <w:spacing w:after="0" w:line="240" w:lineRule="auto"/>
        <w:ind w:left="2160" w:right="1440" w:hanging="720"/>
      </w:pPr>
      <w:r>
        <w:t>3.</w:t>
      </w:r>
      <w:r>
        <w:tab/>
        <w:t xml:space="preserve">Whether Duquesne is proposing to recover its capitalized Information Technology costs associated with its CAP </w:t>
      </w:r>
      <w:r>
        <w:lastRenderedPageBreak/>
        <w:t>customer shopping program from the appropriate rate classes; and</w:t>
      </w:r>
    </w:p>
    <w:p w:rsidR="00FA1BC6" w:rsidRDefault="00FA1BC6" w:rsidP="00FA1BC6">
      <w:pPr>
        <w:spacing w:after="0" w:line="240" w:lineRule="auto"/>
        <w:ind w:left="2160" w:right="1440" w:hanging="720"/>
      </w:pPr>
    </w:p>
    <w:p w:rsidR="00FA1BC6" w:rsidRPr="00493396" w:rsidRDefault="00FA1BC6" w:rsidP="00FA1BC6">
      <w:pPr>
        <w:spacing w:after="0" w:line="240" w:lineRule="auto"/>
        <w:ind w:left="2160" w:right="1440" w:hanging="720"/>
      </w:pPr>
      <w:r>
        <w:t>4.</w:t>
      </w:r>
      <w:r>
        <w:tab/>
        <w:t xml:space="preserve">Whether the Company’s proposed class revenue allocation, general service small (GS) and general service medium (GM) rate designs were cost based. </w:t>
      </w:r>
    </w:p>
    <w:p w:rsidR="00FA1BC6" w:rsidRPr="00493396" w:rsidRDefault="00FA1BC6" w:rsidP="00FA1BC6">
      <w:pPr>
        <w:spacing w:after="0" w:line="360" w:lineRule="auto"/>
        <w:ind w:left="1440" w:right="1440"/>
      </w:pPr>
    </w:p>
    <w:p w:rsidR="00FA1BC6" w:rsidRPr="00170DB2" w:rsidRDefault="00FA1BC6" w:rsidP="00FA1BC6">
      <w:pPr>
        <w:spacing w:after="0" w:line="360" w:lineRule="auto"/>
      </w:pPr>
      <w:r>
        <w:t xml:space="preserve">OSBA St. in Support, p. 2.  OSBA submits that the Settlement resolved a comprehensive list of issues and concludes it is in the best interest of small business customers. </w:t>
      </w:r>
      <w:r w:rsidR="00AE4108">
        <w:t xml:space="preserve"> </w:t>
      </w:r>
      <w:r>
        <w:rPr>
          <w:i/>
        </w:rPr>
        <w:t>Id.</w:t>
      </w:r>
      <w:r>
        <w:t xml:space="preserve"> at 3.</w:t>
      </w:r>
    </w:p>
    <w:p w:rsidR="00FA1BC6" w:rsidRDefault="00FA1BC6" w:rsidP="00FA1BC6">
      <w:pPr>
        <w:spacing w:after="0" w:line="360" w:lineRule="auto"/>
      </w:pPr>
    </w:p>
    <w:p w:rsidR="00FA1BC6" w:rsidRDefault="00FA1BC6" w:rsidP="00FA1BC6">
      <w:pPr>
        <w:spacing w:after="0" w:line="360" w:lineRule="auto"/>
      </w:pPr>
      <w:r>
        <w:tab/>
        <w:t>1.</w:t>
      </w:r>
      <w:r>
        <w:tab/>
      </w:r>
      <w:r>
        <w:softHyphen/>
      </w:r>
      <w:r>
        <w:rPr>
          <w:u w:val="single"/>
        </w:rPr>
        <w:t>Distribution Revenue Requirement</w:t>
      </w:r>
    </w:p>
    <w:p w:rsidR="00FA1BC6" w:rsidRDefault="00FA1BC6" w:rsidP="00FA1BC6">
      <w:pPr>
        <w:spacing w:after="0" w:line="360" w:lineRule="auto"/>
      </w:pPr>
    </w:p>
    <w:p w:rsidR="00FA1BC6" w:rsidRPr="00170DB2" w:rsidRDefault="00FA1BC6" w:rsidP="00FA1BC6">
      <w:pPr>
        <w:spacing w:after="0" w:line="360" w:lineRule="auto"/>
      </w:pPr>
      <w:r>
        <w:tab/>
      </w:r>
      <w:r>
        <w:tab/>
        <w:t>OSBA maintains that Duquesne Light had proposed a distribution revenue increase of $76.3 million.  Under the Settlement terms, Duquesne has agreed to a revenue increase of $48 million per year.  OSBA suggests that at a time when all types of utility services are becoming more expensive, the significant (37.1%) reduction in the Company’s requested distribution revenue increase will benefit small business customers.</w:t>
      </w:r>
      <w:r w:rsidR="00AE4108">
        <w:t xml:space="preserve"> </w:t>
      </w:r>
      <w:r>
        <w:t xml:space="preserve"> </w:t>
      </w:r>
      <w:r>
        <w:rPr>
          <w:i/>
        </w:rPr>
        <w:t>Id.</w:t>
      </w:r>
      <w:r>
        <w:t xml:space="preserve">  </w:t>
      </w:r>
    </w:p>
    <w:p w:rsidR="00FA1BC6" w:rsidRDefault="00FA1BC6" w:rsidP="00FA1BC6">
      <w:pPr>
        <w:spacing w:after="0" w:line="360" w:lineRule="auto"/>
      </w:pPr>
    </w:p>
    <w:p w:rsidR="00FA1BC6" w:rsidRDefault="00FA1BC6" w:rsidP="00FA1BC6">
      <w:pPr>
        <w:spacing w:after="0" w:line="360" w:lineRule="auto"/>
      </w:pPr>
      <w:r>
        <w:tab/>
        <w:t>2.</w:t>
      </w:r>
      <w:r>
        <w:tab/>
      </w:r>
      <w:r>
        <w:rPr>
          <w:u w:val="single"/>
        </w:rPr>
        <w:t>Class Revenue Allocation</w:t>
      </w:r>
    </w:p>
    <w:p w:rsidR="00FA1BC6" w:rsidRDefault="00FA1BC6" w:rsidP="00FA1BC6">
      <w:pPr>
        <w:spacing w:after="0" w:line="360" w:lineRule="auto"/>
      </w:pPr>
    </w:p>
    <w:p w:rsidR="00FA1BC6" w:rsidRDefault="00FA1BC6" w:rsidP="00FA1BC6">
      <w:pPr>
        <w:spacing w:after="0" w:line="360" w:lineRule="auto"/>
      </w:pPr>
      <w:r>
        <w:tab/>
      </w:r>
      <w:r>
        <w:tab/>
        <w:t>According to OSBA, the Company identified two specific objectives in the development of its proposed revenue allocation: 1) each rate class should be moved closer to full cost of service, in accordance with the Company’s class cost-of-service study (COSS), provided that 2) no individual rate class should receive an increase greater than 1.5 times the Company’s request system average increase in distribution revenue, thereby limiting customer impacts.</w:t>
      </w:r>
      <w:r w:rsidR="00AE4108">
        <w:t xml:space="preserve"> </w:t>
      </w:r>
      <w:r>
        <w:t xml:space="preserve"> </w:t>
      </w:r>
      <w:r>
        <w:rPr>
          <w:i/>
        </w:rPr>
        <w:t>Id.</w:t>
      </w:r>
    </w:p>
    <w:p w:rsidR="00FA1BC6" w:rsidRDefault="00FA1BC6" w:rsidP="00FA1BC6">
      <w:pPr>
        <w:spacing w:after="0" w:line="360" w:lineRule="auto"/>
      </w:pPr>
    </w:p>
    <w:p w:rsidR="00FA1BC6" w:rsidRDefault="00FA1BC6" w:rsidP="00FA1BC6">
      <w:pPr>
        <w:spacing w:after="0" w:line="360" w:lineRule="auto"/>
      </w:pPr>
      <w:r>
        <w:tab/>
      </w:r>
      <w:r>
        <w:tab/>
        <w:t>Duquesne Light’s proposed revenue allocation was problemati</w:t>
      </w:r>
      <w:r w:rsidR="00AE4108">
        <w:t>c for OSBA witness Brian Kalcic,</w:t>
      </w:r>
      <w:r>
        <w:rPr>
          <w:rStyle w:val="FootnoteReference"/>
        </w:rPr>
        <w:footnoteReference w:id="19"/>
      </w:r>
      <w:r>
        <w:t xml:space="preserve"> in part, because the </w:t>
      </w:r>
      <w:r w:rsidR="00D87D15">
        <w:t>C</w:t>
      </w:r>
      <w:r>
        <w:t xml:space="preserve">ompany proposed to assign an aggregate decrease of $2.1 million to the HVPS (high voltage power service), SE (street lighting energy), SL (street lighting) and UMS (unmetered service) rate classes.  As a result, the aggregate revenue increase </w:t>
      </w:r>
      <w:r>
        <w:lastRenderedPageBreak/>
        <w:t xml:space="preserve">required of the Company’s remaining rate classes at proposed rates was $78.4 million ($76.3 million plus $2.1 million).  </w:t>
      </w:r>
      <w:r>
        <w:rPr>
          <w:i/>
        </w:rPr>
        <w:t>Id.</w:t>
      </w:r>
      <w:r>
        <w:t xml:space="preserve"> at 4.</w:t>
      </w:r>
    </w:p>
    <w:p w:rsidR="00FA1BC6" w:rsidRDefault="00FA1BC6" w:rsidP="00FA1BC6">
      <w:pPr>
        <w:spacing w:after="0" w:line="360" w:lineRule="auto"/>
      </w:pPr>
    </w:p>
    <w:p w:rsidR="00FA1BC6" w:rsidRDefault="00FA1BC6" w:rsidP="00FA1BC6">
      <w:pPr>
        <w:spacing w:after="0" w:line="360" w:lineRule="auto"/>
      </w:pPr>
      <w:r>
        <w:tab/>
      </w:r>
      <w:r>
        <w:tab/>
        <w:t>OSBA claims that in order to move all classes closer to cost and to avoid rate decreases, Mr. Kalcic first proposed an alternative allocation of the distribution rate increase at the Company’s full revenue requirement.  He then began assigning each class its cost-based increase calculated by using the Company’s COSS.  Second, he adjusted those results to prevent any class from receiving an increase that was greater than 1.5 times the system average increase and to prevent any class from receiving a rate decrease.  Lastly, he assigned the $1 million shortfall (identified in his second step) to the GS/GM (&lt;25 kW), GS/GM (</w:t>
      </w:r>
      <w:r w:rsidRPr="006705EB">
        <w:t xml:space="preserve"> ≥</w:t>
      </w:r>
      <w:r>
        <w:t xml:space="preserve"> 25 kW), GHM, GL and L classes</w:t>
      </w:r>
      <w:r>
        <w:rPr>
          <w:rStyle w:val="FootnoteReference"/>
        </w:rPr>
        <w:footnoteReference w:id="20"/>
      </w:r>
      <w:r>
        <w:t xml:space="preserve"> in proportion to their respective class subsidies at present rates.  OSBA’s initial revenue allocation reflected the allocation at Duquesne Light’s full requested revenue increase of $76.3 million.  </w:t>
      </w:r>
      <w:r>
        <w:rPr>
          <w:i/>
        </w:rPr>
        <w:t>Id.</w:t>
      </w:r>
    </w:p>
    <w:p w:rsidR="00FA1BC6" w:rsidRDefault="00FA1BC6" w:rsidP="00FA1BC6">
      <w:pPr>
        <w:spacing w:after="0" w:line="360" w:lineRule="auto"/>
      </w:pPr>
    </w:p>
    <w:p w:rsidR="00FA1BC6" w:rsidRDefault="00FA1BC6" w:rsidP="00FA1BC6">
      <w:pPr>
        <w:spacing w:after="0" w:line="360" w:lineRule="auto"/>
      </w:pPr>
      <w:r>
        <w:tab/>
      </w:r>
      <w:r>
        <w:tab/>
        <w:t xml:space="preserve">OSBA submits that the parties reached a compromise on the proposed increases for the small business classes. </w:t>
      </w:r>
      <w:r w:rsidR="00AE4108">
        <w:t xml:space="preserve"> </w:t>
      </w:r>
      <w:r>
        <w:t>Below, Table 1 compares the parties’ adjusted proposed increase for the small business classes to the increases for the small business classes as provided under the Settlement.</w:t>
      </w:r>
    </w:p>
    <w:p w:rsidR="002E276B" w:rsidRDefault="002E276B">
      <w:pPr>
        <w:rPr>
          <w:b/>
        </w:rPr>
      </w:pPr>
      <w:r>
        <w:rPr>
          <w:b/>
        </w:rPr>
        <w:br w:type="page"/>
      </w:r>
    </w:p>
    <w:p w:rsidR="00FA1BC6" w:rsidRDefault="00FA1BC6" w:rsidP="00FA1BC6">
      <w:pPr>
        <w:spacing w:after="0" w:line="360" w:lineRule="auto"/>
        <w:jc w:val="center"/>
      </w:pPr>
      <w:r>
        <w:rPr>
          <w:b/>
        </w:rPr>
        <w:lastRenderedPageBreak/>
        <w:t>Table 1</w:t>
      </w:r>
    </w:p>
    <w:p w:rsidR="00FA1BC6" w:rsidRDefault="00FA1BC6" w:rsidP="00FA1BC6">
      <w:pPr>
        <w:spacing w:after="0" w:line="240" w:lineRule="auto"/>
        <w:contextualSpacing/>
        <w:jc w:val="center"/>
      </w:pPr>
      <w:r>
        <w:t>Comparison of Parties’ Proposed GS/GM Increases at</w:t>
      </w:r>
    </w:p>
    <w:p w:rsidR="00FA1BC6" w:rsidRDefault="00FA1BC6" w:rsidP="00FA1BC6">
      <w:pPr>
        <w:spacing w:after="0" w:line="240" w:lineRule="auto"/>
        <w:contextualSpacing/>
        <w:jc w:val="center"/>
      </w:pPr>
      <w:r>
        <w:t xml:space="preserve">Settlement Revenue Level to Settlement Increases </w:t>
      </w:r>
      <w:r>
        <w:rPr>
          <w:rStyle w:val="FootnoteReference"/>
        </w:rPr>
        <w:footnoteReference w:id="21"/>
      </w:r>
    </w:p>
    <w:p w:rsidR="00FA1BC6" w:rsidRPr="00902AB4" w:rsidRDefault="00FA1BC6" w:rsidP="00FA1BC6">
      <w:pPr>
        <w:spacing w:after="0" w:line="240" w:lineRule="auto"/>
        <w:contextualSpacing/>
        <w:jc w:val="center"/>
      </w:pPr>
      <w:r>
        <w:t xml:space="preserve"> ($000)</w:t>
      </w:r>
    </w:p>
    <w:p w:rsidR="00FA1BC6" w:rsidRPr="002655DE" w:rsidRDefault="00FA1BC6" w:rsidP="00FA1BC6">
      <w:pPr>
        <w:spacing w:after="0" w:line="360" w:lineRule="auto"/>
      </w:pPr>
    </w:p>
    <w:tbl>
      <w:tblPr>
        <w:tblStyle w:val="TableGrid"/>
        <w:tblW w:w="0" w:type="auto"/>
        <w:tblInd w:w="322" w:type="dxa"/>
        <w:tblLook w:val="04A0" w:firstRow="1" w:lastRow="0" w:firstColumn="1" w:lastColumn="0" w:noHBand="0" w:noVBand="1"/>
      </w:tblPr>
      <w:tblGrid>
        <w:gridCol w:w="1649"/>
        <w:gridCol w:w="1249"/>
        <w:gridCol w:w="990"/>
        <w:gridCol w:w="900"/>
        <w:gridCol w:w="1170"/>
        <w:gridCol w:w="996"/>
        <w:gridCol w:w="900"/>
        <w:gridCol w:w="889"/>
      </w:tblGrid>
      <w:tr w:rsidR="00FA1BC6" w:rsidTr="00154E3B">
        <w:trPr>
          <w:trHeight w:val="692"/>
        </w:trPr>
        <w:tc>
          <w:tcPr>
            <w:tcW w:w="1649" w:type="dxa"/>
            <w:vAlign w:val="bottom"/>
          </w:tcPr>
          <w:p w:rsidR="00FA1BC6" w:rsidRPr="001F567A" w:rsidRDefault="00FA1BC6" w:rsidP="00A70142">
            <w:pPr>
              <w:jc w:val="center"/>
              <w:rPr>
                <w:i/>
              </w:rPr>
            </w:pPr>
            <w:r>
              <w:rPr>
                <w:i/>
              </w:rPr>
              <w:t>Class</w:t>
            </w:r>
          </w:p>
        </w:tc>
        <w:tc>
          <w:tcPr>
            <w:tcW w:w="1249" w:type="dxa"/>
            <w:tcBorders>
              <w:right w:val="nil"/>
            </w:tcBorders>
            <w:vAlign w:val="center"/>
          </w:tcPr>
          <w:p w:rsidR="00FA1BC6" w:rsidRDefault="00FA1BC6" w:rsidP="00A70142">
            <w:pPr>
              <w:jc w:val="center"/>
              <w:rPr>
                <w:i/>
              </w:rPr>
            </w:pPr>
            <w:r>
              <w:rPr>
                <w:i/>
              </w:rPr>
              <w:t>Per</w:t>
            </w:r>
          </w:p>
          <w:p w:rsidR="00FA1BC6" w:rsidRPr="001F567A" w:rsidRDefault="00FA1BC6" w:rsidP="00A70142">
            <w:pPr>
              <w:jc w:val="center"/>
              <w:rPr>
                <w:i/>
              </w:rPr>
            </w:pPr>
            <w:r>
              <w:rPr>
                <w:i/>
              </w:rPr>
              <w:t>Settlement</w:t>
            </w:r>
          </w:p>
        </w:tc>
        <w:tc>
          <w:tcPr>
            <w:tcW w:w="990" w:type="dxa"/>
            <w:tcBorders>
              <w:left w:val="nil"/>
              <w:right w:val="nil"/>
            </w:tcBorders>
            <w:vAlign w:val="bottom"/>
          </w:tcPr>
          <w:p w:rsidR="00FA1BC6" w:rsidRPr="001F567A" w:rsidRDefault="00FA1BC6" w:rsidP="00A70142">
            <w:pPr>
              <w:jc w:val="center"/>
              <w:rPr>
                <w:i/>
              </w:rPr>
            </w:pPr>
            <w:r>
              <w:rPr>
                <w:i/>
              </w:rPr>
              <w:t>DLC</w:t>
            </w:r>
          </w:p>
        </w:tc>
        <w:tc>
          <w:tcPr>
            <w:tcW w:w="900" w:type="dxa"/>
            <w:tcBorders>
              <w:left w:val="nil"/>
              <w:right w:val="nil"/>
            </w:tcBorders>
            <w:vAlign w:val="bottom"/>
          </w:tcPr>
          <w:p w:rsidR="00FA1BC6" w:rsidRPr="001F567A" w:rsidRDefault="00FA1BC6" w:rsidP="00A70142">
            <w:pPr>
              <w:jc w:val="center"/>
              <w:rPr>
                <w:i/>
              </w:rPr>
            </w:pPr>
            <w:r>
              <w:rPr>
                <w:i/>
              </w:rPr>
              <w:t>OSBA</w:t>
            </w:r>
          </w:p>
        </w:tc>
        <w:tc>
          <w:tcPr>
            <w:tcW w:w="1170" w:type="dxa"/>
            <w:tcBorders>
              <w:left w:val="nil"/>
              <w:right w:val="nil"/>
            </w:tcBorders>
            <w:vAlign w:val="bottom"/>
          </w:tcPr>
          <w:p w:rsidR="00FA1BC6" w:rsidRPr="001F567A" w:rsidRDefault="00FA1BC6" w:rsidP="00A70142">
            <w:pPr>
              <w:jc w:val="center"/>
              <w:rPr>
                <w:i/>
              </w:rPr>
            </w:pPr>
            <w:r>
              <w:rPr>
                <w:i/>
              </w:rPr>
              <w:t>OCA</w:t>
            </w:r>
          </w:p>
        </w:tc>
        <w:tc>
          <w:tcPr>
            <w:tcW w:w="996" w:type="dxa"/>
            <w:tcBorders>
              <w:left w:val="nil"/>
              <w:right w:val="nil"/>
            </w:tcBorders>
            <w:vAlign w:val="bottom"/>
          </w:tcPr>
          <w:p w:rsidR="00FA1BC6" w:rsidRPr="001F567A" w:rsidRDefault="00FA1BC6" w:rsidP="00A70142">
            <w:pPr>
              <w:jc w:val="center"/>
              <w:rPr>
                <w:i/>
              </w:rPr>
            </w:pPr>
            <w:r>
              <w:rPr>
                <w:i/>
              </w:rPr>
              <w:t>DII</w:t>
            </w:r>
          </w:p>
        </w:tc>
        <w:tc>
          <w:tcPr>
            <w:tcW w:w="900" w:type="dxa"/>
            <w:tcBorders>
              <w:left w:val="nil"/>
              <w:right w:val="nil"/>
            </w:tcBorders>
            <w:vAlign w:val="bottom"/>
          </w:tcPr>
          <w:p w:rsidR="00FA1BC6" w:rsidRPr="001F567A" w:rsidRDefault="00FA1BC6" w:rsidP="00A70142">
            <w:pPr>
              <w:jc w:val="center"/>
              <w:rPr>
                <w:i/>
              </w:rPr>
            </w:pPr>
            <w:r>
              <w:rPr>
                <w:i/>
              </w:rPr>
              <w:t>I&amp;E</w:t>
            </w:r>
          </w:p>
        </w:tc>
        <w:tc>
          <w:tcPr>
            <w:tcW w:w="889" w:type="dxa"/>
            <w:tcBorders>
              <w:left w:val="nil"/>
            </w:tcBorders>
            <w:vAlign w:val="bottom"/>
          </w:tcPr>
          <w:p w:rsidR="00FA1BC6" w:rsidRPr="001F567A" w:rsidRDefault="00FA1BC6" w:rsidP="00A70142">
            <w:pPr>
              <w:jc w:val="center"/>
              <w:rPr>
                <w:i/>
              </w:rPr>
            </w:pPr>
            <w:r>
              <w:rPr>
                <w:i/>
              </w:rPr>
              <w:t>USS</w:t>
            </w:r>
          </w:p>
        </w:tc>
      </w:tr>
      <w:tr w:rsidR="00FA1BC6" w:rsidTr="00154E3B">
        <w:trPr>
          <w:trHeight w:val="365"/>
        </w:trPr>
        <w:tc>
          <w:tcPr>
            <w:tcW w:w="1649" w:type="dxa"/>
            <w:vAlign w:val="bottom"/>
          </w:tcPr>
          <w:p w:rsidR="00FA1BC6" w:rsidRDefault="00FA1BC6" w:rsidP="00154E3B">
            <w:r>
              <w:t>GS</w:t>
            </w:r>
          </w:p>
        </w:tc>
        <w:tc>
          <w:tcPr>
            <w:tcW w:w="1249" w:type="dxa"/>
            <w:vAlign w:val="center"/>
          </w:tcPr>
          <w:p w:rsidR="00FA1BC6" w:rsidRDefault="00FA1BC6" w:rsidP="00154E3B">
            <w:pPr>
              <w:jc w:val="right"/>
            </w:pPr>
            <w:r>
              <w:t>$1,179</w:t>
            </w:r>
          </w:p>
        </w:tc>
        <w:tc>
          <w:tcPr>
            <w:tcW w:w="990" w:type="dxa"/>
            <w:vAlign w:val="center"/>
          </w:tcPr>
          <w:p w:rsidR="00FA1BC6" w:rsidRDefault="00FA1BC6" w:rsidP="00154E3B">
            <w:pPr>
              <w:jc w:val="right"/>
            </w:pPr>
            <w:r>
              <w:t>$1,155</w:t>
            </w:r>
          </w:p>
        </w:tc>
        <w:tc>
          <w:tcPr>
            <w:tcW w:w="900" w:type="dxa"/>
            <w:vAlign w:val="center"/>
          </w:tcPr>
          <w:p w:rsidR="00FA1BC6" w:rsidRDefault="00FA1BC6" w:rsidP="00154E3B">
            <w:pPr>
              <w:jc w:val="right"/>
            </w:pPr>
            <w:r>
              <w:t>$1,155</w:t>
            </w:r>
          </w:p>
        </w:tc>
        <w:tc>
          <w:tcPr>
            <w:tcW w:w="1170" w:type="dxa"/>
            <w:vAlign w:val="center"/>
          </w:tcPr>
          <w:p w:rsidR="00FA1BC6" w:rsidRDefault="00FA1BC6" w:rsidP="00154E3B">
            <w:pPr>
              <w:jc w:val="right"/>
            </w:pPr>
            <w:r>
              <w:t>$963</w:t>
            </w:r>
          </w:p>
        </w:tc>
        <w:tc>
          <w:tcPr>
            <w:tcW w:w="996" w:type="dxa"/>
            <w:vAlign w:val="center"/>
          </w:tcPr>
          <w:p w:rsidR="00FA1BC6" w:rsidRDefault="00FA1BC6" w:rsidP="00154E3B">
            <w:pPr>
              <w:jc w:val="right"/>
            </w:pPr>
            <w:r>
              <w:t>$4,444</w:t>
            </w:r>
          </w:p>
        </w:tc>
        <w:tc>
          <w:tcPr>
            <w:tcW w:w="900" w:type="dxa"/>
            <w:vAlign w:val="center"/>
          </w:tcPr>
          <w:p w:rsidR="00FA1BC6" w:rsidRDefault="00FA1BC6" w:rsidP="00154E3B">
            <w:pPr>
              <w:jc w:val="right"/>
            </w:pPr>
            <w:r>
              <w:t>$1,836</w:t>
            </w:r>
          </w:p>
        </w:tc>
        <w:tc>
          <w:tcPr>
            <w:tcW w:w="889" w:type="dxa"/>
            <w:vAlign w:val="center"/>
          </w:tcPr>
          <w:p w:rsidR="00FA1BC6" w:rsidRDefault="00FA1BC6" w:rsidP="00154E3B">
            <w:pPr>
              <w:jc w:val="right"/>
            </w:pPr>
            <w:r>
              <w:t>$1,347</w:t>
            </w:r>
          </w:p>
        </w:tc>
      </w:tr>
      <w:tr w:rsidR="00FA1BC6" w:rsidTr="00154E3B">
        <w:trPr>
          <w:trHeight w:val="346"/>
        </w:trPr>
        <w:tc>
          <w:tcPr>
            <w:tcW w:w="1649" w:type="dxa"/>
            <w:vAlign w:val="bottom"/>
          </w:tcPr>
          <w:p w:rsidR="00FA1BC6" w:rsidRDefault="00FA1BC6" w:rsidP="00154E3B">
            <w:r>
              <w:t xml:space="preserve">GM </w:t>
            </w:r>
            <w:r w:rsidRPr="00377A00">
              <w:t>&lt;</w:t>
            </w:r>
            <w:r>
              <w:t>25 kW</w:t>
            </w:r>
          </w:p>
        </w:tc>
        <w:tc>
          <w:tcPr>
            <w:tcW w:w="1249" w:type="dxa"/>
            <w:vAlign w:val="center"/>
          </w:tcPr>
          <w:p w:rsidR="00FA1BC6" w:rsidRDefault="00FA1BC6" w:rsidP="00154E3B">
            <w:pPr>
              <w:jc w:val="right"/>
            </w:pPr>
            <w:r>
              <w:t>$1,952</w:t>
            </w:r>
          </w:p>
        </w:tc>
        <w:tc>
          <w:tcPr>
            <w:tcW w:w="990" w:type="dxa"/>
            <w:vAlign w:val="center"/>
          </w:tcPr>
          <w:p w:rsidR="00FA1BC6" w:rsidRDefault="00FA1BC6" w:rsidP="00154E3B">
            <w:pPr>
              <w:jc w:val="right"/>
            </w:pPr>
            <w:r>
              <w:t>$1,914</w:t>
            </w:r>
          </w:p>
        </w:tc>
        <w:tc>
          <w:tcPr>
            <w:tcW w:w="900" w:type="dxa"/>
            <w:vAlign w:val="center"/>
          </w:tcPr>
          <w:p w:rsidR="00FA1BC6" w:rsidRDefault="00FA1BC6" w:rsidP="00154E3B">
            <w:pPr>
              <w:jc w:val="right"/>
            </w:pPr>
            <w:r>
              <w:t>$1,401</w:t>
            </w:r>
          </w:p>
        </w:tc>
        <w:tc>
          <w:tcPr>
            <w:tcW w:w="1170" w:type="dxa"/>
            <w:vAlign w:val="center"/>
          </w:tcPr>
          <w:p w:rsidR="00FA1BC6" w:rsidRDefault="00FA1BC6" w:rsidP="00154E3B">
            <w:pPr>
              <w:jc w:val="right"/>
            </w:pPr>
            <w:r>
              <w:t>$2,146</w:t>
            </w:r>
          </w:p>
        </w:tc>
        <w:tc>
          <w:tcPr>
            <w:tcW w:w="996" w:type="dxa"/>
            <w:vAlign w:val="center"/>
          </w:tcPr>
          <w:p w:rsidR="00FA1BC6" w:rsidRDefault="00FA1BC6" w:rsidP="00154E3B">
            <w:pPr>
              <w:jc w:val="right"/>
            </w:pPr>
            <w:r>
              <w:t>$2,317</w:t>
            </w:r>
          </w:p>
        </w:tc>
        <w:tc>
          <w:tcPr>
            <w:tcW w:w="900" w:type="dxa"/>
            <w:vAlign w:val="center"/>
          </w:tcPr>
          <w:p w:rsidR="00FA1BC6" w:rsidRDefault="00FA1BC6" w:rsidP="00154E3B">
            <w:pPr>
              <w:jc w:val="right"/>
            </w:pPr>
            <w:r>
              <w:t>$1,708</w:t>
            </w:r>
          </w:p>
        </w:tc>
        <w:tc>
          <w:tcPr>
            <w:tcW w:w="889" w:type="dxa"/>
            <w:vAlign w:val="center"/>
          </w:tcPr>
          <w:p w:rsidR="00FA1BC6" w:rsidRDefault="00FA1BC6" w:rsidP="00154E3B">
            <w:pPr>
              <w:jc w:val="right"/>
            </w:pPr>
            <w:r>
              <w:t>$1,531</w:t>
            </w:r>
          </w:p>
        </w:tc>
      </w:tr>
      <w:tr w:rsidR="00FA1BC6" w:rsidTr="00154E3B">
        <w:trPr>
          <w:trHeight w:val="346"/>
        </w:trPr>
        <w:tc>
          <w:tcPr>
            <w:tcW w:w="1649" w:type="dxa"/>
            <w:vAlign w:val="bottom"/>
          </w:tcPr>
          <w:p w:rsidR="00FA1BC6" w:rsidRDefault="00FA1BC6" w:rsidP="00154E3B">
            <w:r>
              <w:t xml:space="preserve">GM </w:t>
            </w:r>
            <w:r w:rsidRPr="00377A00">
              <w:t>≥</w:t>
            </w:r>
            <w:r>
              <w:t>25 kW</w:t>
            </w:r>
          </w:p>
        </w:tc>
        <w:tc>
          <w:tcPr>
            <w:tcW w:w="1249" w:type="dxa"/>
            <w:vAlign w:val="center"/>
          </w:tcPr>
          <w:p w:rsidR="00FA1BC6" w:rsidRDefault="00FA1BC6" w:rsidP="00154E3B">
            <w:pPr>
              <w:jc w:val="right"/>
            </w:pPr>
            <w:r>
              <w:t>$5,069</w:t>
            </w:r>
          </w:p>
        </w:tc>
        <w:tc>
          <w:tcPr>
            <w:tcW w:w="990" w:type="dxa"/>
            <w:vAlign w:val="center"/>
          </w:tcPr>
          <w:p w:rsidR="00FA1BC6" w:rsidRDefault="00FA1BC6" w:rsidP="00154E3B">
            <w:pPr>
              <w:jc w:val="right"/>
            </w:pPr>
            <w:r>
              <w:t>$4,969</w:t>
            </w:r>
          </w:p>
        </w:tc>
        <w:tc>
          <w:tcPr>
            <w:tcW w:w="900" w:type="dxa"/>
            <w:vAlign w:val="center"/>
          </w:tcPr>
          <w:p w:rsidR="00FA1BC6" w:rsidRDefault="00FA1BC6" w:rsidP="00154E3B">
            <w:pPr>
              <w:jc w:val="right"/>
            </w:pPr>
            <w:r>
              <w:t>$3,315</w:t>
            </w:r>
          </w:p>
        </w:tc>
        <w:tc>
          <w:tcPr>
            <w:tcW w:w="1170" w:type="dxa"/>
            <w:vAlign w:val="center"/>
          </w:tcPr>
          <w:p w:rsidR="00FA1BC6" w:rsidRDefault="00FA1BC6" w:rsidP="00154E3B">
            <w:pPr>
              <w:jc w:val="right"/>
            </w:pPr>
            <w:r>
              <w:t>$6,473</w:t>
            </w:r>
          </w:p>
        </w:tc>
        <w:tc>
          <w:tcPr>
            <w:tcW w:w="996" w:type="dxa"/>
            <w:vAlign w:val="center"/>
          </w:tcPr>
          <w:p w:rsidR="00FA1BC6" w:rsidRDefault="00FA1BC6" w:rsidP="00154E3B">
            <w:pPr>
              <w:jc w:val="right"/>
            </w:pPr>
            <w:r>
              <w:t>$4,646</w:t>
            </w:r>
          </w:p>
        </w:tc>
        <w:tc>
          <w:tcPr>
            <w:tcW w:w="900" w:type="dxa"/>
            <w:vAlign w:val="center"/>
          </w:tcPr>
          <w:p w:rsidR="00FA1BC6" w:rsidRDefault="00FA1BC6" w:rsidP="00154E3B">
            <w:pPr>
              <w:jc w:val="right"/>
            </w:pPr>
            <w:r>
              <w:t>$3,964</w:t>
            </w:r>
          </w:p>
        </w:tc>
        <w:tc>
          <w:tcPr>
            <w:tcW w:w="889" w:type="dxa"/>
            <w:vAlign w:val="center"/>
          </w:tcPr>
          <w:p w:rsidR="00FA1BC6" w:rsidRDefault="00FA1BC6" w:rsidP="00154E3B">
            <w:pPr>
              <w:jc w:val="right"/>
            </w:pPr>
            <w:r>
              <w:t>$4,218</w:t>
            </w:r>
          </w:p>
        </w:tc>
      </w:tr>
      <w:tr w:rsidR="00FA1BC6" w:rsidTr="00154E3B">
        <w:trPr>
          <w:trHeight w:val="346"/>
        </w:trPr>
        <w:tc>
          <w:tcPr>
            <w:tcW w:w="1649" w:type="dxa"/>
            <w:vAlign w:val="bottom"/>
          </w:tcPr>
          <w:p w:rsidR="00FA1BC6" w:rsidRDefault="00FA1BC6" w:rsidP="00154E3B">
            <w:r>
              <w:t>GMH</w:t>
            </w:r>
          </w:p>
        </w:tc>
        <w:tc>
          <w:tcPr>
            <w:tcW w:w="1249" w:type="dxa"/>
            <w:vAlign w:val="center"/>
          </w:tcPr>
          <w:p w:rsidR="00FA1BC6" w:rsidRDefault="00FA1BC6" w:rsidP="00154E3B">
            <w:pPr>
              <w:jc w:val="right"/>
            </w:pPr>
            <w:r>
              <w:t xml:space="preserve">$775  </w:t>
            </w:r>
          </w:p>
        </w:tc>
        <w:tc>
          <w:tcPr>
            <w:tcW w:w="990" w:type="dxa"/>
            <w:vAlign w:val="center"/>
          </w:tcPr>
          <w:p w:rsidR="00FA1BC6" w:rsidRDefault="00FA1BC6" w:rsidP="00154E3B">
            <w:pPr>
              <w:jc w:val="right"/>
            </w:pPr>
            <w:r>
              <w:t>$760</w:t>
            </w:r>
          </w:p>
        </w:tc>
        <w:tc>
          <w:tcPr>
            <w:tcW w:w="900" w:type="dxa"/>
            <w:vAlign w:val="center"/>
          </w:tcPr>
          <w:p w:rsidR="00FA1BC6" w:rsidRDefault="00FA1BC6" w:rsidP="00154E3B">
            <w:pPr>
              <w:jc w:val="right"/>
            </w:pPr>
            <w:r>
              <w:t>$773</w:t>
            </w:r>
          </w:p>
        </w:tc>
        <w:tc>
          <w:tcPr>
            <w:tcW w:w="1170" w:type="dxa"/>
            <w:vAlign w:val="center"/>
          </w:tcPr>
          <w:p w:rsidR="00FA1BC6" w:rsidRDefault="00FA1BC6" w:rsidP="00154E3B">
            <w:pPr>
              <w:jc w:val="right"/>
            </w:pPr>
            <w:r>
              <w:t>$957</w:t>
            </w:r>
          </w:p>
        </w:tc>
        <w:tc>
          <w:tcPr>
            <w:tcW w:w="996" w:type="dxa"/>
            <w:vAlign w:val="center"/>
          </w:tcPr>
          <w:p w:rsidR="00FA1BC6" w:rsidRDefault="00FA1BC6" w:rsidP="00154E3B">
            <w:pPr>
              <w:jc w:val="right"/>
            </w:pPr>
            <w:r>
              <w:t>$1,155</w:t>
            </w:r>
          </w:p>
        </w:tc>
        <w:tc>
          <w:tcPr>
            <w:tcW w:w="900" w:type="dxa"/>
            <w:vAlign w:val="center"/>
          </w:tcPr>
          <w:p w:rsidR="00FA1BC6" w:rsidRDefault="00FA1BC6" w:rsidP="00154E3B">
            <w:pPr>
              <w:jc w:val="right"/>
            </w:pPr>
            <w:r>
              <w:t>$812</w:t>
            </w:r>
          </w:p>
        </w:tc>
        <w:tc>
          <w:tcPr>
            <w:tcW w:w="889" w:type="dxa"/>
            <w:vAlign w:val="center"/>
          </w:tcPr>
          <w:p w:rsidR="00FA1BC6" w:rsidRDefault="00FA1BC6" w:rsidP="00154E3B">
            <w:pPr>
              <w:jc w:val="right"/>
            </w:pPr>
            <w:r>
              <w:t>$662</w:t>
            </w:r>
          </w:p>
        </w:tc>
      </w:tr>
      <w:tr w:rsidR="00FA1BC6" w:rsidTr="00154E3B">
        <w:trPr>
          <w:trHeight w:val="346"/>
        </w:trPr>
        <w:tc>
          <w:tcPr>
            <w:tcW w:w="1649" w:type="dxa"/>
            <w:vAlign w:val="bottom"/>
          </w:tcPr>
          <w:p w:rsidR="00FA1BC6" w:rsidRDefault="00FA1BC6" w:rsidP="00154E3B">
            <w:r>
              <w:t>TOTAL</w:t>
            </w:r>
          </w:p>
        </w:tc>
        <w:tc>
          <w:tcPr>
            <w:tcW w:w="1249" w:type="dxa"/>
            <w:vAlign w:val="center"/>
          </w:tcPr>
          <w:p w:rsidR="00FA1BC6" w:rsidRDefault="00FA1BC6" w:rsidP="00154E3B">
            <w:pPr>
              <w:jc w:val="right"/>
            </w:pPr>
            <w:r>
              <w:t>$8,975</w:t>
            </w:r>
          </w:p>
        </w:tc>
        <w:tc>
          <w:tcPr>
            <w:tcW w:w="990" w:type="dxa"/>
            <w:vAlign w:val="center"/>
          </w:tcPr>
          <w:p w:rsidR="00FA1BC6" w:rsidRDefault="00FA1BC6" w:rsidP="00154E3B">
            <w:pPr>
              <w:jc w:val="right"/>
            </w:pPr>
            <w:r>
              <w:t>$8,798</w:t>
            </w:r>
          </w:p>
        </w:tc>
        <w:tc>
          <w:tcPr>
            <w:tcW w:w="900" w:type="dxa"/>
            <w:vAlign w:val="center"/>
          </w:tcPr>
          <w:p w:rsidR="00FA1BC6" w:rsidRDefault="00FA1BC6" w:rsidP="00154E3B">
            <w:pPr>
              <w:jc w:val="right"/>
            </w:pPr>
            <w:r>
              <w:t>$6,644</w:t>
            </w:r>
          </w:p>
        </w:tc>
        <w:tc>
          <w:tcPr>
            <w:tcW w:w="1170" w:type="dxa"/>
            <w:vAlign w:val="center"/>
          </w:tcPr>
          <w:p w:rsidR="00FA1BC6" w:rsidRDefault="00FA1BC6" w:rsidP="00DC369D">
            <w:pPr>
              <w:jc w:val="right"/>
            </w:pPr>
            <w:r>
              <w:t>$10,5</w:t>
            </w:r>
            <w:r w:rsidR="00DC369D">
              <w:t>39</w:t>
            </w:r>
          </w:p>
        </w:tc>
        <w:tc>
          <w:tcPr>
            <w:tcW w:w="996" w:type="dxa"/>
            <w:vAlign w:val="center"/>
          </w:tcPr>
          <w:p w:rsidR="00FA1BC6" w:rsidRDefault="00FA1BC6" w:rsidP="00154E3B">
            <w:pPr>
              <w:jc w:val="right"/>
            </w:pPr>
            <w:r>
              <w:t>$12,562</w:t>
            </w:r>
          </w:p>
        </w:tc>
        <w:tc>
          <w:tcPr>
            <w:tcW w:w="900" w:type="dxa"/>
            <w:vAlign w:val="center"/>
          </w:tcPr>
          <w:p w:rsidR="00FA1BC6" w:rsidRDefault="00FA1BC6" w:rsidP="00154E3B">
            <w:pPr>
              <w:jc w:val="right"/>
            </w:pPr>
            <w:r>
              <w:t>$8,320</w:t>
            </w:r>
          </w:p>
        </w:tc>
        <w:tc>
          <w:tcPr>
            <w:tcW w:w="889" w:type="dxa"/>
            <w:vAlign w:val="center"/>
          </w:tcPr>
          <w:p w:rsidR="00FA1BC6" w:rsidRDefault="00FA1BC6" w:rsidP="00154E3B">
            <w:pPr>
              <w:jc w:val="right"/>
            </w:pPr>
            <w:r>
              <w:t>$7,758</w:t>
            </w:r>
          </w:p>
        </w:tc>
      </w:tr>
    </w:tbl>
    <w:p w:rsidR="00FA1BC6" w:rsidRDefault="00FA1BC6" w:rsidP="00FA1BC6">
      <w:pPr>
        <w:spacing w:after="0" w:line="360" w:lineRule="auto"/>
      </w:pPr>
      <w:r>
        <w:tab/>
      </w:r>
      <w:r>
        <w:tab/>
        <w:t xml:space="preserve"> </w:t>
      </w:r>
    </w:p>
    <w:p w:rsidR="00FA1BC6" w:rsidRDefault="00FA1BC6" w:rsidP="00FA1BC6">
      <w:pPr>
        <w:spacing w:after="0" w:line="360" w:lineRule="auto"/>
      </w:pPr>
      <w:r w:rsidRPr="00E37253">
        <w:rPr>
          <w:i/>
        </w:rPr>
        <w:t>Id.</w:t>
      </w:r>
      <w:r>
        <w:t xml:space="preserve"> at 5.</w:t>
      </w:r>
    </w:p>
    <w:p w:rsidR="00FA1BC6" w:rsidRDefault="00FA1BC6" w:rsidP="00FA1BC6">
      <w:pPr>
        <w:spacing w:after="0" w:line="360" w:lineRule="auto"/>
      </w:pPr>
    </w:p>
    <w:p w:rsidR="00FA1BC6" w:rsidRDefault="00FA1BC6" w:rsidP="00FA1BC6">
      <w:pPr>
        <w:spacing w:after="0" w:line="360" w:lineRule="auto"/>
      </w:pPr>
      <w:r>
        <w:tab/>
      </w:r>
      <w:r>
        <w:tab/>
        <w:t xml:space="preserve">As demonstrated in Table 1, OSBA contends the Settlement increases for the small business classes, particularly with respect to the litigation positions of OSBA, OCA and DII, reflect a compromise of the parties’ positions.  If the commission were to have given equal weight to those positions, the overall increase to the small business classes (assuming an overall increase of $48 million) would have been (the sum of $6.644 million plus $10.539 million plus $12.562 million divided by 3) $9.915 million, which is $0.940 million or 10.5% greater than  </w:t>
      </w:r>
      <w:r w:rsidR="00A70142">
        <w:t xml:space="preserve">provided by the Settlement.  </w:t>
      </w:r>
      <w:r>
        <w:t xml:space="preserve">Therefore, OSBA concludes that the Settlement revenue allocation provides meaningful benefits to small business customers. </w:t>
      </w:r>
      <w:r w:rsidR="00A70142">
        <w:t xml:space="preserve"> </w:t>
      </w:r>
      <w:r>
        <w:rPr>
          <w:i/>
        </w:rPr>
        <w:t>Id.</w:t>
      </w:r>
    </w:p>
    <w:p w:rsidR="00FA1BC6" w:rsidRDefault="00FA1BC6" w:rsidP="00FA1BC6">
      <w:pPr>
        <w:spacing w:after="0" w:line="360" w:lineRule="auto"/>
      </w:pPr>
    </w:p>
    <w:p w:rsidR="00FA1BC6" w:rsidRPr="00E37253" w:rsidRDefault="00FA1BC6" w:rsidP="00FA1BC6">
      <w:pPr>
        <w:spacing w:after="0" w:line="360" w:lineRule="auto"/>
        <w:rPr>
          <w:u w:val="single"/>
        </w:rPr>
      </w:pPr>
      <w:r>
        <w:tab/>
        <w:t>3.</w:t>
      </w:r>
      <w:r>
        <w:tab/>
      </w:r>
      <w:r>
        <w:rPr>
          <w:u w:val="single"/>
        </w:rPr>
        <w:t>GMH Rate Design</w:t>
      </w:r>
    </w:p>
    <w:p w:rsidR="00FA1BC6" w:rsidRPr="00170DB2" w:rsidRDefault="00FA1BC6" w:rsidP="00FA1BC6">
      <w:pPr>
        <w:spacing w:after="0" w:line="360" w:lineRule="auto"/>
      </w:pPr>
      <w:r>
        <w:tab/>
      </w:r>
      <w:r>
        <w:tab/>
      </w:r>
      <w:r>
        <w:tab/>
      </w:r>
    </w:p>
    <w:p w:rsidR="00FA1BC6" w:rsidRDefault="00FA1BC6" w:rsidP="00FA1BC6">
      <w:pPr>
        <w:spacing w:after="0" w:line="360" w:lineRule="auto"/>
      </w:pPr>
      <w:r>
        <w:tab/>
      </w:r>
      <w:r>
        <w:tab/>
        <w:t xml:space="preserve">Concerning the General Service Medium Heating (GMH) rate design, OSBA notes that the Company serves over 97% of its customers on three rate schedules: Rate RS-Residential Service, Rate RH-Residential Service Heating, and Rate GS/GM-General Service Small and Medium.  Mr. Kalcic testified that Rate GMH is available to commercial and industrial space heating customers (that would otherwise qualify for service on Rate GS/GM), </w:t>
      </w:r>
      <w:r>
        <w:lastRenderedPageBreak/>
        <w:t>where heating load compromises at least 25% of a customer’s total electric energy requirement during the heating season.  Currently, Rate GMH contains a customer charge, a seasonal</w:t>
      </w:r>
      <w:r w:rsidR="0038322A">
        <w:t>l</w:t>
      </w:r>
      <w:r>
        <w:t>y-differentiated energy charge and a demand charge that applies only during the summer months.  O</w:t>
      </w:r>
      <w:r w:rsidR="004A44F9">
        <w:t>SB</w:t>
      </w:r>
      <w:r>
        <w:t>A indicates that Duquesne’s stated intent was to maintain its existing GMH distribution rate structure.  However, O</w:t>
      </w:r>
      <w:r w:rsidR="004A44F9">
        <w:t>SBA</w:t>
      </w:r>
      <w:r>
        <w:t xml:space="preserve"> concluded that Duquesne Light’s proposed GMH rate design did not truly maintain the rate structure.  </w:t>
      </w:r>
      <w:r>
        <w:rPr>
          <w:i/>
        </w:rPr>
        <w:t>Id.</w:t>
      </w:r>
      <w:r>
        <w:t xml:space="preserve"> </w:t>
      </w:r>
      <w:r w:rsidR="0038322A">
        <w:t>at</w:t>
      </w:r>
      <w:r>
        <w:t xml:space="preserve"> 6.</w:t>
      </w:r>
    </w:p>
    <w:p w:rsidR="00FA1BC6" w:rsidRDefault="00FA1BC6" w:rsidP="00FA1BC6">
      <w:pPr>
        <w:spacing w:after="0" w:line="360" w:lineRule="auto"/>
      </w:pPr>
    </w:p>
    <w:p w:rsidR="00FA1BC6" w:rsidRDefault="00FA1BC6" w:rsidP="00FA1BC6">
      <w:pPr>
        <w:spacing w:after="0" w:line="360" w:lineRule="auto"/>
      </w:pPr>
      <w:r>
        <w:tab/>
      </w:r>
      <w:r>
        <w:tab/>
        <w:t>O</w:t>
      </w:r>
      <w:r w:rsidR="004A44F9">
        <w:t>SB</w:t>
      </w:r>
      <w:r>
        <w:t>A’s witness, Mr. Kalcic, testified that Duquesne Light’s proposed GMH customer charge ($60 per month) did not equal its proposed GS/GM (</w:t>
      </w:r>
      <w:r w:rsidRPr="00914203">
        <w:t>&lt;</w:t>
      </w:r>
      <w:r>
        <w:t xml:space="preserve">25 kW) customer charge ($50 per month) as it would have under the Company’s current GMH rate structure. Therefore, in order to maintain the current GMH rate structure and mitigate the bill impact experienced by small GMH users, Mr. Kalcic recommended that the Commission direct the Company to set its Rate GMH customer charges at $50 per month and recover the resulting revenue shortfall in </w:t>
      </w:r>
      <w:r w:rsidR="0038322A">
        <w:t xml:space="preserve">the GMH winter energy charge.  </w:t>
      </w:r>
      <w:r>
        <w:t xml:space="preserve">He further recommended that the increase in the customer charge should be reduced in proportion to the Commission’s awarded revenue increase.  </w:t>
      </w:r>
      <w:r>
        <w:rPr>
          <w:i/>
        </w:rPr>
        <w:t>Id.</w:t>
      </w:r>
    </w:p>
    <w:p w:rsidR="00FA1BC6" w:rsidRDefault="00FA1BC6" w:rsidP="00FA1BC6">
      <w:pPr>
        <w:spacing w:after="0" w:line="360" w:lineRule="auto"/>
      </w:pPr>
    </w:p>
    <w:p w:rsidR="00FA1BC6" w:rsidRDefault="00FA1BC6" w:rsidP="00FA1BC6">
      <w:pPr>
        <w:spacing w:after="0" w:line="360" w:lineRule="auto"/>
      </w:pPr>
      <w:r>
        <w:tab/>
      </w:r>
      <w:r>
        <w:tab/>
        <w:t>O</w:t>
      </w:r>
      <w:r w:rsidR="004A44F9">
        <w:t>SB</w:t>
      </w:r>
      <w:r>
        <w:t>A submits that the Settlement incorporates a (scaled back) customer charge of $42 per month for Rate GMH, which is the same amount paid by Rate GS/GM (</w:t>
      </w:r>
      <w:r w:rsidRPr="00E74576">
        <w:t>&lt;</w:t>
      </w:r>
      <w:r>
        <w:t xml:space="preserve">25 kW) customers and thereby maintains the current GMH Rate Structure.  </w:t>
      </w:r>
      <w:r>
        <w:rPr>
          <w:i/>
        </w:rPr>
        <w:t xml:space="preserve">Id. </w:t>
      </w:r>
      <w:r w:rsidR="00AC2BC3" w:rsidRPr="00AC2BC3">
        <w:t xml:space="preserve">at </w:t>
      </w:r>
      <w:r>
        <w:t>6-7</w:t>
      </w:r>
      <w:r w:rsidRPr="004E3642">
        <w:t>.</w:t>
      </w:r>
    </w:p>
    <w:p w:rsidR="00FA1BC6" w:rsidRDefault="00FA1BC6" w:rsidP="00FA1BC6">
      <w:pPr>
        <w:spacing w:after="0" w:line="360" w:lineRule="auto"/>
      </w:pPr>
    </w:p>
    <w:p w:rsidR="00FA1BC6" w:rsidRDefault="00FA1BC6" w:rsidP="00FA1BC6">
      <w:pPr>
        <w:spacing w:after="0" w:line="360" w:lineRule="auto"/>
      </w:pPr>
      <w:r>
        <w:tab/>
        <w:t>4.</w:t>
      </w:r>
      <w:r>
        <w:tab/>
      </w:r>
      <w:r>
        <w:rPr>
          <w:u w:val="single"/>
        </w:rPr>
        <w:t>Pension Rate Adjustment Mechanism (PRA Rider)</w:t>
      </w:r>
    </w:p>
    <w:p w:rsidR="00FA1BC6" w:rsidRPr="00C12101" w:rsidRDefault="00FA1BC6" w:rsidP="00FA1BC6">
      <w:pPr>
        <w:spacing w:after="0" w:line="360" w:lineRule="auto"/>
      </w:pPr>
    </w:p>
    <w:p w:rsidR="00FA1BC6" w:rsidRDefault="00FA1BC6" w:rsidP="00FA1BC6">
      <w:pPr>
        <w:spacing w:after="0" w:line="360" w:lineRule="auto"/>
      </w:pPr>
      <w:r>
        <w:tab/>
      </w:r>
      <w:r>
        <w:tab/>
        <w:t>On the issue of the pension rate adjustment, OSBA offers in support of the Settlement the following</w:t>
      </w:r>
      <w:r w:rsidR="00AC2BC3">
        <w:t>:</w:t>
      </w:r>
    </w:p>
    <w:p w:rsidR="00FA1BC6" w:rsidRDefault="00FA1BC6" w:rsidP="00FA1BC6">
      <w:pPr>
        <w:spacing w:after="0" w:line="360" w:lineRule="auto"/>
      </w:pPr>
    </w:p>
    <w:p w:rsidR="00FA1BC6" w:rsidRDefault="00FA1BC6" w:rsidP="00FA1BC6">
      <w:pPr>
        <w:spacing w:after="0" w:line="240" w:lineRule="auto"/>
        <w:ind w:left="1440" w:right="1440"/>
      </w:pPr>
      <w:r>
        <w:t>According to Company estimates, Duquesne’s required pension plan contributions are projected to decline significantly by 2017.  In order to avoid a situation where the pension plan was over-funded, Duquesne requested approval of a tariff rider (PRA Rider) which would permit the Company to align future distribution rates with future pension funding outside of the context of a base rate proceeding.</w:t>
      </w:r>
    </w:p>
    <w:p w:rsidR="00FA1BC6" w:rsidRDefault="00FA1BC6" w:rsidP="00FA1BC6">
      <w:pPr>
        <w:spacing w:after="0" w:line="240" w:lineRule="auto"/>
        <w:ind w:left="1440" w:right="1440"/>
      </w:pPr>
    </w:p>
    <w:p w:rsidR="00FA1BC6" w:rsidRDefault="00FA1BC6" w:rsidP="00FA1BC6">
      <w:pPr>
        <w:spacing w:after="0" w:line="240" w:lineRule="auto"/>
        <w:ind w:left="1440" w:right="1440"/>
      </w:pPr>
      <w:r>
        <w:lastRenderedPageBreak/>
        <w:t xml:space="preserve">The OSBA objected to the requested PRA Rider because the level of Duquesne’s pension expense, as it may affect the Company’s distribution rates, is </w:t>
      </w:r>
      <w:r w:rsidR="00421650">
        <w:t xml:space="preserve">a </w:t>
      </w:r>
      <w:r>
        <w:t xml:space="preserve">base rate case issue.  For Duquesne to attempt to isolate a single base rate variable for adjustment outside the context of a base rate proceeding would be single issue ratemaking.  “Single issue rate making is prohibited if it impacts on a matter considered in a base rate case.  </w:t>
      </w:r>
      <w:r>
        <w:rPr>
          <w:i/>
        </w:rPr>
        <w:t xml:space="preserve">Philadelphia Electric Company v. Pennsylvania Public Utility Commission, 93 Pa. Commw. </w:t>
      </w:r>
      <w:r w:rsidRPr="00700AE6">
        <w:t xml:space="preserve">410, 502 </w:t>
      </w:r>
      <w:r w:rsidR="00421650">
        <w:t>A</w:t>
      </w:r>
      <w:r w:rsidRPr="00700AE6">
        <w:t>. 2d 722, 727-728 (Pa. Cmwlth. 1985)</w:t>
      </w:r>
      <w:r>
        <w:rPr>
          <w:i/>
        </w:rPr>
        <w:t xml:space="preserve">.”  Popowsky v. Pennsylvania Public Utility Commission, </w:t>
      </w:r>
      <w:r w:rsidRPr="00700AE6">
        <w:t>869 A. 2d 1144, 1153 (Pa. Commw. 2005).</w:t>
      </w:r>
    </w:p>
    <w:p w:rsidR="00FA1BC6" w:rsidRDefault="00FA1BC6" w:rsidP="00FA1BC6">
      <w:pPr>
        <w:spacing w:after="0" w:line="240" w:lineRule="auto"/>
        <w:ind w:left="1440" w:right="1440"/>
      </w:pPr>
    </w:p>
    <w:p w:rsidR="00FA1BC6" w:rsidRPr="00D416DD" w:rsidRDefault="00FA1BC6" w:rsidP="00FA1BC6">
      <w:pPr>
        <w:spacing w:after="0" w:line="240" w:lineRule="auto"/>
        <w:ind w:left="1440" w:right="1440"/>
      </w:pPr>
      <w:r>
        <w:t xml:space="preserve">The Settlement rejects the proposed PRA Rider and instead requires Duquesne to continue making pension contributions in the amount of $37.2 </w:t>
      </w:r>
      <w:r w:rsidR="00421650">
        <w:t>m</w:t>
      </w:r>
      <w:r>
        <w:t xml:space="preserve">illion per year until the Company’s next base rate case. </w:t>
      </w:r>
    </w:p>
    <w:p w:rsidR="00FA1BC6" w:rsidRDefault="00FA1BC6" w:rsidP="00FA1BC6">
      <w:pPr>
        <w:spacing w:after="0" w:line="240" w:lineRule="auto"/>
        <w:ind w:left="1440" w:right="1440"/>
      </w:pPr>
    </w:p>
    <w:p w:rsidR="00FA1BC6" w:rsidRDefault="00FA1BC6" w:rsidP="00FA1BC6">
      <w:pPr>
        <w:spacing w:after="0" w:line="240" w:lineRule="auto"/>
        <w:ind w:left="1440" w:right="1440"/>
      </w:pPr>
      <w:r>
        <w:t xml:space="preserve">However, in the interim, should the Company conclude that a pension contribution less than $37.2 million is appropriate, the Company will record an amount equal to 50% of the reduction in pension contributions below $37.2 </w:t>
      </w:r>
      <w:r w:rsidR="00421650">
        <w:t xml:space="preserve">million </w:t>
      </w:r>
      <w:r>
        <w:t xml:space="preserve">as a regulatory liability.  Should a regulatory liability exist at the time the </w:t>
      </w:r>
      <w:r w:rsidR="00D87D15">
        <w:t>C</w:t>
      </w:r>
      <w:r>
        <w:t>ompany files its next base rate case, that amount will be returned to ratepayer</w:t>
      </w:r>
      <w:r w:rsidR="00421650">
        <w:t>s</w:t>
      </w:r>
      <w:r>
        <w:t xml:space="preserve"> as directed in the Company’s next base rate proceeding.</w:t>
      </w:r>
    </w:p>
    <w:p w:rsidR="00FA1BC6" w:rsidRDefault="00FA1BC6" w:rsidP="00FA1BC6">
      <w:pPr>
        <w:spacing w:after="0" w:line="360" w:lineRule="auto"/>
        <w:ind w:left="1440" w:right="1080" w:hanging="1440"/>
        <w:rPr>
          <w:i/>
        </w:rPr>
      </w:pPr>
    </w:p>
    <w:p w:rsidR="00FA1BC6" w:rsidRDefault="00FA1BC6" w:rsidP="00FA1BC6">
      <w:pPr>
        <w:spacing w:after="0" w:line="360" w:lineRule="auto"/>
        <w:ind w:right="1080"/>
      </w:pPr>
      <w:r>
        <w:rPr>
          <w:i/>
        </w:rPr>
        <w:t>Id.</w:t>
      </w:r>
      <w:r>
        <w:t xml:space="preserve"> at 7-8.  For all of the above reasons, OSBA supports the Settlement and requests approval of same without modification.</w:t>
      </w:r>
    </w:p>
    <w:p w:rsidR="00FA1BC6" w:rsidRDefault="00FA1BC6" w:rsidP="00FA1BC6">
      <w:pPr>
        <w:spacing w:after="0" w:line="360" w:lineRule="auto"/>
        <w:ind w:right="1080"/>
      </w:pPr>
    </w:p>
    <w:p w:rsidR="00FA1BC6" w:rsidRDefault="00FA1BC6" w:rsidP="00FA1BC6">
      <w:pPr>
        <w:spacing w:after="0" w:line="360" w:lineRule="auto"/>
        <w:ind w:right="1080"/>
      </w:pPr>
      <w:r>
        <w:t>E.</w:t>
      </w:r>
      <w:r>
        <w:tab/>
      </w:r>
      <w:r>
        <w:rPr>
          <w:u w:val="single"/>
        </w:rPr>
        <w:t>CAUSE-PA’s P</w:t>
      </w:r>
      <w:r w:rsidR="0038322A">
        <w:rPr>
          <w:u w:val="single"/>
        </w:rPr>
        <w:t>osition</w:t>
      </w:r>
    </w:p>
    <w:p w:rsidR="00FA1BC6" w:rsidRDefault="00FA1BC6" w:rsidP="00FA1BC6">
      <w:pPr>
        <w:spacing w:after="0" w:line="360" w:lineRule="auto"/>
        <w:ind w:right="1080"/>
      </w:pPr>
    </w:p>
    <w:p w:rsidR="00FA1BC6" w:rsidRPr="007279D2" w:rsidRDefault="00FA1BC6" w:rsidP="00FA1BC6">
      <w:pPr>
        <w:pStyle w:val="BodyText2"/>
        <w:spacing w:line="360" w:lineRule="auto"/>
        <w:ind w:firstLine="1440"/>
        <w:jc w:val="left"/>
      </w:pPr>
      <w:r>
        <w:t>The Coalition for Affordable Utility Services and Energy Efficiency in Pennsylvania (</w:t>
      </w:r>
      <w:r w:rsidRPr="007279D2">
        <w:t>CAUSE-PA</w:t>
      </w:r>
      <w:r>
        <w:t xml:space="preserve">) argues that </w:t>
      </w:r>
      <w:r w:rsidRPr="007279D2">
        <w:t xml:space="preserve">it intervened in this proceeding to address, among other issues, whether the proposed rate increase would detrimentally impact the ability of </w:t>
      </w:r>
      <w:r>
        <w:t>Duquesne Light</w:t>
      </w:r>
      <w:r w:rsidRPr="007279D2">
        <w:t xml:space="preserve">’s low-income customers </w:t>
      </w:r>
      <w:r>
        <w:t xml:space="preserve">to continue </w:t>
      </w:r>
      <w:r w:rsidRPr="007279D2">
        <w:t>to afford service under reasonable terms and conditions.  Specifically, CAUSE-PA assert</w:t>
      </w:r>
      <w:r>
        <w:t>s</w:t>
      </w:r>
      <w:r w:rsidRPr="007279D2">
        <w:t xml:space="preserve"> that any rate increase should be </w:t>
      </w:r>
      <w:r>
        <w:t xml:space="preserve">mitigated </w:t>
      </w:r>
      <w:r w:rsidRPr="007279D2">
        <w:t xml:space="preserve">with additional weatherization resources targeting </w:t>
      </w:r>
      <w:r>
        <w:t>the Company</w:t>
      </w:r>
      <w:r w:rsidRPr="007279D2">
        <w:t>’s most economically vulnerable customers</w:t>
      </w:r>
      <w:r>
        <w:t xml:space="preserve"> and an update of the maximum credit levels permitted to Customer Assistance Program (CAP) participants</w:t>
      </w:r>
      <w:r w:rsidRPr="007279D2">
        <w:t>.  CAUSE-PA notes that</w:t>
      </w:r>
      <w:r>
        <w:t xml:space="preserve"> these goals have been partially achieved.</w:t>
      </w:r>
      <w:r w:rsidRPr="007279D2">
        <w:t xml:space="preserve"> </w:t>
      </w:r>
      <w:r>
        <w:t>W</w:t>
      </w:r>
      <w:r w:rsidRPr="007279D2">
        <w:t>hile the Settlement provides for increases in rates designed to produce $</w:t>
      </w:r>
      <w:r>
        <w:t>48</w:t>
      </w:r>
      <w:r w:rsidRPr="007279D2">
        <w:t xml:space="preserve"> million in </w:t>
      </w:r>
      <w:r w:rsidRPr="007279D2">
        <w:lastRenderedPageBreak/>
        <w:t>additional base rate revenues, it also provides for an increase</w:t>
      </w:r>
      <w:r>
        <w:t xml:space="preserve"> </w:t>
      </w:r>
      <w:r w:rsidR="00AC2BC3">
        <w:t xml:space="preserve">in </w:t>
      </w:r>
      <w:r>
        <w:t xml:space="preserve">annually targeted </w:t>
      </w:r>
      <w:r w:rsidRPr="007279D2">
        <w:t>Low Income Usage Reduction Program (LIURP)</w:t>
      </w:r>
      <w:r>
        <w:t xml:space="preserve"> visits from 2,555 to 3,100 and an increase in maximum CAP credits for non-heat customers from $560 per year to $700 per year and </w:t>
      </w:r>
      <w:r w:rsidR="0038322A">
        <w:t xml:space="preserve">for heating customers </w:t>
      </w:r>
      <w:r>
        <w:t xml:space="preserve">from $1,400 per year to $1,800 per year.  </w:t>
      </w:r>
      <w:r w:rsidRPr="007279D2">
        <w:t>CAUSE-PA St. in Support, p. 2.</w:t>
      </w:r>
    </w:p>
    <w:p w:rsidR="00FA1BC6" w:rsidRPr="007279D2" w:rsidRDefault="00FA1BC6" w:rsidP="00FA1BC6">
      <w:pPr>
        <w:pStyle w:val="BodyText2"/>
        <w:spacing w:line="360" w:lineRule="auto"/>
        <w:ind w:firstLine="1440"/>
        <w:jc w:val="left"/>
      </w:pPr>
    </w:p>
    <w:p w:rsidR="00FA1BC6" w:rsidRPr="006D210C" w:rsidRDefault="00FA1BC6" w:rsidP="00FA1BC6">
      <w:pPr>
        <w:pStyle w:val="BodyText2"/>
        <w:spacing w:line="360" w:lineRule="auto"/>
        <w:ind w:firstLine="1440"/>
        <w:jc w:val="left"/>
        <w:rPr>
          <w:i/>
        </w:rPr>
      </w:pPr>
      <w:r w:rsidRPr="007279D2">
        <w:t xml:space="preserve">CAUSE-PA </w:t>
      </w:r>
      <w:r>
        <w:t>submits the Settlement was achieved through good faith negotiations by all parties.  According to CAUSE-PA</w:t>
      </w:r>
      <w:r w:rsidR="0038322A">
        <w:t>,</w:t>
      </w:r>
      <w:r>
        <w:t xml:space="preserve"> the Settlement is in the public interest in that it addresses significant issues of concern to CAUSE-PA, balances the interest of the parties and </w:t>
      </w:r>
      <w:r w:rsidR="0038322A">
        <w:t xml:space="preserve">resolves a number of important </w:t>
      </w:r>
      <w:r>
        <w:t>issues fairly.  Substantial litigation and associated costs will be avoided.  Further if approved, the Settlement</w:t>
      </w:r>
      <w:r w:rsidR="00AC2BC3">
        <w:t xml:space="preserve"> will eliminate the possibility </w:t>
      </w:r>
      <w:r>
        <w:t xml:space="preserve">of further </w:t>
      </w:r>
      <w:r w:rsidR="00AC2BC3">
        <w:t>C</w:t>
      </w:r>
      <w:r>
        <w:t xml:space="preserve">ommission litigation and appeals, along with attendant costs.  </w:t>
      </w:r>
      <w:r>
        <w:rPr>
          <w:i/>
        </w:rPr>
        <w:t>Id.</w:t>
      </w:r>
    </w:p>
    <w:p w:rsidR="00FA1BC6" w:rsidRPr="00D416DD" w:rsidRDefault="00FA1BC6" w:rsidP="00FA1BC6">
      <w:pPr>
        <w:pStyle w:val="BodyText2"/>
        <w:spacing w:line="360" w:lineRule="auto"/>
        <w:ind w:firstLine="1440"/>
        <w:jc w:val="left"/>
      </w:pPr>
    </w:p>
    <w:p w:rsidR="00FA1BC6" w:rsidRDefault="00FA1BC6" w:rsidP="00FA1BC6">
      <w:pPr>
        <w:spacing w:after="0" w:line="360" w:lineRule="auto"/>
      </w:pPr>
      <w:r>
        <w:tab/>
      </w:r>
      <w:r>
        <w:tab/>
        <w:t>More specifically, CAUSE-PA asserts that Duquesne Light agrees to an increase in the annual target of LIURP visits from 2,555 in its currently</w:t>
      </w:r>
      <w:r w:rsidR="0038322A">
        <w:t>-</w:t>
      </w:r>
      <w:r>
        <w:t>filed Universal Service and Energy Conservation Plan (USECP)</w:t>
      </w:r>
      <w:r w:rsidR="0038322A">
        <w:t xml:space="preserve"> </w:t>
      </w:r>
      <w:r>
        <w:t>for 2014 to 2017 to 3,100 visits.  Based on CAUSE-PA’s witness, Mitchell Miller, CAUSE-PA conten</w:t>
      </w:r>
      <w:r w:rsidR="0038322A">
        <w:t>d</w:t>
      </w:r>
      <w:r>
        <w:t xml:space="preserve">s this increase is warranted.  Mr. Miller testified that those households eligible for LIURP — with incomes at or below 150% of the federal poverty income guidelines — lack sufficient income to pay for all of their essential needs. </w:t>
      </w:r>
      <w:r w:rsidR="00AC2BC3">
        <w:t xml:space="preserve"> CAUSE-PA St. No. 1, pp. 5-7.  </w:t>
      </w:r>
      <w:r>
        <w:t xml:space="preserve">CAUSE-PA urges that the LIURP effectively assists low-income households in reducing their energy use and bills. </w:t>
      </w:r>
      <w:r w:rsidR="00AC2BC3">
        <w:t xml:space="preserve"> </w:t>
      </w:r>
      <w:r>
        <w:rPr>
          <w:i/>
        </w:rPr>
        <w:t>Id.</w:t>
      </w:r>
      <w:r>
        <w:t xml:space="preserve"> at 10-11.</w:t>
      </w:r>
    </w:p>
    <w:p w:rsidR="00FA1BC6" w:rsidRDefault="00FA1BC6" w:rsidP="00FA1BC6">
      <w:pPr>
        <w:spacing w:after="0" w:line="360" w:lineRule="auto"/>
      </w:pPr>
    </w:p>
    <w:p w:rsidR="00FA1BC6" w:rsidRDefault="00FA1BC6" w:rsidP="00FA1BC6">
      <w:pPr>
        <w:spacing w:after="0" w:line="360" w:lineRule="auto"/>
      </w:pPr>
      <w:r>
        <w:tab/>
      </w:r>
      <w:r>
        <w:tab/>
        <w:t>Furthermore, an unmet need exists for Duquesne Light’s LIURP</w:t>
      </w:r>
      <w:r w:rsidR="009A248B">
        <w:t xml:space="preserve"> program</w:t>
      </w:r>
      <w:r>
        <w:t xml:space="preserve">.  “Approximately 37,000 customers who are income eligible, </w:t>
      </w:r>
      <w:r w:rsidR="00093513">
        <w:t xml:space="preserve">and </w:t>
      </w:r>
      <w:r>
        <w:t xml:space="preserve">have high usage levels, have not received weatherization services in their homes.” </w:t>
      </w:r>
      <w:r w:rsidR="0038322A">
        <w:t xml:space="preserve"> </w:t>
      </w:r>
      <w:r>
        <w:t>CAUSE-PA St. in Support, p.</w:t>
      </w:r>
      <w:r w:rsidR="0038322A">
        <w:t xml:space="preserve"> </w:t>
      </w:r>
      <w:r>
        <w:t xml:space="preserve">3. </w:t>
      </w:r>
      <w:r w:rsidR="0038322A">
        <w:t xml:space="preserve"> </w:t>
      </w:r>
      <w:r>
        <w:t>Thus, the increase in annual L</w:t>
      </w:r>
      <w:r w:rsidR="00AC2BC3">
        <w:t>IU</w:t>
      </w:r>
      <w:r>
        <w:t xml:space="preserve">RP visitations within the Company’s service territory ensure that many more households will receive access to weatherization.  This increase will significantly reduce their usage, their bills, and reduce the costs on other ratepayers who are assisting these households through Duquesne Light’s Customer Assistance Program (CAP).  </w:t>
      </w:r>
      <w:r>
        <w:rPr>
          <w:i/>
        </w:rPr>
        <w:t>Id.</w:t>
      </w:r>
      <w:r>
        <w:t xml:space="preserve"> at 3.</w:t>
      </w:r>
    </w:p>
    <w:p w:rsidR="00FA1BC6" w:rsidRDefault="00FA1BC6" w:rsidP="00FA1BC6">
      <w:pPr>
        <w:spacing w:after="0" w:line="360" w:lineRule="auto"/>
      </w:pPr>
    </w:p>
    <w:p w:rsidR="00FA1BC6" w:rsidRDefault="00FA1BC6" w:rsidP="00FA1BC6">
      <w:pPr>
        <w:spacing w:after="0" w:line="360" w:lineRule="auto"/>
      </w:pPr>
      <w:r>
        <w:tab/>
      </w:r>
      <w:r>
        <w:tab/>
        <w:t xml:space="preserve">CAUSE-PA further notes that Duquesne Light agrees to increase the maximum CAP credits for non-heat customers from $560 per year to $700 per year and for heating </w:t>
      </w:r>
      <w:r>
        <w:lastRenderedPageBreak/>
        <w:t xml:space="preserve">customers from $1,400 per year to $1,800 per year, effective January 1, 2015.  CAUSE-PA suggests that this increase is well justified.  CAUSE-PA’s witness, Mitchell Miller, testified that the current CAP credits are too low.  CAUSE-PA St. No. 1, p. 19.  Mr. Miller stated that the current thresholds of $560 for non-heating </w:t>
      </w:r>
      <w:r w:rsidR="00093513">
        <w:t xml:space="preserve">customers </w:t>
      </w:r>
      <w:r>
        <w:t xml:space="preserve">and $1,400 for heating </w:t>
      </w:r>
      <w:r w:rsidR="00093513">
        <w:t xml:space="preserve">customers </w:t>
      </w:r>
      <w:r>
        <w:t xml:space="preserve">were established in 1992 and have not been raised significantly despite the increasing cost of energy.  </w:t>
      </w:r>
      <w:r>
        <w:rPr>
          <w:i/>
        </w:rPr>
        <w:t>Id.</w:t>
      </w:r>
      <w:r>
        <w:t xml:space="preserve"> at 22.  Mr. Miller noted that the Commission has acknowledged the energy credit amounts are outdated.  </w:t>
      </w:r>
    </w:p>
    <w:p w:rsidR="00FA1BC6" w:rsidRDefault="00FA1BC6" w:rsidP="00FA1BC6">
      <w:pPr>
        <w:spacing w:after="0" w:line="360" w:lineRule="auto"/>
      </w:pPr>
    </w:p>
    <w:p w:rsidR="00FA1BC6" w:rsidRDefault="00FA1BC6" w:rsidP="00FA1BC6">
      <w:pPr>
        <w:spacing w:after="0" w:line="240" w:lineRule="auto"/>
        <w:ind w:left="1440" w:right="1440"/>
      </w:pPr>
      <w:r>
        <w:t xml:space="preserve">We agree that maximum CAP credits should be revised to reflect changes in prices since 1992 and will consider adopting a method that recognizes fluctuations in the price of energy. </w:t>
      </w:r>
      <w:r w:rsidR="0038322A">
        <w:t xml:space="preserve"> </w:t>
      </w:r>
      <w:r>
        <w:t xml:space="preserve">In the interim, we will recommend that utilities consider revising their maximum CAP credits to match PPL’s recommendation that maximum CAP credits be increased to $1800 for electric heat, and $700 for nonheat, and $1000 for natural gas heat.  These levels track closely with the changes reflected to the Consumer Price Index since 1992. </w:t>
      </w:r>
    </w:p>
    <w:p w:rsidR="00FA1BC6" w:rsidRDefault="00FA1BC6" w:rsidP="00093513">
      <w:pPr>
        <w:spacing w:after="0" w:line="360" w:lineRule="auto"/>
        <w:ind w:left="1440" w:right="1080"/>
      </w:pPr>
    </w:p>
    <w:p w:rsidR="00FA1BC6" w:rsidRDefault="00FA1BC6" w:rsidP="00FA1BC6">
      <w:pPr>
        <w:spacing w:after="0" w:line="360" w:lineRule="auto"/>
      </w:pPr>
      <w:r>
        <w:t xml:space="preserve">Commission’s Final Investigatory Order on CAP Programs, Docket No. M-0051923, p. 50; CAUSE-PA St. in Support, p. 4.  Thus, CAUSE-PA submits that increasing CAP credit amounts is in accord with the Commission’s recommendation.  Therefore, this part of the Settlement is in the public interest.  </w:t>
      </w:r>
      <w:r>
        <w:rPr>
          <w:i/>
        </w:rPr>
        <w:t>Id.</w:t>
      </w:r>
      <w:r>
        <w:t xml:space="preserve"> </w:t>
      </w:r>
      <w:r w:rsidR="0038322A">
        <w:t xml:space="preserve">at </w:t>
      </w:r>
      <w:r>
        <w:t>5.</w:t>
      </w:r>
      <w:r>
        <w:tab/>
      </w:r>
    </w:p>
    <w:p w:rsidR="00FA1BC6" w:rsidRDefault="00FA1BC6" w:rsidP="00FA1BC6">
      <w:pPr>
        <w:spacing w:after="0" w:line="360" w:lineRule="auto"/>
      </w:pPr>
    </w:p>
    <w:p w:rsidR="00FA1BC6" w:rsidRDefault="00FA1BC6" w:rsidP="00FA1BC6">
      <w:pPr>
        <w:spacing w:after="0" w:line="360" w:lineRule="auto"/>
      </w:pPr>
      <w:r>
        <w:tab/>
      </w:r>
      <w:r>
        <w:tab/>
        <w:t>According to CAUSE-PA, Duquesne Light’s agreement to amend its Universal Service and Energy Con</w:t>
      </w:r>
      <w:r w:rsidR="0038322A">
        <w:t>s</w:t>
      </w:r>
      <w:r>
        <w:t>er</w:t>
      </w:r>
      <w:r w:rsidR="0038322A">
        <w:t>v</w:t>
      </w:r>
      <w:r>
        <w:t xml:space="preserve">ation Plan (within 60 days of the approval of the Settlement) to increase Low Income Usage Reduction Program (LIURP) visits as set forth in Paragraph 38 of the Settlement will service the public interest by a prompt implementation of these changes. </w:t>
      </w:r>
      <w:r w:rsidR="0038322A">
        <w:t xml:space="preserve"> </w:t>
      </w:r>
      <w:r>
        <w:rPr>
          <w:i/>
        </w:rPr>
        <w:t>Id.</w:t>
      </w:r>
      <w:r w:rsidR="0038322A">
        <w:t xml:space="preserve">  </w:t>
      </w:r>
      <w:r>
        <w:t xml:space="preserve">Lastly, CAUSE-PA did not address the Company’s plan to refresh its Red Flags Plan and to discontinue requiring CAP applicants to provide Social Security numbers.  However, CAUSE-PA believes that these Settlement provisions are significant improvements in protecting the privacy and security of sensitive information. </w:t>
      </w:r>
      <w:r w:rsidR="0038322A">
        <w:t xml:space="preserve"> </w:t>
      </w:r>
      <w:r>
        <w:t xml:space="preserve">Thus, these provisions are in the public interest. </w:t>
      </w:r>
      <w:r w:rsidR="0038322A">
        <w:t xml:space="preserve"> </w:t>
      </w:r>
      <w:r>
        <w:rPr>
          <w:i/>
        </w:rPr>
        <w:t>Id.</w:t>
      </w:r>
    </w:p>
    <w:p w:rsidR="00FA1BC6" w:rsidRDefault="00FA1BC6" w:rsidP="00FA1BC6">
      <w:pPr>
        <w:spacing w:after="0" w:line="360" w:lineRule="auto"/>
      </w:pPr>
    </w:p>
    <w:p w:rsidR="002E276B" w:rsidRDefault="002E276B">
      <w:r>
        <w:br w:type="page"/>
      </w:r>
    </w:p>
    <w:p w:rsidR="00FA1BC6" w:rsidRDefault="00FA1BC6" w:rsidP="00FA1BC6">
      <w:pPr>
        <w:spacing w:after="0" w:line="360" w:lineRule="auto"/>
      </w:pPr>
      <w:r>
        <w:lastRenderedPageBreak/>
        <w:t>F.</w:t>
      </w:r>
      <w:r>
        <w:tab/>
      </w:r>
      <w:r w:rsidRPr="005B597C">
        <w:rPr>
          <w:u w:val="single"/>
        </w:rPr>
        <w:t>DII’s Position</w:t>
      </w:r>
    </w:p>
    <w:p w:rsidR="00FA1BC6" w:rsidRDefault="00FA1BC6" w:rsidP="00FA1BC6">
      <w:pPr>
        <w:spacing w:after="0" w:line="360" w:lineRule="auto"/>
      </w:pPr>
    </w:p>
    <w:p w:rsidR="00FA1BC6" w:rsidRDefault="004A0658" w:rsidP="00FA1BC6">
      <w:pPr>
        <w:spacing w:after="0" w:line="360" w:lineRule="auto"/>
      </w:pPr>
      <w:r>
        <w:tab/>
      </w:r>
      <w:r>
        <w:tab/>
      </w:r>
      <w:r w:rsidR="00FA1BC6">
        <w:t>Duquesne Industrial Intervenors (DII) assert the Settlement is in the public interest for the following reasons:</w:t>
      </w:r>
    </w:p>
    <w:p w:rsidR="00FA1BC6" w:rsidRDefault="00FA1BC6" w:rsidP="00FA1BC6">
      <w:pPr>
        <w:spacing w:after="0" w:line="360" w:lineRule="auto"/>
      </w:pPr>
      <w:r>
        <w:tab/>
      </w:r>
    </w:p>
    <w:p w:rsidR="00FA1BC6" w:rsidRDefault="00FA1BC6" w:rsidP="00FA1BC6">
      <w:pPr>
        <w:spacing w:after="0" w:line="240" w:lineRule="auto"/>
        <w:ind w:left="2160" w:right="1440" w:hanging="720"/>
      </w:pPr>
      <w:r>
        <w:t>a.</w:t>
      </w:r>
      <w:r>
        <w:tab/>
        <w:t>As a result of the Joint Petition, expenses incurred by the Joint Petitioners and the Commission for completing this proceeding will be less than they would have been if the proceeding had been fully litigated.</w:t>
      </w:r>
    </w:p>
    <w:p w:rsidR="00FA1BC6" w:rsidRDefault="00FA1BC6" w:rsidP="00FA1BC6">
      <w:pPr>
        <w:spacing w:after="0" w:line="240" w:lineRule="auto"/>
        <w:ind w:left="2160" w:right="1440" w:hanging="720"/>
      </w:pPr>
    </w:p>
    <w:p w:rsidR="00FA1BC6" w:rsidRDefault="00FA1BC6" w:rsidP="00FA1BC6">
      <w:pPr>
        <w:spacing w:after="0" w:line="240" w:lineRule="auto"/>
        <w:ind w:left="2160" w:right="1440" w:hanging="720"/>
      </w:pPr>
      <w:r>
        <w:t>b.</w:t>
      </w:r>
      <w:r>
        <w:tab/>
        <w:t>Uncertainties regarding further expenses associated with possible appeals from the Final Order of the Commission are avoided as a result of the Joint Petition.</w:t>
      </w:r>
    </w:p>
    <w:p w:rsidR="00FA1BC6" w:rsidRDefault="00FA1BC6" w:rsidP="00FA1BC6">
      <w:pPr>
        <w:spacing w:after="0" w:line="240" w:lineRule="auto"/>
        <w:ind w:left="2160" w:right="1440" w:hanging="720"/>
      </w:pPr>
    </w:p>
    <w:p w:rsidR="00FA1BC6" w:rsidRDefault="00FA1BC6" w:rsidP="00FA1BC6">
      <w:pPr>
        <w:spacing w:after="0" w:line="240" w:lineRule="auto"/>
        <w:ind w:left="2160" w:right="1440" w:hanging="720"/>
      </w:pPr>
      <w:r>
        <w:t>c.</w:t>
      </w:r>
      <w:r>
        <w:tab/>
        <w:t>The Joint Petition results in an increase in Duquesne’s rates by $48 million, which is approximately 63% of the Company’s original request of $76.3 million.</w:t>
      </w:r>
    </w:p>
    <w:p w:rsidR="00FA1BC6" w:rsidRDefault="00FA1BC6" w:rsidP="00FA1BC6">
      <w:pPr>
        <w:spacing w:after="0" w:line="240" w:lineRule="auto"/>
        <w:ind w:left="2160" w:right="1440" w:hanging="720"/>
      </w:pPr>
    </w:p>
    <w:p w:rsidR="00FA1BC6" w:rsidRDefault="00FA1BC6" w:rsidP="00FA1BC6">
      <w:pPr>
        <w:spacing w:after="0" w:line="240" w:lineRule="auto"/>
        <w:ind w:left="2160" w:right="1440" w:hanging="720"/>
      </w:pPr>
      <w:r>
        <w:t>d.</w:t>
      </w:r>
      <w:r>
        <w:tab/>
        <w:t xml:space="preserve">The Joint Petition provides a </w:t>
      </w:r>
      <w:r w:rsidR="00AC2BC3">
        <w:t xml:space="preserve">more just and reasonable means </w:t>
      </w:r>
      <w:r>
        <w:t xml:space="preserve">by which to allocate the resulting increase, especially for Rate L (large power service) customers served at lower voltages who would have seen excessive increases under the Company’s original filing. </w:t>
      </w:r>
      <w:r w:rsidR="0038322A">
        <w:t xml:space="preserve"> </w:t>
      </w:r>
      <w:r>
        <w:rPr>
          <w:i/>
        </w:rPr>
        <w:t>See</w:t>
      </w:r>
      <w:r>
        <w:t xml:space="preserve"> Direct testimony of Jeffrey Pollock, DII State No. 1, p. 24.</w:t>
      </w:r>
    </w:p>
    <w:p w:rsidR="00FA1BC6" w:rsidRDefault="00FA1BC6" w:rsidP="00FA1BC6">
      <w:pPr>
        <w:spacing w:after="0" w:line="240" w:lineRule="auto"/>
        <w:ind w:left="2160" w:right="1440" w:hanging="720"/>
      </w:pPr>
    </w:p>
    <w:p w:rsidR="00FA1BC6" w:rsidRDefault="00FA1BC6" w:rsidP="00FA1BC6">
      <w:pPr>
        <w:spacing w:after="0" w:line="240" w:lineRule="auto"/>
        <w:ind w:left="2160" w:right="1440" w:hanging="720"/>
      </w:pPr>
      <w:r>
        <w:t>e.</w:t>
      </w:r>
      <w:r>
        <w:tab/>
        <w:t>The Joint Petition reflects compromises on all sides presented without prejudice to any position any Joint Petitioner may have advanced so far in this proceeding. Similarly, the Joint Petition is presented without prejudice to any position any party may advance in future proceedings involving the Company.</w:t>
      </w:r>
    </w:p>
    <w:p w:rsidR="00FA1BC6" w:rsidRDefault="00FA1BC6" w:rsidP="00FA1BC6">
      <w:pPr>
        <w:spacing w:after="0" w:line="360" w:lineRule="auto"/>
        <w:ind w:left="1440" w:right="1080"/>
      </w:pPr>
    </w:p>
    <w:p w:rsidR="00FA1BC6" w:rsidRDefault="00FA1BC6" w:rsidP="00FA1BC6">
      <w:pPr>
        <w:spacing w:after="0" w:line="360" w:lineRule="auto"/>
      </w:pPr>
      <w:r>
        <w:t>DII St. in Support, p. 3.</w:t>
      </w:r>
    </w:p>
    <w:p w:rsidR="00FA1BC6" w:rsidRDefault="00FA1BC6" w:rsidP="00FA1BC6">
      <w:pPr>
        <w:spacing w:after="0" w:line="360" w:lineRule="auto"/>
      </w:pPr>
    </w:p>
    <w:p w:rsidR="00FA1BC6" w:rsidRDefault="00FA1BC6" w:rsidP="00FA1BC6">
      <w:pPr>
        <w:spacing w:after="0" w:line="360" w:lineRule="auto"/>
      </w:pPr>
      <w:r>
        <w:tab/>
      </w:r>
      <w:r>
        <w:tab/>
        <w:t xml:space="preserve">Furthermore DII asserts that the Settlement addresses its concerns by providing for (a) reasonable compromise among the Settling Parties as to the rate increase and distribution of such increase among customer classes; and (b) the establishment of a 138 kV option under Rate Schedule L.  </w:t>
      </w:r>
      <w:r>
        <w:rPr>
          <w:i/>
        </w:rPr>
        <w:t>Id.</w:t>
      </w:r>
      <w:r>
        <w:t xml:space="preserve">  Accordingly</w:t>
      </w:r>
      <w:r w:rsidR="00AC2BC3">
        <w:t>,</w:t>
      </w:r>
      <w:r>
        <w:t xml:space="preserve"> DII submits that the Settlement is in the public interest and adheres to Commission policies promoting negotiated settlements. </w:t>
      </w:r>
    </w:p>
    <w:p w:rsidR="00FA1BC6" w:rsidRDefault="00FA1BC6" w:rsidP="00FA1BC6">
      <w:pPr>
        <w:spacing w:after="0" w:line="360" w:lineRule="auto"/>
      </w:pPr>
    </w:p>
    <w:p w:rsidR="00FA1BC6" w:rsidRDefault="002E276B" w:rsidP="00FA1BC6">
      <w:pPr>
        <w:spacing w:after="0" w:line="360" w:lineRule="auto"/>
      </w:pPr>
      <w:r>
        <w:lastRenderedPageBreak/>
        <w:t>G</w:t>
      </w:r>
      <w:r w:rsidR="00FA1BC6">
        <w:t>.</w:t>
      </w:r>
      <w:r w:rsidR="00FA1BC6">
        <w:tab/>
      </w:r>
      <w:r w:rsidR="00FA1BC6">
        <w:rPr>
          <w:u w:val="single"/>
        </w:rPr>
        <w:t>PennFuture’s Position</w:t>
      </w:r>
    </w:p>
    <w:p w:rsidR="00FA1BC6" w:rsidRDefault="00FA1BC6" w:rsidP="00FA1BC6">
      <w:pPr>
        <w:spacing w:after="0" w:line="360" w:lineRule="auto"/>
      </w:pPr>
    </w:p>
    <w:p w:rsidR="00FA1BC6" w:rsidRDefault="00FA1BC6" w:rsidP="00FA1BC6">
      <w:pPr>
        <w:spacing w:after="0" w:line="360" w:lineRule="auto"/>
      </w:pPr>
      <w:r>
        <w:tab/>
      </w:r>
      <w:r>
        <w:tab/>
        <w:t>Citizens for Pennsylvania’s Future (PennFuture) intervened in this proceeding because of its concern about Duquesne Light’s proposed street lighting rates.  According to PennFuture its concerns are satisfactorily resolved under the Settlement.</w:t>
      </w:r>
      <w:r w:rsidR="0038322A">
        <w:t xml:space="preserve"> </w:t>
      </w:r>
      <w:r>
        <w:t xml:space="preserve"> PennFuture St. in Support, ¶</w:t>
      </w:r>
      <w:r w:rsidR="00AC2BC3">
        <w:t xml:space="preserve"> </w:t>
      </w:r>
      <w:r>
        <w:t>12.  Therefore, PennFuture contends the Settlement is in the public interest for the following reasons</w:t>
      </w:r>
      <w:r w:rsidR="002E276B">
        <w:t>:</w:t>
      </w:r>
    </w:p>
    <w:p w:rsidR="00FA1BC6" w:rsidRDefault="00FA1BC6" w:rsidP="00FA1BC6">
      <w:pPr>
        <w:spacing w:after="0" w:line="360" w:lineRule="auto"/>
      </w:pPr>
    </w:p>
    <w:p w:rsidR="00FA1BC6" w:rsidRDefault="00FA1BC6" w:rsidP="00FA1BC6">
      <w:pPr>
        <w:spacing w:after="0" w:line="240" w:lineRule="auto"/>
        <w:ind w:left="1440" w:right="1440"/>
      </w:pPr>
      <w:r>
        <w:t>PennFuture’s testimony focused on narrow aspects of the base rate case, namely the distribution rate associated with light-emitting diode (“LED”) stre</w:t>
      </w:r>
      <w:r w:rsidR="0038322A">
        <w:t xml:space="preserve">et light fixtures.  As part of </w:t>
      </w:r>
      <w:r>
        <w:t xml:space="preserve">this testimony, PennFuture’s witness explained the importance of LED light fixtures to customers in the Duquesne service territory, the energy conservation benefits of converting from traditional high pressure sodium to LED light fixtures, the extended life and increased reliability of LED light fixtures, the capital and maintenance cost of LED light fixtures for typical residential street lighting compared to high pressure sodium light fixtures, and the economic disincentive that would be created if inaccurate distribution rate for LED fixtures was approved. </w:t>
      </w:r>
      <w:r>
        <w:tab/>
      </w:r>
    </w:p>
    <w:p w:rsidR="00FA1BC6" w:rsidRDefault="00FA1BC6" w:rsidP="00FA1BC6">
      <w:pPr>
        <w:spacing w:after="0" w:line="240" w:lineRule="auto"/>
        <w:ind w:left="1440" w:right="1440"/>
      </w:pPr>
    </w:p>
    <w:p w:rsidR="00FA1BC6" w:rsidRDefault="00FA1BC6" w:rsidP="00FA1BC6">
      <w:pPr>
        <w:spacing w:after="0" w:line="240" w:lineRule="auto"/>
        <w:ind w:left="1440" w:right="1440"/>
      </w:pPr>
      <w:r>
        <w:t>PennFuture’s witness noted that although Duquesne recognized that LED lights have an estimated life of twice that of high pressure sodium lights, the high fixture cost set for LED established a monthly distribution rate for LED that exceed</w:t>
      </w:r>
      <w:r w:rsidR="00817183">
        <w:t>ed</w:t>
      </w:r>
      <w:r>
        <w:t xml:space="preserve"> high pressure sodium. </w:t>
      </w:r>
      <w:r w:rsidR="0038322A">
        <w:t xml:space="preserve"> </w:t>
      </w:r>
      <w:r>
        <w:t xml:space="preserve">This created an economic disincentive for municipalities to switch from high pressure sodium to LED lights. </w:t>
      </w:r>
    </w:p>
    <w:p w:rsidR="00FA1BC6" w:rsidRDefault="00FA1BC6" w:rsidP="00FA1BC6">
      <w:pPr>
        <w:spacing w:after="0" w:line="240" w:lineRule="auto"/>
        <w:ind w:left="1440" w:right="1440"/>
      </w:pPr>
    </w:p>
    <w:p w:rsidR="00FA1BC6" w:rsidRDefault="00FA1BC6" w:rsidP="00FA1BC6">
      <w:pPr>
        <w:spacing w:after="0" w:line="240" w:lineRule="auto"/>
        <w:ind w:left="1440" w:right="1080" w:hanging="1440"/>
      </w:pPr>
      <w:r>
        <w:rPr>
          <w:i/>
        </w:rPr>
        <w:t>Id.</w:t>
      </w:r>
      <w:r>
        <w:t xml:space="preserve"> at 6-7.</w:t>
      </w:r>
    </w:p>
    <w:p w:rsidR="00FA1BC6" w:rsidRDefault="00FA1BC6" w:rsidP="00FA1BC6">
      <w:pPr>
        <w:spacing w:after="0" w:line="240" w:lineRule="auto"/>
        <w:ind w:left="1440" w:right="1080" w:hanging="1440"/>
      </w:pPr>
    </w:p>
    <w:p w:rsidR="00FA1BC6" w:rsidRDefault="00FA1BC6" w:rsidP="00FA1BC6">
      <w:pPr>
        <w:spacing w:after="0" w:line="240" w:lineRule="auto"/>
        <w:ind w:left="1440" w:right="1440" w:hanging="1440"/>
      </w:pPr>
      <w:r>
        <w:tab/>
        <w:t>Duquesne had proposed in its initial filing distribution rates of $12.16 and $13.97 for LED lights with nominal lamp wattages of 43 or 106.</w:t>
      </w:r>
    </w:p>
    <w:p w:rsidR="00FA1BC6" w:rsidRDefault="00FA1BC6" w:rsidP="00FA1BC6">
      <w:pPr>
        <w:spacing w:after="0" w:line="240" w:lineRule="auto"/>
        <w:ind w:left="1440" w:right="1440" w:hanging="1440"/>
      </w:pPr>
    </w:p>
    <w:p w:rsidR="00FA1BC6" w:rsidRDefault="00FA1BC6" w:rsidP="00FA1BC6">
      <w:pPr>
        <w:spacing w:after="0" w:line="240" w:lineRule="auto"/>
        <w:ind w:left="1440" w:right="1440" w:hanging="1440"/>
      </w:pPr>
      <w:r>
        <w:tab/>
        <w:t>Under the Settlement, Duquesne will establish an LED street light pilot program whereby it agrees to install up to a total of 1,500</w:t>
      </w:r>
      <w:r w:rsidR="0038322A">
        <w:t xml:space="preserve"> </w:t>
      </w:r>
      <w:r>
        <w:t xml:space="preserve">LED lights per year </w:t>
      </w:r>
      <w:r w:rsidR="00817183">
        <w:t>at nominal lamp wattages of 43 and</w:t>
      </w:r>
      <w:r>
        <w:t xml:space="preserve"> 106 watts, which are the 70 watt and</w:t>
      </w:r>
      <w:r w:rsidR="0038322A">
        <w:t xml:space="preserve"> </w:t>
      </w:r>
      <w:r>
        <w:t>150 watt High Pressure Sodium Light equivalents, respectively. The distribution rates for these LED lights will be $11.16 per month and $12.82 per month, respectively.</w:t>
      </w:r>
    </w:p>
    <w:p w:rsidR="00FA1BC6" w:rsidRDefault="00FA1BC6" w:rsidP="00FA1BC6">
      <w:pPr>
        <w:spacing w:after="0" w:line="240" w:lineRule="auto"/>
        <w:ind w:left="1440" w:right="1440" w:hanging="1440"/>
      </w:pPr>
    </w:p>
    <w:p w:rsidR="00FA1BC6" w:rsidRDefault="00FA1BC6" w:rsidP="00FA1BC6">
      <w:pPr>
        <w:spacing w:after="0" w:line="240" w:lineRule="auto"/>
        <w:ind w:left="1440" w:right="1440"/>
      </w:pPr>
      <w:r>
        <w:lastRenderedPageBreak/>
        <w:t xml:space="preserve">The program will begin May 2014 and run until the end of the Future Test Year in the </w:t>
      </w:r>
      <w:r w:rsidR="00A16434">
        <w:t>c</w:t>
      </w:r>
      <w:r>
        <w:t>ompany’s next general rate proceeding.</w:t>
      </w:r>
    </w:p>
    <w:p w:rsidR="00FA1BC6" w:rsidRDefault="00FA1BC6" w:rsidP="00FA1BC6">
      <w:pPr>
        <w:spacing w:after="0" w:line="240" w:lineRule="auto"/>
        <w:ind w:left="1440" w:right="1440"/>
      </w:pPr>
    </w:p>
    <w:p w:rsidR="00FA1BC6" w:rsidRDefault="00FA1BC6" w:rsidP="00FA1BC6">
      <w:pPr>
        <w:spacing w:after="0" w:line="240" w:lineRule="auto"/>
        <w:ind w:left="1440" w:right="1440"/>
      </w:pPr>
      <w:r>
        <w:t>Duquesne agrees to submit a report to PennFuture, the Commission</w:t>
      </w:r>
      <w:r w:rsidR="00A16434">
        <w:t>,</w:t>
      </w:r>
      <w:r>
        <w:t xml:space="preserve"> I&amp;E, OCA and OSBA within 90 days after the end of each annual period commencing May 1 that this program is in effect that will outline the actions that Duquesne has taken to roll out the program, the responses that have been received from the municipalities, the number of LED fixtures installed in Duquesne’s territory during the preceding year, average costs of the fixtures, and average costs of installation and replacement costs for any failed fixtures. </w:t>
      </w:r>
    </w:p>
    <w:p w:rsidR="00FA1BC6" w:rsidRDefault="00FA1BC6" w:rsidP="00FA1BC6">
      <w:pPr>
        <w:spacing w:after="0" w:line="240" w:lineRule="auto"/>
        <w:ind w:right="1080"/>
      </w:pPr>
    </w:p>
    <w:p w:rsidR="00FA1BC6" w:rsidRDefault="00FA1BC6" w:rsidP="00FA1BC6">
      <w:pPr>
        <w:spacing w:after="0" w:line="360" w:lineRule="auto"/>
        <w:ind w:right="1080"/>
      </w:pPr>
      <w:r>
        <w:rPr>
          <w:i/>
        </w:rPr>
        <w:t>Id.</w:t>
      </w:r>
      <w:r>
        <w:t xml:space="preserve"> at 13-16.</w:t>
      </w:r>
    </w:p>
    <w:p w:rsidR="00FA1BC6" w:rsidRDefault="00FA1BC6" w:rsidP="00FA1BC6">
      <w:pPr>
        <w:spacing w:after="0" w:line="360" w:lineRule="auto"/>
      </w:pPr>
    </w:p>
    <w:p w:rsidR="00FA1BC6" w:rsidRDefault="00FA1BC6" w:rsidP="00FA1BC6">
      <w:pPr>
        <w:spacing w:after="0" w:line="360" w:lineRule="auto"/>
      </w:pPr>
      <w:r>
        <w:tab/>
      </w:r>
      <w:r>
        <w:tab/>
        <w:t xml:space="preserve">In summary, PennFuture asserts that the Settlement is in the public interest because it will lessen the expense of litigation of all parties, and will result in development of a program that reduces certain financial disincentives for municipalities to convert less efficient high pressure sodium fixtures to the more energy efficient and reliable LED lights.  This will result in increased reliance on energy efficient lights, lower electricity consumption by municipalities, and lower electricity bills for municipal customers.  </w:t>
      </w:r>
      <w:r>
        <w:rPr>
          <w:i/>
        </w:rPr>
        <w:t>Id.</w:t>
      </w:r>
      <w:r>
        <w:t xml:space="preserve"> at 17.</w:t>
      </w:r>
    </w:p>
    <w:p w:rsidR="00FA1BC6" w:rsidRDefault="00FA1BC6" w:rsidP="00FA1BC6">
      <w:pPr>
        <w:spacing w:after="0" w:line="360" w:lineRule="auto"/>
      </w:pPr>
    </w:p>
    <w:p w:rsidR="00FA1BC6" w:rsidRPr="00D72E51" w:rsidRDefault="002E276B" w:rsidP="0038322A">
      <w:pPr>
        <w:spacing w:after="0" w:line="360" w:lineRule="auto"/>
        <w:rPr>
          <w:u w:val="single"/>
        </w:rPr>
      </w:pPr>
      <w:r>
        <w:t>H</w:t>
      </w:r>
      <w:r w:rsidR="0038322A">
        <w:t>.</w:t>
      </w:r>
      <w:r w:rsidR="0038322A">
        <w:tab/>
      </w:r>
      <w:r w:rsidR="00CA7790">
        <w:rPr>
          <w:u w:val="single"/>
        </w:rPr>
        <w:t>U. S. Steel</w:t>
      </w:r>
      <w:r w:rsidR="00FA1BC6" w:rsidRPr="00D72E51">
        <w:rPr>
          <w:u w:val="single"/>
        </w:rPr>
        <w:t>’s Position</w:t>
      </w:r>
    </w:p>
    <w:p w:rsidR="00FA1BC6" w:rsidRDefault="00FA1BC6" w:rsidP="00FA1BC6">
      <w:pPr>
        <w:spacing w:after="0" w:line="360" w:lineRule="auto"/>
      </w:pPr>
    </w:p>
    <w:p w:rsidR="00FA1BC6" w:rsidRDefault="00FA1BC6" w:rsidP="00FA1BC6">
      <w:pPr>
        <w:spacing w:after="0" w:line="360" w:lineRule="auto"/>
      </w:pPr>
      <w:r>
        <w:tab/>
      </w:r>
      <w:r>
        <w:tab/>
        <w:t>Similar to PennFuture, United States Steel Corporation (</w:t>
      </w:r>
      <w:r w:rsidR="00CA7790">
        <w:t>U. S. Steel</w:t>
      </w:r>
      <w:r>
        <w:t>) intervened in this proceeding to address a specific concern:</w:t>
      </w:r>
    </w:p>
    <w:p w:rsidR="00FA1BC6" w:rsidRDefault="00FA1BC6" w:rsidP="00FA1BC6">
      <w:pPr>
        <w:spacing w:after="0" w:line="360" w:lineRule="auto"/>
      </w:pPr>
    </w:p>
    <w:p w:rsidR="00FA1BC6" w:rsidRDefault="00FA1BC6" w:rsidP="00FA1BC6">
      <w:pPr>
        <w:spacing w:after="0" w:line="240" w:lineRule="auto"/>
        <w:ind w:left="1440" w:right="1440"/>
      </w:pPr>
      <w:r>
        <w:t xml:space="preserve">Specifically, </w:t>
      </w:r>
      <w:r w:rsidR="00CA7790">
        <w:t>U. S. Steel</w:t>
      </w:r>
      <w:r>
        <w:t xml:space="preserve"> was concerned with the impact that the Company’s proposed revenue increase and Tariff modification</w:t>
      </w:r>
      <w:r w:rsidR="00CA7790">
        <w:t>s</w:t>
      </w:r>
      <w:r>
        <w:t xml:space="preserve"> may have had on </w:t>
      </w:r>
      <w:r w:rsidR="00CA7790">
        <w:t>U. S. Steel</w:t>
      </w:r>
      <w:r>
        <w:t xml:space="preserve">’s operating costs as reflected in the rates that </w:t>
      </w:r>
      <w:r w:rsidR="00CA7790">
        <w:t>U. S. Steel</w:t>
      </w:r>
      <w:r>
        <w:t xml:space="preserve"> pays to Duquesne pursuant to a number of rate schedules, including primarily Rate Schedules HVPS (high voltage power service), GL (general service large) and L (large power service).  Of particular importance, Duquesne proposed modifications to the structure of Rate Schedule L that would provide an opportunity for Rate Schedule L customers who take service directly at the 138 kV level (but without the necessary minimum monthly demands to make them eligible for Rate Schedule HVPS) to pay the same monthly fixed charge as similarly </w:t>
      </w:r>
      <w:r>
        <w:lastRenderedPageBreak/>
        <w:t>situated Rate Schedule HVPS customers using less than 50,000 kW per month.</w:t>
      </w:r>
      <w:r w:rsidR="0038322A">
        <w:t xml:space="preserve">  </w:t>
      </w:r>
      <w:r w:rsidRPr="00E01AE5">
        <w:rPr>
          <w:u w:val="single"/>
        </w:rPr>
        <w:t>See</w:t>
      </w:r>
      <w:r>
        <w:t xml:space="preserve"> </w:t>
      </w:r>
      <w:r w:rsidR="00CA7790">
        <w:t>U. S. Steel</w:t>
      </w:r>
      <w:r>
        <w:t xml:space="preserve"> Statement No. 1, Direct Testimony of Stephen J. Baron (“</w:t>
      </w:r>
      <w:r w:rsidR="00CA7790">
        <w:t>U. S. Steel</w:t>
      </w:r>
      <w:r>
        <w:t xml:space="preserve"> St. 1”), p. 10.  This proposed modification acknowledges the unique characteristics of customers like </w:t>
      </w:r>
      <w:r w:rsidR="00CA7790">
        <w:t>U. S. Steel</w:t>
      </w:r>
      <w:r>
        <w:t>, and addresses the disparity that previously existed among transmission-level and distribution-level large industrial customers on this rate schedule and thereby correct</w:t>
      </w:r>
      <w:r w:rsidR="00CA7790">
        <w:t>s</w:t>
      </w:r>
      <w:r>
        <w:t xml:space="preserve"> th</w:t>
      </w:r>
      <w:r w:rsidR="00CA7790">
        <w:t>e</w:t>
      </w:r>
      <w:r>
        <w:t xml:space="preserve"> disproportionately high rate</w:t>
      </w:r>
      <w:r w:rsidR="00CA7790">
        <w:t>s</w:t>
      </w:r>
      <w:r>
        <w:t xml:space="preserve"> that </w:t>
      </w:r>
      <w:r w:rsidR="00CA7790">
        <w:t>U. S. Steel</w:t>
      </w:r>
      <w:r>
        <w:t xml:space="preserve"> had previously paid as a transmission-level customer on Rate Schedule L. </w:t>
      </w:r>
    </w:p>
    <w:p w:rsidR="00FA1BC6" w:rsidRDefault="00FA1BC6" w:rsidP="00FA1BC6">
      <w:pPr>
        <w:spacing w:after="0" w:line="240" w:lineRule="auto"/>
        <w:ind w:left="1440" w:hanging="1440"/>
      </w:pPr>
    </w:p>
    <w:p w:rsidR="00FA1BC6" w:rsidRDefault="00CA7790" w:rsidP="00FA1BC6">
      <w:pPr>
        <w:spacing w:after="0" w:line="360" w:lineRule="auto"/>
        <w:ind w:left="1440" w:hanging="1440"/>
      </w:pPr>
      <w:r>
        <w:t>U. S. Steel</w:t>
      </w:r>
      <w:r w:rsidR="00FA1BC6">
        <w:t xml:space="preserve"> St. in Support, pp. 3-4.</w:t>
      </w:r>
    </w:p>
    <w:p w:rsidR="00FA1BC6" w:rsidRDefault="00FA1BC6" w:rsidP="00FA1BC6">
      <w:pPr>
        <w:spacing w:after="0" w:line="360" w:lineRule="auto"/>
        <w:ind w:left="1440" w:hanging="1440"/>
      </w:pPr>
    </w:p>
    <w:p w:rsidR="00FA1BC6" w:rsidRDefault="00FA1BC6" w:rsidP="00FA1BC6">
      <w:pPr>
        <w:spacing w:after="0" w:line="360" w:lineRule="auto"/>
      </w:pPr>
      <w:r>
        <w:tab/>
      </w:r>
      <w:r>
        <w:tab/>
      </w:r>
      <w:r w:rsidR="00CA7790">
        <w:t>U. S. Steel</w:t>
      </w:r>
      <w:r>
        <w:t xml:space="preserve"> suggests that approval of the proposed Settlement </w:t>
      </w:r>
      <w:r w:rsidR="00093513">
        <w:t xml:space="preserve">is </w:t>
      </w:r>
      <w:r>
        <w:t xml:space="preserve">warranted as follows: </w:t>
      </w:r>
    </w:p>
    <w:p w:rsidR="00FA1BC6" w:rsidRDefault="00FA1BC6" w:rsidP="00FA1BC6">
      <w:pPr>
        <w:spacing w:after="0" w:line="240" w:lineRule="auto"/>
        <w:ind w:left="1440" w:right="1440"/>
      </w:pPr>
      <w:r>
        <w:t xml:space="preserve">Specifically, the proposed Settlement preserves the rate structure modifications that Duquesne proposed for its Rate Schedule L, which recognize that customers such as </w:t>
      </w:r>
      <w:r w:rsidR="00CA7790">
        <w:t>U. S. Steel</w:t>
      </w:r>
      <w:r>
        <w:t xml:space="preserve"> who take service from Duquesne only at transmission voltage levels should not pay for costs associated with the Company’s sub-transmission distribution facilities</w:t>
      </w:r>
      <w:r w:rsidR="00CA7790">
        <w:t xml:space="preserve">. </w:t>
      </w:r>
      <w:r>
        <w:t xml:space="preserve"> </w:t>
      </w:r>
      <w:r w:rsidR="00CA7790">
        <w:t>T</w:t>
      </w:r>
      <w:r>
        <w:t xml:space="preserve">he Joint </w:t>
      </w:r>
      <w:r w:rsidR="00CA7790">
        <w:t>P</w:t>
      </w:r>
      <w:r>
        <w:t xml:space="preserve">etition also recognizes that large industrial customers on the Company’s Rate Schedule HVPS, including </w:t>
      </w:r>
      <w:r w:rsidR="00CA7790">
        <w:t>U. S. Steel</w:t>
      </w:r>
      <w:r>
        <w:t xml:space="preserve">, have been contributing revenues that have provided Duquesne and the system with </w:t>
      </w:r>
      <w:r w:rsidR="00CA7790">
        <w:t xml:space="preserve">a </w:t>
      </w:r>
      <w:r>
        <w:t xml:space="preserve">substantially high relative rate of return, and thus the Settlement preserves an important </w:t>
      </w:r>
      <w:r w:rsidR="0038322A">
        <w:t>and justified rate decrease for</w:t>
      </w:r>
      <w:r>
        <w:t xml:space="preserve"> these customers.  While </w:t>
      </w:r>
      <w:r w:rsidR="00CA7790">
        <w:t>U. S. Steel</w:t>
      </w:r>
      <w:r>
        <w:t xml:space="preserve"> continues to believe that further movement toward the HVPS class’s actual cost of service is in order, the Joint Petition reflects a meaningful compromise between the various rate classes in th</w:t>
      </w:r>
      <w:r w:rsidR="002E276B">
        <w:t>is</w:t>
      </w:r>
      <w:r>
        <w:t xml:space="preserve"> proceeding toward this direction.</w:t>
      </w:r>
      <w:r w:rsidR="0038322A">
        <w:t xml:space="preserve">  </w:t>
      </w:r>
      <w:r>
        <w:t xml:space="preserve">(Footnote omitted) </w:t>
      </w:r>
      <w:r w:rsidR="0038322A">
        <w:t xml:space="preserve"> </w:t>
      </w:r>
      <w:r>
        <w:t>As such</w:t>
      </w:r>
      <w:r w:rsidR="00CA7790">
        <w:t>,</w:t>
      </w:r>
      <w:r>
        <w:t xml:space="preserve"> the Joint Petition demonstrates important negotiated concession of </w:t>
      </w:r>
      <w:r w:rsidR="00CA7790">
        <w:t>U. S. Steel</w:t>
      </w:r>
      <w:r>
        <w:t>’s litigation position and the litigation position</w:t>
      </w:r>
      <w:r w:rsidR="00CA7790">
        <w:t>s</w:t>
      </w:r>
      <w:r>
        <w:t xml:space="preserve"> of other potentially adverse parties on this issue.</w:t>
      </w:r>
    </w:p>
    <w:p w:rsidR="00FA1BC6" w:rsidRDefault="00FA1BC6" w:rsidP="00FA1BC6">
      <w:pPr>
        <w:spacing w:after="0" w:line="240" w:lineRule="auto"/>
        <w:ind w:left="1440" w:right="1440"/>
      </w:pPr>
    </w:p>
    <w:p w:rsidR="00FA1BC6" w:rsidRDefault="00FA1BC6" w:rsidP="00FA1BC6">
      <w:pPr>
        <w:spacing w:after="0" w:line="240" w:lineRule="auto"/>
        <w:ind w:left="1440" w:right="1440"/>
      </w:pPr>
      <w:r>
        <w:t xml:space="preserve">Accordingly, </w:t>
      </w:r>
      <w:r w:rsidR="00CA7790">
        <w:t>U. S. Steel</w:t>
      </w:r>
      <w:r>
        <w:t xml:space="preserve"> submits that approval of the Joint Petition, without modification, is appropriate and in the public interest.</w:t>
      </w:r>
    </w:p>
    <w:p w:rsidR="00FA1BC6" w:rsidRDefault="00FA1BC6" w:rsidP="00FA1BC6">
      <w:pPr>
        <w:spacing w:after="0" w:line="240" w:lineRule="auto"/>
      </w:pPr>
      <w:r>
        <w:tab/>
      </w:r>
      <w:r>
        <w:tab/>
        <w:t xml:space="preserve"> </w:t>
      </w:r>
      <w:r>
        <w:tab/>
      </w:r>
    </w:p>
    <w:p w:rsidR="00FA1BC6" w:rsidRDefault="00FA1BC6" w:rsidP="00FA1BC6">
      <w:pPr>
        <w:spacing w:after="0" w:line="480" w:lineRule="auto"/>
        <w:ind w:left="1440" w:hanging="1440"/>
      </w:pPr>
      <w:r>
        <w:rPr>
          <w:i/>
        </w:rPr>
        <w:t>Id.</w:t>
      </w:r>
      <w:r>
        <w:t xml:space="preserve"> at 4.</w:t>
      </w:r>
    </w:p>
    <w:p w:rsidR="00FA1BC6" w:rsidRDefault="00FA1BC6" w:rsidP="00FA1BC6">
      <w:pPr>
        <w:spacing w:after="0" w:line="240" w:lineRule="auto"/>
        <w:ind w:left="1440" w:hanging="1440"/>
      </w:pPr>
    </w:p>
    <w:p w:rsidR="004A14CD" w:rsidRDefault="004A14CD">
      <w:r>
        <w:br w:type="page"/>
      </w:r>
    </w:p>
    <w:p w:rsidR="004A14CD" w:rsidRDefault="004A14CD" w:rsidP="004A14CD">
      <w:pPr>
        <w:spacing w:after="0" w:line="240" w:lineRule="auto"/>
        <w:jc w:val="center"/>
        <w:rPr>
          <w:u w:val="single"/>
        </w:rPr>
      </w:pPr>
      <w:r>
        <w:lastRenderedPageBreak/>
        <w:t>VII</w:t>
      </w:r>
      <w:r w:rsidR="004D136E">
        <w:t>.</w:t>
      </w:r>
      <w:r w:rsidR="004D136E">
        <w:tab/>
      </w:r>
      <w:r>
        <w:rPr>
          <w:u w:val="single"/>
        </w:rPr>
        <w:t>DISPOSITION OF THE FORMAL COMPLAINTS OF</w:t>
      </w:r>
    </w:p>
    <w:p w:rsidR="004D136E" w:rsidRDefault="004A14CD" w:rsidP="004A14CD">
      <w:pPr>
        <w:spacing w:after="0" w:line="240" w:lineRule="auto"/>
        <w:jc w:val="center"/>
      </w:pPr>
      <w:r>
        <w:rPr>
          <w:u w:val="single"/>
        </w:rPr>
        <w:t>THE NON-OBJECTING COMPLAINANTS</w:t>
      </w:r>
    </w:p>
    <w:p w:rsidR="004D136E" w:rsidRDefault="004D136E" w:rsidP="004A14CD">
      <w:pPr>
        <w:spacing w:after="0" w:line="360" w:lineRule="auto"/>
        <w:ind w:left="1440" w:hanging="1440"/>
      </w:pPr>
    </w:p>
    <w:p w:rsidR="004D136E" w:rsidRDefault="004D136E" w:rsidP="004A14CD">
      <w:pPr>
        <w:spacing w:after="0" w:line="360" w:lineRule="auto"/>
      </w:pPr>
      <w:r>
        <w:tab/>
      </w:r>
      <w:r>
        <w:tab/>
        <w:t>This section of the Recommended Decision addresses the formal complaints of the Non-Objecting Complainants who did not join in and did not file any objection to the Joint Petition for Approval of Non-Unanimous Settlement.  The Non-Objecting Complainants are as follows:</w:t>
      </w:r>
    </w:p>
    <w:p w:rsidR="004D136E" w:rsidRDefault="004D136E" w:rsidP="004D136E">
      <w:pPr>
        <w:spacing w:after="0"/>
        <w:ind w:left="1440" w:right="720"/>
      </w:pPr>
    </w:p>
    <w:p w:rsidR="004D136E" w:rsidRPr="000721DA" w:rsidRDefault="004D136E" w:rsidP="004D136E">
      <w:pPr>
        <w:spacing w:after="0"/>
        <w:ind w:left="1440" w:right="1440"/>
        <w:rPr>
          <w:szCs w:val="24"/>
        </w:rPr>
      </w:pPr>
      <w:r w:rsidRPr="000721DA">
        <w:rPr>
          <w:szCs w:val="24"/>
        </w:rPr>
        <w:t>Jacquel</w:t>
      </w:r>
      <w:r>
        <w:rPr>
          <w:szCs w:val="24"/>
        </w:rPr>
        <w:t>y</w:t>
      </w:r>
      <w:r w:rsidRPr="000721DA">
        <w:rPr>
          <w:szCs w:val="24"/>
        </w:rPr>
        <w:t>n</w:t>
      </w:r>
      <w:r>
        <w:rPr>
          <w:szCs w:val="24"/>
        </w:rPr>
        <w:t xml:space="preserve"> and Robert Miller who filed a formal complaint at Docket No. </w:t>
      </w:r>
      <w:r w:rsidRPr="000721DA">
        <w:rPr>
          <w:szCs w:val="24"/>
        </w:rPr>
        <w:t>C-2013-2383</w:t>
      </w:r>
      <w:r>
        <w:rPr>
          <w:szCs w:val="24"/>
        </w:rPr>
        <w:t>83</w:t>
      </w:r>
      <w:r w:rsidRPr="000721DA">
        <w:rPr>
          <w:szCs w:val="24"/>
        </w:rPr>
        <w:t>5 on September 18, 2013;</w:t>
      </w:r>
    </w:p>
    <w:p w:rsidR="004D136E" w:rsidRPr="000721DA" w:rsidRDefault="004D136E" w:rsidP="004D136E">
      <w:pPr>
        <w:spacing w:after="0"/>
        <w:ind w:left="1440" w:right="1440"/>
        <w:rPr>
          <w:szCs w:val="24"/>
        </w:rPr>
      </w:pPr>
    </w:p>
    <w:p w:rsidR="004D136E" w:rsidRPr="000721DA" w:rsidRDefault="004D136E" w:rsidP="004D136E">
      <w:pPr>
        <w:spacing w:after="0"/>
        <w:ind w:left="1440" w:right="1440"/>
        <w:rPr>
          <w:szCs w:val="24"/>
        </w:rPr>
      </w:pPr>
      <w:r w:rsidRPr="000721DA">
        <w:rPr>
          <w:szCs w:val="24"/>
        </w:rPr>
        <w:t xml:space="preserve">Gwendolyn L. LeVert </w:t>
      </w:r>
      <w:r>
        <w:rPr>
          <w:szCs w:val="24"/>
        </w:rPr>
        <w:t xml:space="preserve">who filed a formal complaint </w:t>
      </w:r>
      <w:r w:rsidRPr="000721DA">
        <w:rPr>
          <w:szCs w:val="24"/>
        </w:rPr>
        <w:t>at</w:t>
      </w:r>
      <w:r>
        <w:rPr>
          <w:szCs w:val="24"/>
        </w:rPr>
        <w:t xml:space="preserve"> </w:t>
      </w:r>
      <w:r w:rsidR="00A249A0">
        <w:rPr>
          <w:szCs w:val="24"/>
        </w:rPr>
        <w:t>Docket</w:t>
      </w:r>
      <w:r w:rsidRPr="000721DA">
        <w:rPr>
          <w:szCs w:val="24"/>
        </w:rPr>
        <w:t xml:space="preserve"> No. C-2013-2383980 on September 19, 2013;</w:t>
      </w:r>
    </w:p>
    <w:p w:rsidR="004D136E" w:rsidRPr="000721DA" w:rsidRDefault="004D136E" w:rsidP="004D136E">
      <w:pPr>
        <w:spacing w:after="0"/>
        <w:ind w:left="1440" w:right="1440"/>
        <w:rPr>
          <w:szCs w:val="24"/>
        </w:rPr>
      </w:pPr>
    </w:p>
    <w:p w:rsidR="004D136E" w:rsidRPr="000721DA" w:rsidRDefault="004D136E" w:rsidP="004D136E">
      <w:pPr>
        <w:spacing w:after="0"/>
        <w:ind w:left="1440" w:right="1440"/>
        <w:rPr>
          <w:szCs w:val="24"/>
        </w:rPr>
      </w:pPr>
      <w:r w:rsidRPr="000721DA">
        <w:rPr>
          <w:szCs w:val="24"/>
        </w:rPr>
        <w:t xml:space="preserve">Aimee-Marie Dorsten </w:t>
      </w:r>
      <w:r>
        <w:rPr>
          <w:szCs w:val="24"/>
        </w:rPr>
        <w:t xml:space="preserve">who filed a formal complaint </w:t>
      </w:r>
      <w:r w:rsidRPr="000721DA">
        <w:rPr>
          <w:szCs w:val="24"/>
        </w:rPr>
        <w:t xml:space="preserve">at </w:t>
      </w:r>
      <w:r>
        <w:rPr>
          <w:szCs w:val="24"/>
        </w:rPr>
        <w:t xml:space="preserve">Docket </w:t>
      </w:r>
      <w:r w:rsidRPr="000721DA">
        <w:rPr>
          <w:szCs w:val="24"/>
        </w:rPr>
        <w:t xml:space="preserve">No. </w:t>
      </w:r>
      <w:r>
        <w:rPr>
          <w:szCs w:val="24"/>
        </w:rPr>
        <w:t>C-</w:t>
      </w:r>
      <w:r w:rsidRPr="000721DA">
        <w:rPr>
          <w:szCs w:val="24"/>
        </w:rPr>
        <w:t>2013-2386037 on September 30, 2013;</w:t>
      </w:r>
      <w:r>
        <w:rPr>
          <w:szCs w:val="24"/>
        </w:rPr>
        <w:t xml:space="preserve"> and</w:t>
      </w:r>
    </w:p>
    <w:p w:rsidR="004D136E" w:rsidRDefault="004D136E" w:rsidP="004D136E">
      <w:pPr>
        <w:spacing w:after="0"/>
        <w:ind w:left="1440" w:right="1440"/>
        <w:rPr>
          <w:szCs w:val="24"/>
        </w:rPr>
      </w:pPr>
    </w:p>
    <w:p w:rsidR="004D136E" w:rsidRPr="000721DA" w:rsidRDefault="004D136E" w:rsidP="004D136E">
      <w:pPr>
        <w:spacing w:after="0"/>
        <w:ind w:left="1440" w:right="1440"/>
        <w:rPr>
          <w:szCs w:val="24"/>
        </w:rPr>
      </w:pPr>
      <w:r w:rsidRPr="000721DA">
        <w:rPr>
          <w:szCs w:val="24"/>
        </w:rPr>
        <w:t xml:space="preserve">Connie Schiavo </w:t>
      </w:r>
      <w:r>
        <w:rPr>
          <w:szCs w:val="24"/>
        </w:rPr>
        <w:t xml:space="preserve">who filed a formal complaint </w:t>
      </w:r>
      <w:r w:rsidRPr="000721DA">
        <w:rPr>
          <w:szCs w:val="24"/>
        </w:rPr>
        <w:t xml:space="preserve">at </w:t>
      </w:r>
      <w:r w:rsidR="00A249A0">
        <w:rPr>
          <w:szCs w:val="24"/>
        </w:rPr>
        <w:t xml:space="preserve">Docket </w:t>
      </w:r>
      <w:r w:rsidRPr="000721DA">
        <w:rPr>
          <w:szCs w:val="24"/>
        </w:rPr>
        <w:t xml:space="preserve">No. </w:t>
      </w:r>
      <w:r>
        <w:rPr>
          <w:szCs w:val="24"/>
        </w:rPr>
        <w:t>C</w:t>
      </w:r>
      <w:r w:rsidR="00A249A0">
        <w:rPr>
          <w:szCs w:val="24"/>
        </w:rPr>
        <w:noBreakHyphen/>
      </w:r>
      <w:r w:rsidRPr="000721DA">
        <w:rPr>
          <w:szCs w:val="24"/>
        </w:rPr>
        <w:t>2013-2386284 on October 2, 2013</w:t>
      </w:r>
      <w:r>
        <w:rPr>
          <w:szCs w:val="24"/>
        </w:rPr>
        <w:t xml:space="preserve">. </w:t>
      </w:r>
    </w:p>
    <w:p w:rsidR="004D136E" w:rsidRDefault="004D136E" w:rsidP="004D136E">
      <w:pPr>
        <w:spacing w:after="0" w:line="360" w:lineRule="auto"/>
        <w:ind w:left="1440" w:right="720"/>
        <w:rPr>
          <w:szCs w:val="24"/>
        </w:rPr>
      </w:pPr>
    </w:p>
    <w:p w:rsidR="004D136E" w:rsidRDefault="004D136E" w:rsidP="004D136E">
      <w:pPr>
        <w:spacing w:after="0" w:line="360" w:lineRule="auto"/>
        <w:rPr>
          <w:rFonts w:eastAsia="Times New Roman"/>
          <w:szCs w:val="24"/>
        </w:rPr>
      </w:pPr>
      <w:r>
        <w:rPr>
          <w:rFonts w:eastAsia="Times New Roman"/>
          <w:szCs w:val="24"/>
        </w:rPr>
        <w:tab/>
      </w:r>
      <w:r>
        <w:rPr>
          <w:rFonts w:eastAsia="Times New Roman"/>
          <w:szCs w:val="24"/>
        </w:rPr>
        <w:tab/>
      </w:r>
      <w:r w:rsidRPr="00126ECB">
        <w:rPr>
          <w:rFonts w:eastAsia="Times New Roman"/>
          <w:szCs w:val="24"/>
        </w:rPr>
        <w:t xml:space="preserve">On January 16, 2014, </w:t>
      </w:r>
      <w:r>
        <w:rPr>
          <w:rFonts w:eastAsia="Times New Roman"/>
          <w:szCs w:val="24"/>
        </w:rPr>
        <w:t xml:space="preserve">counsel for Duquesne Light filed a Certificate of Service with the Commission’s Secretary’s Bureau certifying that a copy of the </w:t>
      </w:r>
      <w:r w:rsidRPr="00126ECB">
        <w:rPr>
          <w:rFonts w:eastAsia="Times New Roman"/>
          <w:szCs w:val="24"/>
        </w:rPr>
        <w:t xml:space="preserve">Joint Petition for Approval of Non-Unanimous Settlement together with Appendices A through J was </w:t>
      </w:r>
      <w:r>
        <w:rPr>
          <w:rFonts w:eastAsia="Times New Roman"/>
          <w:szCs w:val="24"/>
        </w:rPr>
        <w:t>serve</w:t>
      </w:r>
      <w:r w:rsidR="00CB4ADD">
        <w:rPr>
          <w:rFonts w:eastAsia="Times New Roman"/>
          <w:szCs w:val="24"/>
        </w:rPr>
        <w:t>d</w:t>
      </w:r>
      <w:r>
        <w:rPr>
          <w:rFonts w:eastAsia="Times New Roman"/>
          <w:szCs w:val="24"/>
        </w:rPr>
        <w:t xml:space="preserve"> upon all parties to this proceeding.  </w:t>
      </w:r>
      <w:r w:rsidRPr="00126ECB">
        <w:rPr>
          <w:rFonts w:eastAsia="Times New Roman"/>
          <w:szCs w:val="24"/>
        </w:rPr>
        <w:t xml:space="preserve">On January 23, 2014, the ALJ issued a Third Interim Order Establishing Deadline for Filing Objections and Responses to Joint Petition for Approval of Non-Unanimous Settlement.  Under the Third Interim Order written objections to the Joint Petition were due by January 30, 2014. </w:t>
      </w:r>
      <w:r>
        <w:rPr>
          <w:rFonts w:eastAsia="Times New Roman"/>
          <w:szCs w:val="24"/>
        </w:rPr>
        <w:t xml:space="preserve"> By providing the Non-Objecting Complainants an opportunity to be heard, their due process right</w:t>
      </w:r>
      <w:r w:rsidR="000037FC">
        <w:rPr>
          <w:rFonts w:eastAsia="Times New Roman"/>
          <w:szCs w:val="24"/>
        </w:rPr>
        <w:t xml:space="preserve">s have been fully protected.  </w:t>
      </w:r>
      <w:r w:rsidRPr="00E14113">
        <w:rPr>
          <w:i/>
          <w:szCs w:val="24"/>
        </w:rPr>
        <w:t xml:space="preserve">Schneider v. </w:t>
      </w:r>
      <w:r w:rsidR="000037FC">
        <w:rPr>
          <w:i/>
          <w:szCs w:val="24"/>
        </w:rPr>
        <w:t xml:space="preserve">Pa. </w:t>
      </w:r>
      <w:r w:rsidRPr="00E14113">
        <w:rPr>
          <w:i/>
          <w:szCs w:val="24"/>
        </w:rPr>
        <w:t>Pub</w:t>
      </w:r>
      <w:r w:rsidR="000037FC">
        <w:rPr>
          <w:i/>
          <w:szCs w:val="24"/>
        </w:rPr>
        <w:t>.</w:t>
      </w:r>
      <w:r w:rsidRPr="00E14113">
        <w:rPr>
          <w:i/>
          <w:szCs w:val="24"/>
        </w:rPr>
        <w:t xml:space="preserve"> Util</w:t>
      </w:r>
      <w:r w:rsidR="000037FC">
        <w:rPr>
          <w:i/>
          <w:szCs w:val="24"/>
        </w:rPr>
        <w:t>.</w:t>
      </w:r>
      <w:r w:rsidRPr="00E14113">
        <w:rPr>
          <w:i/>
          <w:szCs w:val="24"/>
        </w:rPr>
        <w:t xml:space="preserve"> Comm’n</w:t>
      </w:r>
      <w:r w:rsidRPr="00E14113">
        <w:rPr>
          <w:szCs w:val="24"/>
        </w:rPr>
        <w:t>, 83 Pa</w:t>
      </w:r>
      <w:r w:rsidR="00CB4ADD">
        <w:rPr>
          <w:szCs w:val="24"/>
        </w:rPr>
        <w:t>.</w:t>
      </w:r>
      <w:r w:rsidRPr="00E14113">
        <w:rPr>
          <w:szCs w:val="24"/>
        </w:rPr>
        <w:t xml:space="preserve">Cmwlth. 306, 479 A. 2d 10 (1984).  </w:t>
      </w:r>
      <w:r>
        <w:rPr>
          <w:rFonts w:eastAsia="Times New Roman"/>
          <w:szCs w:val="24"/>
        </w:rPr>
        <w:t>The Non-Objecting Complainants did not file any written objections or responses to the Joint Petition.</w:t>
      </w:r>
    </w:p>
    <w:p w:rsidR="004D136E" w:rsidRDefault="004D136E" w:rsidP="004D136E">
      <w:pPr>
        <w:spacing w:after="0" w:line="360" w:lineRule="auto"/>
        <w:rPr>
          <w:rFonts w:eastAsia="Times New Roman"/>
          <w:szCs w:val="24"/>
        </w:rPr>
      </w:pPr>
    </w:p>
    <w:p w:rsidR="00FA1BC6" w:rsidRDefault="004D136E" w:rsidP="00B6096F">
      <w:pPr>
        <w:spacing w:after="0" w:line="360" w:lineRule="auto"/>
        <w:rPr>
          <w:szCs w:val="24"/>
        </w:rPr>
      </w:pPr>
      <w:r w:rsidRPr="00E14113">
        <w:rPr>
          <w:szCs w:val="24"/>
        </w:rPr>
        <w:tab/>
      </w:r>
      <w:r w:rsidRPr="00E14113">
        <w:rPr>
          <w:szCs w:val="24"/>
        </w:rPr>
        <w:tab/>
        <w:t>Section 703</w:t>
      </w:r>
      <w:r>
        <w:rPr>
          <w:szCs w:val="24"/>
        </w:rPr>
        <w:t xml:space="preserve">(b) of the Code, 66 Pa.C.S.A. § </w:t>
      </w:r>
      <w:r w:rsidRPr="00E14113">
        <w:rPr>
          <w:szCs w:val="24"/>
        </w:rPr>
        <w:t xml:space="preserve">703, provides for the dismissal of any complaint without a hearing, if in the Commission’s opinion, a hearing is not necessary in the public interest.  Here, </w:t>
      </w:r>
      <w:r>
        <w:rPr>
          <w:szCs w:val="24"/>
        </w:rPr>
        <w:t>the Non-Objecting Complain</w:t>
      </w:r>
      <w:r w:rsidR="00AC2BC3">
        <w:rPr>
          <w:szCs w:val="24"/>
        </w:rPr>
        <w:t>an</w:t>
      </w:r>
      <w:r>
        <w:rPr>
          <w:szCs w:val="24"/>
        </w:rPr>
        <w:t xml:space="preserve">ts </w:t>
      </w:r>
      <w:r w:rsidRPr="00E14113">
        <w:rPr>
          <w:szCs w:val="24"/>
        </w:rPr>
        <w:t xml:space="preserve">failed to </w:t>
      </w:r>
      <w:r>
        <w:rPr>
          <w:szCs w:val="24"/>
        </w:rPr>
        <w:t>file objections</w:t>
      </w:r>
      <w:r w:rsidRPr="00E14113">
        <w:rPr>
          <w:szCs w:val="24"/>
        </w:rPr>
        <w:t xml:space="preserve"> to the proposed </w:t>
      </w:r>
      <w:r w:rsidRPr="00E14113">
        <w:rPr>
          <w:szCs w:val="24"/>
        </w:rPr>
        <w:lastRenderedPageBreak/>
        <w:t xml:space="preserve">Settlement Petition by </w:t>
      </w:r>
      <w:r>
        <w:rPr>
          <w:szCs w:val="24"/>
        </w:rPr>
        <w:t>January 30, 3014</w:t>
      </w:r>
      <w:r w:rsidRPr="00E14113">
        <w:rPr>
          <w:szCs w:val="24"/>
        </w:rPr>
        <w:t xml:space="preserve">, as instructed by the </w:t>
      </w:r>
      <w:r>
        <w:rPr>
          <w:szCs w:val="24"/>
        </w:rPr>
        <w:t xml:space="preserve">Third </w:t>
      </w:r>
      <w:r w:rsidRPr="00E14113">
        <w:rPr>
          <w:szCs w:val="24"/>
        </w:rPr>
        <w:t xml:space="preserve">Interim Order dated </w:t>
      </w:r>
      <w:r>
        <w:rPr>
          <w:szCs w:val="24"/>
        </w:rPr>
        <w:t>January 23</w:t>
      </w:r>
      <w:r w:rsidRPr="00E14113">
        <w:rPr>
          <w:szCs w:val="24"/>
        </w:rPr>
        <w:t>, 201</w:t>
      </w:r>
      <w:r>
        <w:rPr>
          <w:szCs w:val="24"/>
        </w:rPr>
        <w:t>4</w:t>
      </w:r>
      <w:r w:rsidRPr="00E14113">
        <w:rPr>
          <w:szCs w:val="24"/>
        </w:rPr>
        <w:t>.  Therefore</w:t>
      </w:r>
      <w:r>
        <w:rPr>
          <w:szCs w:val="24"/>
        </w:rPr>
        <w:t xml:space="preserve"> </w:t>
      </w:r>
      <w:r w:rsidRPr="00E14113">
        <w:rPr>
          <w:szCs w:val="24"/>
        </w:rPr>
        <w:t>hearing</w:t>
      </w:r>
      <w:r>
        <w:rPr>
          <w:szCs w:val="24"/>
        </w:rPr>
        <w:t>s</w:t>
      </w:r>
      <w:r w:rsidRPr="00E14113">
        <w:rPr>
          <w:szCs w:val="24"/>
        </w:rPr>
        <w:t xml:space="preserve"> on </w:t>
      </w:r>
      <w:r>
        <w:rPr>
          <w:szCs w:val="24"/>
        </w:rPr>
        <w:t>their</w:t>
      </w:r>
      <w:r w:rsidRPr="00E14113">
        <w:rPr>
          <w:szCs w:val="24"/>
        </w:rPr>
        <w:t xml:space="preserve"> formal complaint</w:t>
      </w:r>
      <w:r>
        <w:rPr>
          <w:szCs w:val="24"/>
        </w:rPr>
        <w:t>s</w:t>
      </w:r>
      <w:r w:rsidRPr="00E14113">
        <w:rPr>
          <w:szCs w:val="24"/>
        </w:rPr>
        <w:t xml:space="preserve"> </w:t>
      </w:r>
      <w:r>
        <w:rPr>
          <w:szCs w:val="24"/>
        </w:rPr>
        <w:t>are</w:t>
      </w:r>
      <w:r w:rsidRPr="00E14113">
        <w:rPr>
          <w:szCs w:val="24"/>
        </w:rPr>
        <w:t xml:space="preserve"> not necessary in the public interest. </w:t>
      </w:r>
    </w:p>
    <w:p w:rsidR="005727E4" w:rsidRDefault="005727E4" w:rsidP="005727E4">
      <w:pPr>
        <w:spacing w:line="360" w:lineRule="auto"/>
        <w:rPr>
          <w:szCs w:val="24"/>
        </w:rPr>
      </w:pPr>
    </w:p>
    <w:p w:rsidR="005727E4" w:rsidRDefault="005727E4" w:rsidP="005727E4">
      <w:pPr>
        <w:spacing w:line="360" w:lineRule="auto"/>
        <w:ind w:firstLine="1440"/>
        <w:rPr>
          <w:szCs w:val="24"/>
        </w:rPr>
      </w:pPr>
      <w:r>
        <w:rPr>
          <w:szCs w:val="24"/>
        </w:rPr>
        <w:t xml:space="preserve">Furthermore, in view of the fact that OCA and OSBA are signatories to the Settlement, their complaints filed respectively at Docket Nos. C-2013-2379084 and C-2013-2380474 may </w:t>
      </w:r>
      <w:r w:rsidR="00BF380F">
        <w:rPr>
          <w:szCs w:val="24"/>
        </w:rPr>
        <w:t>now</w:t>
      </w:r>
      <w:r>
        <w:rPr>
          <w:szCs w:val="24"/>
        </w:rPr>
        <w:t xml:space="preserve"> be deemed satisfied.</w:t>
      </w:r>
    </w:p>
    <w:p w:rsidR="00B6096F" w:rsidRDefault="00B6096F" w:rsidP="00B6096F">
      <w:pPr>
        <w:spacing w:after="0" w:line="360" w:lineRule="auto"/>
        <w:rPr>
          <w:szCs w:val="24"/>
        </w:rPr>
      </w:pPr>
    </w:p>
    <w:p w:rsidR="00B6096F" w:rsidRDefault="00B6096F" w:rsidP="00B6096F">
      <w:pPr>
        <w:spacing w:after="0" w:line="360" w:lineRule="auto"/>
        <w:jc w:val="center"/>
      </w:pPr>
      <w:r>
        <w:t>VIII.</w:t>
      </w:r>
      <w:r>
        <w:tab/>
      </w:r>
      <w:r w:rsidRPr="008E791F">
        <w:rPr>
          <w:u w:val="single"/>
        </w:rPr>
        <w:t>RECOMMENDATION ON NON-UNANIMOUS SETTLEMENT</w:t>
      </w:r>
    </w:p>
    <w:p w:rsidR="00B6096F" w:rsidRPr="00A638AB" w:rsidRDefault="00B6096F" w:rsidP="00B6096F">
      <w:pPr>
        <w:autoSpaceDE w:val="0"/>
        <w:autoSpaceDN w:val="0"/>
        <w:spacing w:after="0" w:line="360" w:lineRule="auto"/>
        <w:rPr>
          <w:rFonts w:eastAsia="Times New Roman"/>
          <w:szCs w:val="24"/>
          <w:u w:val="single"/>
        </w:rPr>
      </w:pPr>
    </w:p>
    <w:p w:rsidR="00B6096F" w:rsidRDefault="00B6096F" w:rsidP="00B6096F">
      <w:pPr>
        <w:suppressAutoHyphens/>
        <w:autoSpaceDE w:val="0"/>
        <w:autoSpaceDN w:val="0"/>
        <w:spacing w:after="0" w:line="360" w:lineRule="auto"/>
      </w:pPr>
      <w:r w:rsidRPr="00A638AB">
        <w:rPr>
          <w:rFonts w:eastAsia="Times New Roman"/>
          <w:szCs w:val="24"/>
        </w:rPr>
        <w:tab/>
      </w:r>
      <w:r w:rsidRPr="00A638AB">
        <w:rPr>
          <w:rFonts w:eastAsia="Times New Roman"/>
          <w:szCs w:val="24"/>
        </w:rPr>
        <w:tab/>
      </w:r>
      <w:r>
        <w:rPr>
          <w:rFonts w:eastAsia="Times New Roman"/>
          <w:szCs w:val="24"/>
        </w:rPr>
        <w:t>T</w:t>
      </w:r>
      <w:r w:rsidRPr="00A638AB">
        <w:rPr>
          <w:rFonts w:eastAsia="Times New Roman"/>
          <w:szCs w:val="24"/>
        </w:rPr>
        <w:t xml:space="preserve">he courts recognize a public utility is entitled to an opportunity to earn a fair rate of return on its property dedicated to public service, </w:t>
      </w:r>
      <w:r w:rsidRPr="00A638AB">
        <w:rPr>
          <w:rFonts w:eastAsia="Times New Roman"/>
          <w:i/>
          <w:szCs w:val="24"/>
        </w:rPr>
        <w:t>P</w:t>
      </w:r>
      <w:r>
        <w:rPr>
          <w:rFonts w:eastAsia="Times New Roman"/>
          <w:i/>
          <w:szCs w:val="24"/>
        </w:rPr>
        <w:t>a. Pub. Util. Comm’n</w:t>
      </w:r>
      <w:r w:rsidRPr="00A638AB">
        <w:rPr>
          <w:rFonts w:eastAsia="Times New Roman"/>
          <w:i/>
          <w:szCs w:val="24"/>
        </w:rPr>
        <w:t xml:space="preserve"> v. Pa. Gas &amp; Water Co., </w:t>
      </w:r>
      <w:r w:rsidRPr="00A638AB">
        <w:rPr>
          <w:rFonts w:eastAsia="Times New Roman"/>
          <w:szCs w:val="24"/>
        </w:rPr>
        <w:t>492 Pa. 326, 333, 424 A.2d 1213, 1217 (1980)</w:t>
      </w:r>
      <w:r>
        <w:rPr>
          <w:rFonts w:eastAsia="Times New Roman"/>
          <w:szCs w:val="24"/>
        </w:rPr>
        <w:t>; however,</w:t>
      </w:r>
      <w:r w:rsidRPr="00A638AB">
        <w:rPr>
          <w:rFonts w:eastAsia="Times New Roman"/>
          <w:szCs w:val="24"/>
        </w:rPr>
        <w:t xml:space="preserve"> the utility company has the concomitant burden of proving it is entitled to the rate increase it seeks.  </w:t>
      </w:r>
      <w:r w:rsidRPr="00A638AB">
        <w:rPr>
          <w:rFonts w:eastAsia="Times New Roman"/>
          <w:i/>
          <w:spacing w:val="-3"/>
          <w:szCs w:val="24"/>
        </w:rPr>
        <w:t xml:space="preserve">Equitable Gas Co. v. </w:t>
      </w:r>
      <w:r w:rsidRPr="00A638AB">
        <w:rPr>
          <w:rFonts w:eastAsia="Times New Roman"/>
          <w:i/>
          <w:szCs w:val="24"/>
        </w:rPr>
        <w:t>P</w:t>
      </w:r>
      <w:r>
        <w:rPr>
          <w:rFonts w:eastAsia="Times New Roman"/>
          <w:i/>
          <w:szCs w:val="24"/>
        </w:rPr>
        <w:t>a. Pub. Util. Comm’n</w:t>
      </w:r>
      <w:r>
        <w:rPr>
          <w:rFonts w:eastAsia="Times New Roman"/>
          <w:spacing w:val="-3"/>
          <w:szCs w:val="24"/>
        </w:rPr>
        <w:t>, 45 Pa.</w:t>
      </w:r>
      <w:r w:rsidRPr="00A638AB">
        <w:rPr>
          <w:rFonts w:eastAsia="Times New Roman"/>
          <w:spacing w:val="-3"/>
          <w:szCs w:val="24"/>
        </w:rPr>
        <w:t xml:space="preserve">Commw. 610, 405 A.2d 1055 (1979); and </w:t>
      </w:r>
      <w:r w:rsidRPr="00A638AB">
        <w:rPr>
          <w:rFonts w:eastAsia="Times New Roman"/>
          <w:bCs/>
          <w:i/>
          <w:szCs w:val="24"/>
        </w:rPr>
        <w:t xml:space="preserve">Barasch v. </w:t>
      </w:r>
      <w:r w:rsidRPr="00A638AB">
        <w:rPr>
          <w:rFonts w:eastAsia="Times New Roman"/>
          <w:i/>
          <w:szCs w:val="24"/>
        </w:rPr>
        <w:t>P</w:t>
      </w:r>
      <w:r>
        <w:rPr>
          <w:rFonts w:eastAsia="Times New Roman"/>
          <w:i/>
          <w:szCs w:val="24"/>
        </w:rPr>
        <w:t>a. Pub. Util. Comm’n</w:t>
      </w:r>
      <w:r w:rsidRPr="00A638AB">
        <w:rPr>
          <w:rFonts w:eastAsia="Times New Roman"/>
          <w:bCs/>
          <w:szCs w:val="24"/>
        </w:rPr>
        <w:t xml:space="preserve">, 516 Pa. 142, </w:t>
      </w:r>
      <w:r w:rsidRPr="00A638AB">
        <w:rPr>
          <w:rFonts w:eastAsia="Times New Roman"/>
          <w:szCs w:val="24"/>
        </w:rPr>
        <w:t>532 A.2d 325</w:t>
      </w:r>
      <w:r w:rsidRPr="00A638AB">
        <w:rPr>
          <w:rFonts w:eastAsia="Times New Roman"/>
          <w:bCs/>
          <w:szCs w:val="24"/>
        </w:rPr>
        <w:t> (1987)</w:t>
      </w:r>
      <w:r w:rsidRPr="00A638AB">
        <w:rPr>
          <w:rFonts w:eastAsia="Times New Roman"/>
          <w:spacing w:val="-3"/>
          <w:szCs w:val="24"/>
        </w:rPr>
        <w:t>.</w:t>
      </w:r>
      <w:r>
        <w:rPr>
          <w:rFonts w:eastAsia="Times New Roman"/>
          <w:spacing w:val="-3"/>
          <w:szCs w:val="24"/>
        </w:rPr>
        <w:t xml:space="preserve">  Further, in </w:t>
      </w:r>
      <w:r>
        <w:t xml:space="preserve">examining a rate filing, the Commission is bound by Section 1301 of the Public Utility Code (Code), 66 Pa.C.S. § 1301 which requires every rate made, demanded or received by a public utility be just and reasonable and in conformity with the regulations and orders of the Commission. </w:t>
      </w:r>
    </w:p>
    <w:p w:rsidR="00B6096F" w:rsidRDefault="00B6096F" w:rsidP="00B6096F">
      <w:pPr>
        <w:suppressAutoHyphens/>
        <w:autoSpaceDE w:val="0"/>
        <w:autoSpaceDN w:val="0"/>
        <w:spacing w:after="0" w:line="360" w:lineRule="auto"/>
      </w:pPr>
    </w:p>
    <w:p w:rsidR="00B6096F" w:rsidRDefault="00B6096F" w:rsidP="00B6096F">
      <w:pPr>
        <w:spacing w:after="0" w:line="360" w:lineRule="auto"/>
        <w:rPr>
          <w:rFonts w:eastAsia="Times New Roman"/>
          <w:szCs w:val="24"/>
        </w:rPr>
      </w:pPr>
      <w:r>
        <w:tab/>
      </w:r>
      <w:r>
        <w:tab/>
      </w:r>
      <w:r w:rsidRPr="00C50765">
        <w:rPr>
          <w:rFonts w:eastAsia="Times New Roman"/>
          <w:spacing w:val="-3"/>
          <w:szCs w:val="24"/>
        </w:rPr>
        <w:t>While the Commission has wide discretion in establishing a fair rate of return for a utility, t</w:t>
      </w:r>
      <w:r w:rsidRPr="00C50765">
        <w:rPr>
          <w:rFonts w:eastAsia="Times New Roman"/>
          <w:szCs w:val="24"/>
        </w:rPr>
        <w:t>he Commission also encourages parties in contested on-the-record proceeding</w:t>
      </w:r>
      <w:r>
        <w:rPr>
          <w:rFonts w:eastAsia="Times New Roman"/>
          <w:szCs w:val="24"/>
        </w:rPr>
        <w:t>s to settle cases.  See, 52 Pa.</w:t>
      </w:r>
      <w:r w:rsidRPr="00C50765">
        <w:rPr>
          <w:rFonts w:eastAsia="Times New Roman"/>
          <w:szCs w:val="24"/>
        </w:rPr>
        <w:t>Code §</w:t>
      </w:r>
      <w:r>
        <w:rPr>
          <w:rFonts w:eastAsia="Times New Roman"/>
          <w:szCs w:val="24"/>
        </w:rPr>
        <w:t xml:space="preserve"> </w:t>
      </w:r>
      <w:r w:rsidRPr="00C50765">
        <w:rPr>
          <w:rFonts w:eastAsia="Times New Roman"/>
          <w:szCs w:val="24"/>
        </w:rPr>
        <w:t>5.231(a).  Settlements eliminate or significantly reduce the time, effort, and expense of litigating a proceeding to its final conclusion, which might include review of the Commission’s decision by the Pennsylvania appellate courts.  Such savings directly benefit the parties to a proceeding, however, these savings also benefit the Commission and all ratepayers of the utility, who otherwise may have to bear the financial burden such litigation necessarily entails.</w:t>
      </w:r>
    </w:p>
    <w:p w:rsidR="00B6096F" w:rsidRDefault="00B6096F" w:rsidP="00B6096F">
      <w:pPr>
        <w:spacing w:after="0" w:line="360" w:lineRule="auto"/>
        <w:rPr>
          <w:rFonts w:eastAsia="Times New Roman"/>
          <w:szCs w:val="24"/>
        </w:rPr>
      </w:pPr>
    </w:p>
    <w:p w:rsidR="00B6096F" w:rsidRDefault="00B6096F" w:rsidP="00B6096F">
      <w:pPr>
        <w:suppressAutoHyphens/>
        <w:autoSpaceDE w:val="0"/>
        <w:autoSpaceDN w:val="0"/>
        <w:spacing w:after="0" w:line="360" w:lineRule="auto"/>
      </w:pPr>
      <w:r>
        <w:tab/>
      </w:r>
      <w:r>
        <w:tab/>
        <w:t>Except for NRG Companies’ opposition</w:t>
      </w:r>
      <w:r w:rsidR="004A44F9">
        <w:t xml:space="preserve"> because of the omission of the Rider No. 18 issues from the Settlement,</w:t>
      </w:r>
      <w:r>
        <w:t xml:space="preserve"> the Non-Unanimous Settlement is the result of compromise.  The </w:t>
      </w:r>
      <w:r>
        <w:lastRenderedPageBreak/>
        <w:t>Settling Parties have analyzed Duquesne Light’s filing and determined that the stipulated revenue increase of $48 million, which is a scale back of 37% from the original request of $76.277 million, is in the public interest.  As the Settling Parties concede</w:t>
      </w:r>
      <w:r w:rsidR="00AC2BC3">
        <w:t>,</w:t>
      </w:r>
      <w:r>
        <w:t xml:space="preserve"> this is a black box settlement as to the revenue requirement.  In other words, the Settling Parties have not negotiated each and every revenue line item.  Instead they agreed upon a final revenue amount based upon their respective analysis of the rate filing and supporting documentation.  Additionally the Settling Parties contend the evidentiary records supports the agreed upon revenue increase and is within the range of likely outcomes in the event of full litigation of the revenue requirement.   U</w:t>
      </w:r>
      <w:r w:rsidRPr="007279D2">
        <w:t xml:space="preserve">nless specifically addressed, the Settlement does not reflect agreement upon </w:t>
      </w:r>
      <w:r>
        <w:t>each and every issue that arose during this proceeding.</w:t>
      </w:r>
    </w:p>
    <w:p w:rsidR="00B6096F" w:rsidRDefault="00B6096F" w:rsidP="00B6096F">
      <w:pPr>
        <w:suppressAutoHyphens/>
        <w:autoSpaceDE w:val="0"/>
        <w:autoSpaceDN w:val="0"/>
        <w:spacing w:after="0" w:line="360" w:lineRule="auto"/>
      </w:pPr>
    </w:p>
    <w:p w:rsidR="00B6096F" w:rsidRDefault="00B6096F" w:rsidP="00B6096F">
      <w:pPr>
        <w:suppressAutoHyphens/>
        <w:autoSpaceDE w:val="0"/>
        <w:autoSpaceDN w:val="0"/>
        <w:spacing w:after="0" w:line="360" w:lineRule="auto"/>
      </w:pPr>
      <w:r>
        <w:tab/>
      </w:r>
      <w:r>
        <w:tab/>
        <w:t xml:space="preserve">The terms of the Settlement are specific as to the need for a revenue increase concerning vegetation management, cyber security, ongoing pension contributions, OPEBs (Other Post-Employment Benefits), vegetation management expense, smart meter provisions, and the normalization treatment of the Company’s IRS repair allowance.  The Settlement also includes specific provisions concerning Duquesne Light’s implementation of a DSIC upon authorization by the Commission; refreshment of the Company’s Red Flags Plan; an increase in the maximum CAP credits; an increase of LIURP visits; elimination of Social Security numbers as a prerequisite for CAP enrollment; and implementation of a LED </w:t>
      </w:r>
      <w:r w:rsidR="009D3543">
        <w:t>s</w:t>
      </w:r>
      <w:r>
        <w:t xml:space="preserve">treet </w:t>
      </w:r>
      <w:r w:rsidR="009D3543">
        <w:t>l</w:t>
      </w:r>
      <w:r>
        <w:t xml:space="preserve">ight </w:t>
      </w:r>
      <w:r w:rsidR="009D3543">
        <w:t>p</w:t>
      </w:r>
      <w:r>
        <w:t>ilot program.</w:t>
      </w:r>
    </w:p>
    <w:p w:rsidR="00B6096F" w:rsidRDefault="00B6096F" w:rsidP="00B6096F">
      <w:pPr>
        <w:suppressAutoHyphens/>
        <w:autoSpaceDE w:val="0"/>
        <w:autoSpaceDN w:val="0"/>
        <w:spacing w:after="0" w:line="360" w:lineRule="auto"/>
      </w:pPr>
    </w:p>
    <w:p w:rsidR="00B6096F" w:rsidRDefault="00B6096F" w:rsidP="00B6096F">
      <w:pPr>
        <w:suppressAutoHyphens/>
        <w:autoSpaceDE w:val="0"/>
        <w:autoSpaceDN w:val="0"/>
        <w:spacing w:after="0" w:line="360" w:lineRule="auto"/>
      </w:pPr>
      <w:r>
        <w:tab/>
      </w:r>
      <w:r>
        <w:tab/>
        <w:t xml:space="preserve"> The revenue allocation and rate design were achieved through compromise.  As Duquesne Light noted, “Despite all these differences among the parties, all of the parties that presented testimony on revenue allocation and rate design issues were able to put aside their differences and resolve all of their issues.”  Duquesne Light St. in Support, p. 16.  The Settling Parties agree that the revenue allocation is within the range proposed by the parties.  Duquesne Light’s proposed revenue allocation and the Settling Parties settlement allocation are compared in the chart below. </w:t>
      </w:r>
    </w:p>
    <w:p w:rsidR="00B6096F" w:rsidRDefault="00B6096F" w:rsidP="00B6096F">
      <w:pPr>
        <w:suppressAutoHyphens/>
        <w:autoSpaceDE w:val="0"/>
        <w:autoSpaceDN w:val="0"/>
        <w:spacing w:after="0" w:line="360" w:lineRule="auto"/>
      </w:pPr>
    </w:p>
    <w:p w:rsidR="00B6096F" w:rsidRDefault="00B6096F" w:rsidP="00B6096F">
      <w:r>
        <w:br w:type="page"/>
      </w:r>
    </w:p>
    <w:tbl>
      <w:tblPr>
        <w:tblStyle w:val="TableGrid"/>
        <w:tblpPr w:leftFromText="180" w:rightFromText="180" w:horzAnchor="page" w:tblpXSpec="center" w:tblpY="900"/>
        <w:tblW w:w="0" w:type="auto"/>
        <w:jc w:val="center"/>
        <w:tblBorders>
          <w:insideH w:val="none" w:sz="0" w:space="0" w:color="auto"/>
          <w:insideV w:val="none" w:sz="0" w:space="0" w:color="auto"/>
        </w:tblBorders>
        <w:tblLayout w:type="fixed"/>
        <w:tblLook w:val="04A0" w:firstRow="1" w:lastRow="0" w:firstColumn="1" w:lastColumn="0" w:noHBand="0" w:noVBand="1"/>
      </w:tblPr>
      <w:tblGrid>
        <w:gridCol w:w="2160"/>
        <w:gridCol w:w="288"/>
        <w:gridCol w:w="1618"/>
        <w:gridCol w:w="236"/>
        <w:gridCol w:w="916"/>
        <w:gridCol w:w="236"/>
        <w:gridCol w:w="1746"/>
      </w:tblGrid>
      <w:tr w:rsidR="00B6096F" w:rsidTr="00EE60E9">
        <w:trPr>
          <w:trHeight w:val="707"/>
          <w:jc w:val="center"/>
        </w:trPr>
        <w:tc>
          <w:tcPr>
            <w:tcW w:w="7200" w:type="dxa"/>
            <w:gridSpan w:val="7"/>
          </w:tcPr>
          <w:p w:rsidR="00B6096F" w:rsidRDefault="00B6096F" w:rsidP="001237DB">
            <w:pPr>
              <w:suppressAutoHyphens/>
              <w:autoSpaceDE w:val="0"/>
              <w:autoSpaceDN w:val="0"/>
              <w:jc w:val="center"/>
            </w:pPr>
          </w:p>
          <w:p w:rsidR="00B6096F" w:rsidRDefault="00B6096F" w:rsidP="001237DB">
            <w:pPr>
              <w:suppressAutoHyphens/>
              <w:autoSpaceDE w:val="0"/>
              <w:autoSpaceDN w:val="0"/>
              <w:jc w:val="center"/>
            </w:pPr>
            <w:r>
              <w:t>Rate Class Revenue Increase at</w:t>
            </w:r>
          </w:p>
          <w:p w:rsidR="00B6096F" w:rsidRDefault="00B6096F" w:rsidP="001237DB">
            <w:pPr>
              <w:suppressAutoHyphens/>
              <w:autoSpaceDE w:val="0"/>
              <w:autoSpaceDN w:val="0"/>
              <w:jc w:val="center"/>
            </w:pPr>
            <w:r>
              <w:t>Settlement Revenue Allocation ($000’s)</w:t>
            </w:r>
          </w:p>
          <w:p w:rsidR="003D36A7" w:rsidRDefault="003D36A7" w:rsidP="001237DB">
            <w:pPr>
              <w:suppressAutoHyphens/>
              <w:autoSpaceDE w:val="0"/>
              <w:autoSpaceDN w:val="0"/>
              <w:jc w:val="center"/>
            </w:pPr>
          </w:p>
        </w:tc>
      </w:tr>
      <w:tr w:rsidR="00B6096F" w:rsidTr="00EE60E9">
        <w:trPr>
          <w:trHeight w:val="783"/>
          <w:jc w:val="center"/>
        </w:trPr>
        <w:tc>
          <w:tcPr>
            <w:tcW w:w="2160" w:type="dxa"/>
          </w:tcPr>
          <w:p w:rsidR="00B6096F" w:rsidRDefault="00B6096F" w:rsidP="001237DB">
            <w:pPr>
              <w:suppressAutoHyphens/>
              <w:autoSpaceDE w:val="0"/>
              <w:autoSpaceDN w:val="0"/>
              <w:jc w:val="center"/>
              <w:rPr>
                <w:u w:val="single"/>
              </w:rPr>
            </w:pPr>
          </w:p>
          <w:p w:rsidR="00B6096F" w:rsidRPr="005B1F44" w:rsidRDefault="00B6096F" w:rsidP="001237DB">
            <w:pPr>
              <w:suppressAutoHyphens/>
              <w:autoSpaceDE w:val="0"/>
              <w:autoSpaceDN w:val="0"/>
              <w:jc w:val="center"/>
              <w:rPr>
                <w:u w:val="single"/>
              </w:rPr>
            </w:pPr>
          </w:p>
        </w:tc>
        <w:tc>
          <w:tcPr>
            <w:tcW w:w="288" w:type="dxa"/>
          </w:tcPr>
          <w:p w:rsidR="00B6096F" w:rsidRDefault="00B6096F" w:rsidP="001237DB">
            <w:pPr>
              <w:suppressAutoHyphens/>
              <w:autoSpaceDE w:val="0"/>
              <w:autoSpaceDN w:val="0"/>
              <w:jc w:val="center"/>
            </w:pPr>
            <w:r>
              <w:t xml:space="preserve"> </w:t>
            </w:r>
          </w:p>
        </w:tc>
        <w:tc>
          <w:tcPr>
            <w:tcW w:w="1618" w:type="dxa"/>
          </w:tcPr>
          <w:p w:rsidR="00B6096F" w:rsidRDefault="00B6096F" w:rsidP="001237DB">
            <w:pPr>
              <w:suppressAutoHyphens/>
              <w:autoSpaceDE w:val="0"/>
              <w:autoSpaceDN w:val="0"/>
              <w:jc w:val="center"/>
            </w:pPr>
          </w:p>
        </w:tc>
        <w:tc>
          <w:tcPr>
            <w:tcW w:w="1388" w:type="dxa"/>
            <w:gridSpan w:val="3"/>
          </w:tcPr>
          <w:p w:rsidR="00B6096F" w:rsidRDefault="00B6096F" w:rsidP="001237DB">
            <w:pPr>
              <w:suppressAutoHyphens/>
              <w:autoSpaceDE w:val="0"/>
              <w:autoSpaceDN w:val="0"/>
              <w:jc w:val="center"/>
            </w:pPr>
            <w:r>
              <w:t>Increase at</w:t>
            </w:r>
          </w:p>
          <w:p w:rsidR="00B6096F" w:rsidRDefault="00B6096F" w:rsidP="001237DB">
            <w:pPr>
              <w:suppressAutoHyphens/>
              <w:autoSpaceDE w:val="0"/>
              <w:autoSpaceDN w:val="0"/>
              <w:jc w:val="center"/>
            </w:pPr>
            <w:r>
              <w:t>Company</w:t>
            </w:r>
          </w:p>
          <w:p w:rsidR="00B6096F" w:rsidRDefault="00B6096F" w:rsidP="001237DB">
            <w:pPr>
              <w:suppressAutoHyphens/>
              <w:autoSpaceDE w:val="0"/>
              <w:autoSpaceDN w:val="0"/>
              <w:jc w:val="center"/>
            </w:pPr>
            <w:r>
              <w:t>Scale Back</w:t>
            </w:r>
          </w:p>
        </w:tc>
        <w:tc>
          <w:tcPr>
            <w:tcW w:w="1746" w:type="dxa"/>
          </w:tcPr>
          <w:p w:rsidR="00B6096F" w:rsidRDefault="00B6096F" w:rsidP="001237DB">
            <w:pPr>
              <w:suppressAutoHyphens/>
              <w:autoSpaceDE w:val="0"/>
              <w:autoSpaceDN w:val="0"/>
              <w:jc w:val="center"/>
            </w:pPr>
          </w:p>
        </w:tc>
      </w:tr>
      <w:tr w:rsidR="00B6096F" w:rsidTr="00EE60E9">
        <w:trPr>
          <w:trHeight w:val="495"/>
          <w:jc w:val="center"/>
        </w:trPr>
        <w:tc>
          <w:tcPr>
            <w:tcW w:w="2160" w:type="dxa"/>
            <w:vAlign w:val="center"/>
          </w:tcPr>
          <w:p w:rsidR="00B6096F" w:rsidRPr="006A39A7" w:rsidRDefault="00B6096F" w:rsidP="001237DB">
            <w:pPr>
              <w:suppressAutoHyphens/>
              <w:autoSpaceDE w:val="0"/>
              <w:autoSpaceDN w:val="0"/>
              <w:jc w:val="center"/>
              <w:rPr>
                <w:u w:val="single"/>
              </w:rPr>
            </w:pPr>
          </w:p>
        </w:tc>
        <w:tc>
          <w:tcPr>
            <w:tcW w:w="288" w:type="dxa"/>
            <w:vAlign w:val="center"/>
          </w:tcPr>
          <w:p w:rsidR="00B6096F" w:rsidRPr="005B1F44" w:rsidRDefault="00B6096F" w:rsidP="001237DB">
            <w:pPr>
              <w:suppressAutoHyphens/>
              <w:autoSpaceDE w:val="0"/>
              <w:autoSpaceDN w:val="0"/>
              <w:jc w:val="center"/>
              <w:rPr>
                <w:u w:val="single"/>
              </w:rPr>
            </w:pPr>
          </w:p>
        </w:tc>
        <w:tc>
          <w:tcPr>
            <w:tcW w:w="1618" w:type="dxa"/>
            <w:vAlign w:val="center"/>
          </w:tcPr>
          <w:p w:rsidR="00B6096F" w:rsidRPr="005B1F44" w:rsidRDefault="00B6096F" w:rsidP="001237DB">
            <w:pPr>
              <w:suppressAutoHyphens/>
              <w:autoSpaceDE w:val="0"/>
              <w:autoSpaceDN w:val="0"/>
              <w:ind w:right="342"/>
              <w:jc w:val="center"/>
              <w:rPr>
                <w:u w:val="single"/>
              </w:rPr>
            </w:pPr>
            <w:r>
              <w:rPr>
                <w:u w:val="single"/>
              </w:rPr>
              <w:t xml:space="preserve">Rate Class               </w:t>
            </w:r>
          </w:p>
        </w:tc>
        <w:tc>
          <w:tcPr>
            <w:tcW w:w="1388" w:type="dxa"/>
            <w:gridSpan w:val="3"/>
            <w:vAlign w:val="center"/>
          </w:tcPr>
          <w:p w:rsidR="00B6096F" w:rsidRDefault="00B6096F" w:rsidP="001237DB">
            <w:pPr>
              <w:suppressAutoHyphens/>
              <w:autoSpaceDE w:val="0"/>
              <w:autoSpaceDN w:val="0"/>
              <w:jc w:val="center"/>
              <w:rPr>
                <w:u w:val="single"/>
              </w:rPr>
            </w:pPr>
            <w:r>
              <w:rPr>
                <w:u w:val="single"/>
              </w:rPr>
              <w:t>Proposal</w:t>
            </w:r>
            <w:r>
              <w:rPr>
                <w:rStyle w:val="FootnoteReference"/>
                <w:u w:val="single"/>
              </w:rPr>
              <w:footnoteReference w:id="22"/>
            </w:r>
          </w:p>
        </w:tc>
        <w:tc>
          <w:tcPr>
            <w:tcW w:w="1746" w:type="dxa"/>
            <w:vAlign w:val="center"/>
          </w:tcPr>
          <w:p w:rsidR="00B6096F" w:rsidRDefault="00B6096F" w:rsidP="001237DB">
            <w:pPr>
              <w:suppressAutoHyphens/>
              <w:autoSpaceDE w:val="0"/>
              <w:autoSpaceDN w:val="0"/>
              <w:jc w:val="center"/>
              <w:rPr>
                <w:u w:val="single"/>
              </w:rPr>
            </w:pPr>
            <w:r>
              <w:rPr>
                <w:u w:val="single"/>
              </w:rPr>
              <w:t>Settlement</w:t>
            </w:r>
          </w:p>
        </w:tc>
      </w:tr>
      <w:tr w:rsidR="00B6096F" w:rsidTr="00EE60E9">
        <w:trPr>
          <w:trHeight w:val="196"/>
          <w:jc w:val="center"/>
        </w:trPr>
        <w:tc>
          <w:tcPr>
            <w:tcW w:w="2160" w:type="dxa"/>
            <w:tcBorders>
              <w:bottom w:val="single" w:sz="4" w:space="0" w:color="auto"/>
            </w:tcBorders>
            <w:vAlign w:val="center"/>
          </w:tcPr>
          <w:p w:rsidR="00B6096F" w:rsidRDefault="00B6096F" w:rsidP="001237DB">
            <w:pPr>
              <w:suppressAutoHyphens/>
              <w:autoSpaceDE w:val="0"/>
              <w:autoSpaceDN w:val="0"/>
              <w:jc w:val="center"/>
            </w:pPr>
          </w:p>
        </w:tc>
        <w:tc>
          <w:tcPr>
            <w:tcW w:w="288" w:type="dxa"/>
          </w:tcPr>
          <w:p w:rsidR="00B6096F" w:rsidRDefault="00B6096F" w:rsidP="001237DB">
            <w:pPr>
              <w:suppressAutoHyphens/>
              <w:autoSpaceDE w:val="0"/>
              <w:autoSpaceDN w:val="0"/>
            </w:pPr>
          </w:p>
        </w:tc>
        <w:tc>
          <w:tcPr>
            <w:tcW w:w="1618" w:type="dxa"/>
          </w:tcPr>
          <w:p w:rsidR="00B6096F" w:rsidRDefault="00B6096F" w:rsidP="001237DB">
            <w:pPr>
              <w:suppressAutoHyphens/>
              <w:autoSpaceDE w:val="0"/>
              <w:autoSpaceDN w:val="0"/>
            </w:pPr>
          </w:p>
        </w:tc>
        <w:tc>
          <w:tcPr>
            <w:tcW w:w="236" w:type="dxa"/>
          </w:tcPr>
          <w:p w:rsidR="00B6096F" w:rsidRDefault="00B6096F" w:rsidP="001237DB">
            <w:pPr>
              <w:suppressAutoHyphens/>
              <w:autoSpaceDE w:val="0"/>
              <w:autoSpaceDN w:val="0"/>
            </w:pPr>
          </w:p>
        </w:tc>
        <w:tc>
          <w:tcPr>
            <w:tcW w:w="916" w:type="dxa"/>
          </w:tcPr>
          <w:p w:rsidR="00B6096F" w:rsidRDefault="00B6096F" w:rsidP="001237DB">
            <w:pPr>
              <w:suppressAutoHyphens/>
              <w:autoSpaceDE w:val="0"/>
              <w:autoSpaceDN w:val="0"/>
            </w:pPr>
          </w:p>
        </w:tc>
        <w:tc>
          <w:tcPr>
            <w:tcW w:w="236" w:type="dxa"/>
          </w:tcPr>
          <w:p w:rsidR="00B6096F" w:rsidRDefault="00B6096F" w:rsidP="001237DB">
            <w:pPr>
              <w:suppressAutoHyphens/>
              <w:autoSpaceDE w:val="0"/>
              <w:autoSpaceDN w:val="0"/>
            </w:pPr>
          </w:p>
        </w:tc>
        <w:tc>
          <w:tcPr>
            <w:tcW w:w="1746" w:type="dxa"/>
          </w:tcPr>
          <w:p w:rsidR="00B6096F" w:rsidRDefault="00B6096F" w:rsidP="001237DB">
            <w:pPr>
              <w:suppressAutoHyphens/>
              <w:autoSpaceDE w:val="0"/>
              <w:autoSpaceDN w:val="0"/>
            </w:pPr>
          </w:p>
        </w:tc>
      </w:tr>
      <w:tr w:rsidR="00B6096F" w:rsidTr="00EE60E9">
        <w:trPr>
          <w:trHeight w:val="196"/>
          <w:jc w:val="center"/>
        </w:trPr>
        <w:tc>
          <w:tcPr>
            <w:tcW w:w="2160" w:type="dxa"/>
            <w:vMerge w:val="restart"/>
            <w:tcBorders>
              <w:top w:val="single" w:sz="4" w:space="0" w:color="auto"/>
              <w:bottom w:val="single" w:sz="4" w:space="0" w:color="auto"/>
              <w:right w:val="single" w:sz="4" w:space="0" w:color="auto"/>
            </w:tcBorders>
          </w:tcPr>
          <w:p w:rsidR="00B6096F" w:rsidRDefault="00B6096F" w:rsidP="00EE60E9">
            <w:pPr>
              <w:suppressAutoHyphens/>
              <w:autoSpaceDE w:val="0"/>
              <w:autoSpaceDN w:val="0"/>
            </w:pPr>
            <w:r>
              <w:t>Residential</w:t>
            </w:r>
          </w:p>
        </w:tc>
        <w:tc>
          <w:tcPr>
            <w:tcW w:w="288" w:type="dxa"/>
            <w:tcBorders>
              <w:left w:val="single" w:sz="4" w:space="0" w:color="auto"/>
            </w:tcBorders>
          </w:tcPr>
          <w:p w:rsidR="00B6096F" w:rsidRDefault="00B6096F" w:rsidP="001237DB">
            <w:pPr>
              <w:suppressAutoHyphens/>
              <w:autoSpaceDE w:val="0"/>
              <w:autoSpaceDN w:val="0"/>
            </w:pPr>
          </w:p>
        </w:tc>
        <w:tc>
          <w:tcPr>
            <w:tcW w:w="1618" w:type="dxa"/>
          </w:tcPr>
          <w:p w:rsidR="00B6096F" w:rsidRDefault="00B6096F" w:rsidP="001237DB">
            <w:pPr>
              <w:suppressAutoHyphens/>
              <w:autoSpaceDE w:val="0"/>
              <w:autoSpaceDN w:val="0"/>
            </w:pPr>
            <w:r>
              <w:t>RS</w:t>
            </w:r>
          </w:p>
        </w:tc>
        <w:tc>
          <w:tcPr>
            <w:tcW w:w="236" w:type="dxa"/>
          </w:tcPr>
          <w:p w:rsidR="00B6096F" w:rsidRDefault="00B6096F" w:rsidP="001237DB">
            <w:pPr>
              <w:suppressAutoHyphens/>
              <w:autoSpaceDE w:val="0"/>
              <w:autoSpaceDN w:val="0"/>
            </w:pPr>
          </w:p>
        </w:tc>
        <w:tc>
          <w:tcPr>
            <w:tcW w:w="916" w:type="dxa"/>
            <w:vAlign w:val="center"/>
          </w:tcPr>
          <w:p w:rsidR="00B6096F" w:rsidRDefault="00B6096F" w:rsidP="001237DB">
            <w:pPr>
              <w:suppressAutoHyphens/>
              <w:autoSpaceDE w:val="0"/>
              <w:autoSpaceDN w:val="0"/>
              <w:jc w:val="right"/>
            </w:pPr>
            <w:r>
              <w:t>30,593</w:t>
            </w:r>
          </w:p>
        </w:tc>
        <w:tc>
          <w:tcPr>
            <w:tcW w:w="236" w:type="dxa"/>
          </w:tcPr>
          <w:p w:rsidR="00B6096F" w:rsidRDefault="00B6096F" w:rsidP="001237DB">
            <w:pPr>
              <w:suppressAutoHyphens/>
              <w:autoSpaceDE w:val="0"/>
              <w:autoSpaceDN w:val="0"/>
            </w:pPr>
          </w:p>
        </w:tc>
        <w:tc>
          <w:tcPr>
            <w:tcW w:w="1746" w:type="dxa"/>
            <w:vAlign w:val="bottom"/>
          </w:tcPr>
          <w:p w:rsidR="00B6096F" w:rsidRDefault="00B6096F" w:rsidP="001237DB">
            <w:pPr>
              <w:suppressAutoHyphens/>
              <w:autoSpaceDE w:val="0"/>
              <w:autoSpaceDN w:val="0"/>
              <w:jc w:val="right"/>
            </w:pPr>
            <w:r>
              <w:t>31,208</w:t>
            </w:r>
          </w:p>
        </w:tc>
      </w:tr>
      <w:tr w:rsidR="00B6096F" w:rsidTr="00EE60E9">
        <w:trPr>
          <w:trHeight w:val="104"/>
          <w:jc w:val="center"/>
        </w:trPr>
        <w:tc>
          <w:tcPr>
            <w:tcW w:w="2160" w:type="dxa"/>
            <w:vMerge/>
            <w:tcBorders>
              <w:top w:val="nil"/>
              <w:bottom w:val="single" w:sz="4" w:space="0" w:color="auto"/>
              <w:right w:val="single" w:sz="4" w:space="0" w:color="auto"/>
            </w:tcBorders>
            <w:vAlign w:val="center"/>
          </w:tcPr>
          <w:p w:rsidR="00B6096F" w:rsidRDefault="00B6096F" w:rsidP="001237DB">
            <w:pPr>
              <w:suppressAutoHyphens/>
              <w:autoSpaceDE w:val="0"/>
              <w:autoSpaceDN w:val="0"/>
              <w:jc w:val="center"/>
            </w:pPr>
          </w:p>
        </w:tc>
        <w:tc>
          <w:tcPr>
            <w:tcW w:w="288" w:type="dxa"/>
            <w:tcBorders>
              <w:left w:val="single" w:sz="4" w:space="0" w:color="auto"/>
            </w:tcBorders>
          </w:tcPr>
          <w:p w:rsidR="00B6096F" w:rsidRDefault="00B6096F" w:rsidP="001237DB">
            <w:pPr>
              <w:suppressAutoHyphens/>
              <w:autoSpaceDE w:val="0"/>
              <w:autoSpaceDN w:val="0"/>
            </w:pPr>
          </w:p>
        </w:tc>
        <w:tc>
          <w:tcPr>
            <w:tcW w:w="1618" w:type="dxa"/>
          </w:tcPr>
          <w:p w:rsidR="00B6096F" w:rsidRDefault="00B6096F" w:rsidP="001237DB">
            <w:pPr>
              <w:suppressAutoHyphens/>
              <w:autoSpaceDE w:val="0"/>
              <w:autoSpaceDN w:val="0"/>
            </w:pPr>
            <w:r>
              <w:t>RH</w:t>
            </w:r>
          </w:p>
        </w:tc>
        <w:tc>
          <w:tcPr>
            <w:tcW w:w="236" w:type="dxa"/>
          </w:tcPr>
          <w:p w:rsidR="00B6096F" w:rsidRDefault="00B6096F" w:rsidP="001237DB">
            <w:pPr>
              <w:suppressAutoHyphens/>
              <w:autoSpaceDE w:val="0"/>
              <w:autoSpaceDN w:val="0"/>
            </w:pPr>
          </w:p>
        </w:tc>
        <w:tc>
          <w:tcPr>
            <w:tcW w:w="916" w:type="dxa"/>
            <w:vAlign w:val="center"/>
          </w:tcPr>
          <w:p w:rsidR="00B6096F" w:rsidRDefault="00B6096F" w:rsidP="001237DB">
            <w:pPr>
              <w:suppressAutoHyphens/>
              <w:autoSpaceDE w:val="0"/>
              <w:autoSpaceDN w:val="0"/>
              <w:jc w:val="right"/>
            </w:pPr>
            <w:r>
              <w:t>2,538</w:t>
            </w:r>
          </w:p>
        </w:tc>
        <w:tc>
          <w:tcPr>
            <w:tcW w:w="236" w:type="dxa"/>
          </w:tcPr>
          <w:p w:rsidR="00B6096F" w:rsidRDefault="00B6096F" w:rsidP="001237DB">
            <w:pPr>
              <w:suppressAutoHyphens/>
              <w:autoSpaceDE w:val="0"/>
              <w:autoSpaceDN w:val="0"/>
            </w:pPr>
          </w:p>
        </w:tc>
        <w:tc>
          <w:tcPr>
            <w:tcW w:w="1746" w:type="dxa"/>
            <w:vAlign w:val="bottom"/>
          </w:tcPr>
          <w:p w:rsidR="00B6096F" w:rsidRDefault="00B6096F" w:rsidP="001237DB">
            <w:pPr>
              <w:suppressAutoHyphens/>
              <w:autoSpaceDE w:val="0"/>
              <w:autoSpaceDN w:val="0"/>
              <w:jc w:val="right"/>
            </w:pPr>
            <w:r>
              <w:t>2,589</w:t>
            </w:r>
          </w:p>
        </w:tc>
      </w:tr>
      <w:tr w:rsidR="00B6096F" w:rsidTr="00EE60E9">
        <w:trPr>
          <w:trHeight w:val="104"/>
          <w:jc w:val="center"/>
        </w:trPr>
        <w:tc>
          <w:tcPr>
            <w:tcW w:w="2160" w:type="dxa"/>
            <w:vMerge/>
            <w:tcBorders>
              <w:top w:val="nil"/>
              <w:bottom w:val="single" w:sz="4" w:space="0" w:color="auto"/>
              <w:right w:val="single" w:sz="4" w:space="0" w:color="auto"/>
            </w:tcBorders>
            <w:vAlign w:val="center"/>
          </w:tcPr>
          <w:p w:rsidR="00B6096F" w:rsidRDefault="00B6096F" w:rsidP="001237DB">
            <w:pPr>
              <w:suppressAutoHyphens/>
              <w:autoSpaceDE w:val="0"/>
              <w:autoSpaceDN w:val="0"/>
              <w:jc w:val="center"/>
            </w:pPr>
          </w:p>
        </w:tc>
        <w:tc>
          <w:tcPr>
            <w:tcW w:w="288" w:type="dxa"/>
            <w:tcBorders>
              <w:left w:val="single" w:sz="4" w:space="0" w:color="auto"/>
            </w:tcBorders>
          </w:tcPr>
          <w:p w:rsidR="00B6096F" w:rsidRDefault="00B6096F" w:rsidP="001237DB">
            <w:pPr>
              <w:suppressAutoHyphens/>
              <w:autoSpaceDE w:val="0"/>
              <w:autoSpaceDN w:val="0"/>
            </w:pPr>
          </w:p>
        </w:tc>
        <w:tc>
          <w:tcPr>
            <w:tcW w:w="1618" w:type="dxa"/>
          </w:tcPr>
          <w:p w:rsidR="00B6096F" w:rsidRDefault="00B6096F" w:rsidP="001237DB">
            <w:pPr>
              <w:suppressAutoHyphens/>
              <w:autoSpaceDE w:val="0"/>
              <w:autoSpaceDN w:val="0"/>
            </w:pPr>
            <w:r>
              <w:t>RA</w:t>
            </w:r>
          </w:p>
        </w:tc>
        <w:tc>
          <w:tcPr>
            <w:tcW w:w="236" w:type="dxa"/>
          </w:tcPr>
          <w:p w:rsidR="00B6096F" w:rsidRDefault="00B6096F" w:rsidP="001237DB">
            <w:pPr>
              <w:suppressAutoHyphens/>
              <w:autoSpaceDE w:val="0"/>
              <w:autoSpaceDN w:val="0"/>
            </w:pPr>
          </w:p>
        </w:tc>
        <w:tc>
          <w:tcPr>
            <w:tcW w:w="916" w:type="dxa"/>
            <w:vAlign w:val="center"/>
          </w:tcPr>
          <w:p w:rsidR="00B6096F" w:rsidRDefault="00B6096F" w:rsidP="001237DB">
            <w:pPr>
              <w:suppressAutoHyphens/>
              <w:autoSpaceDE w:val="0"/>
              <w:autoSpaceDN w:val="0"/>
              <w:jc w:val="right"/>
            </w:pPr>
            <w:r>
              <w:t>287</w:t>
            </w:r>
          </w:p>
        </w:tc>
        <w:tc>
          <w:tcPr>
            <w:tcW w:w="236" w:type="dxa"/>
          </w:tcPr>
          <w:p w:rsidR="00B6096F" w:rsidRDefault="00B6096F" w:rsidP="001237DB">
            <w:pPr>
              <w:suppressAutoHyphens/>
              <w:autoSpaceDE w:val="0"/>
              <w:autoSpaceDN w:val="0"/>
            </w:pPr>
          </w:p>
        </w:tc>
        <w:tc>
          <w:tcPr>
            <w:tcW w:w="1746" w:type="dxa"/>
            <w:vAlign w:val="bottom"/>
          </w:tcPr>
          <w:p w:rsidR="00B6096F" w:rsidRDefault="00B6096F" w:rsidP="001237DB">
            <w:pPr>
              <w:suppressAutoHyphens/>
              <w:autoSpaceDE w:val="0"/>
              <w:autoSpaceDN w:val="0"/>
              <w:jc w:val="right"/>
            </w:pPr>
            <w:r>
              <w:t>293</w:t>
            </w:r>
          </w:p>
        </w:tc>
      </w:tr>
      <w:tr w:rsidR="00B6096F" w:rsidTr="00EE60E9">
        <w:trPr>
          <w:trHeight w:val="51"/>
          <w:jc w:val="center"/>
        </w:trPr>
        <w:tc>
          <w:tcPr>
            <w:tcW w:w="2160" w:type="dxa"/>
            <w:vMerge w:val="restart"/>
            <w:tcBorders>
              <w:top w:val="nil"/>
              <w:bottom w:val="single" w:sz="4" w:space="0" w:color="auto"/>
              <w:right w:val="single" w:sz="4" w:space="0" w:color="auto"/>
            </w:tcBorders>
            <w:vAlign w:val="center"/>
          </w:tcPr>
          <w:p w:rsidR="00B6096F" w:rsidRDefault="00B6096F" w:rsidP="001237DB">
            <w:pPr>
              <w:suppressAutoHyphens/>
              <w:autoSpaceDE w:val="0"/>
              <w:autoSpaceDN w:val="0"/>
            </w:pPr>
            <w:r>
              <w:t>Small &amp; Medium C&amp;I</w:t>
            </w:r>
          </w:p>
        </w:tc>
        <w:tc>
          <w:tcPr>
            <w:tcW w:w="288" w:type="dxa"/>
            <w:tcBorders>
              <w:left w:val="single" w:sz="4" w:space="0" w:color="auto"/>
            </w:tcBorders>
          </w:tcPr>
          <w:p w:rsidR="00B6096F" w:rsidRDefault="00B6096F" w:rsidP="001237DB">
            <w:pPr>
              <w:suppressAutoHyphens/>
              <w:autoSpaceDE w:val="0"/>
              <w:autoSpaceDN w:val="0"/>
            </w:pPr>
          </w:p>
        </w:tc>
        <w:tc>
          <w:tcPr>
            <w:tcW w:w="1618" w:type="dxa"/>
          </w:tcPr>
          <w:p w:rsidR="00B6096F" w:rsidRDefault="00B6096F" w:rsidP="001237DB">
            <w:pPr>
              <w:suppressAutoHyphens/>
              <w:autoSpaceDE w:val="0"/>
              <w:autoSpaceDN w:val="0"/>
            </w:pPr>
            <w:r>
              <w:t>GS</w:t>
            </w:r>
          </w:p>
        </w:tc>
        <w:tc>
          <w:tcPr>
            <w:tcW w:w="236" w:type="dxa"/>
          </w:tcPr>
          <w:p w:rsidR="00B6096F" w:rsidRDefault="00B6096F" w:rsidP="001237DB">
            <w:pPr>
              <w:suppressAutoHyphens/>
              <w:autoSpaceDE w:val="0"/>
              <w:autoSpaceDN w:val="0"/>
            </w:pPr>
          </w:p>
        </w:tc>
        <w:tc>
          <w:tcPr>
            <w:tcW w:w="916" w:type="dxa"/>
            <w:vAlign w:val="center"/>
          </w:tcPr>
          <w:p w:rsidR="00B6096F" w:rsidRDefault="00B6096F" w:rsidP="001237DB">
            <w:pPr>
              <w:suppressAutoHyphens/>
              <w:autoSpaceDE w:val="0"/>
              <w:autoSpaceDN w:val="0"/>
              <w:jc w:val="right"/>
            </w:pPr>
            <w:r>
              <w:t>1,155</w:t>
            </w:r>
          </w:p>
        </w:tc>
        <w:tc>
          <w:tcPr>
            <w:tcW w:w="236" w:type="dxa"/>
          </w:tcPr>
          <w:p w:rsidR="00B6096F" w:rsidRDefault="00B6096F" w:rsidP="001237DB">
            <w:pPr>
              <w:suppressAutoHyphens/>
              <w:autoSpaceDE w:val="0"/>
              <w:autoSpaceDN w:val="0"/>
            </w:pPr>
          </w:p>
        </w:tc>
        <w:tc>
          <w:tcPr>
            <w:tcW w:w="1746" w:type="dxa"/>
            <w:vAlign w:val="bottom"/>
          </w:tcPr>
          <w:p w:rsidR="00B6096F" w:rsidRDefault="00B6096F" w:rsidP="001237DB">
            <w:pPr>
              <w:suppressAutoHyphens/>
              <w:autoSpaceDE w:val="0"/>
              <w:autoSpaceDN w:val="0"/>
              <w:jc w:val="right"/>
            </w:pPr>
            <w:r>
              <w:t>1,179</w:t>
            </w:r>
          </w:p>
        </w:tc>
      </w:tr>
      <w:tr w:rsidR="00B6096F" w:rsidTr="00EE60E9">
        <w:trPr>
          <w:trHeight w:val="51"/>
          <w:jc w:val="center"/>
        </w:trPr>
        <w:tc>
          <w:tcPr>
            <w:tcW w:w="2160" w:type="dxa"/>
            <w:vMerge/>
            <w:tcBorders>
              <w:top w:val="nil"/>
              <w:bottom w:val="single" w:sz="4" w:space="0" w:color="auto"/>
              <w:right w:val="single" w:sz="4" w:space="0" w:color="auto"/>
            </w:tcBorders>
            <w:vAlign w:val="center"/>
          </w:tcPr>
          <w:p w:rsidR="00B6096F" w:rsidRDefault="00B6096F" w:rsidP="001237DB">
            <w:pPr>
              <w:suppressAutoHyphens/>
              <w:autoSpaceDE w:val="0"/>
              <w:autoSpaceDN w:val="0"/>
            </w:pPr>
          </w:p>
        </w:tc>
        <w:tc>
          <w:tcPr>
            <w:tcW w:w="288" w:type="dxa"/>
            <w:tcBorders>
              <w:left w:val="single" w:sz="4" w:space="0" w:color="auto"/>
            </w:tcBorders>
          </w:tcPr>
          <w:p w:rsidR="00B6096F" w:rsidRDefault="00B6096F" w:rsidP="001237DB">
            <w:pPr>
              <w:suppressAutoHyphens/>
              <w:autoSpaceDE w:val="0"/>
              <w:autoSpaceDN w:val="0"/>
              <w:jc w:val="center"/>
            </w:pPr>
          </w:p>
        </w:tc>
        <w:tc>
          <w:tcPr>
            <w:tcW w:w="1618" w:type="dxa"/>
            <w:vAlign w:val="center"/>
          </w:tcPr>
          <w:p w:rsidR="00B6096F" w:rsidRDefault="00B6096F" w:rsidP="001237DB">
            <w:pPr>
              <w:suppressAutoHyphens/>
              <w:autoSpaceDE w:val="0"/>
              <w:autoSpaceDN w:val="0"/>
            </w:pPr>
            <w:r>
              <w:t>GM&lt;25/GMH</w:t>
            </w:r>
          </w:p>
        </w:tc>
        <w:tc>
          <w:tcPr>
            <w:tcW w:w="236" w:type="dxa"/>
          </w:tcPr>
          <w:p w:rsidR="00B6096F" w:rsidRDefault="00B6096F" w:rsidP="001237DB">
            <w:pPr>
              <w:suppressAutoHyphens/>
              <w:autoSpaceDE w:val="0"/>
              <w:autoSpaceDN w:val="0"/>
              <w:jc w:val="center"/>
            </w:pPr>
          </w:p>
        </w:tc>
        <w:tc>
          <w:tcPr>
            <w:tcW w:w="916" w:type="dxa"/>
            <w:vAlign w:val="center"/>
          </w:tcPr>
          <w:p w:rsidR="00B6096F" w:rsidRDefault="00B6096F" w:rsidP="001237DB">
            <w:pPr>
              <w:suppressAutoHyphens/>
              <w:autoSpaceDE w:val="0"/>
              <w:autoSpaceDN w:val="0"/>
              <w:jc w:val="right"/>
            </w:pPr>
            <w:r>
              <w:t>2,673</w:t>
            </w:r>
          </w:p>
        </w:tc>
        <w:tc>
          <w:tcPr>
            <w:tcW w:w="236" w:type="dxa"/>
            <w:vAlign w:val="center"/>
          </w:tcPr>
          <w:p w:rsidR="00B6096F" w:rsidRDefault="00B6096F" w:rsidP="001237DB">
            <w:pPr>
              <w:suppressAutoHyphens/>
              <w:autoSpaceDE w:val="0"/>
              <w:autoSpaceDN w:val="0"/>
              <w:jc w:val="right"/>
            </w:pPr>
          </w:p>
        </w:tc>
        <w:tc>
          <w:tcPr>
            <w:tcW w:w="1746" w:type="dxa"/>
            <w:vAlign w:val="center"/>
          </w:tcPr>
          <w:p w:rsidR="00B6096F" w:rsidRDefault="00B6096F" w:rsidP="001237DB">
            <w:pPr>
              <w:suppressAutoHyphens/>
              <w:autoSpaceDE w:val="0"/>
              <w:autoSpaceDN w:val="0"/>
              <w:jc w:val="right"/>
            </w:pPr>
            <w:r>
              <w:t>2,727</w:t>
            </w:r>
          </w:p>
        </w:tc>
      </w:tr>
      <w:tr w:rsidR="00B6096F" w:rsidTr="00EE60E9">
        <w:trPr>
          <w:trHeight w:val="51"/>
          <w:jc w:val="center"/>
        </w:trPr>
        <w:tc>
          <w:tcPr>
            <w:tcW w:w="2160" w:type="dxa"/>
            <w:vMerge/>
            <w:tcBorders>
              <w:top w:val="nil"/>
              <w:bottom w:val="single" w:sz="4" w:space="0" w:color="auto"/>
              <w:right w:val="single" w:sz="4" w:space="0" w:color="auto"/>
            </w:tcBorders>
            <w:vAlign w:val="center"/>
          </w:tcPr>
          <w:p w:rsidR="00B6096F" w:rsidRDefault="00B6096F" w:rsidP="001237DB">
            <w:pPr>
              <w:suppressAutoHyphens/>
              <w:autoSpaceDE w:val="0"/>
              <w:autoSpaceDN w:val="0"/>
            </w:pPr>
          </w:p>
        </w:tc>
        <w:tc>
          <w:tcPr>
            <w:tcW w:w="288" w:type="dxa"/>
            <w:tcBorders>
              <w:left w:val="single" w:sz="4" w:space="0" w:color="auto"/>
            </w:tcBorders>
          </w:tcPr>
          <w:p w:rsidR="00B6096F" w:rsidRDefault="00B6096F" w:rsidP="001237DB">
            <w:pPr>
              <w:suppressAutoHyphens/>
              <w:autoSpaceDE w:val="0"/>
              <w:autoSpaceDN w:val="0"/>
              <w:jc w:val="center"/>
            </w:pPr>
          </w:p>
        </w:tc>
        <w:tc>
          <w:tcPr>
            <w:tcW w:w="1618" w:type="dxa"/>
            <w:vAlign w:val="center"/>
          </w:tcPr>
          <w:p w:rsidR="00B6096F" w:rsidRDefault="00B6096F" w:rsidP="001237DB">
            <w:pPr>
              <w:suppressAutoHyphens/>
              <w:autoSpaceDE w:val="0"/>
              <w:autoSpaceDN w:val="0"/>
            </w:pPr>
            <w:r>
              <w:t>GM&gt;25</w:t>
            </w:r>
          </w:p>
        </w:tc>
        <w:tc>
          <w:tcPr>
            <w:tcW w:w="236" w:type="dxa"/>
          </w:tcPr>
          <w:p w:rsidR="00B6096F" w:rsidRDefault="00B6096F" w:rsidP="001237DB">
            <w:pPr>
              <w:suppressAutoHyphens/>
              <w:autoSpaceDE w:val="0"/>
              <w:autoSpaceDN w:val="0"/>
              <w:jc w:val="center"/>
            </w:pPr>
          </w:p>
        </w:tc>
        <w:tc>
          <w:tcPr>
            <w:tcW w:w="916" w:type="dxa"/>
            <w:vAlign w:val="center"/>
          </w:tcPr>
          <w:p w:rsidR="00B6096F" w:rsidRDefault="00093513" w:rsidP="001237DB">
            <w:pPr>
              <w:suppressAutoHyphens/>
              <w:autoSpaceDE w:val="0"/>
              <w:autoSpaceDN w:val="0"/>
              <w:jc w:val="right"/>
            </w:pPr>
            <w:r>
              <w:t>4,969</w:t>
            </w:r>
          </w:p>
        </w:tc>
        <w:tc>
          <w:tcPr>
            <w:tcW w:w="236" w:type="dxa"/>
          </w:tcPr>
          <w:p w:rsidR="00B6096F" w:rsidRDefault="00B6096F" w:rsidP="001237DB">
            <w:pPr>
              <w:suppressAutoHyphens/>
              <w:autoSpaceDE w:val="0"/>
              <w:autoSpaceDN w:val="0"/>
            </w:pPr>
          </w:p>
        </w:tc>
        <w:tc>
          <w:tcPr>
            <w:tcW w:w="1746" w:type="dxa"/>
            <w:vAlign w:val="center"/>
          </w:tcPr>
          <w:p w:rsidR="00B6096F" w:rsidRDefault="00B6096F" w:rsidP="001237DB">
            <w:pPr>
              <w:suppressAutoHyphens/>
              <w:autoSpaceDE w:val="0"/>
              <w:autoSpaceDN w:val="0"/>
              <w:jc w:val="right"/>
            </w:pPr>
            <w:r>
              <w:t>5,069</w:t>
            </w:r>
          </w:p>
        </w:tc>
      </w:tr>
      <w:tr w:rsidR="00B6096F" w:rsidTr="00EE60E9">
        <w:trPr>
          <w:trHeight w:val="51"/>
          <w:jc w:val="center"/>
        </w:trPr>
        <w:tc>
          <w:tcPr>
            <w:tcW w:w="2160" w:type="dxa"/>
            <w:vMerge w:val="restart"/>
            <w:tcBorders>
              <w:top w:val="nil"/>
              <w:bottom w:val="single" w:sz="4" w:space="0" w:color="auto"/>
              <w:right w:val="single" w:sz="4" w:space="0" w:color="auto"/>
            </w:tcBorders>
            <w:vAlign w:val="center"/>
          </w:tcPr>
          <w:p w:rsidR="00B6096F" w:rsidRDefault="00B6096F" w:rsidP="001237DB">
            <w:pPr>
              <w:suppressAutoHyphens/>
              <w:autoSpaceDE w:val="0"/>
              <w:autoSpaceDN w:val="0"/>
            </w:pPr>
            <w:r>
              <w:t>Large C&amp;I</w:t>
            </w:r>
          </w:p>
        </w:tc>
        <w:tc>
          <w:tcPr>
            <w:tcW w:w="288" w:type="dxa"/>
            <w:tcBorders>
              <w:left w:val="single" w:sz="4" w:space="0" w:color="auto"/>
            </w:tcBorders>
          </w:tcPr>
          <w:p w:rsidR="00B6096F" w:rsidRDefault="00B6096F" w:rsidP="001237DB">
            <w:pPr>
              <w:suppressAutoHyphens/>
              <w:autoSpaceDE w:val="0"/>
              <w:autoSpaceDN w:val="0"/>
            </w:pPr>
          </w:p>
        </w:tc>
        <w:tc>
          <w:tcPr>
            <w:tcW w:w="1618" w:type="dxa"/>
          </w:tcPr>
          <w:p w:rsidR="00B6096F" w:rsidRDefault="00B6096F" w:rsidP="001237DB">
            <w:pPr>
              <w:suppressAutoHyphens/>
              <w:autoSpaceDE w:val="0"/>
              <w:autoSpaceDN w:val="0"/>
            </w:pPr>
            <w:r>
              <w:t>GL/GLH</w:t>
            </w:r>
          </w:p>
        </w:tc>
        <w:tc>
          <w:tcPr>
            <w:tcW w:w="236" w:type="dxa"/>
          </w:tcPr>
          <w:p w:rsidR="00B6096F" w:rsidRDefault="00B6096F" w:rsidP="001237DB">
            <w:pPr>
              <w:suppressAutoHyphens/>
              <w:autoSpaceDE w:val="0"/>
              <w:autoSpaceDN w:val="0"/>
            </w:pPr>
          </w:p>
        </w:tc>
        <w:tc>
          <w:tcPr>
            <w:tcW w:w="916" w:type="dxa"/>
            <w:vAlign w:val="center"/>
          </w:tcPr>
          <w:p w:rsidR="00B6096F" w:rsidRDefault="00B6096F" w:rsidP="001237DB">
            <w:pPr>
              <w:suppressAutoHyphens/>
              <w:autoSpaceDE w:val="0"/>
              <w:autoSpaceDN w:val="0"/>
              <w:jc w:val="right"/>
            </w:pPr>
            <w:r>
              <w:t>5,767</w:t>
            </w:r>
          </w:p>
        </w:tc>
        <w:tc>
          <w:tcPr>
            <w:tcW w:w="236" w:type="dxa"/>
          </w:tcPr>
          <w:p w:rsidR="00B6096F" w:rsidRDefault="00B6096F" w:rsidP="001237DB">
            <w:pPr>
              <w:suppressAutoHyphens/>
              <w:autoSpaceDE w:val="0"/>
              <w:autoSpaceDN w:val="0"/>
            </w:pPr>
          </w:p>
        </w:tc>
        <w:tc>
          <w:tcPr>
            <w:tcW w:w="1746" w:type="dxa"/>
            <w:vAlign w:val="center"/>
          </w:tcPr>
          <w:p w:rsidR="00B6096F" w:rsidRDefault="00B6096F" w:rsidP="001237DB">
            <w:pPr>
              <w:suppressAutoHyphens/>
              <w:autoSpaceDE w:val="0"/>
              <w:autoSpaceDN w:val="0"/>
              <w:jc w:val="right"/>
            </w:pPr>
            <w:r>
              <w:t>6,233</w:t>
            </w:r>
          </w:p>
        </w:tc>
      </w:tr>
      <w:tr w:rsidR="00B6096F" w:rsidTr="00EE60E9">
        <w:trPr>
          <w:trHeight w:val="104"/>
          <w:jc w:val="center"/>
        </w:trPr>
        <w:tc>
          <w:tcPr>
            <w:tcW w:w="2160" w:type="dxa"/>
            <w:vMerge/>
            <w:tcBorders>
              <w:top w:val="nil"/>
              <w:bottom w:val="single" w:sz="4" w:space="0" w:color="auto"/>
              <w:right w:val="single" w:sz="4" w:space="0" w:color="auto"/>
            </w:tcBorders>
            <w:vAlign w:val="center"/>
          </w:tcPr>
          <w:p w:rsidR="00B6096F" w:rsidRDefault="00B6096F" w:rsidP="001237DB">
            <w:pPr>
              <w:suppressAutoHyphens/>
              <w:autoSpaceDE w:val="0"/>
              <w:autoSpaceDN w:val="0"/>
              <w:jc w:val="center"/>
            </w:pPr>
          </w:p>
        </w:tc>
        <w:tc>
          <w:tcPr>
            <w:tcW w:w="288" w:type="dxa"/>
            <w:tcBorders>
              <w:left w:val="single" w:sz="4" w:space="0" w:color="auto"/>
            </w:tcBorders>
          </w:tcPr>
          <w:p w:rsidR="00B6096F" w:rsidRDefault="00B6096F" w:rsidP="001237DB">
            <w:pPr>
              <w:suppressAutoHyphens/>
              <w:autoSpaceDE w:val="0"/>
              <w:autoSpaceDN w:val="0"/>
            </w:pPr>
          </w:p>
        </w:tc>
        <w:tc>
          <w:tcPr>
            <w:tcW w:w="1618" w:type="dxa"/>
          </w:tcPr>
          <w:p w:rsidR="00B6096F" w:rsidRDefault="00B6096F" w:rsidP="001237DB">
            <w:pPr>
              <w:suppressAutoHyphens/>
              <w:autoSpaceDE w:val="0"/>
              <w:autoSpaceDN w:val="0"/>
            </w:pPr>
            <w:r>
              <w:t>L</w:t>
            </w:r>
          </w:p>
        </w:tc>
        <w:tc>
          <w:tcPr>
            <w:tcW w:w="236" w:type="dxa"/>
          </w:tcPr>
          <w:p w:rsidR="00B6096F" w:rsidRDefault="00B6096F" w:rsidP="001237DB">
            <w:pPr>
              <w:suppressAutoHyphens/>
              <w:autoSpaceDE w:val="0"/>
              <w:autoSpaceDN w:val="0"/>
            </w:pPr>
          </w:p>
        </w:tc>
        <w:tc>
          <w:tcPr>
            <w:tcW w:w="916" w:type="dxa"/>
            <w:vAlign w:val="center"/>
          </w:tcPr>
          <w:p w:rsidR="00B6096F" w:rsidRDefault="00B6096F" w:rsidP="001237DB">
            <w:pPr>
              <w:suppressAutoHyphens/>
              <w:autoSpaceDE w:val="0"/>
              <w:autoSpaceDN w:val="0"/>
              <w:jc w:val="right"/>
            </w:pPr>
            <w:r>
              <w:t>1,314</w:t>
            </w:r>
          </w:p>
        </w:tc>
        <w:tc>
          <w:tcPr>
            <w:tcW w:w="236" w:type="dxa"/>
          </w:tcPr>
          <w:p w:rsidR="00B6096F" w:rsidRDefault="00B6096F" w:rsidP="001237DB">
            <w:pPr>
              <w:suppressAutoHyphens/>
              <w:autoSpaceDE w:val="0"/>
              <w:autoSpaceDN w:val="0"/>
            </w:pPr>
          </w:p>
        </w:tc>
        <w:tc>
          <w:tcPr>
            <w:tcW w:w="1746" w:type="dxa"/>
            <w:vAlign w:val="center"/>
          </w:tcPr>
          <w:p w:rsidR="00B6096F" w:rsidRDefault="00B6096F" w:rsidP="001237DB">
            <w:pPr>
              <w:suppressAutoHyphens/>
              <w:autoSpaceDE w:val="0"/>
              <w:autoSpaceDN w:val="0"/>
              <w:jc w:val="right"/>
            </w:pPr>
            <w:r>
              <w:t>0</w:t>
            </w:r>
          </w:p>
        </w:tc>
      </w:tr>
      <w:tr w:rsidR="00B6096F" w:rsidTr="00EE60E9">
        <w:trPr>
          <w:trHeight w:val="104"/>
          <w:jc w:val="center"/>
        </w:trPr>
        <w:tc>
          <w:tcPr>
            <w:tcW w:w="2160" w:type="dxa"/>
            <w:vMerge/>
            <w:tcBorders>
              <w:top w:val="nil"/>
              <w:bottom w:val="single" w:sz="4" w:space="0" w:color="auto"/>
              <w:right w:val="single" w:sz="4" w:space="0" w:color="auto"/>
            </w:tcBorders>
            <w:vAlign w:val="center"/>
          </w:tcPr>
          <w:p w:rsidR="00B6096F" w:rsidRDefault="00B6096F" w:rsidP="001237DB">
            <w:pPr>
              <w:suppressAutoHyphens/>
              <w:autoSpaceDE w:val="0"/>
              <w:autoSpaceDN w:val="0"/>
              <w:jc w:val="center"/>
            </w:pPr>
          </w:p>
        </w:tc>
        <w:tc>
          <w:tcPr>
            <w:tcW w:w="288" w:type="dxa"/>
            <w:tcBorders>
              <w:left w:val="single" w:sz="4" w:space="0" w:color="auto"/>
            </w:tcBorders>
          </w:tcPr>
          <w:p w:rsidR="00B6096F" w:rsidRDefault="00B6096F" w:rsidP="001237DB">
            <w:pPr>
              <w:suppressAutoHyphens/>
              <w:autoSpaceDE w:val="0"/>
              <w:autoSpaceDN w:val="0"/>
            </w:pPr>
          </w:p>
        </w:tc>
        <w:tc>
          <w:tcPr>
            <w:tcW w:w="1618" w:type="dxa"/>
          </w:tcPr>
          <w:p w:rsidR="00B6096F" w:rsidRDefault="00B6096F" w:rsidP="001237DB">
            <w:pPr>
              <w:suppressAutoHyphens/>
              <w:autoSpaceDE w:val="0"/>
              <w:autoSpaceDN w:val="0"/>
            </w:pPr>
            <w:r>
              <w:t>HVPS</w:t>
            </w:r>
          </w:p>
        </w:tc>
        <w:tc>
          <w:tcPr>
            <w:tcW w:w="236" w:type="dxa"/>
          </w:tcPr>
          <w:p w:rsidR="00B6096F" w:rsidRDefault="00B6096F" w:rsidP="001237DB">
            <w:pPr>
              <w:suppressAutoHyphens/>
              <w:autoSpaceDE w:val="0"/>
              <w:autoSpaceDN w:val="0"/>
            </w:pPr>
          </w:p>
        </w:tc>
        <w:tc>
          <w:tcPr>
            <w:tcW w:w="916" w:type="dxa"/>
            <w:vAlign w:val="center"/>
          </w:tcPr>
          <w:p w:rsidR="00B6096F" w:rsidRDefault="00B6096F" w:rsidP="001237DB">
            <w:pPr>
              <w:suppressAutoHyphens/>
              <w:autoSpaceDE w:val="0"/>
              <w:autoSpaceDN w:val="0"/>
              <w:jc w:val="right"/>
            </w:pPr>
            <w:r>
              <w:t>(126)</w:t>
            </w:r>
          </w:p>
        </w:tc>
        <w:tc>
          <w:tcPr>
            <w:tcW w:w="236" w:type="dxa"/>
          </w:tcPr>
          <w:p w:rsidR="00B6096F" w:rsidRDefault="00B6096F" w:rsidP="001237DB">
            <w:pPr>
              <w:suppressAutoHyphens/>
              <w:autoSpaceDE w:val="0"/>
              <w:autoSpaceDN w:val="0"/>
            </w:pPr>
          </w:p>
        </w:tc>
        <w:tc>
          <w:tcPr>
            <w:tcW w:w="1746" w:type="dxa"/>
            <w:vAlign w:val="center"/>
          </w:tcPr>
          <w:p w:rsidR="00B6096F" w:rsidRDefault="00B6096F" w:rsidP="001237DB">
            <w:pPr>
              <w:suppressAutoHyphens/>
              <w:autoSpaceDE w:val="0"/>
              <w:autoSpaceDN w:val="0"/>
              <w:jc w:val="right"/>
            </w:pPr>
            <w:r>
              <w:t>(126)</w:t>
            </w:r>
          </w:p>
        </w:tc>
      </w:tr>
      <w:tr w:rsidR="00B6096F" w:rsidTr="00EE60E9">
        <w:trPr>
          <w:trHeight w:val="196"/>
          <w:jc w:val="center"/>
        </w:trPr>
        <w:tc>
          <w:tcPr>
            <w:tcW w:w="2160" w:type="dxa"/>
            <w:vMerge w:val="restart"/>
            <w:tcBorders>
              <w:top w:val="nil"/>
              <w:bottom w:val="single" w:sz="4" w:space="0" w:color="auto"/>
              <w:right w:val="single" w:sz="4" w:space="0" w:color="auto"/>
            </w:tcBorders>
            <w:vAlign w:val="center"/>
          </w:tcPr>
          <w:p w:rsidR="00B6096F" w:rsidRDefault="00B6096F" w:rsidP="001237DB">
            <w:pPr>
              <w:suppressAutoHyphens/>
              <w:autoSpaceDE w:val="0"/>
              <w:autoSpaceDN w:val="0"/>
            </w:pPr>
            <w:r>
              <w:t>Lighting</w:t>
            </w:r>
          </w:p>
        </w:tc>
        <w:tc>
          <w:tcPr>
            <w:tcW w:w="288" w:type="dxa"/>
            <w:tcBorders>
              <w:left w:val="single" w:sz="4" w:space="0" w:color="auto"/>
            </w:tcBorders>
          </w:tcPr>
          <w:p w:rsidR="00B6096F" w:rsidRDefault="00B6096F" w:rsidP="001237DB">
            <w:pPr>
              <w:suppressAutoHyphens/>
              <w:autoSpaceDE w:val="0"/>
              <w:autoSpaceDN w:val="0"/>
            </w:pPr>
          </w:p>
        </w:tc>
        <w:tc>
          <w:tcPr>
            <w:tcW w:w="1618" w:type="dxa"/>
          </w:tcPr>
          <w:p w:rsidR="00B6096F" w:rsidRDefault="00B6096F" w:rsidP="001237DB">
            <w:pPr>
              <w:suppressAutoHyphens/>
              <w:autoSpaceDE w:val="0"/>
              <w:autoSpaceDN w:val="0"/>
            </w:pPr>
            <w:r>
              <w:t>SE</w:t>
            </w:r>
          </w:p>
        </w:tc>
        <w:tc>
          <w:tcPr>
            <w:tcW w:w="236" w:type="dxa"/>
          </w:tcPr>
          <w:p w:rsidR="00B6096F" w:rsidRDefault="00B6096F" w:rsidP="001237DB">
            <w:pPr>
              <w:suppressAutoHyphens/>
              <w:autoSpaceDE w:val="0"/>
              <w:autoSpaceDN w:val="0"/>
            </w:pPr>
          </w:p>
        </w:tc>
        <w:tc>
          <w:tcPr>
            <w:tcW w:w="916" w:type="dxa"/>
            <w:vAlign w:val="center"/>
          </w:tcPr>
          <w:p w:rsidR="00B6096F" w:rsidRDefault="00B6096F" w:rsidP="001237DB">
            <w:pPr>
              <w:suppressAutoHyphens/>
              <w:autoSpaceDE w:val="0"/>
              <w:autoSpaceDN w:val="0"/>
              <w:jc w:val="right"/>
            </w:pPr>
            <w:r>
              <w:t>(178)</w:t>
            </w:r>
          </w:p>
        </w:tc>
        <w:tc>
          <w:tcPr>
            <w:tcW w:w="236" w:type="dxa"/>
          </w:tcPr>
          <w:p w:rsidR="00B6096F" w:rsidRDefault="00B6096F" w:rsidP="001237DB">
            <w:pPr>
              <w:suppressAutoHyphens/>
              <w:autoSpaceDE w:val="0"/>
              <w:autoSpaceDN w:val="0"/>
            </w:pPr>
          </w:p>
        </w:tc>
        <w:tc>
          <w:tcPr>
            <w:tcW w:w="1746" w:type="dxa"/>
            <w:vAlign w:val="center"/>
          </w:tcPr>
          <w:p w:rsidR="00B6096F" w:rsidRDefault="00B6096F" w:rsidP="001237DB">
            <w:pPr>
              <w:suppressAutoHyphens/>
              <w:autoSpaceDE w:val="0"/>
              <w:autoSpaceDN w:val="0"/>
              <w:jc w:val="right"/>
            </w:pPr>
            <w:r>
              <w:t>(178)</w:t>
            </w:r>
          </w:p>
        </w:tc>
      </w:tr>
      <w:tr w:rsidR="00B6096F" w:rsidTr="00EE60E9">
        <w:trPr>
          <w:trHeight w:val="104"/>
          <w:jc w:val="center"/>
        </w:trPr>
        <w:tc>
          <w:tcPr>
            <w:tcW w:w="2160" w:type="dxa"/>
            <w:vMerge/>
            <w:tcBorders>
              <w:top w:val="nil"/>
              <w:bottom w:val="single" w:sz="4" w:space="0" w:color="auto"/>
              <w:right w:val="single" w:sz="4" w:space="0" w:color="auto"/>
            </w:tcBorders>
            <w:vAlign w:val="center"/>
          </w:tcPr>
          <w:p w:rsidR="00B6096F" w:rsidRDefault="00B6096F" w:rsidP="001237DB">
            <w:pPr>
              <w:suppressAutoHyphens/>
              <w:autoSpaceDE w:val="0"/>
              <w:autoSpaceDN w:val="0"/>
              <w:jc w:val="center"/>
            </w:pPr>
          </w:p>
        </w:tc>
        <w:tc>
          <w:tcPr>
            <w:tcW w:w="288" w:type="dxa"/>
            <w:tcBorders>
              <w:left w:val="single" w:sz="4" w:space="0" w:color="auto"/>
            </w:tcBorders>
          </w:tcPr>
          <w:p w:rsidR="00B6096F" w:rsidRDefault="00B6096F" w:rsidP="001237DB">
            <w:pPr>
              <w:suppressAutoHyphens/>
              <w:autoSpaceDE w:val="0"/>
              <w:autoSpaceDN w:val="0"/>
            </w:pPr>
          </w:p>
        </w:tc>
        <w:tc>
          <w:tcPr>
            <w:tcW w:w="1618" w:type="dxa"/>
          </w:tcPr>
          <w:p w:rsidR="00B6096F" w:rsidRDefault="00B6096F" w:rsidP="001237DB">
            <w:pPr>
              <w:suppressAutoHyphens/>
              <w:autoSpaceDE w:val="0"/>
              <w:autoSpaceDN w:val="0"/>
            </w:pPr>
            <w:r>
              <w:t>SL</w:t>
            </w:r>
          </w:p>
        </w:tc>
        <w:tc>
          <w:tcPr>
            <w:tcW w:w="236" w:type="dxa"/>
          </w:tcPr>
          <w:p w:rsidR="00B6096F" w:rsidRDefault="00B6096F" w:rsidP="001237DB">
            <w:pPr>
              <w:suppressAutoHyphens/>
              <w:autoSpaceDE w:val="0"/>
              <w:autoSpaceDN w:val="0"/>
            </w:pPr>
          </w:p>
        </w:tc>
        <w:tc>
          <w:tcPr>
            <w:tcW w:w="916" w:type="dxa"/>
            <w:vAlign w:val="center"/>
          </w:tcPr>
          <w:p w:rsidR="00B6096F" w:rsidRDefault="00B6096F" w:rsidP="001237DB">
            <w:pPr>
              <w:suppressAutoHyphens/>
              <w:autoSpaceDE w:val="0"/>
              <w:autoSpaceDN w:val="0"/>
              <w:jc w:val="right"/>
            </w:pPr>
            <w:r>
              <w:t>(788)</w:t>
            </w:r>
          </w:p>
        </w:tc>
        <w:tc>
          <w:tcPr>
            <w:tcW w:w="236" w:type="dxa"/>
          </w:tcPr>
          <w:p w:rsidR="00B6096F" w:rsidRDefault="00B6096F" w:rsidP="001237DB">
            <w:pPr>
              <w:suppressAutoHyphens/>
              <w:autoSpaceDE w:val="0"/>
              <w:autoSpaceDN w:val="0"/>
            </w:pPr>
          </w:p>
        </w:tc>
        <w:tc>
          <w:tcPr>
            <w:tcW w:w="1746" w:type="dxa"/>
            <w:vAlign w:val="center"/>
          </w:tcPr>
          <w:p w:rsidR="00B6096F" w:rsidRDefault="00B6096F" w:rsidP="001237DB">
            <w:pPr>
              <w:suppressAutoHyphens/>
              <w:autoSpaceDE w:val="0"/>
              <w:autoSpaceDN w:val="0"/>
              <w:jc w:val="right"/>
            </w:pPr>
            <w:r>
              <w:t>(788)</w:t>
            </w:r>
          </w:p>
        </w:tc>
      </w:tr>
      <w:tr w:rsidR="00B6096F" w:rsidTr="00EE60E9">
        <w:trPr>
          <w:trHeight w:val="104"/>
          <w:jc w:val="center"/>
        </w:trPr>
        <w:tc>
          <w:tcPr>
            <w:tcW w:w="2160" w:type="dxa"/>
            <w:vMerge/>
            <w:tcBorders>
              <w:top w:val="nil"/>
              <w:bottom w:val="single" w:sz="4" w:space="0" w:color="auto"/>
              <w:right w:val="single" w:sz="4" w:space="0" w:color="auto"/>
            </w:tcBorders>
            <w:vAlign w:val="center"/>
          </w:tcPr>
          <w:p w:rsidR="00B6096F" w:rsidRDefault="00B6096F" w:rsidP="001237DB">
            <w:pPr>
              <w:suppressAutoHyphens/>
              <w:autoSpaceDE w:val="0"/>
              <w:autoSpaceDN w:val="0"/>
              <w:jc w:val="center"/>
            </w:pPr>
          </w:p>
        </w:tc>
        <w:tc>
          <w:tcPr>
            <w:tcW w:w="288" w:type="dxa"/>
            <w:tcBorders>
              <w:left w:val="single" w:sz="4" w:space="0" w:color="auto"/>
              <w:bottom w:val="nil"/>
            </w:tcBorders>
          </w:tcPr>
          <w:p w:rsidR="00B6096F" w:rsidRDefault="00B6096F" w:rsidP="001237DB">
            <w:pPr>
              <w:suppressAutoHyphens/>
              <w:autoSpaceDE w:val="0"/>
              <w:autoSpaceDN w:val="0"/>
            </w:pPr>
          </w:p>
        </w:tc>
        <w:tc>
          <w:tcPr>
            <w:tcW w:w="1618" w:type="dxa"/>
            <w:tcBorders>
              <w:bottom w:val="single" w:sz="4" w:space="0" w:color="auto"/>
            </w:tcBorders>
          </w:tcPr>
          <w:p w:rsidR="00B6096F" w:rsidRDefault="00B6096F" w:rsidP="001237DB">
            <w:pPr>
              <w:suppressAutoHyphens/>
              <w:autoSpaceDE w:val="0"/>
              <w:autoSpaceDN w:val="0"/>
            </w:pPr>
            <w:r>
              <w:t>UMS</w:t>
            </w:r>
          </w:p>
        </w:tc>
        <w:tc>
          <w:tcPr>
            <w:tcW w:w="236" w:type="dxa"/>
            <w:tcBorders>
              <w:bottom w:val="single" w:sz="4" w:space="0" w:color="auto"/>
            </w:tcBorders>
          </w:tcPr>
          <w:p w:rsidR="00B6096F" w:rsidRDefault="00B6096F" w:rsidP="001237DB">
            <w:pPr>
              <w:suppressAutoHyphens/>
              <w:autoSpaceDE w:val="0"/>
              <w:autoSpaceDN w:val="0"/>
            </w:pPr>
          </w:p>
        </w:tc>
        <w:tc>
          <w:tcPr>
            <w:tcW w:w="916" w:type="dxa"/>
            <w:tcBorders>
              <w:bottom w:val="single" w:sz="4" w:space="0" w:color="auto"/>
            </w:tcBorders>
            <w:vAlign w:val="center"/>
          </w:tcPr>
          <w:p w:rsidR="00B6096F" w:rsidRDefault="00B6096F" w:rsidP="001237DB">
            <w:pPr>
              <w:suppressAutoHyphens/>
              <w:autoSpaceDE w:val="0"/>
              <w:autoSpaceDN w:val="0"/>
              <w:jc w:val="right"/>
            </w:pPr>
            <w:r>
              <w:t>(204)</w:t>
            </w:r>
          </w:p>
        </w:tc>
        <w:tc>
          <w:tcPr>
            <w:tcW w:w="236" w:type="dxa"/>
            <w:tcBorders>
              <w:bottom w:val="single" w:sz="4" w:space="0" w:color="auto"/>
            </w:tcBorders>
          </w:tcPr>
          <w:p w:rsidR="00B6096F" w:rsidRDefault="00B6096F" w:rsidP="001237DB">
            <w:pPr>
              <w:suppressAutoHyphens/>
              <w:autoSpaceDE w:val="0"/>
              <w:autoSpaceDN w:val="0"/>
            </w:pPr>
          </w:p>
        </w:tc>
        <w:tc>
          <w:tcPr>
            <w:tcW w:w="1746" w:type="dxa"/>
            <w:tcBorders>
              <w:bottom w:val="single" w:sz="4" w:space="0" w:color="auto"/>
            </w:tcBorders>
            <w:vAlign w:val="center"/>
          </w:tcPr>
          <w:p w:rsidR="00B6096F" w:rsidRDefault="00B6096F" w:rsidP="001237DB">
            <w:pPr>
              <w:suppressAutoHyphens/>
              <w:autoSpaceDE w:val="0"/>
              <w:autoSpaceDN w:val="0"/>
              <w:jc w:val="right"/>
            </w:pPr>
            <w:r>
              <w:t>(204)</w:t>
            </w:r>
          </w:p>
        </w:tc>
      </w:tr>
      <w:tr w:rsidR="00B6096F" w:rsidTr="00EE60E9">
        <w:trPr>
          <w:trHeight w:val="65"/>
          <w:jc w:val="center"/>
        </w:trPr>
        <w:tc>
          <w:tcPr>
            <w:tcW w:w="2160" w:type="dxa"/>
            <w:tcBorders>
              <w:top w:val="single" w:sz="4" w:space="0" w:color="auto"/>
            </w:tcBorders>
            <w:vAlign w:val="center"/>
          </w:tcPr>
          <w:p w:rsidR="00B6096F" w:rsidRDefault="00B6096F" w:rsidP="001237DB">
            <w:pPr>
              <w:suppressAutoHyphens/>
              <w:autoSpaceDE w:val="0"/>
              <w:autoSpaceDN w:val="0"/>
              <w:jc w:val="center"/>
            </w:pPr>
          </w:p>
        </w:tc>
        <w:tc>
          <w:tcPr>
            <w:tcW w:w="288" w:type="dxa"/>
            <w:tcBorders>
              <w:top w:val="nil"/>
              <w:bottom w:val="single" w:sz="4" w:space="0" w:color="auto"/>
            </w:tcBorders>
          </w:tcPr>
          <w:p w:rsidR="00B6096F" w:rsidRDefault="00B6096F" w:rsidP="001237DB">
            <w:pPr>
              <w:suppressAutoHyphens/>
              <w:autoSpaceDE w:val="0"/>
              <w:autoSpaceDN w:val="0"/>
            </w:pPr>
          </w:p>
        </w:tc>
        <w:tc>
          <w:tcPr>
            <w:tcW w:w="1618" w:type="dxa"/>
            <w:tcBorders>
              <w:top w:val="single" w:sz="4" w:space="0" w:color="auto"/>
              <w:bottom w:val="single" w:sz="4" w:space="0" w:color="auto"/>
            </w:tcBorders>
          </w:tcPr>
          <w:p w:rsidR="00B6096F" w:rsidRDefault="00B6096F" w:rsidP="001237DB">
            <w:pPr>
              <w:suppressAutoHyphens/>
              <w:autoSpaceDE w:val="0"/>
              <w:autoSpaceDN w:val="0"/>
            </w:pPr>
            <w:r>
              <w:t>Total</w:t>
            </w:r>
          </w:p>
        </w:tc>
        <w:tc>
          <w:tcPr>
            <w:tcW w:w="236" w:type="dxa"/>
            <w:tcBorders>
              <w:top w:val="single" w:sz="4" w:space="0" w:color="auto"/>
              <w:bottom w:val="single" w:sz="4" w:space="0" w:color="auto"/>
            </w:tcBorders>
          </w:tcPr>
          <w:p w:rsidR="00B6096F" w:rsidRDefault="00B6096F" w:rsidP="001237DB">
            <w:pPr>
              <w:suppressAutoHyphens/>
              <w:autoSpaceDE w:val="0"/>
              <w:autoSpaceDN w:val="0"/>
            </w:pPr>
          </w:p>
        </w:tc>
        <w:tc>
          <w:tcPr>
            <w:tcW w:w="916" w:type="dxa"/>
            <w:tcBorders>
              <w:top w:val="single" w:sz="4" w:space="0" w:color="auto"/>
              <w:bottom w:val="single" w:sz="4" w:space="0" w:color="auto"/>
            </w:tcBorders>
            <w:vAlign w:val="center"/>
          </w:tcPr>
          <w:p w:rsidR="00B6096F" w:rsidRDefault="00B6096F" w:rsidP="001237DB">
            <w:pPr>
              <w:suppressAutoHyphens/>
              <w:autoSpaceDE w:val="0"/>
              <w:autoSpaceDN w:val="0"/>
              <w:jc w:val="right"/>
            </w:pPr>
            <w:r>
              <w:t>48,000</w:t>
            </w:r>
          </w:p>
        </w:tc>
        <w:tc>
          <w:tcPr>
            <w:tcW w:w="236" w:type="dxa"/>
            <w:tcBorders>
              <w:top w:val="single" w:sz="4" w:space="0" w:color="auto"/>
              <w:bottom w:val="single" w:sz="4" w:space="0" w:color="auto"/>
            </w:tcBorders>
          </w:tcPr>
          <w:p w:rsidR="00B6096F" w:rsidRDefault="00B6096F" w:rsidP="001237DB">
            <w:pPr>
              <w:suppressAutoHyphens/>
              <w:autoSpaceDE w:val="0"/>
              <w:autoSpaceDN w:val="0"/>
            </w:pPr>
          </w:p>
        </w:tc>
        <w:tc>
          <w:tcPr>
            <w:tcW w:w="1746" w:type="dxa"/>
            <w:tcBorders>
              <w:top w:val="single" w:sz="4" w:space="0" w:color="auto"/>
              <w:bottom w:val="single" w:sz="4" w:space="0" w:color="auto"/>
            </w:tcBorders>
            <w:vAlign w:val="center"/>
          </w:tcPr>
          <w:p w:rsidR="00B6096F" w:rsidRDefault="00B6096F" w:rsidP="001237DB">
            <w:pPr>
              <w:suppressAutoHyphens/>
              <w:autoSpaceDE w:val="0"/>
              <w:autoSpaceDN w:val="0"/>
              <w:jc w:val="right"/>
            </w:pPr>
            <w:r>
              <w:t>48,000</w:t>
            </w:r>
          </w:p>
        </w:tc>
      </w:tr>
    </w:tbl>
    <w:p w:rsidR="00B6096F" w:rsidRDefault="00B6096F" w:rsidP="00B6096F">
      <w:pPr>
        <w:suppressAutoHyphens/>
        <w:autoSpaceDE w:val="0"/>
        <w:autoSpaceDN w:val="0"/>
        <w:spacing w:after="0" w:line="360" w:lineRule="auto"/>
      </w:pPr>
    </w:p>
    <w:p w:rsidR="00B6096F" w:rsidRDefault="00B6096F" w:rsidP="00B6096F">
      <w:pPr>
        <w:suppressAutoHyphens/>
        <w:autoSpaceDE w:val="0"/>
        <w:autoSpaceDN w:val="0"/>
        <w:spacing w:after="0" w:line="360" w:lineRule="auto"/>
      </w:pPr>
    </w:p>
    <w:p w:rsidR="00B6096F" w:rsidRDefault="00B6096F" w:rsidP="00B6096F">
      <w:pPr>
        <w:suppressAutoHyphens/>
        <w:autoSpaceDE w:val="0"/>
        <w:autoSpaceDN w:val="0"/>
        <w:spacing w:after="0" w:line="360" w:lineRule="auto"/>
      </w:pPr>
    </w:p>
    <w:p w:rsidR="00B6096F" w:rsidRDefault="00B6096F" w:rsidP="00B6096F">
      <w:pPr>
        <w:suppressAutoHyphens/>
        <w:autoSpaceDE w:val="0"/>
        <w:autoSpaceDN w:val="0"/>
        <w:spacing w:after="0" w:line="360" w:lineRule="auto"/>
      </w:pPr>
    </w:p>
    <w:p w:rsidR="00B6096F" w:rsidRDefault="00B6096F" w:rsidP="00B6096F">
      <w:pPr>
        <w:suppressAutoHyphens/>
        <w:autoSpaceDE w:val="0"/>
        <w:autoSpaceDN w:val="0"/>
        <w:spacing w:after="0" w:line="360" w:lineRule="auto"/>
      </w:pPr>
    </w:p>
    <w:p w:rsidR="009259DE" w:rsidRDefault="009259DE" w:rsidP="00B6096F">
      <w:pPr>
        <w:suppressAutoHyphens/>
        <w:autoSpaceDE w:val="0"/>
        <w:autoSpaceDN w:val="0"/>
        <w:spacing w:after="0" w:line="360" w:lineRule="auto"/>
      </w:pPr>
    </w:p>
    <w:p w:rsidR="00B6096F" w:rsidRDefault="00B6096F" w:rsidP="005727E4">
      <w:pPr>
        <w:suppressAutoHyphens/>
        <w:autoSpaceDE w:val="0"/>
        <w:autoSpaceDN w:val="0"/>
        <w:spacing w:before="240" w:after="0" w:line="360" w:lineRule="auto"/>
      </w:pPr>
      <w:r>
        <w:tab/>
      </w:r>
      <w:r>
        <w:tab/>
        <w:t xml:space="preserve">The Company further argues, “Given these considerations, Duquesne Light believes that the revenue allocation under the Settlement is fully consistent with the Commonwealth Court’s decision in </w:t>
      </w:r>
      <w:r w:rsidRPr="00E91581">
        <w:rPr>
          <w:i/>
        </w:rPr>
        <w:t xml:space="preserve">Lloyd v. </w:t>
      </w:r>
      <w:r w:rsidRPr="00A638AB">
        <w:rPr>
          <w:rFonts w:eastAsia="Times New Roman"/>
          <w:i/>
          <w:szCs w:val="24"/>
        </w:rPr>
        <w:t>P</w:t>
      </w:r>
      <w:r>
        <w:rPr>
          <w:rFonts w:eastAsia="Times New Roman"/>
          <w:i/>
          <w:szCs w:val="24"/>
        </w:rPr>
        <w:t>a. Pub. Util. Comm’n,</w:t>
      </w:r>
      <w:r w:rsidRPr="00A638AB">
        <w:rPr>
          <w:rFonts w:eastAsia="Times New Roman"/>
          <w:i/>
          <w:szCs w:val="24"/>
        </w:rPr>
        <w:t xml:space="preserve"> </w:t>
      </w:r>
      <w:r>
        <w:t>904 A.2d 1010 (Pa.Cmwlth. 2006) (“</w:t>
      </w:r>
      <w:r w:rsidR="009D3543">
        <w:rPr>
          <w:i/>
        </w:rPr>
        <w:t>Lloyd”</w:t>
      </w:r>
      <w:r>
        <w:t xml:space="preserve">) and prior Court precedent regarding revenue allocation.  In compliance with Lloyd, the Settlement moves all rate classes closer to a system average return based (on) class cost of service study.”  </w:t>
      </w:r>
      <w:r>
        <w:rPr>
          <w:i/>
        </w:rPr>
        <w:t xml:space="preserve">Id. </w:t>
      </w:r>
      <w:r>
        <w:t xml:space="preserve">at 17.   The undersigned agrees with the Company’s argument to the extent that the evidence establishes that the revenue allocation is within the range proposed by the Settling Parties. </w:t>
      </w:r>
    </w:p>
    <w:p w:rsidR="00B6096F" w:rsidRDefault="00B6096F" w:rsidP="00B6096F">
      <w:pPr>
        <w:suppressAutoHyphens/>
        <w:autoSpaceDE w:val="0"/>
        <w:autoSpaceDN w:val="0"/>
        <w:spacing w:after="0" w:line="360" w:lineRule="auto"/>
      </w:pPr>
    </w:p>
    <w:p w:rsidR="00B6096F" w:rsidRDefault="00B6096F" w:rsidP="00B6096F">
      <w:pPr>
        <w:suppressAutoHyphens/>
        <w:autoSpaceDE w:val="0"/>
        <w:autoSpaceDN w:val="0"/>
        <w:spacing w:after="0" w:line="360" w:lineRule="auto"/>
      </w:pPr>
      <w:r>
        <w:tab/>
      </w:r>
      <w:r>
        <w:tab/>
        <w:t>Although NRG filed an objection to the Settlement, it does not contest any specific Settlement provision concerning revenue requirement, rate design, allocation, universal service and customer service</w:t>
      </w:r>
      <w:r w:rsidR="00093513">
        <w:t>,</w:t>
      </w:r>
      <w:r>
        <w:t xml:space="preserve"> the LED program, or state tax adjustment surcharge.  NRG </w:t>
      </w:r>
      <w:r>
        <w:lastRenderedPageBreak/>
        <w:t xml:space="preserve">Companies specifically stated, “Upon consideration of the evidence elicited at the hearings in this proceeding, the NRG Companies have decided not to contest the various non-unanimous settlement issues identified in the common brief outline circulated by Duquesne Light to the parties.”  NRG Main Brief, p. 7.  The crux of NRG’s objection is </w:t>
      </w:r>
      <w:r w:rsidR="006761C3">
        <w:t xml:space="preserve">the </w:t>
      </w:r>
      <w:r>
        <w:t>omission of any consideration of Duquesne Light’s Rider No. 18 from the Settlement terms.  Objections of the NRG Companies To The Joint Petition For Non-Unanimous Settlement, p. 3.</w:t>
      </w:r>
    </w:p>
    <w:p w:rsidR="00B6096F" w:rsidRDefault="00B6096F" w:rsidP="00B6096F">
      <w:pPr>
        <w:suppressAutoHyphens/>
        <w:autoSpaceDE w:val="0"/>
        <w:autoSpaceDN w:val="0"/>
        <w:spacing w:after="0" w:line="360" w:lineRule="auto"/>
      </w:pPr>
    </w:p>
    <w:p w:rsidR="00B6096F" w:rsidRDefault="00B6096F" w:rsidP="00B6096F">
      <w:pPr>
        <w:suppressAutoHyphens/>
        <w:autoSpaceDE w:val="0"/>
        <w:autoSpaceDN w:val="0"/>
        <w:spacing w:after="0" w:line="240" w:lineRule="auto"/>
        <w:ind w:left="1440" w:right="1080"/>
      </w:pPr>
      <w:r>
        <w:t>The OCA submits that since NRG did not challenge any specific provision in the Settlement relating to revenue requirement, rate design, allocation, universal service and customer service</w:t>
      </w:r>
      <w:r w:rsidR="00093513">
        <w:t>,</w:t>
      </w:r>
      <w:r>
        <w:t xml:space="preserve"> the LED program, or state tax adjustment surcharge, there is no need to address these aspects of the Settlement in response to the NRG Objection. . . . .   The OCA submits, however, that comprehensive settlements are not always achievable, and in such instances a partial settlement may be achieved, with remaining issues carved out for litigation.  The Commission has approved such settlements.  </w:t>
      </w:r>
      <w:r w:rsidRPr="00B048B8">
        <w:rPr>
          <w:u w:val="single"/>
        </w:rPr>
        <w:t>See</w:t>
      </w:r>
      <w:r>
        <w:t xml:space="preserve"> </w:t>
      </w:r>
      <w:r w:rsidRPr="00B048B8">
        <w:rPr>
          <w:u w:val="single"/>
        </w:rPr>
        <w:t>e.g.</w:t>
      </w:r>
      <w:r>
        <w:t xml:space="preserve"> </w:t>
      </w:r>
      <w:r w:rsidRPr="00B048B8">
        <w:rPr>
          <w:u w:val="single"/>
        </w:rPr>
        <w:t>PUC v. Columbia Gas of Pennsylvania, Inc.</w:t>
      </w:r>
      <w:r>
        <w:t xml:space="preserve">, Docket No. R-2010-2215623, Opinion and Order (Oct. 14, 2011 and March 15, 2012) (Commission approved partial settlement and decided litigated issues of residential rate design and CAP-Plus). </w:t>
      </w:r>
    </w:p>
    <w:p w:rsidR="00B6096F" w:rsidRDefault="00B6096F" w:rsidP="00B6096F">
      <w:pPr>
        <w:suppressAutoHyphens/>
        <w:autoSpaceDE w:val="0"/>
        <w:autoSpaceDN w:val="0"/>
        <w:spacing w:after="0" w:line="360" w:lineRule="auto"/>
        <w:ind w:left="1440" w:right="1080"/>
      </w:pPr>
    </w:p>
    <w:p w:rsidR="00B6096F" w:rsidRDefault="00B6096F" w:rsidP="00B6096F">
      <w:pPr>
        <w:suppressAutoHyphens/>
        <w:autoSpaceDE w:val="0"/>
        <w:autoSpaceDN w:val="0"/>
        <w:spacing w:after="0" w:line="360" w:lineRule="auto"/>
      </w:pPr>
      <w:r>
        <w:t>OCA’s Response to Objection of NRG to the Joint Petition for Approval of Non-Unanimous Settlement, p. 3.  OCA’s analysis has merit.  Thus, Duquesne Light’s Rider No. 18 provision m</w:t>
      </w:r>
      <w:r w:rsidR="008420E7">
        <w:t>ay</w:t>
      </w:r>
      <w:r>
        <w:t xml:space="preserve"> be examined </w:t>
      </w:r>
      <w:r w:rsidR="008420E7">
        <w:t xml:space="preserve">separately </w:t>
      </w:r>
      <w:r>
        <w:t>for compliance with the Commission’s regulatory scheme.</w:t>
      </w:r>
      <w:r w:rsidR="008420E7">
        <w:t xml:space="preserve">  As mentioned above, the Rider No. 18 issue has been severed and will be deferred for ruling.</w:t>
      </w:r>
    </w:p>
    <w:p w:rsidR="00B6096F" w:rsidRDefault="00B6096F" w:rsidP="00B6096F">
      <w:pPr>
        <w:suppressAutoHyphens/>
        <w:autoSpaceDE w:val="0"/>
        <w:autoSpaceDN w:val="0"/>
        <w:spacing w:after="0" w:line="360" w:lineRule="auto"/>
      </w:pPr>
    </w:p>
    <w:p w:rsidR="005B3370" w:rsidRDefault="00B6096F" w:rsidP="005B3370">
      <w:pPr>
        <w:suppressAutoHyphens/>
        <w:autoSpaceDE w:val="0"/>
        <w:autoSpaceDN w:val="0"/>
        <w:spacing w:after="0" w:line="360" w:lineRule="auto"/>
      </w:pPr>
      <w:r>
        <w:tab/>
      </w:r>
      <w:r>
        <w:tab/>
        <w:t>Accordingly</w:t>
      </w:r>
      <w:r w:rsidR="009D3543">
        <w:t>,</w:t>
      </w:r>
      <w:r>
        <w:t xml:space="preserve"> upon due consideration of the terms and conditions of the Joint Petition for Non-Unanimous Settlement, the Settlement constitutes a fair, just and reasonable resolution of the Commission’s investigation.  Therefore, the undersigned ALJ recommends that the Commission approve the Settlement as being in the public interest.</w:t>
      </w:r>
      <w:r>
        <w:tab/>
      </w:r>
    </w:p>
    <w:p w:rsidR="005B3370" w:rsidRDefault="005B3370" w:rsidP="005B3370">
      <w:pPr>
        <w:suppressAutoHyphens/>
        <w:autoSpaceDE w:val="0"/>
        <w:autoSpaceDN w:val="0"/>
        <w:spacing w:after="0" w:line="360" w:lineRule="auto"/>
      </w:pPr>
    </w:p>
    <w:p w:rsidR="005B3370" w:rsidRPr="009C6D70" w:rsidRDefault="005B3370" w:rsidP="005B3370">
      <w:pPr>
        <w:suppressAutoHyphens/>
        <w:autoSpaceDE w:val="0"/>
        <w:autoSpaceDN w:val="0"/>
        <w:spacing w:after="0" w:line="360" w:lineRule="auto"/>
        <w:jc w:val="center"/>
      </w:pPr>
      <w:r>
        <w:t>X</w:t>
      </w:r>
      <w:r w:rsidRPr="009C6D70">
        <w:t>.</w:t>
      </w:r>
      <w:r w:rsidRPr="009C6D70">
        <w:tab/>
      </w:r>
      <w:r w:rsidRPr="009C6D70">
        <w:rPr>
          <w:u w:val="single"/>
        </w:rPr>
        <w:t>CONCLUSIONS OF LAW</w:t>
      </w:r>
    </w:p>
    <w:p w:rsidR="005B3370" w:rsidRPr="009C6D70" w:rsidRDefault="005B3370" w:rsidP="005B3370">
      <w:pPr>
        <w:spacing w:after="0" w:line="360" w:lineRule="auto"/>
      </w:pPr>
    </w:p>
    <w:p w:rsidR="005B3370" w:rsidRDefault="005B3370" w:rsidP="005B3370">
      <w:pPr>
        <w:numPr>
          <w:ilvl w:val="0"/>
          <w:numId w:val="12"/>
        </w:numPr>
        <w:tabs>
          <w:tab w:val="clear" w:pos="720"/>
          <w:tab w:val="num" w:pos="0"/>
        </w:tabs>
        <w:spacing w:after="0" w:line="360" w:lineRule="auto"/>
        <w:ind w:left="0" w:firstLine="1440"/>
      </w:pPr>
      <w:r w:rsidRPr="009C6D70">
        <w:t>The Commission has jurisdiction over the subject matter and the part</w:t>
      </w:r>
      <w:r>
        <w:t>ies to this proceeding.  66 Pa.</w:t>
      </w:r>
      <w:r w:rsidRPr="009C6D70">
        <w:t xml:space="preserve">C.S. §§501, </w:t>
      </w:r>
      <w:r w:rsidRPr="009C6D70">
        <w:rPr>
          <w:i/>
        </w:rPr>
        <w:t>et seq</w:t>
      </w:r>
      <w:r w:rsidRPr="009C6D70">
        <w:t>.</w:t>
      </w:r>
    </w:p>
    <w:p w:rsidR="005B3370" w:rsidRPr="009C6D70" w:rsidRDefault="005B3370" w:rsidP="005B3370">
      <w:pPr>
        <w:spacing w:after="0" w:line="360" w:lineRule="auto"/>
      </w:pPr>
      <w:r>
        <w:lastRenderedPageBreak/>
        <w:tab/>
      </w:r>
      <w:r>
        <w:tab/>
        <w:t>2.</w:t>
      </w:r>
      <w:r>
        <w:tab/>
        <w:t>When the Commission institutes an investigation into a proposed rate or the public utility’s existing rates, rules and regulations, the public utility carries the burden of proof to establish its proposed or existing rates, rules and regulations are just, reasonable and in the public interest.  66 Pa.C.S. § 315(a).</w:t>
      </w:r>
    </w:p>
    <w:p w:rsidR="005B3370" w:rsidRPr="009C6D70" w:rsidRDefault="005B3370" w:rsidP="005B3370">
      <w:pPr>
        <w:spacing w:after="0" w:line="360" w:lineRule="auto"/>
      </w:pPr>
    </w:p>
    <w:p w:rsidR="005B3370" w:rsidRPr="009C6D70" w:rsidRDefault="005B3370" w:rsidP="005B3370">
      <w:pPr>
        <w:spacing w:after="0" w:line="360" w:lineRule="auto"/>
      </w:pPr>
      <w:r>
        <w:tab/>
      </w:r>
      <w:r>
        <w:tab/>
        <w:t>3.</w:t>
      </w:r>
      <w:r>
        <w:tab/>
        <w:t>T</w:t>
      </w:r>
      <w:r w:rsidRPr="009C6D70">
        <w:t xml:space="preserve">he Joint Petition for </w:t>
      </w:r>
      <w:r>
        <w:t xml:space="preserve">Non-Unanimous Settlement </w:t>
      </w:r>
      <w:r w:rsidRPr="009C6D70">
        <w:t xml:space="preserve">is in the public interest and is consistent with the requirements contained in </w:t>
      </w:r>
      <w:r w:rsidRPr="00037AF8">
        <w:rPr>
          <w:i/>
        </w:rPr>
        <w:t xml:space="preserve">Lloyd v. Pa. </w:t>
      </w:r>
      <w:r>
        <w:rPr>
          <w:i/>
        </w:rPr>
        <w:t>Pub Util</w:t>
      </w:r>
      <w:r w:rsidRPr="00037AF8">
        <w:rPr>
          <w:i/>
        </w:rPr>
        <w:t>.</w:t>
      </w:r>
      <w:r>
        <w:rPr>
          <w:i/>
        </w:rPr>
        <w:t xml:space="preserve"> </w:t>
      </w:r>
      <w:r w:rsidRPr="00037AF8">
        <w:rPr>
          <w:i/>
        </w:rPr>
        <w:t>C</w:t>
      </w:r>
      <w:r>
        <w:rPr>
          <w:i/>
        </w:rPr>
        <w:t>omm’n</w:t>
      </w:r>
      <w:r w:rsidRPr="00037AF8">
        <w:rPr>
          <w:i/>
        </w:rPr>
        <w:t>.</w:t>
      </w:r>
      <w:r>
        <w:t>, 904 A.2d 1010 (Pa.</w:t>
      </w:r>
      <w:r w:rsidRPr="009C6D70">
        <w:t>Cmwlth. 2006).</w:t>
      </w:r>
    </w:p>
    <w:p w:rsidR="005B3370" w:rsidRPr="009C6D70" w:rsidRDefault="005B3370" w:rsidP="005B3370">
      <w:pPr>
        <w:spacing w:after="0" w:line="360" w:lineRule="auto"/>
      </w:pPr>
    </w:p>
    <w:p w:rsidR="005B3370" w:rsidRDefault="005B3370" w:rsidP="005B3370">
      <w:pPr>
        <w:spacing w:after="0" w:line="360" w:lineRule="auto"/>
      </w:pPr>
    </w:p>
    <w:p w:rsidR="005B3370" w:rsidRPr="009C6D70" w:rsidRDefault="005B3370" w:rsidP="005B3370">
      <w:pPr>
        <w:spacing w:after="0" w:line="360" w:lineRule="auto"/>
        <w:jc w:val="center"/>
      </w:pPr>
      <w:r>
        <w:t>X</w:t>
      </w:r>
      <w:r w:rsidRPr="009C6D70">
        <w:t>I.</w:t>
      </w:r>
      <w:r w:rsidRPr="009C6D70">
        <w:tab/>
      </w:r>
      <w:r w:rsidRPr="009C6D70">
        <w:rPr>
          <w:u w:val="single"/>
        </w:rPr>
        <w:t>RECOMMENDED ORDER</w:t>
      </w:r>
    </w:p>
    <w:p w:rsidR="005B3370" w:rsidRPr="009C6D70" w:rsidRDefault="005B3370" w:rsidP="005B3370">
      <w:pPr>
        <w:spacing w:after="0" w:line="360" w:lineRule="auto"/>
      </w:pPr>
    </w:p>
    <w:p w:rsidR="005B3370" w:rsidRDefault="005B3370" w:rsidP="005B3370">
      <w:pPr>
        <w:spacing w:after="0" w:line="360" w:lineRule="auto"/>
      </w:pPr>
    </w:p>
    <w:p w:rsidR="005B3370" w:rsidRPr="009C6D70" w:rsidRDefault="005B3370" w:rsidP="005B3370">
      <w:pPr>
        <w:spacing w:after="0" w:line="360" w:lineRule="auto"/>
      </w:pPr>
      <w:r w:rsidRPr="009C6D70">
        <w:tab/>
      </w:r>
      <w:r w:rsidRPr="009C6D70">
        <w:tab/>
        <w:t>THEREFORE,</w:t>
      </w:r>
    </w:p>
    <w:p w:rsidR="005B3370" w:rsidRPr="009C6D70" w:rsidRDefault="005B3370" w:rsidP="005B3370">
      <w:pPr>
        <w:spacing w:after="0" w:line="360" w:lineRule="auto"/>
      </w:pPr>
    </w:p>
    <w:p w:rsidR="005B3370" w:rsidRPr="009C6D70" w:rsidRDefault="005B3370" w:rsidP="005B3370">
      <w:pPr>
        <w:spacing w:after="0" w:line="360" w:lineRule="auto"/>
      </w:pPr>
      <w:r w:rsidRPr="009C6D70">
        <w:tab/>
      </w:r>
      <w:r w:rsidRPr="009C6D70">
        <w:tab/>
        <w:t>IT IS RECOMMENDED:</w:t>
      </w:r>
    </w:p>
    <w:p w:rsidR="005B3370" w:rsidRPr="009C6D70" w:rsidRDefault="005B3370" w:rsidP="005B3370">
      <w:pPr>
        <w:spacing w:after="0" w:line="360" w:lineRule="auto"/>
      </w:pPr>
    </w:p>
    <w:p w:rsidR="005B3370" w:rsidRPr="009C6D70" w:rsidRDefault="005B3370" w:rsidP="005B3370">
      <w:pPr>
        <w:numPr>
          <w:ilvl w:val="0"/>
          <w:numId w:val="11"/>
        </w:numPr>
        <w:tabs>
          <w:tab w:val="clear" w:pos="720"/>
        </w:tabs>
        <w:spacing w:after="0" w:line="360" w:lineRule="auto"/>
        <w:ind w:left="0" w:firstLine="1440"/>
      </w:pPr>
      <w:r w:rsidRPr="009C6D70">
        <w:t xml:space="preserve">That the Joint Petition for </w:t>
      </w:r>
      <w:r>
        <w:t xml:space="preserve">Non-Unanimous Settlement submitted by </w:t>
      </w:r>
      <w:r w:rsidRPr="009C6D70">
        <w:t xml:space="preserve"> Duquesne Light Company, the </w:t>
      </w:r>
      <w:r>
        <w:t xml:space="preserve">Bureau of Investigation and Enforcement, </w:t>
      </w:r>
      <w:r w:rsidRPr="009C6D70">
        <w:t xml:space="preserve">the Office of Consumer Advocate, the Office of Small Business Advocate, </w:t>
      </w:r>
      <w:r>
        <w:t xml:space="preserve">the Coalition for Affordable Utility Service and Energy Efficiency in Pennsylvania, the </w:t>
      </w:r>
      <w:r w:rsidRPr="009C6D70">
        <w:t>Duquesne Industrial Intervenors</w:t>
      </w:r>
      <w:r>
        <w:t>, the Citizens for Pennsylvania’s Future, and the United States Steel Corporation at Docket No. R</w:t>
      </w:r>
      <w:r>
        <w:noBreakHyphen/>
        <w:t>2013</w:t>
      </w:r>
      <w:r>
        <w:noBreakHyphen/>
        <w:t>2372129 be</w:t>
      </w:r>
      <w:r w:rsidRPr="009C6D70">
        <w:t xml:space="preserve"> approved.  </w:t>
      </w:r>
    </w:p>
    <w:p w:rsidR="005B3370" w:rsidRPr="009C6D70" w:rsidRDefault="005B3370" w:rsidP="005B3370">
      <w:pPr>
        <w:spacing w:after="0" w:line="360" w:lineRule="auto"/>
        <w:ind w:firstLine="1440"/>
      </w:pPr>
    </w:p>
    <w:p w:rsidR="0032277C" w:rsidRDefault="005B3370" w:rsidP="0032277C">
      <w:pPr>
        <w:numPr>
          <w:ilvl w:val="0"/>
          <w:numId w:val="11"/>
        </w:numPr>
        <w:tabs>
          <w:tab w:val="clear" w:pos="720"/>
          <w:tab w:val="num" w:pos="0"/>
        </w:tabs>
        <w:spacing w:after="0" w:line="360" w:lineRule="auto"/>
        <w:ind w:left="0" w:firstLine="1440"/>
      </w:pPr>
      <w:r w:rsidRPr="009C6D70">
        <w:t xml:space="preserve">That Duquesne Light Company </w:t>
      </w:r>
      <w:r w:rsidR="008666C1">
        <w:t xml:space="preserve">shall be permitted </w:t>
      </w:r>
      <w:r w:rsidRPr="009C6D70">
        <w:t xml:space="preserve">to file the tariff attached as Appendix A to the Joint Petition for </w:t>
      </w:r>
      <w:r>
        <w:t>Non-Unanimous Settlement</w:t>
      </w:r>
      <w:r w:rsidRPr="009C6D70">
        <w:t xml:space="preserve">, </w:t>
      </w:r>
      <w:r w:rsidR="008666C1">
        <w:t xml:space="preserve">to </w:t>
      </w:r>
      <w:r>
        <w:t>become</w:t>
      </w:r>
      <w:r w:rsidRPr="009C6D70">
        <w:t xml:space="preserve"> effect</w:t>
      </w:r>
      <w:r>
        <w:t>ive</w:t>
      </w:r>
      <w:r w:rsidRPr="009C6D70">
        <w:t xml:space="preserve"> on </w:t>
      </w:r>
      <w:r w:rsidR="008666C1">
        <w:t xml:space="preserve">one day’s notice after entry of the Commission’s Order approving the Joint Petition for Non-Unanimous Settlement for service rendered on or after May 1, 2014.  </w:t>
      </w:r>
    </w:p>
    <w:p w:rsidR="008666C1" w:rsidRDefault="008666C1" w:rsidP="008666C1">
      <w:pPr>
        <w:pStyle w:val="ListParagraph"/>
      </w:pPr>
    </w:p>
    <w:p w:rsidR="0032277C" w:rsidRDefault="00C75376" w:rsidP="005B3370">
      <w:pPr>
        <w:numPr>
          <w:ilvl w:val="0"/>
          <w:numId w:val="11"/>
        </w:numPr>
        <w:tabs>
          <w:tab w:val="clear" w:pos="720"/>
          <w:tab w:val="num" w:pos="0"/>
        </w:tabs>
        <w:spacing w:after="0" w:line="360" w:lineRule="auto"/>
        <w:ind w:left="0" w:firstLine="1440"/>
      </w:pPr>
      <w:r>
        <w:t>That the following formal complaints consolidated with the Commission’s investigation at Docket No. R-2013-2372129 be deemed satisfied:</w:t>
      </w:r>
    </w:p>
    <w:p w:rsidR="00C75376" w:rsidRDefault="00C75376" w:rsidP="00C75376">
      <w:pPr>
        <w:pStyle w:val="ListParagraph"/>
      </w:pPr>
    </w:p>
    <w:p w:rsidR="00C75376" w:rsidRDefault="00C75376" w:rsidP="00C75376">
      <w:pPr>
        <w:spacing w:after="0" w:line="360" w:lineRule="auto"/>
        <w:ind w:left="1440"/>
      </w:pPr>
      <w:r>
        <w:t>Office of Consumer Advocate at Docket No. C-2013-2379084;</w:t>
      </w:r>
    </w:p>
    <w:p w:rsidR="00C75376" w:rsidRDefault="00C75376" w:rsidP="00C75376">
      <w:pPr>
        <w:spacing w:after="0" w:line="360" w:lineRule="auto"/>
        <w:ind w:left="1440"/>
      </w:pPr>
      <w:r>
        <w:t>Office of Small Business Advocate at Docket No. C-2013-2380474; and</w:t>
      </w:r>
    </w:p>
    <w:p w:rsidR="00C75376" w:rsidRDefault="00C75376" w:rsidP="00C75376">
      <w:pPr>
        <w:spacing w:after="0" w:line="360" w:lineRule="auto"/>
        <w:ind w:left="1440"/>
      </w:pPr>
      <w:r>
        <w:t>Duquesne Industrial Intervenors at Docket No. C-2013-2385292.</w:t>
      </w:r>
    </w:p>
    <w:p w:rsidR="00C75376" w:rsidRDefault="00C75376" w:rsidP="00C75376">
      <w:pPr>
        <w:spacing w:after="0" w:line="360" w:lineRule="auto"/>
        <w:ind w:left="1440"/>
      </w:pPr>
    </w:p>
    <w:p w:rsidR="00C75376" w:rsidRDefault="00C75376" w:rsidP="00C75376">
      <w:pPr>
        <w:pStyle w:val="ListParagraph"/>
        <w:numPr>
          <w:ilvl w:val="0"/>
          <w:numId w:val="11"/>
        </w:numPr>
        <w:tabs>
          <w:tab w:val="clear" w:pos="720"/>
        </w:tabs>
        <w:spacing w:after="0" w:line="360" w:lineRule="auto"/>
        <w:ind w:left="0" w:firstLine="1350"/>
      </w:pPr>
      <w:r>
        <w:t>That the following formal complaint consolidated with the Commission’s investigation at Docket No. R-2013-2372129 be dismissed.</w:t>
      </w:r>
    </w:p>
    <w:p w:rsidR="00C75376" w:rsidRDefault="00C75376" w:rsidP="00C75376">
      <w:pPr>
        <w:spacing w:after="0" w:line="360" w:lineRule="auto"/>
        <w:ind w:left="1440"/>
      </w:pPr>
    </w:p>
    <w:p w:rsidR="00C75376" w:rsidRDefault="00C75376" w:rsidP="00C75376">
      <w:pPr>
        <w:spacing w:after="0" w:line="360" w:lineRule="auto"/>
        <w:ind w:left="1440"/>
      </w:pPr>
      <w:r>
        <w:t>Jacquelyn and Robert Miller at No. C-2013-2383835;</w:t>
      </w:r>
    </w:p>
    <w:p w:rsidR="00C75376" w:rsidRDefault="00C75376" w:rsidP="00C75376">
      <w:pPr>
        <w:spacing w:after="0" w:line="360" w:lineRule="auto"/>
        <w:ind w:left="1440"/>
      </w:pPr>
      <w:r>
        <w:t>Gwendolyn  L. LeVert at No. C-2013-2383980;</w:t>
      </w:r>
    </w:p>
    <w:p w:rsidR="00C75376" w:rsidRDefault="00C75376" w:rsidP="00C75376">
      <w:pPr>
        <w:spacing w:after="0" w:line="360" w:lineRule="auto"/>
        <w:ind w:left="1440"/>
      </w:pPr>
      <w:r>
        <w:t>Aimee-Marie Dorsten at No. C-2013-2386037; and</w:t>
      </w:r>
    </w:p>
    <w:p w:rsidR="00C75376" w:rsidRDefault="00C75376" w:rsidP="00C75376">
      <w:pPr>
        <w:spacing w:after="0" w:line="360" w:lineRule="auto"/>
        <w:ind w:left="1440"/>
      </w:pPr>
      <w:r>
        <w:t>Connie Schiavo at No. C-2013-2386284.</w:t>
      </w:r>
    </w:p>
    <w:p w:rsidR="00C75376" w:rsidRDefault="00C75376" w:rsidP="00C75376">
      <w:pPr>
        <w:spacing w:after="0" w:line="360" w:lineRule="auto"/>
        <w:ind w:left="1440"/>
      </w:pPr>
    </w:p>
    <w:p w:rsidR="00A953CF" w:rsidRDefault="00C75376" w:rsidP="00BF380F">
      <w:pPr>
        <w:pStyle w:val="ListParagraph"/>
        <w:numPr>
          <w:ilvl w:val="0"/>
          <w:numId w:val="11"/>
        </w:numPr>
        <w:tabs>
          <w:tab w:val="clear" w:pos="720"/>
        </w:tabs>
        <w:spacing w:after="0" w:line="360" w:lineRule="auto"/>
        <w:ind w:left="0" w:firstLine="1440"/>
      </w:pPr>
      <w:r>
        <w:t xml:space="preserve">That the </w:t>
      </w:r>
      <w:r w:rsidR="00A953CF">
        <w:t>Rider No. 18 portion of the Complaint of NRG Power Midwest LP, NRG Energy Center Pittsburgh LLC and Reliant Energy Northeast LLC at Docket No. C</w:t>
      </w:r>
      <w:r w:rsidR="00A953CF">
        <w:noBreakHyphen/>
        <w:t>2013-2390562 be held in abeyance by the Commission for resolution in a separate recommended decision.</w:t>
      </w:r>
    </w:p>
    <w:p w:rsidR="00A953CF" w:rsidRDefault="00A953CF" w:rsidP="00BF380F">
      <w:pPr>
        <w:pStyle w:val="ListParagraph"/>
        <w:spacing w:after="0" w:line="360" w:lineRule="auto"/>
        <w:ind w:left="1440"/>
      </w:pPr>
    </w:p>
    <w:p w:rsidR="00A953CF" w:rsidRDefault="00A953CF" w:rsidP="00BF380F">
      <w:pPr>
        <w:pStyle w:val="ListParagraph"/>
        <w:numPr>
          <w:ilvl w:val="0"/>
          <w:numId w:val="11"/>
        </w:numPr>
        <w:tabs>
          <w:tab w:val="clear" w:pos="720"/>
        </w:tabs>
        <w:spacing w:after="0" w:line="360" w:lineRule="auto"/>
        <w:ind w:left="0" w:firstLine="1440"/>
      </w:pPr>
      <w:r>
        <w:t>That there is a sufficient record to resolve in a separate recommended decision the Rider No. 18 portion of the Complaint of NRG Power Midwest LP, NRG Energy Center Pittsburgh LLC and Reliant Energy Northeast LLC at Docket No. C-2013-2390562.</w:t>
      </w:r>
    </w:p>
    <w:p w:rsidR="00A953CF" w:rsidRDefault="00A953CF" w:rsidP="00BF380F">
      <w:pPr>
        <w:pStyle w:val="ListParagraph"/>
        <w:spacing w:after="0" w:line="360" w:lineRule="auto"/>
      </w:pPr>
    </w:p>
    <w:p w:rsidR="00A953CF" w:rsidRDefault="00A953CF" w:rsidP="00BF380F">
      <w:pPr>
        <w:pStyle w:val="ListParagraph"/>
        <w:numPr>
          <w:ilvl w:val="0"/>
          <w:numId w:val="11"/>
        </w:numPr>
        <w:tabs>
          <w:tab w:val="clear" w:pos="720"/>
        </w:tabs>
        <w:spacing w:after="0" w:line="360" w:lineRule="auto"/>
        <w:ind w:left="0" w:firstLine="1440"/>
      </w:pPr>
      <w:r>
        <w:t xml:space="preserve">That the </w:t>
      </w:r>
      <w:r w:rsidR="00C75376">
        <w:t xml:space="preserve">formal complaint of NRG Power Midwest LP, NRG Energy Center Pittsburgh LLC, and Reliant Energy Northeast LLC (collectively NRG or NRG Companies) at No. C-2013-2390562 be </w:t>
      </w:r>
      <w:r>
        <w:t xml:space="preserve">resolved in a separate recommended decision based upon the existing record. </w:t>
      </w:r>
    </w:p>
    <w:p w:rsidR="00A953CF" w:rsidRDefault="00A953CF" w:rsidP="00BF380F">
      <w:pPr>
        <w:pStyle w:val="ListParagraph"/>
        <w:spacing w:after="0" w:line="360" w:lineRule="auto"/>
      </w:pPr>
    </w:p>
    <w:p w:rsidR="00BF380F" w:rsidRDefault="00BF380F">
      <w:r>
        <w:br w:type="page"/>
      </w:r>
    </w:p>
    <w:p w:rsidR="00C75376" w:rsidRDefault="00BF380F" w:rsidP="00BF380F">
      <w:pPr>
        <w:pStyle w:val="ListParagraph"/>
        <w:numPr>
          <w:ilvl w:val="0"/>
          <w:numId w:val="11"/>
        </w:numPr>
        <w:tabs>
          <w:tab w:val="clear" w:pos="720"/>
        </w:tabs>
        <w:spacing w:after="0" w:line="360" w:lineRule="auto"/>
        <w:ind w:left="0" w:firstLine="1440"/>
      </w:pPr>
      <w:r>
        <w:lastRenderedPageBreak/>
        <w:t>That upon the Commission’s consideration of the recommendations in Paragraphs 5, 6 and 7 of this Recommended Order, it is recommended that the</w:t>
      </w:r>
      <w:r w:rsidR="008666C1">
        <w:t xml:space="preserve"> base rate</w:t>
      </w:r>
      <w:r>
        <w:t xml:space="preserve"> investigation be closed at Docket No. R-2013-2372129.  </w:t>
      </w:r>
    </w:p>
    <w:p w:rsidR="00C75376" w:rsidRDefault="00C75376" w:rsidP="00BF380F">
      <w:pPr>
        <w:spacing w:after="0" w:line="360" w:lineRule="auto"/>
        <w:ind w:left="1440"/>
      </w:pPr>
    </w:p>
    <w:p w:rsidR="005B3370" w:rsidRDefault="005B3370" w:rsidP="005B3370">
      <w:pPr>
        <w:pStyle w:val="ListParagraph"/>
      </w:pPr>
    </w:p>
    <w:p w:rsidR="004D136E" w:rsidRDefault="005B3370" w:rsidP="005B3370">
      <w:pPr>
        <w:spacing w:after="0" w:line="240" w:lineRule="auto"/>
        <w:rPr>
          <w:szCs w:val="24"/>
          <w:u w:val="single"/>
        </w:rPr>
      </w:pPr>
      <w:r>
        <w:rPr>
          <w:szCs w:val="24"/>
        </w:rPr>
        <w:t xml:space="preserve">Date:  </w:t>
      </w:r>
      <w:r w:rsidRPr="005B3370">
        <w:rPr>
          <w:szCs w:val="24"/>
          <w:u w:val="single"/>
        </w:rPr>
        <w:t>March 2</w:t>
      </w:r>
      <w:r w:rsidR="00B042C5">
        <w:rPr>
          <w:szCs w:val="24"/>
          <w:u w:val="single"/>
        </w:rPr>
        <w:t>7</w:t>
      </w:r>
      <w:r w:rsidRPr="005B3370">
        <w:rPr>
          <w:szCs w:val="24"/>
          <w:u w:val="single"/>
        </w:rPr>
        <w:t>, 2014</w:t>
      </w:r>
      <w:r>
        <w:rPr>
          <w:szCs w:val="24"/>
        </w:rPr>
        <w:tab/>
      </w:r>
      <w:r>
        <w:rPr>
          <w:szCs w:val="24"/>
        </w:rPr>
        <w:tab/>
      </w:r>
      <w:r>
        <w:rPr>
          <w:szCs w:val="24"/>
        </w:rPr>
        <w:tab/>
      </w:r>
      <w:r>
        <w:rPr>
          <w:szCs w:val="24"/>
        </w:rPr>
        <w:tab/>
      </w:r>
      <w:r>
        <w:rPr>
          <w:szCs w:val="24"/>
          <w:u w:val="single"/>
        </w:rPr>
        <w:tab/>
      </w:r>
      <w:r>
        <w:rPr>
          <w:szCs w:val="24"/>
          <w:u w:val="single"/>
        </w:rPr>
        <w:tab/>
        <w:t>/s/</w:t>
      </w:r>
      <w:r>
        <w:rPr>
          <w:szCs w:val="24"/>
          <w:u w:val="single"/>
        </w:rPr>
        <w:tab/>
      </w:r>
      <w:r>
        <w:rPr>
          <w:szCs w:val="24"/>
          <w:u w:val="single"/>
        </w:rPr>
        <w:tab/>
      </w:r>
      <w:r>
        <w:rPr>
          <w:szCs w:val="24"/>
          <w:u w:val="single"/>
        </w:rPr>
        <w:tab/>
      </w:r>
    </w:p>
    <w:p w:rsidR="005B3370" w:rsidRDefault="005B3370" w:rsidP="005B3370">
      <w:pPr>
        <w:spacing w:after="0"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t>Conrad A. Johnson</w:t>
      </w:r>
    </w:p>
    <w:p w:rsidR="005B3370" w:rsidRPr="005B3370" w:rsidRDefault="005B3370" w:rsidP="005B3370">
      <w:pPr>
        <w:spacing w:after="0"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t>Administrative Law Judge</w:t>
      </w:r>
    </w:p>
    <w:sectPr w:rsidR="005B3370" w:rsidRPr="005B3370" w:rsidSect="003755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381" w:rsidRDefault="00E46381" w:rsidP="00441505">
      <w:pPr>
        <w:spacing w:after="0" w:line="240" w:lineRule="auto"/>
      </w:pPr>
      <w:r>
        <w:separator/>
      </w:r>
    </w:p>
  </w:endnote>
  <w:endnote w:type="continuationSeparator" w:id="0">
    <w:p w:rsidR="00E46381" w:rsidRDefault="00E46381" w:rsidP="00441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D5D" w:rsidRDefault="00466D5D" w:rsidP="00154E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6D5D" w:rsidRDefault="00466D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373061"/>
      <w:docPartObj>
        <w:docPartGallery w:val="Page Numbers (Bottom of Page)"/>
        <w:docPartUnique/>
      </w:docPartObj>
    </w:sdtPr>
    <w:sdtEndPr>
      <w:rPr>
        <w:noProof/>
        <w:sz w:val="20"/>
        <w:szCs w:val="20"/>
      </w:rPr>
    </w:sdtEndPr>
    <w:sdtContent>
      <w:p w:rsidR="00466D5D" w:rsidRPr="00375510" w:rsidRDefault="00466D5D">
        <w:pPr>
          <w:pStyle w:val="Footer"/>
          <w:jc w:val="center"/>
          <w:rPr>
            <w:sz w:val="20"/>
            <w:szCs w:val="20"/>
          </w:rPr>
        </w:pPr>
        <w:r w:rsidRPr="00375510">
          <w:rPr>
            <w:sz w:val="20"/>
            <w:szCs w:val="20"/>
          </w:rPr>
          <w:fldChar w:fldCharType="begin"/>
        </w:r>
        <w:r w:rsidRPr="00375510">
          <w:rPr>
            <w:sz w:val="20"/>
            <w:szCs w:val="20"/>
          </w:rPr>
          <w:instrText xml:space="preserve"> PAGE   \* MERGEFORMAT </w:instrText>
        </w:r>
        <w:r w:rsidRPr="00375510">
          <w:rPr>
            <w:sz w:val="20"/>
            <w:szCs w:val="20"/>
          </w:rPr>
          <w:fldChar w:fldCharType="separate"/>
        </w:r>
        <w:r w:rsidR="00693083">
          <w:rPr>
            <w:noProof/>
            <w:sz w:val="20"/>
            <w:szCs w:val="20"/>
          </w:rPr>
          <w:t>61</w:t>
        </w:r>
        <w:r w:rsidRPr="00375510">
          <w:rPr>
            <w:noProof/>
            <w:sz w:val="20"/>
            <w:szCs w:val="20"/>
          </w:rPr>
          <w:fldChar w:fldCharType="end"/>
        </w:r>
      </w:p>
    </w:sdtContent>
  </w:sdt>
  <w:p w:rsidR="00466D5D" w:rsidRDefault="00466D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D5D" w:rsidRDefault="00466D5D">
    <w:pPr>
      <w:pStyle w:val="Footer"/>
      <w:jc w:val="center"/>
    </w:pPr>
  </w:p>
  <w:p w:rsidR="00466D5D" w:rsidRDefault="00466D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381" w:rsidRDefault="00E46381" w:rsidP="00441505">
      <w:pPr>
        <w:spacing w:after="0" w:line="240" w:lineRule="auto"/>
      </w:pPr>
      <w:r>
        <w:separator/>
      </w:r>
    </w:p>
  </w:footnote>
  <w:footnote w:type="continuationSeparator" w:id="0">
    <w:p w:rsidR="00E46381" w:rsidRDefault="00E46381" w:rsidP="00441505">
      <w:pPr>
        <w:spacing w:after="0" w:line="240" w:lineRule="auto"/>
      </w:pPr>
      <w:r>
        <w:continuationSeparator/>
      </w:r>
    </w:p>
  </w:footnote>
  <w:footnote w:id="1">
    <w:p w:rsidR="00466D5D" w:rsidRDefault="00466D5D" w:rsidP="0041634D">
      <w:pPr>
        <w:pStyle w:val="FootnoteText"/>
        <w:ind w:firstLine="720"/>
      </w:pPr>
      <w:r>
        <w:rPr>
          <w:rStyle w:val="FootnoteReference"/>
        </w:rPr>
        <w:footnoteRef/>
      </w:r>
      <w:r>
        <w:t xml:space="preserve"> </w:t>
      </w:r>
      <w:r>
        <w:tab/>
        <w:t>The Public Input Hearing Notice was issued on October 10, 2013.  The public input hearing was conducted on Monday, October 28, 2013 at 6:30 p.m. near Pittsburgh in the Borough of Green Tree Municipal Building.  No testimony was offered by those in attendance.  However, two customers made statements objecting to the proposed rate increase.</w:t>
      </w:r>
    </w:p>
  </w:footnote>
  <w:footnote w:id="2">
    <w:p w:rsidR="00466D5D" w:rsidRDefault="00466D5D" w:rsidP="0041634D">
      <w:pPr>
        <w:pStyle w:val="FootnoteText"/>
        <w:ind w:firstLine="720"/>
      </w:pPr>
      <w:r>
        <w:rPr>
          <w:rStyle w:val="FootnoteReference"/>
        </w:rPr>
        <w:footnoteRef/>
      </w:r>
      <w:r>
        <w:t xml:space="preserve"> </w:t>
      </w:r>
      <w:r>
        <w:tab/>
        <w:t>On December 23, 2013, Duquesne Light filed a brief in support of its petition for interlocutory review, and Beaver Falls Authority also filed a brief in support of Duquesne Light’s petition.  On the same day, NRG filed a brief in opposition to the petition.</w:t>
      </w:r>
    </w:p>
    <w:p w:rsidR="00466D5D" w:rsidRDefault="00466D5D">
      <w:pPr>
        <w:pStyle w:val="FootnoteText"/>
      </w:pPr>
    </w:p>
  </w:footnote>
  <w:footnote w:id="3">
    <w:p w:rsidR="00466D5D" w:rsidRDefault="00466D5D" w:rsidP="0041634D">
      <w:pPr>
        <w:pStyle w:val="FootnoteText"/>
        <w:ind w:firstLine="720"/>
      </w:pPr>
      <w:r>
        <w:rPr>
          <w:rStyle w:val="FootnoteReference"/>
        </w:rPr>
        <w:footnoteRef/>
      </w:r>
      <w:r>
        <w:t xml:space="preserve"> </w:t>
      </w:r>
      <w:r>
        <w:tab/>
        <w:t xml:space="preserve">The following parties were present and represented at the first day of the technical evidentiary hearings: Duquesne Light, I&amp;E, OCA, OSBA, DII, NRG Companies, </w:t>
      </w:r>
      <w:r>
        <w:rPr>
          <w:szCs w:val="24"/>
        </w:rPr>
        <w:t xml:space="preserve">U. S. Steel, CP, CAUSE-PA, IGS, PennFuture and Beaver Falls Authority. </w:t>
      </w:r>
      <w:r>
        <w:t xml:space="preserve"> Individual Complainants, Jacquelyn and Robert Miller, Gwendolyn L. LeVert, Aimee-Marie Dorsten and Connie Schiavo, and Intervenors, CAAP and IBEW, were not represented and did not appear for the evidentiary hearings. </w:t>
      </w:r>
    </w:p>
    <w:p w:rsidR="00466D5D" w:rsidRDefault="00466D5D" w:rsidP="0041634D">
      <w:pPr>
        <w:pStyle w:val="FootnoteText"/>
        <w:ind w:firstLine="720"/>
      </w:pPr>
      <w:r>
        <w:tab/>
      </w:r>
    </w:p>
  </w:footnote>
  <w:footnote w:id="4">
    <w:p w:rsidR="00466D5D" w:rsidRPr="007A0D8D" w:rsidRDefault="00466D5D" w:rsidP="0041634D">
      <w:pPr>
        <w:pStyle w:val="FootnoteText"/>
        <w:ind w:firstLine="720"/>
        <w:rPr>
          <w:rFonts w:ascii="CG Times" w:hAnsi="CG Times"/>
        </w:rPr>
      </w:pPr>
      <w:r>
        <w:rPr>
          <w:rStyle w:val="FootnoteReference"/>
        </w:rPr>
        <w:footnoteRef/>
      </w:r>
      <w:r>
        <w:t xml:space="preserve"> </w:t>
      </w:r>
      <w:r>
        <w:tab/>
      </w:r>
      <w:r w:rsidRPr="007A0D8D">
        <w:rPr>
          <w:rFonts w:ascii="CG Times" w:hAnsi="CG Times"/>
        </w:rPr>
        <w:t>WHEMCO Inc./WHEMCO-Steel Castings, Inc.,</w:t>
      </w:r>
      <w:r>
        <w:rPr>
          <w:rFonts w:ascii="CG Times" w:hAnsi="CG Times"/>
        </w:rPr>
        <w:t xml:space="preserve"> </w:t>
      </w:r>
      <w:r w:rsidRPr="007A0D8D">
        <w:rPr>
          <w:rFonts w:ascii="CG Times" w:hAnsi="CG Times"/>
        </w:rPr>
        <w:t>participat</w:t>
      </w:r>
      <w:r>
        <w:rPr>
          <w:rFonts w:ascii="CG Times" w:hAnsi="CG Times"/>
        </w:rPr>
        <w:t xml:space="preserve">ing as </w:t>
      </w:r>
      <w:r w:rsidRPr="007A0D8D">
        <w:rPr>
          <w:rFonts w:ascii="CG Times" w:hAnsi="CG Times"/>
        </w:rPr>
        <w:t>a member of DII</w:t>
      </w:r>
      <w:r>
        <w:rPr>
          <w:rFonts w:ascii="CG Times" w:hAnsi="CG Times"/>
        </w:rPr>
        <w:t>, had also indicated it would not oppose the Settlement.</w:t>
      </w:r>
    </w:p>
    <w:p w:rsidR="00466D5D" w:rsidRDefault="00466D5D">
      <w:pPr>
        <w:pStyle w:val="FootnoteText"/>
      </w:pPr>
    </w:p>
  </w:footnote>
  <w:footnote w:id="5">
    <w:p w:rsidR="00466D5D" w:rsidRDefault="00466D5D" w:rsidP="0041634D">
      <w:pPr>
        <w:pStyle w:val="FootnoteText"/>
        <w:ind w:firstLine="720"/>
      </w:pPr>
      <w:r>
        <w:rPr>
          <w:rStyle w:val="FootnoteReference"/>
        </w:rPr>
        <w:footnoteRef/>
      </w:r>
      <w:r>
        <w:t xml:space="preserve"> </w:t>
      </w:r>
      <w:r>
        <w:tab/>
        <w:t>Some of the active parties submitted letters to the Commission’s Secretary’s Bureau stating they would not be filing briefs.</w:t>
      </w:r>
    </w:p>
    <w:p w:rsidR="00466D5D" w:rsidRDefault="00466D5D" w:rsidP="0041634D">
      <w:pPr>
        <w:pStyle w:val="FootnoteText"/>
        <w:ind w:firstLine="720"/>
      </w:pPr>
    </w:p>
  </w:footnote>
  <w:footnote w:id="6">
    <w:p w:rsidR="00466D5D" w:rsidRDefault="00466D5D" w:rsidP="0041634D">
      <w:pPr>
        <w:pStyle w:val="FootnoteText"/>
        <w:ind w:firstLine="720"/>
      </w:pPr>
      <w:r>
        <w:rPr>
          <w:rStyle w:val="FootnoteReference"/>
        </w:rPr>
        <w:footnoteRef/>
      </w:r>
      <w:r>
        <w:tab/>
        <w:t xml:space="preserve">The Joint Petition and Appendices are not attached to this Recommended Decision. </w:t>
      </w:r>
    </w:p>
  </w:footnote>
  <w:footnote w:id="7">
    <w:p w:rsidR="00466D5D" w:rsidRDefault="00466D5D" w:rsidP="0041634D">
      <w:pPr>
        <w:pStyle w:val="FootnoteText"/>
        <w:ind w:firstLine="720"/>
      </w:pPr>
    </w:p>
    <w:p w:rsidR="00466D5D" w:rsidRDefault="00466D5D" w:rsidP="0041634D">
      <w:pPr>
        <w:pStyle w:val="FootnoteText"/>
        <w:ind w:firstLine="720"/>
      </w:pPr>
      <w:r>
        <w:rPr>
          <w:rStyle w:val="FootnoteReference"/>
        </w:rPr>
        <w:footnoteRef/>
      </w:r>
      <w:r>
        <w:tab/>
        <w:t>Under the Fourth Interim Order, Appendices A through J which were attached to the Joint Petition, were also admitted into the record.</w:t>
      </w:r>
    </w:p>
  </w:footnote>
  <w:footnote w:id="8">
    <w:p w:rsidR="00466D5D" w:rsidRDefault="00466D5D" w:rsidP="0041634D">
      <w:pPr>
        <w:pStyle w:val="FootnoteText"/>
        <w:ind w:firstLine="720"/>
      </w:pPr>
      <w:r>
        <w:rPr>
          <w:rStyle w:val="FootnoteReference"/>
        </w:rPr>
        <w:footnoteRef/>
      </w:r>
      <w:r>
        <w:t xml:space="preserve"> </w:t>
      </w:r>
      <w:r>
        <w:tab/>
      </w:r>
      <w:r>
        <w:rPr>
          <w:lang w:val="en"/>
        </w:rPr>
        <w:t xml:space="preserve">Financial Accounting Standards Board: Accounting Standards Codification, Topic 715 </w:t>
      </w:r>
      <w:r>
        <w:rPr>
          <w:rStyle w:val="Emphasis"/>
          <w:lang w:val="en"/>
        </w:rPr>
        <w:t>Compensation — Retirement Benefits.</w:t>
      </w:r>
      <w:r>
        <w:tab/>
      </w:r>
    </w:p>
  </w:footnote>
  <w:footnote w:id="9">
    <w:p w:rsidR="00466D5D" w:rsidRDefault="00466D5D" w:rsidP="0041634D">
      <w:pPr>
        <w:pStyle w:val="FootnoteText"/>
        <w:ind w:firstLine="720"/>
      </w:pPr>
      <w:r>
        <w:rPr>
          <w:rStyle w:val="FootnoteReference"/>
        </w:rPr>
        <w:footnoteRef/>
      </w:r>
      <w:r>
        <w:t xml:space="preserve"> </w:t>
      </w:r>
      <w:r>
        <w:tab/>
        <w:t>See Footnote 18 explaining the FOCUS project.</w:t>
      </w:r>
    </w:p>
  </w:footnote>
  <w:footnote w:id="10">
    <w:p w:rsidR="00466D5D" w:rsidRDefault="00466D5D" w:rsidP="0041634D">
      <w:pPr>
        <w:pStyle w:val="FootnoteText"/>
        <w:ind w:firstLine="720"/>
      </w:pPr>
      <w:r>
        <w:rPr>
          <w:rStyle w:val="FootnoteReference"/>
        </w:rPr>
        <w:footnoteRef/>
      </w:r>
      <w:r>
        <w:tab/>
      </w:r>
      <w:r>
        <w:rPr>
          <w:i/>
        </w:rPr>
        <w:t xml:space="preserve">Qualifying facility </w:t>
      </w:r>
      <w:r>
        <w:t>—A cogeneration facility or a small power production facility which meets the criteria contained in 18 CFR Part 292 (relating to regulations under sections 201 and 210 of the Public Utility Regulatory Policies Act of 1978 with regard to small power producers and cogenerators).  52 Pa.Code § 57.31.</w:t>
      </w:r>
      <w:r>
        <w:tab/>
      </w:r>
    </w:p>
    <w:p w:rsidR="00466D5D" w:rsidRDefault="00466D5D" w:rsidP="0041634D">
      <w:pPr>
        <w:pStyle w:val="FootnoteText"/>
        <w:ind w:firstLine="720"/>
      </w:pPr>
    </w:p>
  </w:footnote>
  <w:footnote w:id="11">
    <w:p w:rsidR="00466D5D" w:rsidRDefault="00466D5D" w:rsidP="0041634D">
      <w:pPr>
        <w:pStyle w:val="FootnoteText"/>
        <w:ind w:firstLine="720"/>
      </w:pPr>
      <w:r>
        <w:rPr>
          <w:rStyle w:val="FootnoteReference"/>
        </w:rPr>
        <w:footnoteRef/>
      </w:r>
      <w:r>
        <w:t xml:space="preserve"> </w:t>
      </w:r>
      <w:r>
        <w:tab/>
        <w:t>For the purpose of clarity, Rider No. 18 is attached hereto as Attachment A.  See Duquesne Light Exhibit WVP 2-R.</w:t>
      </w:r>
    </w:p>
    <w:p w:rsidR="00466D5D" w:rsidRDefault="00466D5D" w:rsidP="0041634D">
      <w:pPr>
        <w:pStyle w:val="FootnoteText"/>
        <w:ind w:firstLine="720"/>
      </w:pPr>
    </w:p>
  </w:footnote>
  <w:footnote w:id="12">
    <w:p w:rsidR="00466D5D" w:rsidRDefault="00466D5D" w:rsidP="0041634D">
      <w:pPr>
        <w:pStyle w:val="FootnoteText"/>
        <w:ind w:firstLine="720"/>
      </w:pPr>
      <w:r>
        <w:rPr>
          <w:rStyle w:val="FootnoteReference"/>
        </w:rPr>
        <w:footnoteRef/>
      </w:r>
      <w:r>
        <w:t xml:space="preserve"> </w:t>
      </w:r>
      <w:r>
        <w:tab/>
      </w:r>
      <w:r>
        <w:rPr>
          <w:i/>
        </w:rPr>
        <w:t xml:space="preserve">Avoided costs </w:t>
      </w:r>
      <w:r>
        <w:t>—The incremental costs to any electric utility of electric energy or capacity, or both, which, but for the purchase from the qualifying facility or qualifying facilities, the utility would generate itself or purchase from another source.  52 Pa.Code § 57.31.</w:t>
      </w:r>
    </w:p>
    <w:p w:rsidR="00466D5D" w:rsidRDefault="00466D5D" w:rsidP="0041634D">
      <w:pPr>
        <w:pStyle w:val="FootnoteText"/>
        <w:ind w:firstLine="720"/>
      </w:pPr>
    </w:p>
  </w:footnote>
  <w:footnote w:id="13">
    <w:p w:rsidR="00466D5D" w:rsidRDefault="00466D5D" w:rsidP="0041634D">
      <w:pPr>
        <w:pStyle w:val="FootnoteText"/>
        <w:ind w:firstLine="720"/>
      </w:pPr>
      <w:r>
        <w:rPr>
          <w:rStyle w:val="FootnoteReference"/>
        </w:rPr>
        <w:footnoteRef/>
      </w:r>
      <w:r>
        <w:tab/>
        <w:t>Beaver Valley Power Company and Beaver Falls Municipal Authority are the two entities referenced here.  Duquesne Light St. No. 12-R, pp. 21-22; Exhibits WVP 3</w:t>
      </w:r>
      <w:r>
        <w:noBreakHyphen/>
        <w:t>R and WVP 4</w:t>
      </w:r>
      <w:r>
        <w:noBreakHyphen/>
        <w:t xml:space="preserve">R. </w:t>
      </w:r>
    </w:p>
  </w:footnote>
  <w:footnote w:id="14">
    <w:p w:rsidR="00466D5D" w:rsidRDefault="00466D5D" w:rsidP="00B8164C">
      <w:pPr>
        <w:pStyle w:val="FootnoteText"/>
        <w:ind w:firstLine="720"/>
      </w:pPr>
      <w:r>
        <w:rPr>
          <w:rStyle w:val="FootnoteReference"/>
        </w:rPr>
        <w:footnoteRef/>
      </w:r>
      <w:r>
        <w:tab/>
        <w:t>“A Red Flags Plan is a Plan under the Federal Trade Commission’s (“FTC”) regulations that is designed to prevent and mitigate identity theft.”  Duquesne Light St. in Support, p. 14.</w:t>
      </w:r>
    </w:p>
  </w:footnote>
  <w:footnote w:id="15">
    <w:p w:rsidR="00466D5D" w:rsidRDefault="00466D5D" w:rsidP="00B8164C">
      <w:pPr>
        <w:pStyle w:val="FootnoteText"/>
        <w:ind w:firstLine="720"/>
      </w:pPr>
      <w:r>
        <w:rPr>
          <w:rStyle w:val="FootnoteReference"/>
        </w:rPr>
        <w:footnoteRef/>
      </w:r>
      <w:r>
        <w:tab/>
        <w:t>Attachment 1 is not attached to this Recommended Decision.  However for illustrative purposes it is noted that Attachment 1 for the residential service (RS) rate class shows the proposed increase range at a low of $39.7 million and a high of $55.999 million.  The 37% scaled back range was at a low of $24.983 million and a high of $35.239 million.  The Settlement revenue amount for the RS rate class is $31.208 million.  See Duquesne Light St. in Support, Attachment 1, Table No. 1.</w:t>
      </w:r>
    </w:p>
  </w:footnote>
  <w:footnote w:id="16">
    <w:p w:rsidR="00466D5D" w:rsidRPr="002C559D" w:rsidRDefault="00466D5D" w:rsidP="00B8164C">
      <w:pPr>
        <w:spacing w:after="0" w:line="240" w:lineRule="auto"/>
        <w:ind w:firstLine="720"/>
        <w:rPr>
          <w:rFonts w:eastAsia="Times New Roman"/>
          <w:color w:val="000000"/>
          <w:sz w:val="20"/>
          <w:szCs w:val="20"/>
        </w:rPr>
      </w:pPr>
      <w:r>
        <w:rPr>
          <w:rStyle w:val="FootnoteReference"/>
        </w:rPr>
        <w:footnoteRef/>
      </w:r>
      <w:r>
        <w:t xml:space="preserve"> </w:t>
      </w:r>
      <w:r>
        <w:tab/>
      </w:r>
      <w:r w:rsidRPr="00E84001">
        <w:rPr>
          <w:sz w:val="20"/>
          <w:szCs w:val="20"/>
        </w:rPr>
        <w:t>See</w:t>
      </w:r>
      <w:r>
        <w:rPr>
          <w:sz w:val="20"/>
          <w:szCs w:val="20"/>
        </w:rPr>
        <w:t xml:space="preserve"> </w:t>
      </w:r>
      <w:r w:rsidRPr="00E84001">
        <w:rPr>
          <w:sz w:val="20"/>
          <w:szCs w:val="20"/>
        </w:rPr>
        <w:t>January 13, 2011</w:t>
      </w:r>
      <w:r>
        <w:rPr>
          <w:sz w:val="20"/>
          <w:szCs w:val="20"/>
        </w:rPr>
        <w:t>,</w:t>
      </w:r>
      <w:r w:rsidRPr="00E84001">
        <w:rPr>
          <w:sz w:val="20"/>
          <w:szCs w:val="20"/>
        </w:rPr>
        <w:t xml:space="preserve"> Statement of Chairman Robert F. Powelson in consolidated cases, </w:t>
      </w:r>
      <w:r>
        <w:rPr>
          <w:rFonts w:eastAsia="Times New Roman"/>
          <w:i/>
          <w:color w:val="000000"/>
          <w:sz w:val="20"/>
          <w:szCs w:val="20"/>
        </w:rPr>
        <w:t>Pa. Pub. Util. Comm’n,</w:t>
      </w:r>
      <w:r w:rsidRPr="00E67954">
        <w:rPr>
          <w:rFonts w:eastAsia="Times New Roman"/>
          <w:i/>
          <w:color w:val="000000"/>
          <w:sz w:val="20"/>
          <w:szCs w:val="20"/>
        </w:rPr>
        <w:t xml:space="preserve"> et al. v. Wellsboro Electric</w:t>
      </w:r>
      <w:r w:rsidRPr="00E84001">
        <w:rPr>
          <w:rFonts w:eastAsia="Times New Roman"/>
          <w:color w:val="000000"/>
          <w:sz w:val="20"/>
          <w:szCs w:val="20"/>
        </w:rPr>
        <w:t xml:space="preserve">, Docket No. R-2010-2172662 and </w:t>
      </w:r>
      <w:r w:rsidRPr="00E67954">
        <w:rPr>
          <w:rFonts w:eastAsia="Times New Roman"/>
          <w:i/>
          <w:color w:val="000000"/>
          <w:sz w:val="20"/>
          <w:szCs w:val="20"/>
        </w:rPr>
        <w:t>Pa. Pu</w:t>
      </w:r>
      <w:r>
        <w:rPr>
          <w:rFonts w:eastAsia="Times New Roman"/>
          <w:i/>
          <w:color w:val="000000"/>
          <w:sz w:val="20"/>
          <w:szCs w:val="20"/>
        </w:rPr>
        <w:t>b.</w:t>
      </w:r>
      <w:r w:rsidRPr="00E67954">
        <w:rPr>
          <w:rFonts w:eastAsia="Times New Roman"/>
          <w:i/>
          <w:color w:val="000000"/>
          <w:sz w:val="20"/>
          <w:szCs w:val="20"/>
        </w:rPr>
        <w:t xml:space="preserve"> Util. Comm’n, et al</w:t>
      </w:r>
      <w:r>
        <w:rPr>
          <w:rFonts w:eastAsia="Times New Roman"/>
          <w:i/>
          <w:color w:val="000000"/>
          <w:sz w:val="20"/>
          <w:szCs w:val="20"/>
        </w:rPr>
        <w:t>.</w:t>
      </w:r>
      <w:r w:rsidRPr="00E67954">
        <w:rPr>
          <w:rFonts w:eastAsia="Times New Roman"/>
          <w:i/>
          <w:color w:val="000000"/>
          <w:sz w:val="20"/>
          <w:szCs w:val="20"/>
        </w:rPr>
        <w:t xml:space="preserve"> v</w:t>
      </w:r>
      <w:r>
        <w:rPr>
          <w:rFonts w:eastAsia="Times New Roman"/>
          <w:i/>
          <w:color w:val="000000"/>
          <w:sz w:val="20"/>
          <w:szCs w:val="20"/>
        </w:rPr>
        <w:t>.</w:t>
      </w:r>
      <w:r w:rsidRPr="00E67954">
        <w:rPr>
          <w:rFonts w:eastAsia="Times New Roman"/>
          <w:i/>
          <w:color w:val="000000"/>
          <w:sz w:val="20"/>
          <w:szCs w:val="20"/>
        </w:rPr>
        <w:t xml:space="preserve"> </w:t>
      </w:r>
      <w:r w:rsidRPr="002C559D">
        <w:rPr>
          <w:i/>
          <w:iCs/>
          <w:sz w:val="20"/>
          <w:szCs w:val="20"/>
        </w:rPr>
        <w:t>Citizens’ Electric Co. of Lewisburg, PA</w:t>
      </w:r>
      <w:r w:rsidRPr="002C559D">
        <w:rPr>
          <w:sz w:val="20"/>
          <w:szCs w:val="20"/>
        </w:rPr>
        <w:t>, Docket No. R-2010-2172665</w:t>
      </w:r>
      <w:r>
        <w:rPr>
          <w:sz w:val="20"/>
          <w:szCs w:val="20"/>
        </w:rPr>
        <w:t xml:space="preserve">. </w:t>
      </w:r>
    </w:p>
    <w:p w:rsidR="00466D5D" w:rsidRDefault="00466D5D" w:rsidP="00FA1BC6">
      <w:pPr>
        <w:pStyle w:val="FootnoteText"/>
      </w:pPr>
    </w:p>
  </w:footnote>
  <w:footnote w:id="17">
    <w:p w:rsidR="00466D5D" w:rsidRDefault="00466D5D" w:rsidP="00B8164C">
      <w:pPr>
        <w:pStyle w:val="FootnoteText"/>
        <w:ind w:firstLine="720"/>
      </w:pPr>
      <w:r>
        <w:rPr>
          <w:rStyle w:val="FootnoteReference"/>
        </w:rPr>
        <w:footnoteRef/>
      </w:r>
      <w:r>
        <w:tab/>
        <w:t xml:space="preserve">The FOCUS project is a major IT project being developed by Duquesne Light to implement a new customer information and billing system, a Meter Data Management System and several other systems that will provide back office IT systems and support for the use of smart meters.  See Duquesne Light St. No. 1, p. 9.  </w:t>
      </w:r>
    </w:p>
  </w:footnote>
  <w:footnote w:id="18">
    <w:p w:rsidR="00466D5D" w:rsidRDefault="00466D5D" w:rsidP="00B8164C">
      <w:pPr>
        <w:pStyle w:val="FootnoteText"/>
        <w:ind w:firstLine="720"/>
      </w:pPr>
      <w:r>
        <w:rPr>
          <w:rStyle w:val="FootnoteReference"/>
        </w:rPr>
        <w:footnoteRef/>
      </w:r>
      <w:r>
        <w:tab/>
        <w:t>The Red Flags Plan is a written identity theft prevention program designed to detect identity theft.  Also See Footnote 15</w:t>
      </w:r>
      <w:r w:rsidRPr="002E276B">
        <w:t>.</w:t>
      </w:r>
      <w:r>
        <w:t xml:space="preserve"> </w:t>
      </w:r>
    </w:p>
  </w:footnote>
  <w:footnote w:id="19">
    <w:p w:rsidR="00466D5D" w:rsidRDefault="00466D5D" w:rsidP="00B8164C">
      <w:pPr>
        <w:pStyle w:val="FootnoteText"/>
        <w:ind w:firstLine="720"/>
      </w:pPr>
      <w:r>
        <w:rPr>
          <w:rStyle w:val="FootnoteReference"/>
        </w:rPr>
        <w:footnoteRef/>
      </w:r>
      <w:r>
        <w:tab/>
        <w:t xml:space="preserve">See Mr. Kalcic’s direct testimony.  OSBA St. No. 1, p. 4. </w:t>
      </w:r>
    </w:p>
    <w:p w:rsidR="00466D5D" w:rsidRDefault="00466D5D" w:rsidP="00FA1BC6">
      <w:pPr>
        <w:pStyle w:val="FootnoteText"/>
      </w:pPr>
    </w:p>
  </w:footnote>
  <w:footnote w:id="20">
    <w:p w:rsidR="00466D5D" w:rsidRDefault="00466D5D" w:rsidP="00B8164C">
      <w:pPr>
        <w:pStyle w:val="FootnoteText"/>
        <w:ind w:firstLine="720"/>
      </w:pPr>
      <w:r>
        <w:rPr>
          <w:rStyle w:val="FootnoteReference"/>
        </w:rPr>
        <w:footnoteRef/>
      </w:r>
      <w:r>
        <w:tab/>
        <w:t>The business classes referenced are GS/GM – General Service Small and Medium; GHM – General Service Medium Heating; GL – General Service Large; and L – Large Power Service.</w:t>
      </w:r>
    </w:p>
    <w:p w:rsidR="00466D5D" w:rsidRDefault="00466D5D" w:rsidP="00FA1BC6">
      <w:pPr>
        <w:pStyle w:val="FootnoteText"/>
      </w:pPr>
      <w:r>
        <w:t xml:space="preserve">  </w:t>
      </w:r>
    </w:p>
  </w:footnote>
  <w:footnote w:id="21">
    <w:p w:rsidR="00466D5D" w:rsidRDefault="00466D5D" w:rsidP="00B8164C">
      <w:pPr>
        <w:pStyle w:val="FootnoteText"/>
        <w:ind w:firstLine="720"/>
      </w:pPr>
      <w:r>
        <w:rPr>
          <w:rStyle w:val="FootnoteReference"/>
        </w:rPr>
        <w:footnoteRef/>
      </w:r>
      <w:r>
        <w:tab/>
        <w:t>Source: Settlement at Appendix B, page 1 and OSBA St. No. 2, Schedules BK-1R and BK-2R.  Parties’ positions shown in Schedules BK-1R and BK-2R are scaled back to reflect an overall settlement increase of $48 million.</w:t>
      </w:r>
    </w:p>
  </w:footnote>
  <w:footnote w:id="22">
    <w:p w:rsidR="00466D5D" w:rsidRDefault="00466D5D" w:rsidP="00B8164C">
      <w:pPr>
        <w:pStyle w:val="FootnoteText"/>
        <w:ind w:firstLine="720"/>
      </w:pPr>
      <w:r>
        <w:rPr>
          <w:rStyle w:val="FootnoteReference"/>
        </w:rPr>
        <w:footnoteRef/>
      </w:r>
      <w:r>
        <w:tab/>
        <w:t>See Duquesne Light’s chart and rejoinder testimony of William V. Pfrommer for the Company’s base revenue and revenue with proposed increase for each rate class.  Duquesne Light St. No. 12-RJ, p.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23F9"/>
    <w:multiLevelType w:val="hybridMultilevel"/>
    <w:tmpl w:val="B640326E"/>
    <w:lvl w:ilvl="0" w:tplc="72D494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C5425"/>
    <w:multiLevelType w:val="hybridMultilevel"/>
    <w:tmpl w:val="2432F6AC"/>
    <w:lvl w:ilvl="0" w:tplc="82B83B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C4962A0"/>
    <w:multiLevelType w:val="hybridMultilevel"/>
    <w:tmpl w:val="1BEEC804"/>
    <w:lvl w:ilvl="0" w:tplc="AF8624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0E0228"/>
    <w:multiLevelType w:val="hybridMultilevel"/>
    <w:tmpl w:val="62C6C3E0"/>
    <w:lvl w:ilvl="0" w:tplc="FF60C18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E23B49"/>
    <w:multiLevelType w:val="hybridMultilevel"/>
    <w:tmpl w:val="4A8C53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56316B"/>
    <w:multiLevelType w:val="hybridMultilevel"/>
    <w:tmpl w:val="55E4A7BA"/>
    <w:lvl w:ilvl="0" w:tplc="F63C277E">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71A19F1"/>
    <w:multiLevelType w:val="hybridMultilevel"/>
    <w:tmpl w:val="038E9AEC"/>
    <w:lvl w:ilvl="0" w:tplc="91783C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78322A9"/>
    <w:multiLevelType w:val="hybridMultilevel"/>
    <w:tmpl w:val="08CE34DC"/>
    <w:lvl w:ilvl="0" w:tplc="66F667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A043407"/>
    <w:multiLevelType w:val="hybridMultilevel"/>
    <w:tmpl w:val="609A47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3D4470"/>
    <w:multiLevelType w:val="hybridMultilevel"/>
    <w:tmpl w:val="8854A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4E3215"/>
    <w:multiLevelType w:val="hybridMultilevel"/>
    <w:tmpl w:val="9CF4A9A0"/>
    <w:lvl w:ilvl="0" w:tplc="D96EC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5"/>
  </w:num>
  <w:num w:numId="3">
    <w:abstractNumId w:val="10"/>
  </w:num>
  <w:num w:numId="4">
    <w:abstractNumId w:val="6"/>
  </w:num>
  <w:num w:numId="5">
    <w:abstractNumId w:val="7"/>
  </w:num>
  <w:num w:numId="6">
    <w:abstractNumId w:val="2"/>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505"/>
    <w:rsid w:val="00000958"/>
    <w:rsid w:val="00002597"/>
    <w:rsid w:val="000037FC"/>
    <w:rsid w:val="00007517"/>
    <w:rsid w:val="00010669"/>
    <w:rsid w:val="000264D5"/>
    <w:rsid w:val="0003037A"/>
    <w:rsid w:val="000347E7"/>
    <w:rsid w:val="00035CFD"/>
    <w:rsid w:val="0003796F"/>
    <w:rsid w:val="000401C7"/>
    <w:rsid w:val="00042096"/>
    <w:rsid w:val="00042195"/>
    <w:rsid w:val="000423B2"/>
    <w:rsid w:val="000461F5"/>
    <w:rsid w:val="00054105"/>
    <w:rsid w:val="0006531B"/>
    <w:rsid w:val="0008052F"/>
    <w:rsid w:val="00093513"/>
    <w:rsid w:val="000A7078"/>
    <w:rsid w:val="000D0F25"/>
    <w:rsid w:val="001237DB"/>
    <w:rsid w:val="00140EDE"/>
    <w:rsid w:val="0014513F"/>
    <w:rsid w:val="001479CC"/>
    <w:rsid w:val="00154E3B"/>
    <w:rsid w:val="00172B06"/>
    <w:rsid w:val="00176DEF"/>
    <w:rsid w:val="001872D6"/>
    <w:rsid w:val="00187EB1"/>
    <w:rsid w:val="0019412A"/>
    <w:rsid w:val="001B7662"/>
    <w:rsid w:val="001C2418"/>
    <w:rsid w:val="001C614A"/>
    <w:rsid w:val="001E3333"/>
    <w:rsid w:val="00205206"/>
    <w:rsid w:val="0022336D"/>
    <w:rsid w:val="00231091"/>
    <w:rsid w:val="00237270"/>
    <w:rsid w:val="00241D94"/>
    <w:rsid w:val="00263DDE"/>
    <w:rsid w:val="0027125D"/>
    <w:rsid w:val="0029178C"/>
    <w:rsid w:val="002932CD"/>
    <w:rsid w:val="0029434E"/>
    <w:rsid w:val="002A28EA"/>
    <w:rsid w:val="002B6106"/>
    <w:rsid w:val="002C141B"/>
    <w:rsid w:val="002C559D"/>
    <w:rsid w:val="002D4200"/>
    <w:rsid w:val="002D797A"/>
    <w:rsid w:val="002E276B"/>
    <w:rsid w:val="002E4997"/>
    <w:rsid w:val="002E55DF"/>
    <w:rsid w:val="002E5F35"/>
    <w:rsid w:val="002F745C"/>
    <w:rsid w:val="00301825"/>
    <w:rsid w:val="00310446"/>
    <w:rsid w:val="0031198A"/>
    <w:rsid w:val="0032277C"/>
    <w:rsid w:val="003273E2"/>
    <w:rsid w:val="00333523"/>
    <w:rsid w:val="00341D44"/>
    <w:rsid w:val="00342BB3"/>
    <w:rsid w:val="00344F1A"/>
    <w:rsid w:val="00352CE4"/>
    <w:rsid w:val="00375510"/>
    <w:rsid w:val="0037655F"/>
    <w:rsid w:val="00377050"/>
    <w:rsid w:val="003801E9"/>
    <w:rsid w:val="0038033A"/>
    <w:rsid w:val="00380C2D"/>
    <w:rsid w:val="0038322A"/>
    <w:rsid w:val="003968E2"/>
    <w:rsid w:val="003B25B3"/>
    <w:rsid w:val="003C0F41"/>
    <w:rsid w:val="003C47A3"/>
    <w:rsid w:val="003C7830"/>
    <w:rsid w:val="003D0B2F"/>
    <w:rsid w:val="003D36A7"/>
    <w:rsid w:val="003E6333"/>
    <w:rsid w:val="003F05A1"/>
    <w:rsid w:val="00401943"/>
    <w:rsid w:val="004106F5"/>
    <w:rsid w:val="00411122"/>
    <w:rsid w:val="0041634D"/>
    <w:rsid w:val="00421650"/>
    <w:rsid w:val="00423C88"/>
    <w:rsid w:val="00426918"/>
    <w:rsid w:val="00431C38"/>
    <w:rsid w:val="00441505"/>
    <w:rsid w:val="00457B49"/>
    <w:rsid w:val="00466D5D"/>
    <w:rsid w:val="004704F6"/>
    <w:rsid w:val="00476091"/>
    <w:rsid w:val="00490C84"/>
    <w:rsid w:val="004A0353"/>
    <w:rsid w:val="004A0658"/>
    <w:rsid w:val="004A14CD"/>
    <w:rsid w:val="004A44F9"/>
    <w:rsid w:val="004A4E28"/>
    <w:rsid w:val="004B3127"/>
    <w:rsid w:val="004C511F"/>
    <w:rsid w:val="004D136E"/>
    <w:rsid w:val="004D46AA"/>
    <w:rsid w:val="004F58D4"/>
    <w:rsid w:val="00503026"/>
    <w:rsid w:val="005116CE"/>
    <w:rsid w:val="00514106"/>
    <w:rsid w:val="005301CF"/>
    <w:rsid w:val="005313F9"/>
    <w:rsid w:val="0053148F"/>
    <w:rsid w:val="00532F61"/>
    <w:rsid w:val="005330BE"/>
    <w:rsid w:val="00540A57"/>
    <w:rsid w:val="0054146A"/>
    <w:rsid w:val="005416E8"/>
    <w:rsid w:val="00546AA4"/>
    <w:rsid w:val="00551E40"/>
    <w:rsid w:val="00555769"/>
    <w:rsid w:val="00563CA8"/>
    <w:rsid w:val="005727E4"/>
    <w:rsid w:val="00583DD3"/>
    <w:rsid w:val="00585AA2"/>
    <w:rsid w:val="0059016C"/>
    <w:rsid w:val="005A2593"/>
    <w:rsid w:val="005A75BC"/>
    <w:rsid w:val="005B0E1E"/>
    <w:rsid w:val="005B3370"/>
    <w:rsid w:val="005B4EC9"/>
    <w:rsid w:val="005D2CB2"/>
    <w:rsid w:val="005D7554"/>
    <w:rsid w:val="005E223C"/>
    <w:rsid w:val="005F1CA6"/>
    <w:rsid w:val="006073DE"/>
    <w:rsid w:val="006128D6"/>
    <w:rsid w:val="006202FF"/>
    <w:rsid w:val="00625B1B"/>
    <w:rsid w:val="00630708"/>
    <w:rsid w:val="006476F1"/>
    <w:rsid w:val="00654BB6"/>
    <w:rsid w:val="006564FB"/>
    <w:rsid w:val="006761C3"/>
    <w:rsid w:val="00693083"/>
    <w:rsid w:val="006934B4"/>
    <w:rsid w:val="006C3CE2"/>
    <w:rsid w:val="006C72A0"/>
    <w:rsid w:val="006D5EC4"/>
    <w:rsid w:val="006E2B2F"/>
    <w:rsid w:val="0070442B"/>
    <w:rsid w:val="00711B54"/>
    <w:rsid w:val="00716314"/>
    <w:rsid w:val="007178FD"/>
    <w:rsid w:val="00720A87"/>
    <w:rsid w:val="00732872"/>
    <w:rsid w:val="00751C32"/>
    <w:rsid w:val="00753A9A"/>
    <w:rsid w:val="00753F0C"/>
    <w:rsid w:val="00755070"/>
    <w:rsid w:val="00757FAF"/>
    <w:rsid w:val="0077213B"/>
    <w:rsid w:val="007750E8"/>
    <w:rsid w:val="00783452"/>
    <w:rsid w:val="007A0D8D"/>
    <w:rsid w:val="007C1FC1"/>
    <w:rsid w:val="007C2F1E"/>
    <w:rsid w:val="007D0FCB"/>
    <w:rsid w:val="007E7E5D"/>
    <w:rsid w:val="007F4B6D"/>
    <w:rsid w:val="00802323"/>
    <w:rsid w:val="00803D2A"/>
    <w:rsid w:val="00817183"/>
    <w:rsid w:val="00825106"/>
    <w:rsid w:val="008420E7"/>
    <w:rsid w:val="0084355C"/>
    <w:rsid w:val="008478A1"/>
    <w:rsid w:val="008666C1"/>
    <w:rsid w:val="0089289A"/>
    <w:rsid w:val="008A0321"/>
    <w:rsid w:val="008C0607"/>
    <w:rsid w:val="008C1897"/>
    <w:rsid w:val="008D0149"/>
    <w:rsid w:val="008D07D0"/>
    <w:rsid w:val="008E369E"/>
    <w:rsid w:val="009013EB"/>
    <w:rsid w:val="00902FBC"/>
    <w:rsid w:val="009259DE"/>
    <w:rsid w:val="00933A45"/>
    <w:rsid w:val="00935965"/>
    <w:rsid w:val="00950DE3"/>
    <w:rsid w:val="0096395E"/>
    <w:rsid w:val="00981F96"/>
    <w:rsid w:val="00987E9D"/>
    <w:rsid w:val="00997186"/>
    <w:rsid w:val="009A248B"/>
    <w:rsid w:val="009C5786"/>
    <w:rsid w:val="009D3543"/>
    <w:rsid w:val="009E0866"/>
    <w:rsid w:val="009E1D5A"/>
    <w:rsid w:val="009F4A31"/>
    <w:rsid w:val="00A03E46"/>
    <w:rsid w:val="00A07091"/>
    <w:rsid w:val="00A16434"/>
    <w:rsid w:val="00A21F92"/>
    <w:rsid w:val="00A249A0"/>
    <w:rsid w:val="00A24E02"/>
    <w:rsid w:val="00A25469"/>
    <w:rsid w:val="00A70142"/>
    <w:rsid w:val="00A74623"/>
    <w:rsid w:val="00A804C9"/>
    <w:rsid w:val="00A924D9"/>
    <w:rsid w:val="00A953CF"/>
    <w:rsid w:val="00AA29AE"/>
    <w:rsid w:val="00AA7BDB"/>
    <w:rsid w:val="00AB4746"/>
    <w:rsid w:val="00AB5B61"/>
    <w:rsid w:val="00AC2BC3"/>
    <w:rsid w:val="00AC2E97"/>
    <w:rsid w:val="00AD1294"/>
    <w:rsid w:val="00AD1639"/>
    <w:rsid w:val="00AE4108"/>
    <w:rsid w:val="00AE7446"/>
    <w:rsid w:val="00AE7BC7"/>
    <w:rsid w:val="00B00B06"/>
    <w:rsid w:val="00B042C5"/>
    <w:rsid w:val="00B22DF9"/>
    <w:rsid w:val="00B279F0"/>
    <w:rsid w:val="00B42524"/>
    <w:rsid w:val="00B6096F"/>
    <w:rsid w:val="00B62A26"/>
    <w:rsid w:val="00B6494F"/>
    <w:rsid w:val="00B8164C"/>
    <w:rsid w:val="00B81B52"/>
    <w:rsid w:val="00B845AD"/>
    <w:rsid w:val="00B85CE0"/>
    <w:rsid w:val="00B937F0"/>
    <w:rsid w:val="00B97773"/>
    <w:rsid w:val="00BA34B4"/>
    <w:rsid w:val="00BA5EE2"/>
    <w:rsid w:val="00BB2353"/>
    <w:rsid w:val="00BB3621"/>
    <w:rsid w:val="00BB49C6"/>
    <w:rsid w:val="00BC18B5"/>
    <w:rsid w:val="00BC6B22"/>
    <w:rsid w:val="00BE65D5"/>
    <w:rsid w:val="00BF380F"/>
    <w:rsid w:val="00BF7636"/>
    <w:rsid w:val="00C06F01"/>
    <w:rsid w:val="00C21D32"/>
    <w:rsid w:val="00C23D42"/>
    <w:rsid w:val="00C60803"/>
    <w:rsid w:val="00C6540E"/>
    <w:rsid w:val="00C65916"/>
    <w:rsid w:val="00C75376"/>
    <w:rsid w:val="00C758E6"/>
    <w:rsid w:val="00C90EF7"/>
    <w:rsid w:val="00C91AE8"/>
    <w:rsid w:val="00C921D8"/>
    <w:rsid w:val="00CA73F5"/>
    <w:rsid w:val="00CA7790"/>
    <w:rsid w:val="00CB154E"/>
    <w:rsid w:val="00CB4ADD"/>
    <w:rsid w:val="00CC741A"/>
    <w:rsid w:val="00CF214E"/>
    <w:rsid w:val="00D03898"/>
    <w:rsid w:val="00D136C8"/>
    <w:rsid w:val="00D221AE"/>
    <w:rsid w:val="00D22581"/>
    <w:rsid w:val="00D34AA8"/>
    <w:rsid w:val="00D3518C"/>
    <w:rsid w:val="00D42E21"/>
    <w:rsid w:val="00D45A0D"/>
    <w:rsid w:val="00D61100"/>
    <w:rsid w:val="00D62FF0"/>
    <w:rsid w:val="00D63A6A"/>
    <w:rsid w:val="00D643C6"/>
    <w:rsid w:val="00D7101A"/>
    <w:rsid w:val="00D7110D"/>
    <w:rsid w:val="00D72830"/>
    <w:rsid w:val="00D7568B"/>
    <w:rsid w:val="00D77259"/>
    <w:rsid w:val="00D87D15"/>
    <w:rsid w:val="00D979F9"/>
    <w:rsid w:val="00DA377B"/>
    <w:rsid w:val="00DB7A3E"/>
    <w:rsid w:val="00DC0813"/>
    <w:rsid w:val="00DC369D"/>
    <w:rsid w:val="00DE0D75"/>
    <w:rsid w:val="00DF3159"/>
    <w:rsid w:val="00DF4F2D"/>
    <w:rsid w:val="00E11222"/>
    <w:rsid w:val="00E12ED9"/>
    <w:rsid w:val="00E13F67"/>
    <w:rsid w:val="00E46381"/>
    <w:rsid w:val="00E5408E"/>
    <w:rsid w:val="00E64D27"/>
    <w:rsid w:val="00E74487"/>
    <w:rsid w:val="00E80569"/>
    <w:rsid w:val="00E83AA3"/>
    <w:rsid w:val="00E90009"/>
    <w:rsid w:val="00EA6D16"/>
    <w:rsid w:val="00EA6E8B"/>
    <w:rsid w:val="00EB7866"/>
    <w:rsid w:val="00EC19F5"/>
    <w:rsid w:val="00EC35AC"/>
    <w:rsid w:val="00EC53BF"/>
    <w:rsid w:val="00EE16AE"/>
    <w:rsid w:val="00EE60E9"/>
    <w:rsid w:val="00EF36E4"/>
    <w:rsid w:val="00EF5622"/>
    <w:rsid w:val="00F12F69"/>
    <w:rsid w:val="00F13038"/>
    <w:rsid w:val="00F131F8"/>
    <w:rsid w:val="00F2154D"/>
    <w:rsid w:val="00F503C3"/>
    <w:rsid w:val="00F51D86"/>
    <w:rsid w:val="00F643AB"/>
    <w:rsid w:val="00F84487"/>
    <w:rsid w:val="00F868E5"/>
    <w:rsid w:val="00F90A93"/>
    <w:rsid w:val="00F96FE3"/>
    <w:rsid w:val="00FA1BC6"/>
    <w:rsid w:val="00FB2FDE"/>
    <w:rsid w:val="00FB37D3"/>
    <w:rsid w:val="00FD0507"/>
    <w:rsid w:val="00FE199A"/>
    <w:rsid w:val="00FE2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1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505"/>
  </w:style>
  <w:style w:type="paragraph" w:styleId="FootnoteText">
    <w:name w:val="footnote text"/>
    <w:basedOn w:val="Normal"/>
    <w:link w:val="FootnoteTextChar1"/>
    <w:uiPriority w:val="99"/>
    <w:semiHidden/>
    <w:rsid w:val="00441505"/>
    <w:pPr>
      <w:spacing w:after="0" w:line="240" w:lineRule="auto"/>
    </w:pPr>
    <w:rPr>
      <w:rFonts w:eastAsia="Times New Roman"/>
      <w:sz w:val="20"/>
      <w:szCs w:val="20"/>
    </w:rPr>
  </w:style>
  <w:style w:type="character" w:customStyle="1" w:styleId="FootnoteTextChar">
    <w:name w:val="Footnote Text Char"/>
    <w:basedOn w:val="DefaultParagraphFont"/>
    <w:uiPriority w:val="99"/>
    <w:semiHidden/>
    <w:rsid w:val="00441505"/>
    <w:rPr>
      <w:sz w:val="20"/>
      <w:szCs w:val="20"/>
    </w:rPr>
  </w:style>
  <w:style w:type="character" w:styleId="FootnoteReference">
    <w:name w:val="footnote reference"/>
    <w:aliases w:val="o,fr"/>
    <w:basedOn w:val="DefaultParagraphFont"/>
    <w:uiPriority w:val="99"/>
    <w:semiHidden/>
    <w:rsid w:val="00441505"/>
    <w:rPr>
      <w:vertAlign w:val="superscript"/>
    </w:rPr>
  </w:style>
  <w:style w:type="character" w:styleId="PageNumber">
    <w:name w:val="page number"/>
    <w:basedOn w:val="DefaultParagraphFont"/>
    <w:rsid w:val="00441505"/>
  </w:style>
  <w:style w:type="character" w:customStyle="1" w:styleId="FootnoteTextChar1">
    <w:name w:val="Footnote Text Char1"/>
    <w:basedOn w:val="DefaultParagraphFont"/>
    <w:link w:val="FootnoteText"/>
    <w:semiHidden/>
    <w:rsid w:val="00441505"/>
    <w:rPr>
      <w:rFonts w:eastAsia="Times New Roman"/>
      <w:sz w:val="20"/>
      <w:szCs w:val="20"/>
    </w:rPr>
  </w:style>
  <w:style w:type="paragraph" w:customStyle="1" w:styleId="Level1">
    <w:name w:val="Level 1"/>
    <w:uiPriority w:val="99"/>
    <w:rsid w:val="00441505"/>
    <w:pPr>
      <w:widowControl w:val="0"/>
      <w:autoSpaceDE w:val="0"/>
      <w:autoSpaceDN w:val="0"/>
      <w:adjustRightInd w:val="0"/>
      <w:spacing w:after="0" w:line="240" w:lineRule="auto"/>
      <w:ind w:left="720"/>
      <w:jc w:val="both"/>
    </w:pPr>
    <w:rPr>
      <w:rFonts w:eastAsia="Times New Roman"/>
      <w:szCs w:val="24"/>
    </w:rPr>
  </w:style>
  <w:style w:type="character" w:styleId="Emphasis">
    <w:name w:val="Emphasis"/>
    <w:basedOn w:val="DefaultParagraphFont"/>
    <w:uiPriority w:val="20"/>
    <w:qFormat/>
    <w:rsid w:val="001872D6"/>
    <w:rPr>
      <w:i/>
      <w:iCs/>
    </w:rPr>
  </w:style>
  <w:style w:type="paragraph" w:styleId="Header">
    <w:name w:val="header"/>
    <w:basedOn w:val="Normal"/>
    <w:link w:val="HeaderChar"/>
    <w:uiPriority w:val="99"/>
    <w:unhideWhenUsed/>
    <w:rsid w:val="002A2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8EA"/>
  </w:style>
  <w:style w:type="paragraph" w:styleId="ListParagraph">
    <w:name w:val="List Paragraph"/>
    <w:basedOn w:val="Normal"/>
    <w:uiPriority w:val="34"/>
    <w:qFormat/>
    <w:rsid w:val="001479CC"/>
    <w:pPr>
      <w:ind w:left="720"/>
      <w:contextualSpacing/>
    </w:pPr>
  </w:style>
  <w:style w:type="paragraph" w:styleId="BalloonText">
    <w:name w:val="Balloon Text"/>
    <w:basedOn w:val="Normal"/>
    <w:link w:val="BalloonTextChar"/>
    <w:uiPriority w:val="99"/>
    <w:semiHidden/>
    <w:unhideWhenUsed/>
    <w:rsid w:val="00783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452"/>
    <w:rPr>
      <w:rFonts w:ascii="Tahoma" w:hAnsi="Tahoma" w:cs="Tahoma"/>
      <w:sz w:val="16"/>
      <w:szCs w:val="16"/>
    </w:rPr>
  </w:style>
  <w:style w:type="paragraph" w:styleId="BodyText2">
    <w:name w:val="Body Text 2"/>
    <w:basedOn w:val="Normal"/>
    <w:link w:val="BodyText2Char"/>
    <w:rsid w:val="00FA1BC6"/>
    <w:pPr>
      <w:spacing w:after="0" w:line="480" w:lineRule="auto"/>
      <w:ind w:firstLine="720"/>
      <w:jc w:val="both"/>
    </w:pPr>
    <w:rPr>
      <w:rFonts w:eastAsia="Times New Roman"/>
      <w:szCs w:val="24"/>
    </w:rPr>
  </w:style>
  <w:style w:type="character" w:customStyle="1" w:styleId="BodyText2Char">
    <w:name w:val="Body Text 2 Char"/>
    <w:basedOn w:val="DefaultParagraphFont"/>
    <w:link w:val="BodyText2"/>
    <w:rsid w:val="00FA1BC6"/>
    <w:rPr>
      <w:rFonts w:eastAsia="Times New Roman"/>
      <w:szCs w:val="24"/>
    </w:rPr>
  </w:style>
  <w:style w:type="table" w:styleId="TableGrid">
    <w:name w:val="Table Grid"/>
    <w:basedOn w:val="TableNormal"/>
    <w:uiPriority w:val="59"/>
    <w:rsid w:val="00FA1B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1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505"/>
  </w:style>
  <w:style w:type="paragraph" w:styleId="FootnoteText">
    <w:name w:val="footnote text"/>
    <w:basedOn w:val="Normal"/>
    <w:link w:val="FootnoteTextChar1"/>
    <w:uiPriority w:val="99"/>
    <w:semiHidden/>
    <w:rsid w:val="00441505"/>
    <w:pPr>
      <w:spacing w:after="0" w:line="240" w:lineRule="auto"/>
    </w:pPr>
    <w:rPr>
      <w:rFonts w:eastAsia="Times New Roman"/>
      <w:sz w:val="20"/>
      <w:szCs w:val="20"/>
    </w:rPr>
  </w:style>
  <w:style w:type="character" w:customStyle="1" w:styleId="FootnoteTextChar">
    <w:name w:val="Footnote Text Char"/>
    <w:basedOn w:val="DefaultParagraphFont"/>
    <w:uiPriority w:val="99"/>
    <w:semiHidden/>
    <w:rsid w:val="00441505"/>
    <w:rPr>
      <w:sz w:val="20"/>
      <w:szCs w:val="20"/>
    </w:rPr>
  </w:style>
  <w:style w:type="character" w:styleId="FootnoteReference">
    <w:name w:val="footnote reference"/>
    <w:aliases w:val="o,fr"/>
    <w:basedOn w:val="DefaultParagraphFont"/>
    <w:uiPriority w:val="99"/>
    <w:semiHidden/>
    <w:rsid w:val="00441505"/>
    <w:rPr>
      <w:vertAlign w:val="superscript"/>
    </w:rPr>
  </w:style>
  <w:style w:type="character" w:styleId="PageNumber">
    <w:name w:val="page number"/>
    <w:basedOn w:val="DefaultParagraphFont"/>
    <w:rsid w:val="00441505"/>
  </w:style>
  <w:style w:type="character" w:customStyle="1" w:styleId="FootnoteTextChar1">
    <w:name w:val="Footnote Text Char1"/>
    <w:basedOn w:val="DefaultParagraphFont"/>
    <w:link w:val="FootnoteText"/>
    <w:semiHidden/>
    <w:rsid w:val="00441505"/>
    <w:rPr>
      <w:rFonts w:eastAsia="Times New Roman"/>
      <w:sz w:val="20"/>
      <w:szCs w:val="20"/>
    </w:rPr>
  </w:style>
  <w:style w:type="paragraph" w:customStyle="1" w:styleId="Level1">
    <w:name w:val="Level 1"/>
    <w:uiPriority w:val="99"/>
    <w:rsid w:val="00441505"/>
    <w:pPr>
      <w:widowControl w:val="0"/>
      <w:autoSpaceDE w:val="0"/>
      <w:autoSpaceDN w:val="0"/>
      <w:adjustRightInd w:val="0"/>
      <w:spacing w:after="0" w:line="240" w:lineRule="auto"/>
      <w:ind w:left="720"/>
      <w:jc w:val="both"/>
    </w:pPr>
    <w:rPr>
      <w:rFonts w:eastAsia="Times New Roman"/>
      <w:szCs w:val="24"/>
    </w:rPr>
  </w:style>
  <w:style w:type="character" w:styleId="Emphasis">
    <w:name w:val="Emphasis"/>
    <w:basedOn w:val="DefaultParagraphFont"/>
    <w:uiPriority w:val="20"/>
    <w:qFormat/>
    <w:rsid w:val="001872D6"/>
    <w:rPr>
      <w:i/>
      <w:iCs/>
    </w:rPr>
  </w:style>
  <w:style w:type="paragraph" w:styleId="Header">
    <w:name w:val="header"/>
    <w:basedOn w:val="Normal"/>
    <w:link w:val="HeaderChar"/>
    <w:uiPriority w:val="99"/>
    <w:unhideWhenUsed/>
    <w:rsid w:val="002A2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8EA"/>
  </w:style>
  <w:style w:type="paragraph" w:styleId="ListParagraph">
    <w:name w:val="List Paragraph"/>
    <w:basedOn w:val="Normal"/>
    <w:uiPriority w:val="34"/>
    <w:qFormat/>
    <w:rsid w:val="001479CC"/>
    <w:pPr>
      <w:ind w:left="720"/>
      <w:contextualSpacing/>
    </w:pPr>
  </w:style>
  <w:style w:type="paragraph" w:styleId="BalloonText">
    <w:name w:val="Balloon Text"/>
    <w:basedOn w:val="Normal"/>
    <w:link w:val="BalloonTextChar"/>
    <w:uiPriority w:val="99"/>
    <w:semiHidden/>
    <w:unhideWhenUsed/>
    <w:rsid w:val="00783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452"/>
    <w:rPr>
      <w:rFonts w:ascii="Tahoma" w:hAnsi="Tahoma" w:cs="Tahoma"/>
      <w:sz w:val="16"/>
      <w:szCs w:val="16"/>
    </w:rPr>
  </w:style>
  <w:style w:type="paragraph" w:styleId="BodyText2">
    <w:name w:val="Body Text 2"/>
    <w:basedOn w:val="Normal"/>
    <w:link w:val="BodyText2Char"/>
    <w:rsid w:val="00FA1BC6"/>
    <w:pPr>
      <w:spacing w:after="0" w:line="480" w:lineRule="auto"/>
      <w:ind w:firstLine="720"/>
      <w:jc w:val="both"/>
    </w:pPr>
    <w:rPr>
      <w:rFonts w:eastAsia="Times New Roman"/>
      <w:szCs w:val="24"/>
    </w:rPr>
  </w:style>
  <w:style w:type="character" w:customStyle="1" w:styleId="BodyText2Char">
    <w:name w:val="Body Text 2 Char"/>
    <w:basedOn w:val="DefaultParagraphFont"/>
    <w:link w:val="BodyText2"/>
    <w:rsid w:val="00FA1BC6"/>
    <w:rPr>
      <w:rFonts w:eastAsia="Times New Roman"/>
      <w:szCs w:val="24"/>
    </w:rPr>
  </w:style>
  <w:style w:type="table" w:styleId="TableGrid">
    <w:name w:val="Table Grid"/>
    <w:basedOn w:val="TableNormal"/>
    <w:uiPriority w:val="59"/>
    <w:rsid w:val="00FA1B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52151">
      <w:bodyDiv w:val="1"/>
      <w:marLeft w:val="0"/>
      <w:marRight w:val="0"/>
      <w:marTop w:val="0"/>
      <w:marBottom w:val="0"/>
      <w:divBdr>
        <w:top w:val="none" w:sz="0" w:space="0" w:color="auto"/>
        <w:left w:val="none" w:sz="0" w:space="0" w:color="auto"/>
        <w:bottom w:val="none" w:sz="0" w:space="0" w:color="auto"/>
        <w:right w:val="none" w:sz="0" w:space="0" w:color="auto"/>
      </w:divBdr>
    </w:div>
    <w:div w:id="660281024">
      <w:bodyDiv w:val="1"/>
      <w:marLeft w:val="0"/>
      <w:marRight w:val="0"/>
      <w:marTop w:val="0"/>
      <w:marBottom w:val="0"/>
      <w:divBdr>
        <w:top w:val="none" w:sz="0" w:space="0" w:color="auto"/>
        <w:left w:val="none" w:sz="0" w:space="0" w:color="auto"/>
        <w:bottom w:val="none" w:sz="0" w:space="0" w:color="auto"/>
        <w:right w:val="none" w:sz="0" w:space="0" w:color="auto"/>
      </w:divBdr>
    </w:div>
    <w:div w:id="686444689">
      <w:bodyDiv w:val="1"/>
      <w:marLeft w:val="0"/>
      <w:marRight w:val="0"/>
      <w:marTop w:val="0"/>
      <w:marBottom w:val="0"/>
      <w:divBdr>
        <w:top w:val="none" w:sz="0" w:space="0" w:color="auto"/>
        <w:left w:val="none" w:sz="0" w:space="0" w:color="auto"/>
        <w:bottom w:val="none" w:sz="0" w:space="0" w:color="auto"/>
        <w:right w:val="none" w:sz="0" w:space="0" w:color="auto"/>
      </w:divBdr>
    </w:div>
    <w:div w:id="1442068292">
      <w:bodyDiv w:val="1"/>
      <w:marLeft w:val="0"/>
      <w:marRight w:val="0"/>
      <w:marTop w:val="0"/>
      <w:marBottom w:val="0"/>
      <w:divBdr>
        <w:top w:val="none" w:sz="0" w:space="0" w:color="auto"/>
        <w:left w:val="none" w:sz="0" w:space="0" w:color="auto"/>
        <w:bottom w:val="none" w:sz="0" w:space="0" w:color="auto"/>
        <w:right w:val="none" w:sz="0" w:space="0" w:color="auto"/>
      </w:divBdr>
    </w:div>
    <w:div w:id="1558586313">
      <w:bodyDiv w:val="1"/>
      <w:marLeft w:val="0"/>
      <w:marRight w:val="0"/>
      <w:marTop w:val="0"/>
      <w:marBottom w:val="0"/>
      <w:divBdr>
        <w:top w:val="none" w:sz="0" w:space="0" w:color="auto"/>
        <w:left w:val="none" w:sz="0" w:space="0" w:color="auto"/>
        <w:bottom w:val="none" w:sz="0" w:space="0" w:color="auto"/>
        <w:right w:val="none" w:sz="0" w:space="0" w:color="auto"/>
      </w:divBdr>
    </w:div>
    <w:div w:id="1842432201">
      <w:bodyDiv w:val="1"/>
      <w:marLeft w:val="0"/>
      <w:marRight w:val="0"/>
      <w:marTop w:val="0"/>
      <w:marBottom w:val="0"/>
      <w:divBdr>
        <w:top w:val="none" w:sz="0" w:space="0" w:color="auto"/>
        <w:left w:val="none" w:sz="0" w:space="0" w:color="auto"/>
        <w:bottom w:val="none" w:sz="0" w:space="0" w:color="auto"/>
        <w:right w:val="none" w:sz="0" w:space="0" w:color="auto"/>
      </w:divBdr>
    </w:div>
    <w:div w:id="2004698594">
      <w:bodyDiv w:val="1"/>
      <w:marLeft w:val="0"/>
      <w:marRight w:val="0"/>
      <w:marTop w:val="0"/>
      <w:marBottom w:val="0"/>
      <w:divBdr>
        <w:top w:val="none" w:sz="0" w:space="0" w:color="auto"/>
        <w:left w:val="none" w:sz="0" w:space="0" w:color="auto"/>
        <w:bottom w:val="none" w:sz="0" w:space="0" w:color="auto"/>
        <w:right w:val="none" w:sz="0" w:space="0" w:color="auto"/>
      </w:divBdr>
    </w:div>
    <w:div w:id="211027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48F00-76D9-482A-AE0F-4D0D900A3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17464</Words>
  <Characters>99545</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bfaccenda</cp:lastModifiedBy>
  <cp:revision>32</cp:revision>
  <cp:lastPrinted>2014-03-28T12:59:00Z</cp:lastPrinted>
  <dcterms:created xsi:type="dcterms:W3CDTF">2014-03-24T14:31:00Z</dcterms:created>
  <dcterms:modified xsi:type="dcterms:W3CDTF">2014-03-28T13:00:00Z</dcterms:modified>
</cp:coreProperties>
</file>