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5E0FC6" w:rsidP="00C13A42">
      <w:pPr>
        <w:jc w:val="center"/>
        <w:rPr>
          <w:b/>
          <w:sz w:val="24"/>
          <w:szCs w:val="24"/>
        </w:rPr>
      </w:pPr>
      <w:r>
        <w:rPr>
          <w:b/>
          <w:sz w:val="24"/>
          <w:szCs w:val="24"/>
        </w:rPr>
        <w:lastRenderedPageBreak/>
        <w:t>March 31, 2014</w:t>
      </w:r>
    </w:p>
    <w:p w:rsidR="00F00F7F" w:rsidRDefault="00130671" w:rsidP="00B95A27">
      <w:pPr>
        <w:jc w:val="right"/>
        <w:rPr>
          <w:sz w:val="21"/>
          <w:szCs w:val="21"/>
        </w:rPr>
      </w:pPr>
      <w:r>
        <w:rPr>
          <w:sz w:val="21"/>
          <w:szCs w:val="21"/>
        </w:rPr>
        <w:t xml:space="preserve">Docket No. </w:t>
      </w:r>
      <w:r w:rsidR="004D4F59">
        <w:rPr>
          <w:sz w:val="21"/>
          <w:szCs w:val="21"/>
        </w:rPr>
        <w:t>P-2012-2283641</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4D4F59" w:rsidRDefault="004D4F59" w:rsidP="00B45673">
      <w:pPr>
        <w:rPr>
          <w:sz w:val="21"/>
          <w:szCs w:val="21"/>
        </w:rPr>
      </w:pPr>
      <w:r>
        <w:rPr>
          <w:sz w:val="21"/>
          <w:szCs w:val="21"/>
        </w:rPr>
        <w:t>RICHARD G WEBSTER JR</w:t>
      </w:r>
    </w:p>
    <w:p w:rsidR="004D4F59" w:rsidRDefault="004D4F59" w:rsidP="00B45673">
      <w:pPr>
        <w:rPr>
          <w:sz w:val="21"/>
          <w:szCs w:val="21"/>
        </w:rPr>
      </w:pPr>
      <w:r>
        <w:rPr>
          <w:sz w:val="21"/>
          <w:szCs w:val="21"/>
        </w:rPr>
        <w:t>PECO</w:t>
      </w:r>
    </w:p>
    <w:p w:rsidR="004D4F59" w:rsidRDefault="004D4F59" w:rsidP="00B45673">
      <w:pPr>
        <w:rPr>
          <w:sz w:val="21"/>
          <w:szCs w:val="21"/>
        </w:rPr>
      </w:pPr>
      <w:r>
        <w:rPr>
          <w:sz w:val="21"/>
          <w:szCs w:val="21"/>
        </w:rPr>
        <w:t>2301 MARKET STREET  S15</w:t>
      </w:r>
    </w:p>
    <w:p w:rsidR="004D4F59" w:rsidRPr="00AB60E6" w:rsidRDefault="004D4F59" w:rsidP="00B45673">
      <w:pPr>
        <w:rPr>
          <w:sz w:val="21"/>
          <w:szCs w:val="21"/>
        </w:rPr>
      </w:pPr>
      <w:r>
        <w:rPr>
          <w:sz w:val="21"/>
          <w:szCs w:val="21"/>
        </w:rPr>
        <w:t>PHILADELPHIA PA  19103</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w:t>
      </w:r>
      <w:r w:rsidR="00E60B0F">
        <w:rPr>
          <w:sz w:val="21"/>
          <w:szCs w:val="21"/>
        </w:rPr>
        <w:t xml:space="preserve"> Supplement No. 97 to Tariff Electric - Pa. P.U.C. No. 4 and Supplement No. 17 to Tariff Electric - Pa. P.U.C. No. 1S </w:t>
      </w:r>
      <w:r w:rsidR="00C13A42">
        <w:rPr>
          <w:sz w:val="21"/>
          <w:szCs w:val="21"/>
        </w:rPr>
        <w:t xml:space="preserve">  </w:t>
      </w:r>
    </w:p>
    <w:p w:rsidR="004D4F59" w:rsidRDefault="004D4F59"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4D4F59">
        <w:rPr>
          <w:sz w:val="21"/>
          <w:szCs w:val="21"/>
        </w:rPr>
        <w:t>Mr. Webster</w:t>
      </w:r>
      <w:r w:rsidR="006D5846">
        <w:rPr>
          <w:sz w:val="21"/>
          <w:szCs w:val="21"/>
        </w:rPr>
        <w:t>:</w:t>
      </w:r>
    </w:p>
    <w:p w:rsidR="00B45673" w:rsidRPr="00AB60E6" w:rsidRDefault="00B45673" w:rsidP="00B45673">
      <w:pPr>
        <w:rPr>
          <w:sz w:val="21"/>
          <w:szCs w:val="21"/>
        </w:rPr>
      </w:pPr>
    </w:p>
    <w:p w:rsidR="004D4F59"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4D4F59">
        <w:rPr>
          <w:sz w:val="21"/>
          <w:szCs w:val="21"/>
        </w:rPr>
        <w:t>January 24, 2014 at Docket No. P-2012-2283641</w:t>
      </w:r>
      <w:r w:rsidR="004C741D">
        <w:rPr>
          <w:sz w:val="21"/>
          <w:szCs w:val="21"/>
        </w:rPr>
        <w:t xml:space="preserve">, the Commission </w:t>
      </w:r>
      <w:r w:rsidR="006861B6">
        <w:rPr>
          <w:sz w:val="21"/>
          <w:szCs w:val="21"/>
        </w:rPr>
        <w:t xml:space="preserve">authorized </w:t>
      </w:r>
      <w:r w:rsidR="004D4F59">
        <w:rPr>
          <w:sz w:val="21"/>
          <w:szCs w:val="21"/>
        </w:rPr>
        <w:t>PECO Energy Company</w:t>
      </w:r>
      <w:r w:rsidR="00255B27">
        <w:rPr>
          <w:sz w:val="21"/>
          <w:szCs w:val="21"/>
        </w:rPr>
        <w:t xml:space="preserve"> (</w:t>
      </w:r>
      <w:r w:rsidR="004D4F59">
        <w:rPr>
          <w:sz w:val="21"/>
          <w:szCs w:val="21"/>
        </w:rPr>
        <w:t>PECO</w:t>
      </w:r>
      <w:r w:rsidR="006861B6">
        <w:rPr>
          <w:sz w:val="21"/>
          <w:szCs w:val="21"/>
        </w:rPr>
        <w:t>)</w:t>
      </w:r>
      <w:r w:rsidR="005E0496">
        <w:rPr>
          <w:sz w:val="21"/>
          <w:szCs w:val="21"/>
        </w:rPr>
        <w:t xml:space="preserve"> </w:t>
      </w:r>
      <w:r w:rsidR="004D4F59">
        <w:rPr>
          <w:sz w:val="21"/>
          <w:szCs w:val="21"/>
        </w:rPr>
        <w:t>to file</w:t>
      </w:r>
      <w:r w:rsidR="005E0496">
        <w:rPr>
          <w:sz w:val="21"/>
          <w:szCs w:val="21"/>
        </w:rPr>
        <w:t xml:space="preserve"> </w:t>
      </w:r>
      <w:r w:rsidR="00130671">
        <w:rPr>
          <w:sz w:val="21"/>
          <w:szCs w:val="21"/>
        </w:rPr>
        <w:t>tariff supplement</w:t>
      </w:r>
      <w:r w:rsidR="004D4F59">
        <w:rPr>
          <w:sz w:val="21"/>
          <w:szCs w:val="21"/>
        </w:rPr>
        <w:t>s, including a revised Electric Generation Supplier Coordination Tariff, reflecting the revisions set forth in the Opinion and Order.</w:t>
      </w:r>
      <w:r w:rsidR="00A4155F">
        <w:rPr>
          <w:sz w:val="21"/>
          <w:szCs w:val="21"/>
        </w:rPr>
        <w:t xml:space="preserve">  </w:t>
      </w:r>
      <w:r w:rsidR="006861B6">
        <w:rPr>
          <w:sz w:val="21"/>
          <w:szCs w:val="21"/>
        </w:rPr>
        <w:t xml:space="preserve">On </w:t>
      </w:r>
      <w:r w:rsidR="004D4F59">
        <w:rPr>
          <w:sz w:val="21"/>
          <w:szCs w:val="21"/>
        </w:rPr>
        <w:t>February 24, 2014</w:t>
      </w:r>
      <w:r w:rsidR="006861B6">
        <w:rPr>
          <w:sz w:val="21"/>
          <w:szCs w:val="21"/>
        </w:rPr>
        <w:t xml:space="preserve">, </w:t>
      </w:r>
      <w:r w:rsidR="004D4F59">
        <w:rPr>
          <w:sz w:val="21"/>
          <w:szCs w:val="21"/>
        </w:rPr>
        <w:t>PECO</w:t>
      </w:r>
      <w:r w:rsidR="004F5F75">
        <w:rPr>
          <w:sz w:val="21"/>
          <w:szCs w:val="21"/>
        </w:rPr>
        <w:t xml:space="preserve"> filed Supplement No. </w:t>
      </w:r>
      <w:r w:rsidR="004D4F59">
        <w:rPr>
          <w:sz w:val="21"/>
          <w:szCs w:val="21"/>
        </w:rPr>
        <w:t>97</w:t>
      </w:r>
      <w:r w:rsidR="004F5F75">
        <w:rPr>
          <w:sz w:val="21"/>
          <w:szCs w:val="21"/>
        </w:rPr>
        <w:t xml:space="preserve"> to Tariff</w:t>
      </w:r>
      <w:r w:rsidR="005056CA">
        <w:rPr>
          <w:sz w:val="21"/>
          <w:szCs w:val="21"/>
        </w:rPr>
        <w:t xml:space="preserve"> </w:t>
      </w:r>
      <w:r w:rsidR="004D4F59">
        <w:rPr>
          <w:sz w:val="21"/>
          <w:szCs w:val="21"/>
        </w:rPr>
        <w:t xml:space="preserve">Electric </w:t>
      </w:r>
      <w:r w:rsidR="005056CA">
        <w:rPr>
          <w:sz w:val="21"/>
          <w:szCs w:val="21"/>
        </w:rPr>
        <w:t>-</w:t>
      </w:r>
      <w:r w:rsidR="004D4F59">
        <w:rPr>
          <w:sz w:val="21"/>
          <w:szCs w:val="21"/>
        </w:rPr>
        <w:t xml:space="preserve"> </w:t>
      </w:r>
      <w:r w:rsidR="004F5F75">
        <w:rPr>
          <w:sz w:val="21"/>
          <w:szCs w:val="21"/>
        </w:rPr>
        <w:t xml:space="preserve">Pa. P.U.C. No. </w:t>
      </w:r>
      <w:r w:rsidR="004D4F59">
        <w:rPr>
          <w:sz w:val="21"/>
          <w:szCs w:val="21"/>
        </w:rPr>
        <w:t xml:space="preserve">4 </w:t>
      </w:r>
      <w:r w:rsidR="00E60B0F">
        <w:rPr>
          <w:sz w:val="21"/>
          <w:szCs w:val="21"/>
        </w:rPr>
        <w:t xml:space="preserve">and Supplement No. 17 to Tariff Electric - Pa. P.U.C. No. 1S, </w:t>
      </w:r>
      <w:r w:rsidR="00E8069B">
        <w:rPr>
          <w:sz w:val="21"/>
          <w:szCs w:val="21"/>
        </w:rPr>
        <w:t xml:space="preserve">to become effective </w:t>
      </w:r>
      <w:r w:rsidR="004D4F59">
        <w:rPr>
          <w:sz w:val="21"/>
          <w:szCs w:val="21"/>
        </w:rPr>
        <w:t>April 15, 2014</w:t>
      </w:r>
      <w:r w:rsidR="00E8069B">
        <w:rPr>
          <w:sz w:val="21"/>
          <w:szCs w:val="21"/>
        </w:rPr>
        <w:t>.</w:t>
      </w:r>
      <w:r w:rsidR="00E60B0F">
        <w:rPr>
          <w:sz w:val="21"/>
          <w:szCs w:val="21"/>
        </w:rPr>
        <w:t xml:space="preserve">  </w:t>
      </w:r>
    </w:p>
    <w:p w:rsidR="004D4F59" w:rsidRDefault="004D4F59" w:rsidP="00DD2FE2">
      <w:pPr>
        <w:rPr>
          <w:sz w:val="21"/>
          <w:szCs w:val="21"/>
        </w:rPr>
      </w:pPr>
    </w:p>
    <w:p w:rsidR="00E8069B" w:rsidRDefault="004D4F59" w:rsidP="00DD2FE2">
      <w:pPr>
        <w:rPr>
          <w:sz w:val="21"/>
          <w:szCs w:val="21"/>
        </w:rPr>
      </w:pPr>
      <w:r>
        <w:rPr>
          <w:sz w:val="21"/>
          <w:szCs w:val="21"/>
        </w:rPr>
        <w:tab/>
      </w:r>
      <w:r>
        <w:rPr>
          <w:sz w:val="21"/>
          <w:szCs w:val="21"/>
        </w:rPr>
        <w:tab/>
        <w:t xml:space="preserve">On March 12, 2014, the Commission entered a “Final” </w:t>
      </w:r>
      <w:r w:rsidR="00E60B0F">
        <w:rPr>
          <w:sz w:val="21"/>
          <w:szCs w:val="21"/>
        </w:rPr>
        <w:t xml:space="preserve">Opinion and Order at Docket No. P-2012-2283641 (March 12 Opinion and Order), directing PECO to file a revised tariff supplement consistent with the changes outlined in the March 12 Opinion and Order.  On March 26, 2014, PECO filed revised pages to both Supplement No. 97 to Tariff Electric - Pa. P.U.C. No. 4 and Supplement No. 17 to Tariff Electric - Pa. P.U.C. No. 1S.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E60B0F">
        <w:rPr>
          <w:sz w:val="21"/>
          <w:szCs w:val="21"/>
        </w:rPr>
        <w:t>Supplement No. 97 to Tariff Electric - Pa. P.U.C. No. 4 and Supplement No. 17 to Tariff Electric - Pa. P.U.C. No. 1S are</w:t>
      </w:r>
      <w:r w:rsidR="00A4155F">
        <w:rPr>
          <w:sz w:val="21"/>
          <w:szCs w:val="21"/>
        </w:rPr>
        <w:t xml:space="preserve"> effective by operation of law according to the effective dates contained on each page of the supplement</w:t>
      </w:r>
      <w:r w:rsidR="00E60B0F">
        <w:rPr>
          <w:sz w:val="21"/>
          <w:szCs w:val="21"/>
        </w:rPr>
        <w:t>s</w:t>
      </w:r>
      <w:r w:rsidR="00A4155F">
        <w:rPr>
          <w:sz w:val="21"/>
          <w:szCs w:val="21"/>
        </w:rPr>
        <w:t>.  However, this is without prejudice to any formal complaints timely filed against said tariff revision</w:t>
      </w:r>
      <w:r w:rsidR="00E60B0F">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5E0FC6" w:rsidP="00DD2FE2">
      <w:pPr>
        <w:rPr>
          <w:sz w:val="21"/>
          <w:szCs w:val="21"/>
        </w:rPr>
      </w:pPr>
      <w:bookmarkStart w:id="0" w:name="_GoBack"/>
      <w:r>
        <w:rPr>
          <w:noProof/>
        </w:rPr>
        <w:drawing>
          <wp:anchor distT="0" distB="0" distL="114300" distR="114300" simplePos="0" relativeHeight="251658240" behindDoc="1" locked="0" layoutInCell="1" allowOverlap="1" wp14:anchorId="59BAC287" wp14:editId="6CC5A967">
            <wp:simplePos x="0" y="0"/>
            <wp:positionH relativeFrom="column">
              <wp:posOffset>3192780</wp:posOffset>
            </wp:positionH>
            <wp:positionV relativeFrom="paragraph">
              <wp:posOffset>57785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48B" w:rsidRDefault="00A6648B">
      <w:r>
        <w:separator/>
      </w:r>
    </w:p>
  </w:endnote>
  <w:endnote w:type="continuationSeparator" w:id="0">
    <w:p w:rsidR="00A6648B" w:rsidRDefault="00A6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48B" w:rsidRDefault="00A6648B">
      <w:r>
        <w:separator/>
      </w:r>
    </w:p>
  </w:footnote>
  <w:footnote w:type="continuationSeparator" w:id="0">
    <w:p w:rsidR="00A6648B" w:rsidRDefault="00A66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F15D5"/>
    <w:rsid w:val="00400D28"/>
    <w:rsid w:val="0043103D"/>
    <w:rsid w:val="00480B00"/>
    <w:rsid w:val="004C741D"/>
    <w:rsid w:val="004D4F59"/>
    <w:rsid w:val="004E42FD"/>
    <w:rsid w:val="004F5F75"/>
    <w:rsid w:val="005056CA"/>
    <w:rsid w:val="00512D8A"/>
    <w:rsid w:val="0056517B"/>
    <w:rsid w:val="005C7262"/>
    <w:rsid w:val="005E0496"/>
    <w:rsid w:val="005E0FC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6648B"/>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60B0F"/>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2014-03-31T14:20:00Z</cp:lastPrinted>
  <dcterms:created xsi:type="dcterms:W3CDTF">2014-03-27T21:13:00Z</dcterms:created>
  <dcterms:modified xsi:type="dcterms:W3CDTF">2014-03-31T14:20:00Z</dcterms:modified>
</cp:coreProperties>
</file>