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A22" w:rsidRPr="007D1B6D" w:rsidRDefault="00DB2A22" w:rsidP="00B51D76">
      <w:pPr>
        <w:tabs>
          <w:tab w:val="center" w:pos="4680"/>
        </w:tabs>
        <w:jc w:val="center"/>
        <w:rPr>
          <w:b/>
        </w:rPr>
      </w:pPr>
      <w:r w:rsidRPr="007D1B6D">
        <w:rPr>
          <w:b/>
        </w:rPr>
        <w:t>BEFORE THE</w:t>
      </w:r>
    </w:p>
    <w:p w:rsidR="00DB2A22" w:rsidRPr="007D1B6D" w:rsidRDefault="00DB2A22" w:rsidP="00DB2A22">
      <w:pPr>
        <w:tabs>
          <w:tab w:val="center" w:pos="4680"/>
        </w:tabs>
        <w:jc w:val="both"/>
        <w:rPr>
          <w:b/>
        </w:rPr>
      </w:pPr>
      <w:r w:rsidRPr="007D1B6D">
        <w:rPr>
          <w:b/>
        </w:rPr>
        <w:tab/>
        <w:t>PENNSYLVANIA PUBLIC UTILITY COMMISSION</w:t>
      </w:r>
    </w:p>
    <w:p w:rsidR="00DB2A22" w:rsidRPr="007D1B6D" w:rsidRDefault="00DB2A22" w:rsidP="00DB2A22">
      <w:pPr>
        <w:tabs>
          <w:tab w:val="center" w:pos="4680"/>
        </w:tabs>
        <w:jc w:val="both"/>
        <w:rPr>
          <w:b/>
        </w:rPr>
      </w:pPr>
    </w:p>
    <w:p w:rsidR="00DB2A22" w:rsidRPr="007D1B6D" w:rsidRDefault="00DB2A22" w:rsidP="00DB2A22">
      <w:pPr>
        <w:tabs>
          <w:tab w:val="center" w:pos="4680"/>
        </w:tabs>
        <w:jc w:val="both"/>
        <w:rPr>
          <w:b/>
        </w:rPr>
      </w:pPr>
    </w:p>
    <w:p w:rsidR="00DB2A22" w:rsidRPr="007D1B6D" w:rsidRDefault="00DB2A22" w:rsidP="00DB2A22">
      <w:pPr>
        <w:tabs>
          <w:tab w:val="center" w:pos="4680"/>
        </w:tabs>
        <w:jc w:val="both"/>
      </w:pPr>
    </w:p>
    <w:p w:rsidR="00DB2A22" w:rsidRPr="007D1B6D" w:rsidRDefault="00DB2A22" w:rsidP="00DB2A22">
      <w:r w:rsidRPr="007D1B6D">
        <w:t>Petition of Peoples TWP, LLC for Approval of a</w:t>
      </w:r>
      <w:r w:rsidRPr="007D1B6D">
        <w:tab/>
      </w:r>
      <w:r w:rsidRPr="007D1B6D">
        <w:rPr>
          <w:b/>
        </w:rPr>
        <w:t>:</w:t>
      </w:r>
      <w:r w:rsidRPr="007D1B6D">
        <w:rPr>
          <w:b/>
        </w:rPr>
        <w:tab/>
      </w:r>
      <w:r w:rsidRPr="007D1B6D">
        <w:rPr>
          <w:b/>
        </w:rPr>
        <w:tab/>
      </w:r>
      <w:r w:rsidRPr="007D1B6D">
        <w:t>P-2013-2344595</w:t>
      </w:r>
    </w:p>
    <w:p w:rsidR="00DB2A22" w:rsidRPr="007D1B6D" w:rsidRDefault="00DB2A22" w:rsidP="00DB2A22">
      <w:pPr>
        <w:rPr>
          <w:b/>
        </w:rPr>
      </w:pPr>
      <w:r w:rsidRPr="007D1B6D">
        <w:t>Distribution System Improvement Charge</w:t>
      </w:r>
      <w:r w:rsidRPr="007D1B6D">
        <w:tab/>
      </w:r>
      <w:r w:rsidRPr="007D1B6D">
        <w:tab/>
      </w:r>
      <w:r w:rsidRPr="007D1B6D">
        <w:rPr>
          <w:b/>
        </w:rPr>
        <w:t>:</w:t>
      </w:r>
    </w:p>
    <w:p w:rsidR="00DB2A22" w:rsidRPr="007D1B6D" w:rsidRDefault="00DB2A22" w:rsidP="00DB2A22"/>
    <w:p w:rsidR="00DB2A22" w:rsidRPr="007D1B6D" w:rsidRDefault="00DB2A22" w:rsidP="00DB2A22">
      <w:r w:rsidRPr="007D1B6D">
        <w:tab/>
      </w:r>
      <w:r w:rsidRPr="007D1B6D">
        <w:tab/>
      </w:r>
      <w:r w:rsidRPr="007D1B6D">
        <w:tab/>
      </w:r>
    </w:p>
    <w:p w:rsidR="00DB2A22" w:rsidRPr="007D1B6D" w:rsidRDefault="00DB2A22" w:rsidP="00DB2A22">
      <w:r w:rsidRPr="007D1B6D">
        <w:t>Office of Consumer Advocate</w:t>
      </w:r>
      <w:r w:rsidRPr="007D1B6D">
        <w:tab/>
      </w:r>
      <w:r w:rsidRPr="007D1B6D">
        <w:tab/>
      </w:r>
      <w:r w:rsidRPr="007D1B6D">
        <w:tab/>
      </w:r>
      <w:r w:rsidRPr="007D1B6D">
        <w:rPr>
          <w:b/>
        </w:rPr>
        <w:t>:</w:t>
      </w:r>
      <w:r w:rsidRPr="007D1B6D">
        <w:rPr>
          <w:b/>
        </w:rPr>
        <w:tab/>
      </w:r>
      <w:r w:rsidRPr="007D1B6D">
        <w:rPr>
          <w:b/>
        </w:rPr>
        <w:tab/>
      </w:r>
    </w:p>
    <w:p w:rsidR="00DB2A22" w:rsidRPr="007D1B6D" w:rsidRDefault="00DB2A22" w:rsidP="00DB2A22">
      <w:pPr>
        <w:ind w:left="3600" w:firstLine="720"/>
        <w:rPr>
          <w:b/>
        </w:rPr>
      </w:pPr>
      <w:r w:rsidRPr="007D1B6D">
        <w:t xml:space="preserve"> </w:t>
      </w:r>
      <w:r w:rsidRPr="007D1B6D">
        <w:tab/>
      </w:r>
      <w:r w:rsidRPr="007D1B6D">
        <w:rPr>
          <w:b/>
        </w:rPr>
        <w:t>:</w:t>
      </w:r>
    </w:p>
    <w:p w:rsidR="00DB2A22" w:rsidRPr="007D1B6D" w:rsidRDefault="00DB2A22" w:rsidP="00DB2A22">
      <w:pPr>
        <w:rPr>
          <w:b/>
        </w:rPr>
      </w:pPr>
      <w:r w:rsidRPr="007D1B6D">
        <w:tab/>
        <w:t>v.</w:t>
      </w:r>
      <w:r w:rsidRPr="007D1B6D">
        <w:tab/>
      </w:r>
      <w:r w:rsidRPr="007D1B6D">
        <w:tab/>
      </w:r>
      <w:r w:rsidRPr="007D1B6D">
        <w:tab/>
      </w:r>
      <w:r w:rsidRPr="007D1B6D">
        <w:tab/>
      </w:r>
      <w:r w:rsidRPr="007D1B6D">
        <w:tab/>
      </w:r>
      <w:r w:rsidRPr="007D1B6D">
        <w:tab/>
      </w:r>
      <w:r w:rsidRPr="007D1B6D">
        <w:rPr>
          <w:b/>
        </w:rPr>
        <w:t>:</w:t>
      </w:r>
      <w:r w:rsidRPr="007D1B6D">
        <w:rPr>
          <w:b/>
        </w:rPr>
        <w:tab/>
      </w:r>
      <w:r w:rsidRPr="007D1B6D">
        <w:rPr>
          <w:b/>
        </w:rPr>
        <w:tab/>
      </w:r>
      <w:r w:rsidRPr="007D1B6D">
        <w:t>C-2013-2348849</w:t>
      </w:r>
    </w:p>
    <w:p w:rsidR="00DB2A22" w:rsidRPr="007D1B6D" w:rsidRDefault="00DB2A22" w:rsidP="00DB2A22">
      <w:pPr>
        <w:rPr>
          <w:b/>
        </w:rPr>
      </w:pPr>
      <w:r w:rsidRPr="007D1B6D">
        <w:tab/>
      </w:r>
      <w:r w:rsidRPr="007D1B6D">
        <w:tab/>
      </w:r>
      <w:r w:rsidRPr="007D1B6D">
        <w:tab/>
      </w:r>
      <w:r w:rsidRPr="007D1B6D">
        <w:tab/>
      </w:r>
      <w:r w:rsidRPr="007D1B6D">
        <w:tab/>
      </w:r>
      <w:r w:rsidRPr="007D1B6D">
        <w:tab/>
      </w:r>
      <w:r w:rsidRPr="007D1B6D">
        <w:tab/>
      </w:r>
      <w:r w:rsidRPr="007D1B6D">
        <w:rPr>
          <w:b/>
        </w:rPr>
        <w:t>:</w:t>
      </w:r>
    </w:p>
    <w:p w:rsidR="00DB2A22" w:rsidRPr="007D1B6D" w:rsidRDefault="00DB2A22" w:rsidP="00DB2A22">
      <w:pPr>
        <w:rPr>
          <w:b/>
        </w:rPr>
      </w:pPr>
      <w:r w:rsidRPr="007D1B6D">
        <w:t>Peoples TWP, LLC</w:t>
      </w:r>
      <w:r w:rsidRPr="007D1B6D">
        <w:tab/>
      </w:r>
      <w:r w:rsidRPr="007D1B6D">
        <w:tab/>
      </w:r>
      <w:r w:rsidRPr="007D1B6D">
        <w:tab/>
      </w:r>
      <w:r w:rsidRPr="007D1B6D">
        <w:tab/>
      </w:r>
      <w:r w:rsidRPr="007D1B6D">
        <w:tab/>
      </w:r>
      <w:r w:rsidRPr="007D1B6D">
        <w:rPr>
          <w:b/>
        </w:rPr>
        <w:t>:</w:t>
      </w:r>
    </w:p>
    <w:p w:rsidR="00DB2A22" w:rsidRPr="007D1B6D" w:rsidRDefault="00DB2A22" w:rsidP="00DB2A22">
      <w:r w:rsidRPr="007D1B6D">
        <w:rPr>
          <w:b/>
        </w:rPr>
        <w:tab/>
      </w:r>
      <w:r w:rsidRPr="007D1B6D">
        <w:rPr>
          <w:b/>
        </w:rPr>
        <w:tab/>
      </w:r>
    </w:p>
    <w:p w:rsidR="004B4A3B" w:rsidRPr="007D1B6D" w:rsidRDefault="004B4A3B" w:rsidP="004B4A3B"/>
    <w:p w:rsidR="004B4A3B" w:rsidRPr="007D1B6D" w:rsidRDefault="004B4A3B" w:rsidP="00967F0F">
      <w:pPr>
        <w:spacing w:line="360" w:lineRule="auto"/>
      </w:pPr>
    </w:p>
    <w:p w:rsidR="007D1B6D" w:rsidRPr="007D1B6D" w:rsidRDefault="007D1B6D" w:rsidP="007D1B6D">
      <w:pPr>
        <w:tabs>
          <w:tab w:val="left" w:pos="4860"/>
        </w:tabs>
        <w:jc w:val="center"/>
        <w:rPr>
          <w:b/>
          <w:u w:val="single"/>
        </w:rPr>
      </w:pPr>
      <w:r w:rsidRPr="007D1B6D">
        <w:rPr>
          <w:b/>
          <w:u w:val="single"/>
        </w:rPr>
        <w:t>RECOMMENDED DECISION</w:t>
      </w:r>
    </w:p>
    <w:p w:rsidR="007D1B6D" w:rsidRPr="007D1B6D" w:rsidRDefault="007D1B6D" w:rsidP="007D1B6D">
      <w:pPr>
        <w:spacing w:line="360" w:lineRule="auto"/>
        <w:jc w:val="center"/>
      </w:pPr>
    </w:p>
    <w:p w:rsidR="007D1B6D" w:rsidRPr="007D1B6D" w:rsidRDefault="007D1B6D" w:rsidP="007D1B6D">
      <w:pPr>
        <w:jc w:val="center"/>
      </w:pPr>
    </w:p>
    <w:p w:rsidR="007D1B6D" w:rsidRPr="007D1B6D" w:rsidRDefault="007D1B6D" w:rsidP="007D1B6D">
      <w:pPr>
        <w:jc w:val="center"/>
      </w:pPr>
      <w:r w:rsidRPr="007D1B6D">
        <w:t>Before</w:t>
      </w:r>
    </w:p>
    <w:p w:rsidR="007D1B6D" w:rsidRPr="007D1B6D" w:rsidRDefault="007D1B6D" w:rsidP="007D1B6D">
      <w:pPr>
        <w:jc w:val="center"/>
      </w:pPr>
      <w:r w:rsidRPr="007D1B6D">
        <w:t>Mary D. Long</w:t>
      </w:r>
    </w:p>
    <w:p w:rsidR="007D1B6D" w:rsidRPr="007D1B6D" w:rsidRDefault="007D1B6D" w:rsidP="007D1B6D">
      <w:pPr>
        <w:jc w:val="center"/>
      </w:pPr>
      <w:r w:rsidRPr="007D1B6D">
        <w:t>and</w:t>
      </w:r>
    </w:p>
    <w:p w:rsidR="007D1B6D" w:rsidRPr="007D1B6D" w:rsidRDefault="007D1B6D" w:rsidP="007D1B6D">
      <w:pPr>
        <w:jc w:val="center"/>
      </w:pPr>
      <w:r w:rsidRPr="007D1B6D">
        <w:t>Jeffrey A. Watson</w:t>
      </w:r>
    </w:p>
    <w:p w:rsidR="007D1B6D" w:rsidRPr="007D1B6D" w:rsidRDefault="007D1B6D" w:rsidP="007D1B6D">
      <w:pPr>
        <w:jc w:val="center"/>
      </w:pPr>
      <w:r w:rsidRPr="007D1B6D">
        <w:t>Administrative Law Judges</w:t>
      </w:r>
    </w:p>
    <w:p w:rsidR="007D1B6D" w:rsidRPr="007D1B6D" w:rsidRDefault="007D1B6D" w:rsidP="007D1B6D">
      <w:pPr>
        <w:jc w:val="center"/>
      </w:pPr>
    </w:p>
    <w:p w:rsidR="007D1B6D" w:rsidRPr="007D1B6D" w:rsidRDefault="007D1B6D" w:rsidP="007D1B6D">
      <w:pPr>
        <w:jc w:val="center"/>
        <w:rPr>
          <w:u w:val="single"/>
        </w:rPr>
      </w:pPr>
    </w:p>
    <w:p w:rsidR="007D1B6D" w:rsidRPr="007D1B6D" w:rsidRDefault="007D1B6D" w:rsidP="00842CDA">
      <w:pPr>
        <w:pStyle w:val="ListParagraph"/>
        <w:sectPr w:rsidR="007D1B6D" w:rsidRPr="007D1B6D" w:rsidSect="008D4653">
          <w:footerReference w:type="even" r:id="rId9"/>
          <w:footerReference w:type="default" r:id="rId10"/>
          <w:footerReference w:type="first" r:id="rId11"/>
          <w:pgSz w:w="12240" w:h="15840"/>
          <w:pgMar w:top="1440" w:right="1440" w:bottom="1584" w:left="1440" w:header="720" w:footer="720" w:gutter="0"/>
          <w:pgNumType w:start="1"/>
          <w:cols w:space="720"/>
          <w:titlePg/>
          <w:docGrid w:linePitch="360"/>
        </w:sectPr>
      </w:pPr>
    </w:p>
    <w:p w:rsidR="007D1B6D" w:rsidRPr="007D1B6D" w:rsidRDefault="007D1B6D" w:rsidP="007D1B6D">
      <w:pPr>
        <w:tabs>
          <w:tab w:val="left" w:pos="720"/>
          <w:tab w:val="left" w:pos="1440"/>
          <w:tab w:val="left" w:pos="2160"/>
          <w:tab w:val="center" w:pos="4680"/>
        </w:tabs>
        <w:spacing w:line="480" w:lineRule="auto"/>
        <w:jc w:val="center"/>
        <w:rPr>
          <w:b/>
          <w:u w:val="single"/>
        </w:rPr>
      </w:pPr>
      <w:r w:rsidRPr="007D1B6D">
        <w:rPr>
          <w:b/>
          <w:u w:val="single"/>
        </w:rPr>
        <w:lastRenderedPageBreak/>
        <w:t>TABLE OF CONTENTS</w:t>
      </w:r>
    </w:p>
    <w:p w:rsidR="007D1B6D" w:rsidRPr="007D1B6D" w:rsidRDefault="007D1B6D" w:rsidP="007D1B6D">
      <w:pPr>
        <w:tabs>
          <w:tab w:val="left" w:pos="720"/>
          <w:tab w:val="left" w:pos="1440"/>
          <w:tab w:val="left" w:pos="2160"/>
        </w:tabs>
        <w:spacing w:line="480" w:lineRule="auto"/>
      </w:pPr>
    </w:p>
    <w:p w:rsidR="007D1B6D" w:rsidRPr="007D1B6D" w:rsidRDefault="007D1B6D" w:rsidP="007D1B6D">
      <w:pPr>
        <w:tabs>
          <w:tab w:val="left" w:pos="720"/>
          <w:tab w:val="left" w:pos="1440"/>
          <w:tab w:val="right" w:leader="dot" w:pos="9360"/>
        </w:tabs>
        <w:spacing w:line="480" w:lineRule="auto"/>
      </w:pPr>
      <w:r w:rsidRPr="007D1B6D">
        <w:t>I.</w:t>
      </w:r>
      <w:r w:rsidRPr="007D1B6D">
        <w:tab/>
      </w:r>
      <w:r w:rsidRPr="007D1B6D">
        <w:rPr>
          <w:caps/>
        </w:rPr>
        <w:t>SYNOPSIS</w:t>
      </w:r>
      <w:r w:rsidRPr="007D1B6D">
        <w:rPr>
          <w:caps/>
        </w:rPr>
        <w:tab/>
      </w:r>
      <w:r w:rsidRPr="007D1B6D">
        <w:t>1</w:t>
      </w:r>
    </w:p>
    <w:p w:rsidR="007D1B6D" w:rsidRPr="007D1B6D" w:rsidRDefault="007D1B6D" w:rsidP="007D1B6D">
      <w:pPr>
        <w:tabs>
          <w:tab w:val="left" w:pos="720"/>
          <w:tab w:val="left" w:pos="1440"/>
          <w:tab w:val="left" w:pos="2160"/>
          <w:tab w:val="right" w:leader="dot" w:pos="9360"/>
        </w:tabs>
        <w:spacing w:line="480" w:lineRule="auto"/>
      </w:pPr>
      <w:r w:rsidRPr="007D1B6D">
        <w:t>II.</w:t>
      </w:r>
      <w:r w:rsidRPr="007D1B6D">
        <w:tab/>
      </w:r>
      <w:r w:rsidRPr="007D1B6D">
        <w:rPr>
          <w:caps/>
        </w:rPr>
        <w:t>HISTORY OF PROCEEDINGS</w:t>
      </w:r>
      <w:r w:rsidRPr="007D1B6D">
        <w:tab/>
        <w:t>1</w:t>
      </w:r>
    </w:p>
    <w:p w:rsidR="007D1B6D" w:rsidRPr="007D1B6D" w:rsidRDefault="007D1B6D" w:rsidP="007D1B6D">
      <w:pPr>
        <w:tabs>
          <w:tab w:val="left" w:pos="720"/>
          <w:tab w:val="left" w:pos="1440"/>
          <w:tab w:val="left" w:pos="2160"/>
          <w:tab w:val="right" w:leader="dot" w:pos="9360"/>
        </w:tabs>
        <w:spacing w:line="480" w:lineRule="auto"/>
      </w:pPr>
      <w:r w:rsidRPr="007D1B6D">
        <w:t>III.</w:t>
      </w:r>
      <w:r w:rsidRPr="007D1B6D">
        <w:tab/>
        <w:t>DESCRIPTION OF THE TERMS OF SETTLEMENT</w:t>
      </w:r>
      <w:r w:rsidRPr="007D1B6D">
        <w:tab/>
        <w:t>3</w:t>
      </w:r>
    </w:p>
    <w:p w:rsidR="007D1B6D" w:rsidRPr="007D1B6D" w:rsidRDefault="007D1B6D" w:rsidP="007D1B6D">
      <w:pPr>
        <w:tabs>
          <w:tab w:val="left" w:pos="720"/>
          <w:tab w:val="left" w:pos="1440"/>
          <w:tab w:val="left" w:pos="2160"/>
          <w:tab w:val="right" w:leader="dot" w:pos="9360"/>
        </w:tabs>
        <w:spacing w:line="480" w:lineRule="auto"/>
      </w:pPr>
      <w:r w:rsidRPr="007D1B6D">
        <w:t>IV.</w:t>
      </w:r>
      <w:r w:rsidRPr="007D1B6D">
        <w:tab/>
        <w:t>DISCUSSION OF THE SETTLEMENT</w:t>
      </w:r>
      <w:r w:rsidRPr="007D1B6D">
        <w:tab/>
      </w:r>
      <w:r w:rsidR="00A90DC5">
        <w:t>5</w:t>
      </w:r>
    </w:p>
    <w:p w:rsidR="007D1B6D" w:rsidRPr="007D1B6D" w:rsidRDefault="007D1B6D" w:rsidP="007D1B6D">
      <w:pPr>
        <w:tabs>
          <w:tab w:val="left" w:pos="720"/>
          <w:tab w:val="left" w:pos="1440"/>
          <w:tab w:val="right" w:leader="dot" w:pos="9360"/>
        </w:tabs>
        <w:spacing w:line="480" w:lineRule="auto"/>
      </w:pPr>
      <w:r w:rsidRPr="007D1B6D">
        <w:tab/>
        <w:t>A.</w:t>
      </w:r>
      <w:r w:rsidRPr="007D1B6D">
        <w:tab/>
        <w:t>Discounting for Competitive Customers</w:t>
      </w:r>
      <w:r w:rsidRPr="007D1B6D">
        <w:tab/>
        <w:t>5</w:t>
      </w:r>
    </w:p>
    <w:p w:rsidR="007D1B6D" w:rsidRPr="007D1B6D" w:rsidRDefault="007D1B6D" w:rsidP="007D1B6D">
      <w:pPr>
        <w:tabs>
          <w:tab w:val="left" w:pos="720"/>
          <w:tab w:val="left" w:pos="1440"/>
          <w:tab w:val="right" w:leader="dot" w:pos="9360"/>
        </w:tabs>
        <w:spacing w:line="480" w:lineRule="auto"/>
      </w:pPr>
      <w:r w:rsidRPr="007D1B6D">
        <w:tab/>
        <w:t>B.</w:t>
      </w:r>
      <w:r w:rsidRPr="007D1B6D">
        <w:tab/>
        <w:t>AMR Information Technology</w:t>
      </w:r>
      <w:r w:rsidRPr="007D1B6D">
        <w:tab/>
        <w:t>7</w:t>
      </w:r>
    </w:p>
    <w:p w:rsidR="007D1B6D" w:rsidRPr="007D1B6D" w:rsidRDefault="007D1B6D" w:rsidP="007D1B6D">
      <w:pPr>
        <w:tabs>
          <w:tab w:val="left" w:pos="720"/>
          <w:tab w:val="left" w:pos="1440"/>
          <w:tab w:val="right" w:leader="dot" w:pos="9360"/>
        </w:tabs>
        <w:spacing w:line="480" w:lineRule="auto"/>
      </w:pPr>
      <w:r w:rsidRPr="007D1B6D">
        <w:tab/>
        <w:t>C.</w:t>
      </w:r>
      <w:r w:rsidRPr="007D1B6D">
        <w:tab/>
        <w:t>Barcoding Technology</w:t>
      </w:r>
      <w:r w:rsidRPr="007D1B6D">
        <w:tab/>
        <w:t>8</w:t>
      </w:r>
    </w:p>
    <w:p w:rsidR="007D1B6D" w:rsidRPr="007D1B6D" w:rsidRDefault="007D1B6D" w:rsidP="007D1B6D">
      <w:pPr>
        <w:tabs>
          <w:tab w:val="left" w:pos="720"/>
          <w:tab w:val="left" w:pos="1440"/>
          <w:tab w:val="right" w:leader="dot" w:pos="9360"/>
        </w:tabs>
        <w:spacing w:line="480" w:lineRule="auto"/>
      </w:pPr>
      <w:r w:rsidRPr="007D1B6D">
        <w:tab/>
        <w:t>D.</w:t>
      </w:r>
      <w:r w:rsidRPr="007D1B6D">
        <w:tab/>
        <w:t>Replacement of Customer-Owned Service Lines</w:t>
      </w:r>
      <w:r w:rsidRPr="007D1B6D">
        <w:tab/>
      </w:r>
      <w:r w:rsidR="00712CD7">
        <w:t>9</w:t>
      </w:r>
    </w:p>
    <w:p w:rsidR="007D1B6D" w:rsidRPr="007D1B6D" w:rsidRDefault="007D1B6D" w:rsidP="007D1B6D">
      <w:pPr>
        <w:tabs>
          <w:tab w:val="left" w:pos="720"/>
          <w:tab w:val="left" w:pos="1440"/>
          <w:tab w:val="right" w:leader="dot" w:pos="9360"/>
        </w:tabs>
        <w:spacing w:line="480" w:lineRule="auto"/>
      </w:pPr>
      <w:r w:rsidRPr="007D1B6D">
        <w:tab/>
        <w:t>E.</w:t>
      </w:r>
      <w:r w:rsidRPr="007D1B6D">
        <w:tab/>
      </w:r>
      <w:r w:rsidR="00BB1168">
        <w:t>Recommendation</w:t>
      </w:r>
      <w:r w:rsidRPr="007D1B6D">
        <w:tab/>
        <w:t>9</w:t>
      </w:r>
    </w:p>
    <w:p w:rsidR="007D1B6D" w:rsidRPr="007D1B6D" w:rsidRDefault="007D1B6D" w:rsidP="00BB1168">
      <w:pPr>
        <w:tabs>
          <w:tab w:val="left" w:pos="720"/>
          <w:tab w:val="left" w:pos="1440"/>
          <w:tab w:val="right" w:leader="dot" w:pos="9360"/>
        </w:tabs>
        <w:spacing w:line="480" w:lineRule="auto"/>
      </w:pPr>
      <w:r w:rsidRPr="007D1B6D">
        <w:t>V.</w:t>
      </w:r>
      <w:r w:rsidRPr="007D1B6D">
        <w:tab/>
        <w:t>CONTESTED ISSUES</w:t>
      </w:r>
      <w:r w:rsidRPr="007D1B6D">
        <w:tab/>
        <w:t>1</w:t>
      </w:r>
      <w:r w:rsidR="00712CD7">
        <w:t>1</w:t>
      </w:r>
    </w:p>
    <w:p w:rsidR="007D1B6D" w:rsidRPr="007D1B6D" w:rsidRDefault="007D1B6D" w:rsidP="007D1B6D">
      <w:pPr>
        <w:tabs>
          <w:tab w:val="left" w:pos="720"/>
          <w:tab w:val="left" w:pos="1440"/>
          <w:tab w:val="left" w:pos="2160"/>
          <w:tab w:val="right" w:leader="dot" w:pos="9360"/>
        </w:tabs>
        <w:spacing w:line="480" w:lineRule="auto"/>
      </w:pPr>
      <w:r w:rsidRPr="007D1B6D">
        <w:tab/>
        <w:t>A.</w:t>
      </w:r>
      <w:r w:rsidRPr="007D1B6D">
        <w:tab/>
        <w:t>Legal Standard</w:t>
      </w:r>
      <w:r w:rsidRPr="007D1B6D">
        <w:tab/>
        <w:t>1</w:t>
      </w:r>
      <w:r w:rsidR="00712CD7">
        <w:t>1</w:t>
      </w:r>
    </w:p>
    <w:p w:rsidR="007D1B6D" w:rsidRDefault="007D1B6D" w:rsidP="007D1B6D">
      <w:pPr>
        <w:tabs>
          <w:tab w:val="left" w:pos="720"/>
          <w:tab w:val="left" w:pos="1440"/>
          <w:tab w:val="left" w:pos="2160"/>
          <w:tab w:val="right" w:leader="dot" w:pos="9360"/>
        </w:tabs>
        <w:spacing w:line="480" w:lineRule="auto"/>
      </w:pPr>
      <w:r w:rsidRPr="007D1B6D">
        <w:tab/>
        <w:t>B.</w:t>
      </w:r>
      <w:r w:rsidRPr="007D1B6D">
        <w:tab/>
        <w:t>OCA’s Objections and the Company’s Position</w:t>
      </w:r>
      <w:r w:rsidRPr="007D1B6D">
        <w:tab/>
        <w:t>1</w:t>
      </w:r>
      <w:r w:rsidR="00712CD7">
        <w:t>5</w:t>
      </w:r>
    </w:p>
    <w:p w:rsidR="00BB1168" w:rsidRDefault="00BB1168" w:rsidP="007D1B6D">
      <w:pPr>
        <w:tabs>
          <w:tab w:val="left" w:pos="720"/>
          <w:tab w:val="left" w:pos="1440"/>
          <w:tab w:val="left" w:pos="2160"/>
          <w:tab w:val="right" w:leader="dot" w:pos="9360"/>
        </w:tabs>
        <w:spacing w:line="480" w:lineRule="auto"/>
      </w:pPr>
      <w:r>
        <w:tab/>
      </w:r>
      <w:r>
        <w:tab/>
        <w:t>1.</w:t>
      </w:r>
      <w:r>
        <w:tab/>
        <w:t>ADIT</w:t>
      </w:r>
      <w:r>
        <w:tab/>
      </w:r>
      <w:r w:rsidR="00712CD7">
        <w:t>16</w:t>
      </w:r>
    </w:p>
    <w:p w:rsidR="00BB1168" w:rsidRDefault="00BB1168" w:rsidP="00BB1168">
      <w:pPr>
        <w:tabs>
          <w:tab w:val="left" w:pos="720"/>
          <w:tab w:val="left" w:pos="1440"/>
          <w:tab w:val="left" w:pos="2160"/>
          <w:tab w:val="right" w:leader="dot" w:pos="9360"/>
        </w:tabs>
        <w:spacing w:line="480" w:lineRule="auto"/>
      </w:pPr>
      <w:r>
        <w:tab/>
      </w:r>
      <w:r>
        <w:tab/>
        <w:t>2.</w:t>
      </w:r>
      <w:r>
        <w:tab/>
        <w:t>Gross-Up of State Taxes</w:t>
      </w:r>
      <w:r>
        <w:tab/>
      </w:r>
      <w:r w:rsidR="00712CD7">
        <w:t>20</w:t>
      </w:r>
    </w:p>
    <w:p w:rsidR="00BB1168" w:rsidRDefault="00BB1168" w:rsidP="00BB1168">
      <w:pPr>
        <w:tabs>
          <w:tab w:val="left" w:pos="720"/>
          <w:tab w:val="left" w:pos="1440"/>
          <w:tab w:val="left" w:pos="2160"/>
          <w:tab w:val="right" w:leader="dot" w:pos="9360"/>
        </w:tabs>
        <w:spacing w:line="480" w:lineRule="auto"/>
      </w:pPr>
      <w:r>
        <w:tab/>
      </w:r>
      <w:r>
        <w:tab/>
        <w:t>3.</w:t>
      </w:r>
      <w:r>
        <w:tab/>
        <w:t>Conclusion</w:t>
      </w:r>
      <w:r>
        <w:tab/>
      </w:r>
      <w:r w:rsidR="00712CD7">
        <w:t>23</w:t>
      </w:r>
    </w:p>
    <w:p w:rsidR="007D1B6D" w:rsidRPr="007D1B6D" w:rsidRDefault="007D1B6D" w:rsidP="007D1B6D">
      <w:pPr>
        <w:tabs>
          <w:tab w:val="left" w:pos="720"/>
          <w:tab w:val="left" w:pos="1440"/>
          <w:tab w:val="left" w:pos="2160"/>
          <w:tab w:val="right" w:leader="dot" w:pos="9360"/>
        </w:tabs>
        <w:spacing w:line="480" w:lineRule="auto"/>
      </w:pPr>
      <w:r w:rsidRPr="007D1B6D">
        <w:t>VI.</w:t>
      </w:r>
      <w:r w:rsidRPr="007D1B6D">
        <w:tab/>
        <w:t>CONCLUSIONS OF LAW</w:t>
      </w:r>
      <w:r w:rsidRPr="007D1B6D">
        <w:tab/>
        <w:t>2</w:t>
      </w:r>
      <w:r w:rsidR="00712CD7">
        <w:t>3</w:t>
      </w:r>
    </w:p>
    <w:p w:rsidR="007D1B6D" w:rsidRPr="007D1B6D" w:rsidRDefault="007D1B6D" w:rsidP="007D1B6D">
      <w:pPr>
        <w:tabs>
          <w:tab w:val="left" w:pos="720"/>
          <w:tab w:val="left" w:pos="1440"/>
          <w:tab w:val="left" w:pos="2160"/>
          <w:tab w:val="right" w:leader="dot" w:pos="9360"/>
        </w:tabs>
        <w:spacing w:line="480" w:lineRule="auto"/>
      </w:pPr>
      <w:r w:rsidRPr="007D1B6D">
        <w:t>VII.</w:t>
      </w:r>
      <w:r w:rsidRPr="007D1B6D">
        <w:tab/>
        <w:t>RECOMMENDED ORDER</w:t>
      </w:r>
      <w:r w:rsidRPr="007D1B6D">
        <w:tab/>
        <w:t>25</w:t>
      </w:r>
    </w:p>
    <w:p w:rsidR="007D1B6D" w:rsidRPr="007D1B6D" w:rsidRDefault="007D1B6D" w:rsidP="00842CDA">
      <w:pPr>
        <w:pStyle w:val="ListParagraph"/>
        <w:sectPr w:rsidR="007D1B6D" w:rsidRPr="007D1B6D" w:rsidSect="008D4653">
          <w:pgSz w:w="12240" w:h="15840"/>
          <w:pgMar w:top="1440" w:right="1440" w:bottom="1584" w:left="1440" w:header="720" w:footer="720" w:gutter="0"/>
          <w:pgNumType w:start="1"/>
          <w:cols w:space="720"/>
          <w:titlePg/>
          <w:docGrid w:linePitch="360"/>
        </w:sectPr>
      </w:pPr>
    </w:p>
    <w:p w:rsidR="007D1B6D" w:rsidRPr="007D1B6D" w:rsidRDefault="007D1B6D" w:rsidP="00842CDA">
      <w:pPr>
        <w:pStyle w:val="ListParagraph"/>
      </w:pPr>
      <w:r w:rsidRPr="007D1B6D">
        <w:lastRenderedPageBreak/>
        <w:t>SYNOPSIS</w:t>
      </w:r>
    </w:p>
    <w:p w:rsidR="005D5085" w:rsidRPr="007D1B6D" w:rsidRDefault="005D5085" w:rsidP="00842CDA">
      <w:pPr>
        <w:tabs>
          <w:tab w:val="left" w:pos="4680"/>
        </w:tabs>
        <w:spacing w:line="360" w:lineRule="auto"/>
      </w:pPr>
    </w:p>
    <w:p w:rsidR="007D1B6D" w:rsidRPr="007D1B6D" w:rsidRDefault="007D1B6D" w:rsidP="00842CDA">
      <w:pPr>
        <w:tabs>
          <w:tab w:val="left" w:pos="4680"/>
        </w:tabs>
        <w:spacing w:line="360" w:lineRule="auto"/>
        <w:ind w:firstLine="1440"/>
      </w:pPr>
      <w:r w:rsidRPr="007D1B6D">
        <w:t>This decision recommends that the Commission approve the stipulation of settlement which resolves the contested issues relating to certain elements of eligible property included in the Company’s distribution system improvement charge and also resolves the parties</w:t>
      </w:r>
      <w:r w:rsidR="00B40652">
        <w:t>’</w:t>
      </w:r>
      <w:r w:rsidRPr="007D1B6D">
        <w:t xml:space="preserve"> dispute regarding tariff language pertaining to competitive customers.  This decision also recommends that the Commission reject the opposition of the Office of Consumer Advocate to the inclusion of a gross-up for state taxes and reject the OCA’s proposal to include an adjustment for deferred income taxes.</w:t>
      </w:r>
    </w:p>
    <w:p w:rsidR="007D1B6D" w:rsidRPr="007D1B6D" w:rsidRDefault="007D1B6D" w:rsidP="00842CDA">
      <w:pPr>
        <w:tabs>
          <w:tab w:val="left" w:pos="4680"/>
        </w:tabs>
        <w:spacing w:line="360" w:lineRule="auto"/>
        <w:ind w:firstLine="1440"/>
      </w:pPr>
    </w:p>
    <w:p w:rsidR="007D1B6D" w:rsidRPr="007D1B6D" w:rsidRDefault="007D1B6D" w:rsidP="00842CDA">
      <w:pPr>
        <w:spacing w:line="360" w:lineRule="auto"/>
        <w:jc w:val="center"/>
        <w:rPr>
          <w:u w:val="single"/>
        </w:rPr>
      </w:pPr>
      <w:r w:rsidRPr="007D1B6D">
        <w:t>II.</w:t>
      </w:r>
      <w:r w:rsidRPr="007D1B6D">
        <w:tab/>
      </w:r>
      <w:r w:rsidRPr="007D1B6D">
        <w:rPr>
          <w:u w:val="single"/>
        </w:rPr>
        <w:t>HISTORY OF PROCEEDINGS</w:t>
      </w:r>
    </w:p>
    <w:p w:rsidR="007D1B6D" w:rsidRPr="007D1B6D" w:rsidRDefault="007D1B6D" w:rsidP="00842CDA">
      <w:pPr>
        <w:tabs>
          <w:tab w:val="left" w:pos="4680"/>
        </w:tabs>
        <w:spacing w:line="360" w:lineRule="auto"/>
        <w:ind w:firstLine="1440"/>
        <w:rPr>
          <w:u w:val="single"/>
        </w:rPr>
      </w:pPr>
    </w:p>
    <w:p w:rsidR="007D1B6D" w:rsidRPr="007D1B6D" w:rsidRDefault="007D1B6D" w:rsidP="00842CDA">
      <w:pPr>
        <w:tabs>
          <w:tab w:val="left" w:pos="4680"/>
        </w:tabs>
        <w:spacing w:line="360" w:lineRule="auto"/>
        <w:ind w:firstLine="1440"/>
      </w:pPr>
      <w:r w:rsidRPr="007D1B6D">
        <w:t>On January 31, 2013, Peoples TWP, LLC (Peoples TWP or Company) filed a petition for a Distribution System Improvement Charge (DSIC), which included a proposed Supplement No. 28 to Tariff Gas – Pa. P.U.C. No. 7, to introduce a DSIC Rider into the Company’s tariff.  Peoples TWP’s DSIC filing was docketed at PUC Docket No. P</w:t>
      </w:r>
      <w:r w:rsidR="00B40652">
        <w:noBreakHyphen/>
      </w:r>
      <w:r w:rsidRPr="007D1B6D">
        <w:t>2013</w:t>
      </w:r>
      <w:r w:rsidR="00B40652">
        <w:noBreakHyphen/>
      </w:r>
      <w:r w:rsidRPr="007D1B6D">
        <w:t xml:space="preserve">2344595.  Peoples TWP also filed a petition for a Long Term Infrastructure Improvement Plan </w:t>
      </w:r>
      <w:r w:rsidR="0046279C">
        <w:t xml:space="preserve">(LTIIP) </w:t>
      </w:r>
      <w:r w:rsidRPr="007D1B6D">
        <w:t>on January 23, 2013, which was also docketed at PUC Docket No. P</w:t>
      </w:r>
      <w:r w:rsidR="00B40652">
        <w:noBreakHyphen/>
      </w:r>
      <w:r w:rsidRPr="007D1B6D">
        <w:t>2013-2344595.</w:t>
      </w:r>
    </w:p>
    <w:p w:rsidR="007D1B6D" w:rsidRPr="007D1B6D" w:rsidRDefault="007D1B6D" w:rsidP="00842CDA">
      <w:pPr>
        <w:tabs>
          <w:tab w:val="left" w:pos="4680"/>
        </w:tabs>
        <w:spacing w:line="360" w:lineRule="auto"/>
        <w:ind w:firstLine="1440"/>
      </w:pPr>
    </w:p>
    <w:p w:rsidR="007D1B6D" w:rsidRPr="007D1B6D" w:rsidRDefault="007D1B6D" w:rsidP="00842CDA">
      <w:pPr>
        <w:tabs>
          <w:tab w:val="left" w:pos="4680"/>
        </w:tabs>
        <w:spacing w:line="360" w:lineRule="auto"/>
        <w:ind w:firstLine="1440"/>
      </w:pPr>
      <w:r w:rsidRPr="007D1B6D">
        <w:t xml:space="preserve">On February 19, 2013, the Pennsylvania Independent Oil and Gas Association (PIOGA) filed a petition to intervene.  The Office of Small Business Advocate (OSBA) filed a notice of intervention and answer to the petition on February 20, 2013.  Also on that day, the Office of Consumer Advocate (OCA) filed an answer to the petition, a notice of intervention and a formal complaint.  OCA’s complaint was docketed at C-2013-2348849.  </w:t>
      </w:r>
    </w:p>
    <w:p w:rsidR="007D1B6D" w:rsidRPr="007D1B6D" w:rsidRDefault="007D1B6D" w:rsidP="00842CDA">
      <w:pPr>
        <w:tabs>
          <w:tab w:val="left" w:pos="4680"/>
        </w:tabs>
        <w:spacing w:line="360" w:lineRule="auto"/>
        <w:ind w:firstLine="1440"/>
      </w:pPr>
    </w:p>
    <w:p w:rsidR="007D1B6D" w:rsidRPr="007D1B6D" w:rsidRDefault="007D1B6D" w:rsidP="00842CDA">
      <w:pPr>
        <w:tabs>
          <w:tab w:val="left" w:pos="4680"/>
        </w:tabs>
        <w:spacing w:line="360" w:lineRule="auto"/>
        <w:ind w:firstLine="1440"/>
      </w:pPr>
      <w:r w:rsidRPr="007D1B6D">
        <w:t xml:space="preserve">The Commission reviewed the materials submitted by the parties and considered comments made by the interested parties to the Company’s filings.  By Opinion and Order entered May 23, 2013, the Commission approved the Company’s Long Term Infrastructure and Improvement Plan.  The Commission also approved the Company’s DSIC petition subject to </w:t>
      </w:r>
      <w:r w:rsidRPr="007D1B6D">
        <w:lastRenderedPageBreak/>
        <w:t>refund and recoupment following hearings and a recommended decision by an administrative law judge.</w:t>
      </w:r>
      <w:r w:rsidRPr="007D1B6D">
        <w:rPr>
          <w:rStyle w:val="FootnoteReference"/>
        </w:rPr>
        <w:footnoteReference w:id="1"/>
      </w:r>
    </w:p>
    <w:p w:rsidR="007D1B6D" w:rsidRPr="007D1B6D" w:rsidRDefault="007D1B6D" w:rsidP="00842CDA">
      <w:pPr>
        <w:tabs>
          <w:tab w:val="left" w:pos="4680"/>
        </w:tabs>
        <w:spacing w:line="360" w:lineRule="auto"/>
        <w:ind w:firstLine="1440"/>
      </w:pPr>
    </w:p>
    <w:p w:rsidR="007D1B6D" w:rsidRPr="007D1B6D" w:rsidRDefault="007D1B6D" w:rsidP="00842CDA">
      <w:pPr>
        <w:tabs>
          <w:tab w:val="left" w:pos="4680"/>
        </w:tabs>
        <w:spacing w:line="360" w:lineRule="auto"/>
        <w:ind w:firstLine="1440"/>
      </w:pPr>
      <w:r w:rsidRPr="007D1B6D">
        <w:t>A prehearing conference was held on June 21, 2013.  Counsel for Peoples TWP, OCA, OSBA and PIOGA appeared.  A prehearing order was issued on June 24, 2013 memorializing the matters decided and agreed upon by the parties attending the conference and setting a litigation schedule in this matter.  In addition, the complaint of the Office of Consumer Advocate, C-2013-2348849, was consolidated at Docket No. P-2013-2344595 and the petition to intervene of PIOGA was granted.</w:t>
      </w:r>
    </w:p>
    <w:p w:rsidR="007D1B6D" w:rsidRPr="007D1B6D" w:rsidRDefault="007D1B6D" w:rsidP="00842CDA">
      <w:pPr>
        <w:tabs>
          <w:tab w:val="left" w:pos="4680"/>
        </w:tabs>
        <w:spacing w:line="360" w:lineRule="auto"/>
        <w:ind w:firstLine="1440"/>
      </w:pPr>
    </w:p>
    <w:p w:rsidR="007D1B6D" w:rsidRPr="007D1B6D" w:rsidRDefault="007D1B6D" w:rsidP="00842CDA">
      <w:pPr>
        <w:tabs>
          <w:tab w:val="left" w:pos="4680"/>
        </w:tabs>
        <w:spacing w:line="360" w:lineRule="auto"/>
        <w:ind w:firstLine="1440"/>
      </w:pPr>
      <w:r w:rsidRPr="007D1B6D">
        <w:t>In the May 23, 2013 Opinion and Order, the Commission assigned the following issues for hearing and preparation of a recommended decision:</w:t>
      </w:r>
    </w:p>
    <w:p w:rsidR="007D1B6D" w:rsidRPr="007D1B6D" w:rsidRDefault="007D1B6D" w:rsidP="00842CDA">
      <w:pPr>
        <w:ind w:firstLine="1440"/>
      </w:pPr>
    </w:p>
    <w:p w:rsidR="007D1B6D" w:rsidRPr="007D1B6D" w:rsidRDefault="007D1B6D" w:rsidP="00842CDA">
      <w:pPr>
        <w:numPr>
          <w:ilvl w:val="1"/>
          <w:numId w:val="5"/>
        </w:numPr>
        <w:ind w:hanging="720"/>
      </w:pPr>
      <w:r w:rsidRPr="007D1B6D">
        <w:t>DSIC-recovery of costs related to customer owned service lines, reliability improvements, special meter technology, information technology support, and vehicles, tools and equipment;</w:t>
      </w:r>
    </w:p>
    <w:p w:rsidR="007D1B6D" w:rsidRPr="007D1B6D" w:rsidRDefault="007D1B6D" w:rsidP="00842CDA">
      <w:pPr>
        <w:ind w:left="2160" w:hanging="720"/>
      </w:pPr>
    </w:p>
    <w:p w:rsidR="007D1B6D" w:rsidRPr="007D1B6D" w:rsidRDefault="007D1B6D" w:rsidP="00842CDA">
      <w:pPr>
        <w:numPr>
          <w:ilvl w:val="1"/>
          <w:numId w:val="5"/>
        </w:numPr>
        <w:ind w:hanging="720"/>
      </w:pPr>
      <w:r w:rsidRPr="007D1B6D">
        <w:t>Impact of accumulated deferred income taxes associated with DSIC investments; and</w:t>
      </w:r>
    </w:p>
    <w:p w:rsidR="007D1B6D" w:rsidRPr="007D1B6D" w:rsidRDefault="007D1B6D" w:rsidP="00842CDA">
      <w:pPr>
        <w:ind w:left="2160"/>
      </w:pPr>
    </w:p>
    <w:p w:rsidR="007D1B6D" w:rsidRDefault="007D1B6D" w:rsidP="00842CDA">
      <w:pPr>
        <w:numPr>
          <w:ilvl w:val="1"/>
          <w:numId w:val="5"/>
        </w:numPr>
        <w:ind w:hanging="720"/>
      </w:pPr>
      <w:r w:rsidRPr="007D1B6D">
        <w:t>Calculation of state income tax component of the DSIC revenue requirement.</w:t>
      </w:r>
    </w:p>
    <w:p w:rsidR="007D1B6D" w:rsidRDefault="007D1B6D" w:rsidP="00A90DC5">
      <w:pPr>
        <w:pStyle w:val="ListParagraph"/>
        <w:numPr>
          <w:ilvl w:val="0"/>
          <w:numId w:val="0"/>
        </w:numPr>
        <w:jc w:val="left"/>
      </w:pPr>
    </w:p>
    <w:p w:rsidR="007D1B6D" w:rsidRPr="007D1B6D" w:rsidRDefault="007D1B6D" w:rsidP="00842CDA">
      <w:pPr>
        <w:spacing w:line="360" w:lineRule="auto"/>
        <w:ind w:firstLine="1440"/>
      </w:pPr>
      <w:r w:rsidRPr="007D1B6D">
        <w:t>Additionally OCA and OSBA requested consideration of additional issues related to the DSIC which were described in their respective prehearing memoranda.</w:t>
      </w:r>
      <w:r w:rsidRPr="007D1B6D">
        <w:rPr>
          <w:rStyle w:val="FootnoteReference"/>
        </w:rPr>
        <w:footnoteReference w:id="2"/>
      </w:r>
      <w:r w:rsidRPr="007D1B6D">
        <w:t xml:space="preserve">  Peoples TWP and PIOGA objected, arguing that only the three issues explicitly ordered by the Commission should be considered by the Presiding ALJs.  In view of the limited nature of the additional matters to be addressed and in the interests of judicial economy, the request of the OCA and OSBA was granted.</w:t>
      </w:r>
    </w:p>
    <w:p w:rsidR="007D1B6D" w:rsidRPr="007D1B6D" w:rsidRDefault="007D1B6D" w:rsidP="00842CDA">
      <w:pPr>
        <w:spacing w:line="360" w:lineRule="auto"/>
        <w:ind w:firstLine="1440"/>
        <w:rPr>
          <w:b/>
          <w:u w:val="single"/>
        </w:rPr>
      </w:pPr>
    </w:p>
    <w:p w:rsidR="007D1B6D" w:rsidRPr="007D1B6D" w:rsidRDefault="007D1B6D" w:rsidP="00842CDA">
      <w:pPr>
        <w:pStyle w:val="Footer"/>
        <w:spacing w:line="360" w:lineRule="auto"/>
        <w:ind w:firstLine="1440"/>
        <w:rPr>
          <w:sz w:val="24"/>
          <w:szCs w:val="24"/>
        </w:rPr>
      </w:pPr>
      <w:r w:rsidRPr="007D1B6D">
        <w:rPr>
          <w:sz w:val="24"/>
          <w:szCs w:val="24"/>
        </w:rPr>
        <w:lastRenderedPageBreak/>
        <w:tab/>
        <w:t>On November 6, 2013, the parties contacted the undersigned ALJs to advise that a partial settlement had been reached regarding cost recovery associated with customer-owned service lines, other identified costs, and language included in the Company’s DSIC tariff regarding competitive customers.</w:t>
      </w:r>
    </w:p>
    <w:p w:rsidR="007D1B6D" w:rsidRPr="007D1B6D" w:rsidRDefault="007D1B6D" w:rsidP="00842CDA">
      <w:pPr>
        <w:pStyle w:val="Footer"/>
        <w:spacing w:line="360" w:lineRule="auto"/>
        <w:ind w:firstLine="1440"/>
        <w:rPr>
          <w:sz w:val="24"/>
          <w:szCs w:val="24"/>
        </w:rPr>
      </w:pPr>
    </w:p>
    <w:p w:rsidR="007D1B6D" w:rsidRPr="007D1B6D" w:rsidRDefault="007D1B6D" w:rsidP="00842CDA">
      <w:pPr>
        <w:pStyle w:val="Footer"/>
        <w:spacing w:line="360" w:lineRule="auto"/>
        <w:ind w:firstLine="1440"/>
        <w:rPr>
          <w:sz w:val="24"/>
          <w:szCs w:val="24"/>
        </w:rPr>
      </w:pPr>
      <w:r w:rsidRPr="007D1B6D">
        <w:rPr>
          <w:sz w:val="24"/>
          <w:szCs w:val="24"/>
        </w:rPr>
        <w:tab/>
        <w:t xml:space="preserve">A technical evidentiary hearing was held on November 12, 2013 with the parties appearing in Harrisburg and the undersigned ALJs presiding by telephone from the Pittsburgh hearing office of the Commission.  </w:t>
      </w:r>
    </w:p>
    <w:p w:rsidR="007D1B6D" w:rsidRPr="007D1B6D" w:rsidRDefault="007D1B6D" w:rsidP="00842CDA">
      <w:pPr>
        <w:pStyle w:val="Footer"/>
        <w:spacing w:line="360" w:lineRule="auto"/>
        <w:ind w:firstLine="1440"/>
        <w:rPr>
          <w:sz w:val="24"/>
          <w:szCs w:val="24"/>
        </w:rPr>
      </w:pPr>
    </w:p>
    <w:p w:rsidR="007D1B6D" w:rsidRPr="007D1B6D" w:rsidRDefault="007D1B6D" w:rsidP="00842CDA">
      <w:pPr>
        <w:pStyle w:val="Footer"/>
        <w:spacing w:line="360" w:lineRule="auto"/>
        <w:ind w:firstLine="1440"/>
        <w:rPr>
          <w:sz w:val="24"/>
          <w:szCs w:val="24"/>
        </w:rPr>
      </w:pPr>
      <w:r w:rsidRPr="007D1B6D">
        <w:rPr>
          <w:sz w:val="24"/>
          <w:szCs w:val="24"/>
        </w:rPr>
        <w:tab/>
        <w:t>On November 20, 2013</w:t>
      </w:r>
      <w:r w:rsidR="00AA1F4B">
        <w:rPr>
          <w:sz w:val="24"/>
          <w:szCs w:val="24"/>
        </w:rPr>
        <w:t>,</w:t>
      </w:r>
      <w:r w:rsidRPr="007D1B6D">
        <w:rPr>
          <w:sz w:val="24"/>
          <w:szCs w:val="24"/>
        </w:rPr>
        <w:t xml:space="preserve"> a transcript of the technical evidentiary hearing was received by the undersigned ALJs.</w:t>
      </w:r>
    </w:p>
    <w:p w:rsidR="007D1B6D" w:rsidRPr="007D1B6D" w:rsidRDefault="007D1B6D" w:rsidP="00842CDA">
      <w:pPr>
        <w:pStyle w:val="Footer"/>
        <w:spacing w:line="360" w:lineRule="auto"/>
        <w:ind w:firstLine="1440"/>
        <w:rPr>
          <w:sz w:val="24"/>
          <w:szCs w:val="24"/>
        </w:rPr>
      </w:pPr>
    </w:p>
    <w:p w:rsidR="007D1B6D" w:rsidRDefault="007D1B6D" w:rsidP="00842CDA">
      <w:pPr>
        <w:pStyle w:val="Footer"/>
        <w:spacing w:line="360" w:lineRule="auto"/>
        <w:ind w:firstLine="1440"/>
        <w:rPr>
          <w:sz w:val="24"/>
          <w:szCs w:val="24"/>
        </w:rPr>
      </w:pPr>
      <w:r w:rsidRPr="007D1B6D">
        <w:rPr>
          <w:sz w:val="24"/>
          <w:szCs w:val="24"/>
        </w:rPr>
        <w:t>On December 12, 2013, Peoples TWP, OCA and OSBA filed a Proposed Stipulation of Certain Issues (Partial Settlement).  PIOGA, the only other active party to this proceeding</w:t>
      </w:r>
      <w:r w:rsidR="002A51FD">
        <w:rPr>
          <w:sz w:val="24"/>
          <w:szCs w:val="24"/>
        </w:rPr>
        <w:t>,</w:t>
      </w:r>
      <w:r w:rsidRPr="007D1B6D">
        <w:rPr>
          <w:sz w:val="24"/>
          <w:szCs w:val="24"/>
        </w:rPr>
        <w:t xml:space="preserve"> was not a party to the Partial Settlement but indicated that it did not oppose the Partial Settlement. </w:t>
      </w:r>
    </w:p>
    <w:p w:rsidR="00394CD2" w:rsidRPr="007D1B6D" w:rsidRDefault="00394CD2" w:rsidP="00842CDA">
      <w:pPr>
        <w:pStyle w:val="Footer"/>
        <w:spacing w:line="360" w:lineRule="auto"/>
        <w:ind w:firstLine="1440"/>
        <w:rPr>
          <w:sz w:val="24"/>
          <w:szCs w:val="24"/>
        </w:rPr>
      </w:pPr>
    </w:p>
    <w:p w:rsidR="007D1B6D" w:rsidRPr="007D1B6D" w:rsidRDefault="007D1B6D" w:rsidP="00842CDA">
      <w:pPr>
        <w:pStyle w:val="Footer"/>
        <w:spacing w:line="360" w:lineRule="auto"/>
        <w:ind w:firstLine="1440"/>
        <w:rPr>
          <w:sz w:val="24"/>
          <w:szCs w:val="24"/>
        </w:rPr>
      </w:pPr>
      <w:r w:rsidRPr="007D1B6D">
        <w:rPr>
          <w:sz w:val="24"/>
          <w:szCs w:val="24"/>
        </w:rPr>
        <w:tab/>
        <w:t>Pursuant to the procedural schedule adopted in this proceeding, Peoples TWP</w:t>
      </w:r>
      <w:r w:rsidR="00C00557">
        <w:rPr>
          <w:sz w:val="24"/>
          <w:szCs w:val="24"/>
        </w:rPr>
        <w:t>,</w:t>
      </w:r>
      <w:r w:rsidRPr="007D1B6D">
        <w:rPr>
          <w:sz w:val="24"/>
          <w:szCs w:val="24"/>
        </w:rPr>
        <w:t xml:space="preserve"> LLC and the Office of Consumer Advocate filed Main Briefs in this proceeding on December 12, 2013.  Peoples TWP and OCA filed Reply Briefs on December 13, 2013.</w:t>
      </w:r>
    </w:p>
    <w:p w:rsidR="007D1B6D" w:rsidRPr="007D1B6D" w:rsidRDefault="007D1B6D" w:rsidP="00842CDA">
      <w:pPr>
        <w:pStyle w:val="Footer"/>
        <w:spacing w:line="360" w:lineRule="auto"/>
        <w:ind w:firstLine="1440"/>
        <w:rPr>
          <w:sz w:val="24"/>
          <w:szCs w:val="24"/>
        </w:rPr>
      </w:pPr>
    </w:p>
    <w:p w:rsidR="007D1B6D" w:rsidRPr="007D1B6D" w:rsidRDefault="007D1B6D" w:rsidP="00842CDA">
      <w:pPr>
        <w:pStyle w:val="Footer"/>
        <w:spacing w:line="360" w:lineRule="auto"/>
        <w:ind w:firstLine="1440"/>
        <w:rPr>
          <w:sz w:val="24"/>
          <w:szCs w:val="24"/>
        </w:rPr>
      </w:pPr>
      <w:r w:rsidRPr="007D1B6D">
        <w:rPr>
          <w:sz w:val="24"/>
          <w:szCs w:val="24"/>
        </w:rPr>
        <w:tab/>
        <w:t>On January 13, 2014, the undersigned ALJs issued an interim order closing the record in this matter.</w:t>
      </w:r>
    </w:p>
    <w:p w:rsidR="007D1B6D" w:rsidRPr="007D1B6D" w:rsidRDefault="007D1B6D" w:rsidP="00842CDA">
      <w:pPr>
        <w:spacing w:line="360" w:lineRule="auto"/>
        <w:ind w:left="-180" w:firstLine="1440"/>
        <w:contextualSpacing/>
      </w:pPr>
    </w:p>
    <w:p w:rsidR="007D1B6D" w:rsidRPr="007D1B6D" w:rsidRDefault="007D1B6D" w:rsidP="00842CDA">
      <w:pPr>
        <w:spacing w:line="360" w:lineRule="auto"/>
        <w:jc w:val="center"/>
      </w:pPr>
      <w:r w:rsidRPr="007D1B6D">
        <w:t>III.</w:t>
      </w:r>
      <w:r w:rsidRPr="007D1B6D">
        <w:tab/>
      </w:r>
      <w:r w:rsidRPr="007D1B6D">
        <w:rPr>
          <w:u w:val="single"/>
        </w:rPr>
        <w:t>DESCRIPTION OF THE TERMS OF SETTLEMENT</w:t>
      </w:r>
    </w:p>
    <w:p w:rsidR="00394CD2" w:rsidRDefault="00394CD2" w:rsidP="00842CDA">
      <w:pPr>
        <w:spacing w:line="360" w:lineRule="auto"/>
        <w:ind w:firstLine="1440"/>
      </w:pPr>
    </w:p>
    <w:p w:rsidR="007D1B6D" w:rsidRPr="007D1B6D" w:rsidRDefault="007D1B6D" w:rsidP="00842CDA">
      <w:pPr>
        <w:spacing w:line="360" w:lineRule="auto"/>
        <w:ind w:firstLine="1440"/>
      </w:pPr>
      <w:r w:rsidRPr="007D1B6D">
        <w:t>The primary terms of the settlement</w:t>
      </w:r>
      <w:r w:rsidR="002A51FD">
        <w:rPr>
          <w:rStyle w:val="FootnoteReference"/>
        </w:rPr>
        <w:footnoteReference w:id="3"/>
      </w:r>
      <w:r w:rsidRPr="007D1B6D">
        <w:t xml:space="preserve"> are as follows:</w:t>
      </w:r>
    </w:p>
    <w:p w:rsidR="00394CD2" w:rsidRDefault="00394CD2" w:rsidP="00842CDA">
      <w:pPr>
        <w:spacing w:line="360" w:lineRule="auto"/>
        <w:ind w:firstLine="1440"/>
      </w:pPr>
    </w:p>
    <w:p w:rsidR="007D1B6D" w:rsidRPr="007D1B6D" w:rsidRDefault="007D1B6D" w:rsidP="00842CDA">
      <w:pPr>
        <w:spacing w:line="360" w:lineRule="auto"/>
        <w:ind w:firstLine="1440"/>
      </w:pPr>
      <w:r w:rsidRPr="007D1B6D">
        <w:t>12.</w:t>
      </w:r>
      <w:r w:rsidRPr="007D1B6D">
        <w:tab/>
        <w:t>The Company agrees to modify the language in its DSIC surcharge tariff related to the application of the DSIC to competitive customers as follows:</w:t>
      </w:r>
    </w:p>
    <w:p w:rsidR="007D1B6D" w:rsidRPr="007D1B6D" w:rsidRDefault="007D1B6D" w:rsidP="001452AE">
      <w:pPr>
        <w:ind w:left="1440" w:right="1440"/>
      </w:pPr>
      <w:proofErr w:type="gramStart"/>
      <w:r w:rsidRPr="007D1B6D">
        <w:rPr>
          <w:u w:val="single"/>
        </w:rPr>
        <w:lastRenderedPageBreak/>
        <w:t>All Customer Classes</w:t>
      </w:r>
      <w:r w:rsidRPr="007D1B6D">
        <w:t>.</w:t>
      </w:r>
      <w:proofErr w:type="gramEnd"/>
      <w:r w:rsidRPr="007D1B6D">
        <w:t xml:space="preserve">  The DSIC shall be applied equally to all customer classes, except that the Company may reduce or eliminate the Rider DSIC to any customers with competitive alternatives who are paying flexed or discounted rates and customers having negotiated contracts with the Company, if it is reasonably necessary to do so.</w:t>
      </w:r>
    </w:p>
    <w:p w:rsidR="00394CD2" w:rsidRDefault="00394CD2" w:rsidP="007D1B6D">
      <w:pPr>
        <w:spacing w:line="360" w:lineRule="auto"/>
        <w:ind w:firstLine="1440"/>
      </w:pPr>
    </w:p>
    <w:p w:rsidR="007D1B6D" w:rsidRPr="007D1B6D" w:rsidRDefault="007D1B6D" w:rsidP="00394CD2">
      <w:pPr>
        <w:spacing w:line="360" w:lineRule="auto"/>
      </w:pPr>
      <w:r w:rsidRPr="007D1B6D">
        <w:t xml:space="preserve">The </w:t>
      </w:r>
      <w:r w:rsidR="0046279C">
        <w:t>p</w:t>
      </w:r>
      <w:r w:rsidRPr="007D1B6D">
        <w:t>arties acknowledge that the DSIC may be waived or reduced if a customer is paying flexed or discounted rates, or has a negotiated contract, because the customer has an economically</w:t>
      </w:r>
      <w:r w:rsidR="00945AC9">
        <w:t>-</w:t>
      </w:r>
      <w:r w:rsidRPr="007D1B6D">
        <w:t>viable competitive option, even if such option is not physically installed.  The Company further acknowledges its intention to apply the DSIC to current competitive customers if contractually eligible, and to negotiate with competitive customers to attempt to include the DSIC in the future, when flexed or negotiated rate contracts come up for renewal.</w:t>
      </w:r>
    </w:p>
    <w:p w:rsidR="00394CD2" w:rsidRDefault="00394CD2" w:rsidP="007D1B6D">
      <w:pPr>
        <w:spacing w:line="360" w:lineRule="auto"/>
        <w:ind w:firstLine="1440"/>
      </w:pPr>
    </w:p>
    <w:p w:rsidR="007D1B6D" w:rsidRPr="007D1B6D" w:rsidRDefault="007D1B6D" w:rsidP="007D1B6D">
      <w:pPr>
        <w:spacing w:line="360" w:lineRule="auto"/>
        <w:ind w:firstLine="1440"/>
      </w:pPr>
      <w:r w:rsidRPr="007D1B6D">
        <w:t>13.</w:t>
      </w:r>
      <w:r w:rsidRPr="007D1B6D">
        <w:tab/>
        <w:t xml:space="preserve">The Company agrees to withdraw its proposal to include in the DSIC information technology hardware and software that support Special Metering Technology (AMR).  The Company reserves the right to present a future claim to include AMR technology support costs at such time when the Company actually installs AMR support technology.  The Company shall clearly identify such claim in a future filing if made.  Other </w:t>
      </w:r>
      <w:r w:rsidR="0046279C">
        <w:t>p</w:t>
      </w:r>
      <w:r w:rsidRPr="007D1B6D">
        <w:t>arties reserve their right to oppose such a claim if made.</w:t>
      </w:r>
    </w:p>
    <w:p w:rsidR="00394CD2" w:rsidRDefault="00394CD2" w:rsidP="007D1B6D">
      <w:pPr>
        <w:spacing w:line="360" w:lineRule="auto"/>
        <w:ind w:firstLine="1440"/>
      </w:pPr>
    </w:p>
    <w:p w:rsidR="007D1B6D" w:rsidRPr="007D1B6D" w:rsidRDefault="007D1B6D" w:rsidP="007D1B6D">
      <w:pPr>
        <w:spacing w:line="360" w:lineRule="auto"/>
        <w:ind w:firstLine="1440"/>
      </w:pPr>
      <w:r w:rsidRPr="007D1B6D">
        <w:t>14.</w:t>
      </w:r>
      <w:r w:rsidRPr="007D1B6D">
        <w:tab/>
        <w:t xml:space="preserve">The </w:t>
      </w:r>
      <w:r w:rsidR="0046279C">
        <w:t>p</w:t>
      </w:r>
      <w:r w:rsidRPr="007D1B6D">
        <w:t>arties agree that the Company may include in its DSIC investment in barcoding hardware, software, and reading devices.   Investment in barcodes affixed to DSIC-eligible plant also shall be included in the DSIC.  Investment in barcodes affixed to plant that is not DSIC-eligible shall not be reflected in the DSIC.</w:t>
      </w:r>
    </w:p>
    <w:p w:rsidR="00394CD2" w:rsidRDefault="00394CD2" w:rsidP="007D1B6D">
      <w:pPr>
        <w:spacing w:line="360" w:lineRule="auto"/>
        <w:ind w:firstLine="1440"/>
      </w:pPr>
    </w:p>
    <w:p w:rsidR="007D1B6D" w:rsidRPr="007D1B6D" w:rsidRDefault="007D1B6D" w:rsidP="007D1B6D">
      <w:pPr>
        <w:spacing w:line="360" w:lineRule="auto"/>
        <w:ind w:firstLine="1440"/>
      </w:pPr>
      <w:r w:rsidRPr="007D1B6D">
        <w:t>15.</w:t>
      </w:r>
      <w:r w:rsidRPr="007D1B6D">
        <w:tab/>
        <w:t>Investments in the replacement of customer-owned service lines will be reflected in the Company’s DSIC.</w:t>
      </w:r>
    </w:p>
    <w:p w:rsidR="00394CD2" w:rsidRDefault="00394CD2" w:rsidP="007D1B6D">
      <w:pPr>
        <w:spacing w:line="360" w:lineRule="auto"/>
        <w:ind w:firstLine="1440"/>
      </w:pPr>
    </w:p>
    <w:p w:rsidR="007D1B6D" w:rsidRPr="007D1B6D" w:rsidRDefault="007D1B6D" w:rsidP="007D1B6D">
      <w:pPr>
        <w:spacing w:line="360" w:lineRule="auto"/>
        <w:ind w:firstLine="1440"/>
      </w:pPr>
      <w:r w:rsidRPr="007D1B6D">
        <w:t>16.</w:t>
      </w:r>
      <w:r w:rsidRPr="007D1B6D">
        <w:tab/>
        <w:t xml:space="preserve">The </w:t>
      </w:r>
      <w:r w:rsidR="0046279C">
        <w:t>p</w:t>
      </w:r>
      <w:r w:rsidRPr="007D1B6D">
        <w:t xml:space="preserve">arties agree that gathering system improvements may be reflected in the Company’s DSIC.  </w:t>
      </w:r>
    </w:p>
    <w:p w:rsidR="007D1B6D" w:rsidRPr="007D1B6D" w:rsidRDefault="007D1B6D" w:rsidP="007D1B6D">
      <w:pPr>
        <w:spacing w:line="360" w:lineRule="auto"/>
        <w:ind w:firstLine="1440"/>
      </w:pPr>
    </w:p>
    <w:p w:rsidR="001452AE" w:rsidRDefault="001452AE">
      <w:r>
        <w:br w:type="page"/>
      </w:r>
    </w:p>
    <w:p w:rsidR="007D1B6D" w:rsidRPr="007D1B6D" w:rsidRDefault="007D1B6D" w:rsidP="00945AC9">
      <w:pPr>
        <w:spacing w:line="360" w:lineRule="auto"/>
        <w:jc w:val="center"/>
      </w:pPr>
      <w:r w:rsidRPr="007D1B6D">
        <w:lastRenderedPageBreak/>
        <w:t>IV.</w:t>
      </w:r>
      <w:r w:rsidRPr="007D1B6D">
        <w:tab/>
      </w:r>
      <w:r w:rsidRPr="007D1B6D">
        <w:rPr>
          <w:u w:val="single"/>
        </w:rPr>
        <w:t>DISCUSSION OF THE SETTLEMENT</w:t>
      </w:r>
    </w:p>
    <w:p w:rsidR="001452AE" w:rsidRDefault="001452AE" w:rsidP="00945AC9">
      <w:pPr>
        <w:spacing w:line="360" w:lineRule="auto"/>
        <w:ind w:firstLine="1440"/>
      </w:pPr>
    </w:p>
    <w:p w:rsidR="007D1B6D" w:rsidRPr="007D1B6D" w:rsidRDefault="007D1B6D" w:rsidP="00945AC9">
      <w:pPr>
        <w:spacing w:line="360" w:lineRule="auto"/>
        <w:ind w:firstLine="1440"/>
      </w:pPr>
      <w:r w:rsidRPr="007D1B6D">
        <w:t>The Commission encourages parties in contested on-the-record proceedings to settle cases.</w:t>
      </w:r>
      <w:r w:rsidRPr="007D1B6D">
        <w:rPr>
          <w:rStyle w:val="FootnoteReference"/>
        </w:rPr>
        <w:footnoteReference w:id="4"/>
      </w:r>
      <w:r w:rsidRPr="007D1B6D">
        <w:t xml:space="preserve">  Settlements eliminate the time, effort and expense of litigating a matter to its ultimate conclusion, which may entail review of the Commission’s decision by the appellate courts of Pennsylvania.  Such savings benefit not only the individual parties, but also the Commission and all ratepayers of a utility, who otherwise may have to bear the financial burden such litigation necessarily entails.</w:t>
      </w:r>
    </w:p>
    <w:p w:rsidR="00394CD2" w:rsidRDefault="00394CD2" w:rsidP="00945AC9">
      <w:pPr>
        <w:spacing w:line="360" w:lineRule="auto"/>
        <w:ind w:firstLine="1440"/>
      </w:pPr>
    </w:p>
    <w:p w:rsidR="007D1B6D" w:rsidRDefault="007D1B6D" w:rsidP="00945AC9">
      <w:pPr>
        <w:spacing w:line="360" w:lineRule="auto"/>
        <w:ind w:firstLine="1440"/>
      </w:pPr>
      <w:r w:rsidRPr="007D1B6D">
        <w:t>By definition, a “settlement” reflects a compromise of the positions that the parties of interest have held, which arguably fosters and promotes the public interest.  When active parties in a proceeding reach a settlement, the principal issue for Commission consideration is whether the agreement reached by the parties suits the public interest.</w:t>
      </w:r>
      <w:r w:rsidRPr="007D1B6D">
        <w:rPr>
          <w:rStyle w:val="FootnoteReference"/>
        </w:rPr>
        <w:footnoteReference w:id="5"/>
      </w:r>
      <w:r w:rsidRPr="007D1B6D">
        <w:t xml:space="preserve">  In their supporting statements, Peoples TWP, OCA and OSBA conclude, after discovery and discussion, that this settlement resolves all but two contested issues in this case, it fairly balances the interests of Peoples TWP and its ratepayers, is in the public interest, is consistent with the requirements of Sections 1350-1360 of the Public Utility Code,</w:t>
      </w:r>
      <w:r w:rsidRPr="007D1B6D">
        <w:rPr>
          <w:rStyle w:val="FootnoteReference"/>
        </w:rPr>
        <w:footnoteReference w:id="6"/>
      </w:r>
      <w:r w:rsidRPr="007D1B6D">
        <w:t xml:space="preserve"> and should be approved. </w:t>
      </w:r>
    </w:p>
    <w:p w:rsidR="007D1B6D" w:rsidRPr="007D1B6D" w:rsidRDefault="007D1B6D" w:rsidP="00945AC9">
      <w:pPr>
        <w:spacing w:line="360" w:lineRule="auto"/>
        <w:ind w:firstLine="1440"/>
      </w:pPr>
    </w:p>
    <w:p w:rsidR="007D1B6D" w:rsidRDefault="007D1B6D" w:rsidP="00945AC9">
      <w:pPr>
        <w:spacing w:line="360" w:lineRule="auto"/>
        <w:ind w:firstLine="1440"/>
      </w:pPr>
      <w:r w:rsidRPr="007D1B6D">
        <w:t xml:space="preserve">The issues specifically addressed by the parties, which form the subject matter of the partial settlement are discussed below. </w:t>
      </w:r>
    </w:p>
    <w:p w:rsidR="00394CD2" w:rsidRDefault="00394CD2" w:rsidP="00945AC9">
      <w:pPr>
        <w:spacing w:line="360" w:lineRule="auto"/>
        <w:ind w:firstLine="1440"/>
      </w:pPr>
    </w:p>
    <w:p w:rsidR="00394CD2" w:rsidRDefault="00394CD2" w:rsidP="00945AC9">
      <w:pPr>
        <w:spacing w:line="360" w:lineRule="auto"/>
      </w:pPr>
      <w:r>
        <w:t>A.</w:t>
      </w:r>
      <w:r>
        <w:tab/>
      </w:r>
      <w:r w:rsidRPr="00394CD2">
        <w:rPr>
          <w:u w:val="single"/>
        </w:rPr>
        <w:t xml:space="preserve">Discounting for </w:t>
      </w:r>
      <w:r w:rsidR="00A90DC5">
        <w:rPr>
          <w:u w:val="single"/>
        </w:rPr>
        <w:t xml:space="preserve">Competitive </w:t>
      </w:r>
      <w:r w:rsidRPr="00394CD2">
        <w:rPr>
          <w:u w:val="single"/>
        </w:rPr>
        <w:t>Customers</w:t>
      </w:r>
    </w:p>
    <w:p w:rsidR="00394CD2" w:rsidRDefault="00394CD2" w:rsidP="00945AC9">
      <w:pPr>
        <w:spacing w:line="360" w:lineRule="auto"/>
        <w:ind w:firstLine="1440"/>
      </w:pPr>
    </w:p>
    <w:p w:rsidR="007D1B6D" w:rsidRPr="007D1B6D" w:rsidRDefault="007D1B6D" w:rsidP="00945AC9">
      <w:pPr>
        <w:spacing w:line="360" w:lineRule="auto"/>
        <w:ind w:firstLine="1440"/>
      </w:pPr>
      <w:r w:rsidRPr="007D1B6D">
        <w:t xml:space="preserve">On August 2, 2012, the Commission issued its </w:t>
      </w:r>
      <w:r w:rsidRPr="007D1B6D">
        <w:rPr>
          <w:i/>
        </w:rPr>
        <w:t>Final Implementation Order</w:t>
      </w:r>
      <w:r w:rsidRPr="007D1B6D">
        <w:t xml:space="preserve"> at Docket M-2012-2293611, establishing procedures and guidelines to implement Act 11 of 2012 (Act 11).  One of the matters considered by the Commission was the application of the DSIC to customers with negotiated or discounted rates.  The Commission concluded as follows:</w:t>
      </w:r>
    </w:p>
    <w:p w:rsidR="007D1B6D" w:rsidRPr="007D1B6D" w:rsidRDefault="007D1B6D" w:rsidP="00394CD2">
      <w:pPr>
        <w:ind w:left="1440" w:right="1440"/>
      </w:pPr>
      <w:r w:rsidRPr="007D1B6D">
        <w:lastRenderedPageBreak/>
        <w:t xml:space="preserve">Moreover, upon review, we agree with EAP and other commenters that Act 11 does not overturn the existing requirements of recovery based on cost-causation and non-discrimination, and that utilities should have the flexibility to </w:t>
      </w:r>
      <w:r w:rsidRPr="007D1B6D">
        <w:rPr>
          <w:i/>
        </w:rPr>
        <w:t>not</w:t>
      </w:r>
      <w:r w:rsidRPr="007D1B6D">
        <w:t xml:space="preserve"> apply the DSIC surcharge to customers with competitive alternatives and customers having negotiate</w:t>
      </w:r>
      <w:r w:rsidR="00394CD2">
        <w:t xml:space="preserve">d contracts from the utility.  </w:t>
      </w:r>
      <w:r w:rsidRPr="007D1B6D">
        <w:t>Where the customer has negotiated rates based on competitive alternatives, it would be contrary to the contract terms and counterproductive in the long term to add costs that may induce the customer to leave the system and provide no support for infrastructure costs.  Accordingly, the DSIC need not be applied to these specific customers, but the general DSIC rate applicable to the customer class itself must be the</w:t>
      </w:r>
      <w:r w:rsidR="00C031C4">
        <w:t xml:space="preserve"> same for all customer classes.</w:t>
      </w:r>
      <w:r w:rsidRPr="007D1B6D">
        <w:rPr>
          <w:rStyle w:val="FootnoteReference"/>
        </w:rPr>
        <w:footnoteReference w:id="7"/>
      </w:r>
    </w:p>
    <w:p w:rsidR="00394CD2" w:rsidRDefault="00394CD2" w:rsidP="007D1B6D">
      <w:pPr>
        <w:spacing w:line="360" w:lineRule="auto"/>
        <w:ind w:firstLine="1440"/>
      </w:pPr>
    </w:p>
    <w:p w:rsidR="007D1B6D" w:rsidRDefault="007D1B6D" w:rsidP="00945AC9">
      <w:pPr>
        <w:spacing w:line="360" w:lineRule="auto"/>
        <w:ind w:firstLine="1440"/>
      </w:pPr>
      <w:r w:rsidRPr="007D1B6D">
        <w:t xml:space="preserve">Peoples TWP included language in its DSIC tariff that provided the DSIC would be applied equally to all customer classes, except that the Company may reduce or eliminate the Rider DSIC to “any customer with competitive alternatives or potential competitive alternatives, and customers having negotiated contracts with the Company if it is </w:t>
      </w:r>
      <w:r w:rsidR="00C031C4">
        <w:t>reasonably necessary to do so.”</w:t>
      </w:r>
      <w:r w:rsidRPr="007D1B6D">
        <w:rPr>
          <w:rStyle w:val="FootnoteReference"/>
        </w:rPr>
        <w:footnoteReference w:id="8"/>
      </w:r>
      <w:r w:rsidRPr="007D1B6D">
        <w:t xml:space="preserve">  OCA objected and proposed to delete the words “or potential competitive alternatives” from the tariff, and to add the phrase “who are paying flexed or discounted rates.”  OCA’s stated concern was that the phrase “potential competitive alternatives” could be interpreted to allow for discounting of the DSIC even where a competitive alternative was not economic, and a customer was not otherwise receiving discounted rates.</w:t>
      </w:r>
      <w:r w:rsidRPr="007D1B6D">
        <w:rPr>
          <w:rStyle w:val="FootnoteReference"/>
        </w:rPr>
        <w:footnoteReference w:id="9"/>
      </w:r>
    </w:p>
    <w:p w:rsidR="005D5E30" w:rsidRPr="007D1B6D" w:rsidRDefault="005D5E30" w:rsidP="00945AC9">
      <w:pPr>
        <w:spacing w:line="360" w:lineRule="auto"/>
        <w:ind w:firstLine="1440"/>
      </w:pPr>
    </w:p>
    <w:p w:rsidR="007D1B6D" w:rsidRDefault="007D1B6D" w:rsidP="00945AC9">
      <w:pPr>
        <w:spacing w:line="360" w:lineRule="auto"/>
        <w:ind w:firstLine="1440"/>
      </w:pPr>
      <w:r w:rsidRPr="007D1B6D">
        <w:t>Peoples TWP agreed to accept OCA’s proposed modification, provided it was clear that the DSIC could be reduced or eliminated if an economically</w:t>
      </w:r>
      <w:r w:rsidR="00471A60">
        <w:t>-</w:t>
      </w:r>
      <w:r w:rsidRPr="007D1B6D">
        <w:t>viable competitive option exists, even if not physically installed.</w:t>
      </w:r>
      <w:r w:rsidRPr="007D1B6D">
        <w:rPr>
          <w:rStyle w:val="FootnoteReference"/>
        </w:rPr>
        <w:footnoteReference w:id="10"/>
      </w:r>
      <w:r w:rsidRPr="007D1B6D">
        <w:t xml:space="preserve">  Accordingly, the Company will discount rates if needed to compete with a viable competitive alternative, such as interstate bypass, and it can be in the Company’s interest to offer such discounted rates to induce a customer to not actually install the bypass.  In that way, Peoples TWP can maximize the throughput to, and thereby the obtained revenues from the customer.</w:t>
      </w:r>
    </w:p>
    <w:p w:rsidR="007D1B6D" w:rsidRPr="007D1B6D" w:rsidRDefault="007D1B6D" w:rsidP="00945AC9">
      <w:pPr>
        <w:spacing w:line="360" w:lineRule="auto"/>
        <w:ind w:firstLine="1440"/>
      </w:pPr>
      <w:r w:rsidRPr="007D1B6D">
        <w:lastRenderedPageBreak/>
        <w:t>The partial settlement regarding the tariff language recognizes and responds to both OCA’s and the Company’s legitimate concerns that discounting of the DSIC be permitted for real competitive alternatives.  The partial settlement confirms the Company’s intent to apply the DSIC to current competitive customers if contractually eligible, and to negotiate with competitive customers to attempt to include the DSIC in the future when contracts come up for renewal.  Such position reaffirms the Company’s original statement of intent to apply the DSIC to all customers, where possible, while recognizing that competition may make it impossible to app</w:t>
      </w:r>
      <w:r w:rsidR="005D5E30">
        <w:t>ly the DSIC in some situations.</w:t>
      </w:r>
      <w:r w:rsidRPr="007D1B6D">
        <w:rPr>
          <w:rStyle w:val="FootnoteReference"/>
        </w:rPr>
        <w:footnoteReference w:id="11"/>
      </w:r>
      <w:r w:rsidRPr="007D1B6D">
        <w:t xml:space="preserve"> </w:t>
      </w:r>
      <w:r w:rsidR="005D5E30">
        <w:t xml:space="preserve"> </w:t>
      </w:r>
      <w:r w:rsidRPr="007D1B6D">
        <w:t xml:space="preserve">OSBA </w:t>
      </w:r>
      <w:r w:rsidR="002A51FD">
        <w:t>also</w:t>
      </w:r>
      <w:r w:rsidRPr="007D1B6D">
        <w:t xml:space="preserve"> supports this provision of the settlement.</w:t>
      </w:r>
    </w:p>
    <w:p w:rsidR="005D5E30" w:rsidRDefault="005D5E30" w:rsidP="00945AC9">
      <w:pPr>
        <w:spacing w:line="360" w:lineRule="auto"/>
        <w:ind w:firstLine="1440"/>
      </w:pPr>
    </w:p>
    <w:p w:rsidR="007D1B6D" w:rsidRPr="007D1B6D" w:rsidRDefault="007D1B6D" w:rsidP="00945AC9">
      <w:pPr>
        <w:spacing w:line="360" w:lineRule="auto"/>
        <w:ind w:firstLine="1440"/>
      </w:pPr>
      <w:r w:rsidRPr="007D1B6D">
        <w:t>The Company notes that this modification to the tariff language will have no direct effect on the DSIC rate, as it represents no substantive change to the Company’s intended application of the DSIC to competitive customers.  To the extent the Company is able to charge the DSIC to competitive customers, this will increase the revenue base subject to the DSIC which will incrementally reduce the calculated DSIC charge.</w:t>
      </w:r>
    </w:p>
    <w:p w:rsidR="007D1B6D" w:rsidRPr="007D1B6D" w:rsidRDefault="007D1B6D" w:rsidP="00945AC9">
      <w:pPr>
        <w:spacing w:line="360" w:lineRule="auto"/>
        <w:ind w:firstLine="1440"/>
      </w:pPr>
    </w:p>
    <w:p w:rsidR="007D1B6D" w:rsidRPr="007D1B6D" w:rsidRDefault="007D1B6D" w:rsidP="00945AC9">
      <w:pPr>
        <w:spacing w:line="360" w:lineRule="auto"/>
      </w:pPr>
      <w:r w:rsidRPr="007D1B6D">
        <w:t>B.</w:t>
      </w:r>
      <w:r w:rsidRPr="007D1B6D">
        <w:tab/>
      </w:r>
      <w:r w:rsidRPr="007D1B6D">
        <w:rPr>
          <w:u w:val="single"/>
        </w:rPr>
        <w:t>AMR Information Technology</w:t>
      </w:r>
    </w:p>
    <w:p w:rsidR="005D5E30" w:rsidRDefault="005D5E30" w:rsidP="00945AC9">
      <w:pPr>
        <w:spacing w:line="360" w:lineRule="auto"/>
        <w:ind w:firstLine="1440"/>
      </w:pPr>
    </w:p>
    <w:p w:rsidR="007D1B6D" w:rsidRPr="007D1B6D" w:rsidRDefault="007D1B6D" w:rsidP="00945AC9">
      <w:pPr>
        <w:spacing w:line="360" w:lineRule="auto"/>
        <w:ind w:firstLine="1440"/>
      </w:pPr>
      <w:r w:rsidRPr="007D1B6D">
        <w:t>As part of its LTIIP, Peoples TWP identified, as an area of “special consideration,” to be included in the DSIC, investment in the future deployment of AMR support technology to obtain meter reading data remotely.</w:t>
      </w:r>
      <w:r w:rsidRPr="007D1B6D">
        <w:rPr>
          <w:rStyle w:val="FootnoteReference"/>
        </w:rPr>
        <w:footnoteReference w:id="12"/>
      </w:r>
      <w:r w:rsidRPr="007D1B6D">
        <w:t xml:space="preserve">  Peoples TWP explained that it included no specific claim for AMR support technology in its DSIC at this time, and that the AMR support technology was included only as a “placeholder” in the event the Company decides to go forward with AMR in the future.</w:t>
      </w:r>
      <w:r w:rsidRPr="007D1B6D">
        <w:rPr>
          <w:rStyle w:val="FootnoteReference"/>
        </w:rPr>
        <w:footnoteReference w:id="13"/>
      </w:r>
    </w:p>
    <w:p w:rsidR="005D5E30" w:rsidRDefault="005D5E30" w:rsidP="00945AC9">
      <w:pPr>
        <w:spacing w:line="360" w:lineRule="auto"/>
        <w:ind w:firstLine="1440"/>
      </w:pPr>
    </w:p>
    <w:p w:rsidR="007D1B6D" w:rsidRPr="007D1B6D" w:rsidRDefault="007D1B6D" w:rsidP="00945AC9">
      <w:pPr>
        <w:spacing w:line="360" w:lineRule="auto"/>
        <w:ind w:firstLine="1440"/>
      </w:pPr>
      <w:r w:rsidRPr="007D1B6D">
        <w:t>OCA opposed the recovery of AMR technology through the DSIC because in its view, AMR technology costs are not appropriate for cost recovery in a DSIC.</w:t>
      </w:r>
      <w:r w:rsidRPr="007D1B6D">
        <w:rPr>
          <w:rStyle w:val="FootnoteReference"/>
        </w:rPr>
        <w:footnoteReference w:id="14"/>
      </w:r>
    </w:p>
    <w:p w:rsidR="005D5E30" w:rsidRDefault="005D5E30" w:rsidP="007D1B6D">
      <w:pPr>
        <w:spacing w:line="360" w:lineRule="auto"/>
        <w:ind w:firstLine="1440"/>
      </w:pPr>
    </w:p>
    <w:p w:rsidR="007D1B6D" w:rsidRPr="007D1B6D" w:rsidRDefault="007D1B6D" w:rsidP="00945AC9">
      <w:pPr>
        <w:spacing w:line="360" w:lineRule="auto"/>
        <w:ind w:firstLine="1440"/>
      </w:pPr>
      <w:r w:rsidRPr="007D1B6D">
        <w:lastRenderedPageBreak/>
        <w:t>To resolve this issue, Peoples TWP agreed to withdraw, at this time, its proposal to include AMR technology, hardware and software support costs in the DSIC.  Peoples TWP reserved its right to make a claim for such costs in the future, and all parties reserved their rights to oppose such a claim if made.  Peoples TWP agreed to clearly identify any such claim if made.</w:t>
      </w:r>
    </w:p>
    <w:p w:rsidR="00945AC9" w:rsidRDefault="00945AC9" w:rsidP="00945AC9">
      <w:pPr>
        <w:spacing w:line="360" w:lineRule="auto"/>
        <w:ind w:firstLine="1440"/>
      </w:pPr>
    </w:p>
    <w:p w:rsidR="007D1B6D" w:rsidRDefault="007D1B6D" w:rsidP="00945AC9">
      <w:pPr>
        <w:spacing w:line="360" w:lineRule="auto"/>
        <w:ind w:firstLine="1440"/>
      </w:pPr>
      <w:r w:rsidRPr="007D1B6D">
        <w:t>Peoples TWP is of the view that this settlement provision is in the public interest.  The Company has made no specific claim for AMR and has not developed any estimates of costs or even a definitive timeframe for installing AMR.  Accordingly, a decision at this time by the Commission would amount to an advisory opinion on the eligibility of AMR support technology for DSIC treatment.  Such determination should await an actual claim for cost recovery, at which time the Commission can weigh the facts and circumstances to assess whether the installed property shou</w:t>
      </w:r>
      <w:r>
        <w:t>ld be considered DSIC-eligible.</w:t>
      </w:r>
      <w:r w:rsidRPr="007D1B6D">
        <w:rPr>
          <w:rStyle w:val="FootnoteReference"/>
        </w:rPr>
        <w:footnoteReference w:id="15"/>
      </w:r>
      <w:r w:rsidRPr="007D1B6D">
        <w:t xml:space="preserve"> </w:t>
      </w:r>
    </w:p>
    <w:p w:rsidR="007D1B6D" w:rsidRPr="007D1B6D" w:rsidRDefault="007D1B6D" w:rsidP="00945AC9">
      <w:pPr>
        <w:spacing w:line="360" w:lineRule="auto"/>
        <w:ind w:firstLine="1440"/>
      </w:pPr>
      <w:r w:rsidRPr="007D1B6D">
        <w:t xml:space="preserve"> </w:t>
      </w:r>
    </w:p>
    <w:p w:rsidR="007D1B6D" w:rsidRPr="007D1B6D" w:rsidRDefault="007D1B6D" w:rsidP="00945AC9">
      <w:pPr>
        <w:spacing w:line="360" w:lineRule="auto"/>
      </w:pPr>
      <w:r w:rsidRPr="007D1B6D">
        <w:t>C.</w:t>
      </w:r>
      <w:r w:rsidRPr="007D1B6D">
        <w:tab/>
      </w:r>
      <w:r w:rsidRPr="007D1B6D">
        <w:rPr>
          <w:u w:val="single"/>
        </w:rPr>
        <w:t>Barcoding Technology</w:t>
      </w:r>
    </w:p>
    <w:p w:rsidR="007D1B6D" w:rsidRDefault="007D1B6D" w:rsidP="00945AC9">
      <w:pPr>
        <w:spacing w:line="360" w:lineRule="auto"/>
        <w:ind w:firstLine="1440"/>
      </w:pPr>
    </w:p>
    <w:p w:rsidR="007D1B6D" w:rsidRPr="007D1B6D" w:rsidRDefault="007D1B6D" w:rsidP="00945AC9">
      <w:pPr>
        <w:spacing w:line="360" w:lineRule="auto"/>
        <w:ind w:firstLine="1440"/>
      </w:pPr>
      <w:r w:rsidRPr="007D1B6D">
        <w:t>In its LTIIP filing, Peoples TWP also proposed to include in its DSIC, investment in barcoding hardware, software and reading devices.  Barcodes would be affixed to all new pipes, valves, fittings and couplings.  Barcoding would allow for enhanced tracking of pipeline assets, enabling the Company to maintain important information such as type of material, location, date of installation, identification of manufacturer and other data.</w:t>
      </w:r>
      <w:r w:rsidRPr="007D1B6D">
        <w:rPr>
          <w:rStyle w:val="FootnoteReference"/>
        </w:rPr>
        <w:footnoteReference w:id="16"/>
      </w:r>
      <w:r w:rsidRPr="007D1B6D">
        <w:t xml:space="preserve">  Although OCA initially objected, OCA withdrew any objection to recovery of barcoding technology through the DSIC provided that the costs of installing barcoding on non-DSIC eligible property would not be reflected in the DSIC.</w:t>
      </w:r>
      <w:r w:rsidRPr="007D1B6D">
        <w:rPr>
          <w:rStyle w:val="FootnoteReference"/>
        </w:rPr>
        <w:footnoteReference w:id="17"/>
      </w:r>
      <w:r w:rsidRPr="007D1B6D">
        <w:t xml:space="preserve">  The parties agree that this compromise is consistent with the definition of eligible property in Section 1353(a) of the Public Utility Code</w:t>
      </w:r>
      <w:r w:rsidRPr="007D1B6D">
        <w:rPr>
          <w:rStyle w:val="FootnoteReference"/>
        </w:rPr>
        <w:footnoteReference w:id="18"/>
      </w:r>
      <w:r w:rsidRPr="007D1B6D">
        <w:t xml:space="preserve"> and represent that this settlement provision is just, reasonable and is in the public interest.</w:t>
      </w:r>
    </w:p>
    <w:p w:rsidR="007D1B6D" w:rsidRDefault="007D1B6D" w:rsidP="00945AC9">
      <w:pPr>
        <w:spacing w:line="360" w:lineRule="auto"/>
        <w:rPr>
          <w:u w:val="single"/>
        </w:rPr>
      </w:pPr>
      <w:r w:rsidRPr="007D1B6D">
        <w:lastRenderedPageBreak/>
        <w:t>D.</w:t>
      </w:r>
      <w:r w:rsidRPr="007D1B6D">
        <w:tab/>
      </w:r>
      <w:r w:rsidRPr="007D1B6D">
        <w:rPr>
          <w:u w:val="single"/>
        </w:rPr>
        <w:t>Replacement of Customer-Owned Service Lines</w:t>
      </w:r>
    </w:p>
    <w:p w:rsidR="007D1B6D" w:rsidRPr="007D1B6D" w:rsidRDefault="007D1B6D" w:rsidP="00945AC9">
      <w:pPr>
        <w:spacing w:line="360" w:lineRule="auto"/>
      </w:pPr>
    </w:p>
    <w:p w:rsidR="007D1B6D" w:rsidRPr="007D1B6D" w:rsidRDefault="007D1B6D" w:rsidP="00945AC9">
      <w:pPr>
        <w:spacing w:line="360" w:lineRule="auto"/>
        <w:ind w:firstLine="1440"/>
      </w:pPr>
      <w:r w:rsidRPr="007D1B6D">
        <w:t>Pursuant to Section 9 of the Company’s tariff, the customer is responsible for installation, maintenance and replacement of the customer service line.</w:t>
      </w:r>
      <w:r w:rsidRPr="007D1B6D">
        <w:rPr>
          <w:rStyle w:val="FootnoteReference"/>
        </w:rPr>
        <w:footnoteReference w:id="19"/>
      </w:r>
      <w:r w:rsidRPr="007D1B6D">
        <w:t xml:space="preserve">   By petition filed on February 1, 2013, Peoples TWP sought a limited waiver of this tariff provision, to allow the </w:t>
      </w:r>
      <w:r w:rsidR="00BC3B43">
        <w:t>C</w:t>
      </w:r>
      <w:r w:rsidRPr="007D1B6D">
        <w:t>ompany to replace customer-owned service lines in conjunction with the main replacements.  The cost of the replacement service would be recorded as part of the associated mains replacement, similar to the accounting for the cost of repairing other customer-owned property, such as driveways, that may be necessary as part of a main replacement.  By order entered May 23, 2013</w:t>
      </w:r>
      <w:r w:rsidR="006A08E0">
        <w:t>,</w:t>
      </w:r>
      <w:r w:rsidRPr="007D1B6D">
        <w:t xml:space="preserve"> the Commission granted the petition for the tariff waiver.</w:t>
      </w:r>
    </w:p>
    <w:p w:rsidR="007D1B6D" w:rsidRDefault="007D1B6D" w:rsidP="00945AC9">
      <w:pPr>
        <w:spacing w:line="360" w:lineRule="auto"/>
        <w:ind w:firstLine="1440"/>
      </w:pPr>
    </w:p>
    <w:p w:rsidR="007D1B6D" w:rsidRPr="007D1B6D" w:rsidRDefault="007D1B6D" w:rsidP="00945AC9">
      <w:pPr>
        <w:spacing w:line="360" w:lineRule="auto"/>
        <w:ind w:firstLine="1440"/>
      </w:pPr>
      <w:r w:rsidRPr="007D1B6D">
        <w:t>Peoples TWP proposed to recover the cost of such customer-owned service line replacements through the DSIC.  As the cost of replacement would be booked to the mains account, it qualifies as part of the cost of piping or, alternatively, as other related capitalized costs, under Section 1351(a).  OCA sta</w:t>
      </w:r>
      <w:r w:rsidR="00417378">
        <w:t xml:space="preserve">ted it did not oppose recovery </w:t>
      </w:r>
      <w:r w:rsidRPr="007D1B6D">
        <w:t>of these</w:t>
      </w:r>
      <w:r w:rsidR="00503834">
        <w:t xml:space="preserve"> replacements through the DSIC,</w:t>
      </w:r>
      <w:r w:rsidRPr="007D1B6D">
        <w:rPr>
          <w:rStyle w:val="FootnoteReference"/>
        </w:rPr>
        <w:footnoteReference w:id="20"/>
      </w:r>
      <w:r w:rsidRPr="007D1B6D">
        <w:t xml:space="preserve"> and no other party opposed such recovery.  Due to the unique circumstances and the efficiencies gained by replacing customer-owned service lines in coordination with the accelerated mains replacement program, none of the other parties opposed recovery of these costs and agree that recovery of these costs through DSIC is appropriate and in the public interest.</w:t>
      </w:r>
    </w:p>
    <w:p w:rsidR="007D1B6D" w:rsidRDefault="007D1B6D" w:rsidP="00945AC9">
      <w:pPr>
        <w:spacing w:line="360" w:lineRule="auto"/>
        <w:ind w:firstLine="1440"/>
      </w:pPr>
    </w:p>
    <w:p w:rsidR="007D1B6D" w:rsidRPr="007D1B6D" w:rsidRDefault="007D1B6D" w:rsidP="00945AC9">
      <w:pPr>
        <w:spacing w:line="360" w:lineRule="auto"/>
      </w:pPr>
      <w:r w:rsidRPr="007D1B6D">
        <w:t>E.</w:t>
      </w:r>
      <w:r w:rsidRPr="007D1B6D">
        <w:tab/>
      </w:r>
      <w:r w:rsidRPr="007D1B6D">
        <w:rPr>
          <w:u w:val="single"/>
        </w:rPr>
        <w:t>Recommendation</w:t>
      </w:r>
    </w:p>
    <w:p w:rsidR="007D1B6D" w:rsidRDefault="007D1B6D" w:rsidP="00945AC9">
      <w:pPr>
        <w:spacing w:line="360" w:lineRule="auto"/>
      </w:pPr>
    </w:p>
    <w:p w:rsidR="007D1B6D" w:rsidRDefault="007D1B6D" w:rsidP="00945AC9">
      <w:pPr>
        <w:spacing w:line="360" w:lineRule="auto"/>
        <w:ind w:firstLine="1440"/>
      </w:pPr>
      <w:r w:rsidRPr="007D1B6D">
        <w:t>Each party represents a variety of interests in this matter.  Peoples TWP advocates on behalf of its corporate interests and its shareholders.  The Office of Consumer Advocate is tasked with advocacy on behalf of consumers in matters before the Commission.</w:t>
      </w:r>
      <w:r w:rsidRPr="007D1B6D">
        <w:rPr>
          <w:rStyle w:val="FootnoteReference"/>
        </w:rPr>
        <w:footnoteReference w:id="21"/>
      </w:r>
      <w:r w:rsidRPr="007D1B6D">
        <w:t xml:space="preserve">  The </w:t>
      </w:r>
      <w:r w:rsidR="00503834">
        <w:t xml:space="preserve">Office of </w:t>
      </w:r>
      <w:r w:rsidRPr="007D1B6D">
        <w:lastRenderedPageBreak/>
        <w:t>Small Business Advocate represents the interests of the Commonwealth’s small businesses.</w:t>
      </w:r>
      <w:r w:rsidRPr="007D1B6D">
        <w:rPr>
          <w:rStyle w:val="FootnoteReference"/>
        </w:rPr>
        <w:footnoteReference w:id="22"/>
      </w:r>
      <w:r w:rsidR="006A08E0">
        <w:t xml:space="preserve">  </w:t>
      </w:r>
      <w:r w:rsidRPr="007D1B6D">
        <w:t>Not every party advanced a position on every issue raised in this matter or every issue raised by the terms of the settlement.  Rather, as described above, each discussed those terms which were of importance to each advocate’s particular stakeholders.</w:t>
      </w:r>
    </w:p>
    <w:p w:rsidR="007D1B6D" w:rsidRPr="007D1B6D" w:rsidRDefault="007D1B6D" w:rsidP="00945AC9">
      <w:pPr>
        <w:spacing w:line="360" w:lineRule="auto"/>
        <w:ind w:firstLine="1440"/>
      </w:pPr>
    </w:p>
    <w:p w:rsidR="007C7C94" w:rsidRDefault="007D1B6D" w:rsidP="007C7C94">
      <w:pPr>
        <w:spacing w:line="360" w:lineRule="auto"/>
        <w:ind w:firstLine="1440"/>
      </w:pPr>
      <w:r w:rsidRPr="007D1B6D">
        <w:t>The primary subject of the stipulation of settlement resolves the parties</w:t>
      </w:r>
      <w:r w:rsidR="00B07BF7">
        <w:t>’</w:t>
      </w:r>
      <w:r w:rsidRPr="007D1B6D">
        <w:t xml:space="preserve"> dispute relating to specific items of eligible property which is included in the Company’s DSIC.  Section 1351</w:t>
      </w:r>
      <w:r w:rsidRPr="007D1B6D">
        <w:rPr>
          <w:rStyle w:val="FootnoteReference"/>
        </w:rPr>
        <w:footnoteReference w:id="23"/>
      </w:r>
      <w:r w:rsidRPr="007D1B6D">
        <w:t xml:space="preserve"> </w:t>
      </w:r>
      <w:r w:rsidR="007C7C94" w:rsidRPr="00D40D85">
        <w:t>defines eligible property:</w:t>
      </w:r>
    </w:p>
    <w:p w:rsidR="007C7C94" w:rsidRPr="00D40D85" w:rsidRDefault="007C7C94" w:rsidP="007C7C94">
      <w:pPr>
        <w:spacing w:line="360" w:lineRule="auto"/>
        <w:ind w:firstLine="1440"/>
      </w:pPr>
    </w:p>
    <w:p w:rsidR="007C7C94" w:rsidRPr="00D40D85" w:rsidRDefault="007C7C94" w:rsidP="007C7C94">
      <w:pPr>
        <w:ind w:left="1440" w:right="1440"/>
      </w:pPr>
      <w:r w:rsidRPr="00D40D85">
        <w:t xml:space="preserve">Property that is part of a distribution system and eligible for repair, improvement and replacement of infrastructure under this subchapter. </w:t>
      </w:r>
      <w:r>
        <w:t xml:space="preserve"> </w:t>
      </w:r>
      <w:r w:rsidRPr="00D40D85">
        <w:t>Included property shall be as follows:</w:t>
      </w:r>
    </w:p>
    <w:p w:rsidR="007C7C94" w:rsidRPr="00D40D85" w:rsidRDefault="007C7C94" w:rsidP="007C7C94">
      <w:pPr>
        <w:ind w:left="1440" w:right="1440" w:firstLine="1440"/>
      </w:pPr>
      <w:r w:rsidRPr="00D40D85">
        <w:t>. . .</w:t>
      </w:r>
    </w:p>
    <w:p w:rsidR="007C7C94" w:rsidRPr="00D40D85" w:rsidRDefault="007C7C94" w:rsidP="007C7C94">
      <w:pPr>
        <w:tabs>
          <w:tab w:val="left" w:pos="1890"/>
        </w:tabs>
        <w:ind w:left="1440" w:right="1440"/>
      </w:pPr>
      <w:r w:rsidRPr="00D40D85">
        <w:t xml:space="preserve">(2) </w:t>
      </w:r>
      <w:r>
        <w:tab/>
      </w:r>
      <w:r w:rsidRPr="00D40D85">
        <w:t>For natural gas distribution companies and city natural gas distribution operations, eligible property shall include:</w:t>
      </w:r>
    </w:p>
    <w:p w:rsidR="007C7C94" w:rsidRPr="00D40D85" w:rsidRDefault="007C7C94" w:rsidP="007C7C94">
      <w:pPr>
        <w:ind w:left="1440" w:right="1440"/>
      </w:pPr>
    </w:p>
    <w:p w:rsidR="007C7C94" w:rsidRPr="00771BED" w:rsidRDefault="007C7C94" w:rsidP="007C7C94">
      <w:pPr>
        <w:pStyle w:val="ListParagraph"/>
        <w:numPr>
          <w:ilvl w:val="0"/>
          <w:numId w:val="16"/>
        </w:numPr>
        <w:tabs>
          <w:tab w:val="left" w:pos="2430"/>
        </w:tabs>
        <w:spacing w:after="60" w:line="240" w:lineRule="auto"/>
        <w:ind w:left="1710" w:right="1440" w:firstLine="180"/>
        <w:contextualSpacing/>
        <w:jc w:val="left"/>
        <w:rPr>
          <w:szCs w:val="24"/>
        </w:rPr>
      </w:pPr>
      <w:r w:rsidRPr="00771BED">
        <w:rPr>
          <w:szCs w:val="24"/>
        </w:rPr>
        <w:t>Piping.</w:t>
      </w:r>
    </w:p>
    <w:p w:rsidR="007C7C94" w:rsidRPr="00D40D85" w:rsidRDefault="007C7C94" w:rsidP="007C7C94">
      <w:pPr>
        <w:tabs>
          <w:tab w:val="left" w:pos="2430"/>
        </w:tabs>
        <w:spacing w:after="60"/>
        <w:ind w:left="1710" w:right="1440" w:firstLine="180"/>
      </w:pPr>
      <w:r w:rsidRPr="00D40D85">
        <w:t xml:space="preserve">(ii) </w:t>
      </w:r>
      <w:r>
        <w:tab/>
      </w:r>
      <w:r w:rsidRPr="00D40D85">
        <w:t>Couplings.</w:t>
      </w:r>
    </w:p>
    <w:p w:rsidR="007C7C94" w:rsidRPr="00D40D85" w:rsidRDefault="007C7C94" w:rsidP="007C7C94">
      <w:pPr>
        <w:tabs>
          <w:tab w:val="left" w:pos="2430"/>
        </w:tabs>
        <w:spacing w:after="60"/>
        <w:ind w:left="1710" w:right="1440" w:firstLine="180"/>
      </w:pPr>
      <w:r w:rsidRPr="00D40D85">
        <w:t xml:space="preserve">(iii) </w:t>
      </w:r>
      <w:r>
        <w:tab/>
      </w:r>
      <w:r w:rsidRPr="00D40D85">
        <w:t>Gas services lines and insulated and noninsulated fittings.</w:t>
      </w:r>
    </w:p>
    <w:p w:rsidR="007C7C94" w:rsidRPr="00D40D85" w:rsidRDefault="007C7C94" w:rsidP="007C7C94">
      <w:pPr>
        <w:tabs>
          <w:tab w:val="left" w:pos="2430"/>
        </w:tabs>
        <w:spacing w:after="60"/>
        <w:ind w:left="1710" w:right="1440" w:firstLine="180"/>
      </w:pPr>
      <w:r w:rsidRPr="00D40D85">
        <w:t>(iv)</w:t>
      </w:r>
      <w:r>
        <w:tab/>
      </w:r>
      <w:r w:rsidRPr="00D40D85">
        <w:t>Valves.</w:t>
      </w:r>
    </w:p>
    <w:p w:rsidR="007C7C94" w:rsidRPr="00D40D85" w:rsidRDefault="007C7C94" w:rsidP="007C7C94">
      <w:pPr>
        <w:tabs>
          <w:tab w:val="left" w:pos="2430"/>
        </w:tabs>
        <w:spacing w:after="60"/>
        <w:ind w:left="1710" w:right="1440" w:firstLine="180"/>
      </w:pPr>
      <w:r w:rsidRPr="00D40D85">
        <w:t xml:space="preserve">(v) </w:t>
      </w:r>
      <w:r>
        <w:tab/>
      </w:r>
      <w:r w:rsidRPr="00D40D85">
        <w:t>Excess flow valves.</w:t>
      </w:r>
    </w:p>
    <w:p w:rsidR="007C7C94" w:rsidRPr="00D40D85" w:rsidRDefault="007C7C94" w:rsidP="007C7C94">
      <w:pPr>
        <w:tabs>
          <w:tab w:val="left" w:pos="2430"/>
        </w:tabs>
        <w:spacing w:after="60"/>
        <w:ind w:left="1710" w:right="1440" w:firstLine="180"/>
      </w:pPr>
      <w:r w:rsidRPr="00D40D85">
        <w:t>(vi)</w:t>
      </w:r>
      <w:r>
        <w:tab/>
      </w:r>
      <w:r w:rsidRPr="00D40D85">
        <w:t>Risers.</w:t>
      </w:r>
    </w:p>
    <w:p w:rsidR="007C7C94" w:rsidRPr="00D40D85" w:rsidRDefault="007C7C94" w:rsidP="007C7C94">
      <w:pPr>
        <w:tabs>
          <w:tab w:val="left" w:pos="2430"/>
        </w:tabs>
        <w:spacing w:after="60"/>
        <w:ind w:left="1710" w:right="1440" w:firstLine="180"/>
      </w:pPr>
      <w:r w:rsidRPr="00D40D85">
        <w:t xml:space="preserve">(vii) </w:t>
      </w:r>
      <w:r>
        <w:tab/>
      </w:r>
      <w:r w:rsidRPr="00D40D85">
        <w:t>Meter bars.</w:t>
      </w:r>
    </w:p>
    <w:p w:rsidR="007C7C94" w:rsidRPr="00D40D85" w:rsidRDefault="007C7C94" w:rsidP="007C7C94">
      <w:pPr>
        <w:tabs>
          <w:tab w:val="left" w:pos="2430"/>
        </w:tabs>
        <w:spacing w:after="60"/>
        <w:ind w:left="1710" w:right="1440" w:firstLine="180"/>
      </w:pPr>
      <w:r w:rsidRPr="00D40D85">
        <w:t xml:space="preserve">(viii) </w:t>
      </w:r>
      <w:r>
        <w:tab/>
      </w:r>
      <w:r w:rsidRPr="00D40D85">
        <w:t>Meters.</w:t>
      </w:r>
    </w:p>
    <w:p w:rsidR="007C7C94" w:rsidRPr="00D40D85" w:rsidRDefault="007C7C94" w:rsidP="007C7C94">
      <w:pPr>
        <w:tabs>
          <w:tab w:val="left" w:pos="2430"/>
        </w:tabs>
        <w:spacing w:after="60"/>
        <w:ind w:left="1710" w:right="1440" w:firstLine="180"/>
      </w:pPr>
      <w:r w:rsidRPr="00D40D85">
        <w:t xml:space="preserve">(ix) </w:t>
      </w:r>
      <w:r>
        <w:tab/>
      </w:r>
      <w:r w:rsidRPr="00D40D85">
        <w:t>Unreimbursed costs related to highway relocation projects where a natural gas distribution company or city natural gas distribution operation must relocate its facilities.</w:t>
      </w:r>
    </w:p>
    <w:p w:rsidR="007C7C94" w:rsidRPr="00D40D85" w:rsidRDefault="007C7C94" w:rsidP="007C7C94">
      <w:pPr>
        <w:tabs>
          <w:tab w:val="left" w:pos="2430"/>
        </w:tabs>
        <w:spacing w:after="60"/>
        <w:ind w:left="1710" w:right="1440" w:firstLine="180"/>
      </w:pPr>
      <w:r w:rsidRPr="00D40D85">
        <w:t xml:space="preserve">(x) </w:t>
      </w:r>
      <w:r>
        <w:tab/>
      </w:r>
      <w:r w:rsidRPr="00D40D85">
        <w:t>Other related capitalized costs.</w:t>
      </w:r>
    </w:p>
    <w:p w:rsidR="007C7C94" w:rsidRPr="00D40D85" w:rsidRDefault="007C7C94" w:rsidP="007C7C94">
      <w:pPr>
        <w:tabs>
          <w:tab w:val="left" w:pos="2430"/>
        </w:tabs>
        <w:spacing w:line="360" w:lineRule="auto"/>
        <w:ind w:left="1710" w:firstLine="180"/>
      </w:pPr>
    </w:p>
    <w:p w:rsidR="007D1B6D" w:rsidRDefault="007C7C94" w:rsidP="007C7C94">
      <w:pPr>
        <w:spacing w:line="360" w:lineRule="auto"/>
        <w:ind w:firstLine="1440"/>
      </w:pPr>
      <w:r w:rsidRPr="00D40D85">
        <w:t>Upon review of the accord reached by the parties on the specific items of “eligible property” along</w:t>
      </w:r>
      <w:r>
        <w:t xml:space="preserve"> </w:t>
      </w:r>
      <w:r w:rsidR="007D1B6D" w:rsidRPr="007D1B6D">
        <w:t xml:space="preserve">with the statements in support which detail the reasoning for including customer-owned service lines and barcoding, and consideration of expenses relating to the AMR </w:t>
      </w:r>
      <w:r w:rsidR="007D1B6D" w:rsidRPr="007D1B6D">
        <w:lastRenderedPageBreak/>
        <w:t>program, we find that the settlement is consistent with Section 1351 and Section 1353(a) (requiring that costs be related to improvements to ensure safe and adequate service).</w:t>
      </w:r>
      <w:r w:rsidR="007D1B6D" w:rsidRPr="007D1B6D">
        <w:rPr>
          <w:rStyle w:val="FootnoteReference"/>
        </w:rPr>
        <w:footnoteReference w:id="24"/>
      </w:r>
      <w:r w:rsidR="007D1B6D" w:rsidRPr="007D1B6D">
        <w:t xml:space="preserve">  The compromise of the parties relating to the tariff language for competitive customers also represents a reasonable compromise.  Therefore, we recommend that the partial settlement modifying Peoples TWP’s DSIC be approved.</w:t>
      </w:r>
    </w:p>
    <w:p w:rsidR="00CB17D2" w:rsidRPr="007D1B6D" w:rsidRDefault="00CB17D2" w:rsidP="00CB17D2">
      <w:pPr>
        <w:spacing w:line="360" w:lineRule="auto"/>
      </w:pPr>
    </w:p>
    <w:p w:rsidR="007D1B6D" w:rsidRPr="007D1B6D" w:rsidRDefault="007D1B6D" w:rsidP="00CB17D2">
      <w:pPr>
        <w:spacing w:line="360" w:lineRule="auto"/>
        <w:jc w:val="center"/>
      </w:pPr>
      <w:r w:rsidRPr="007D1B6D">
        <w:t>V.</w:t>
      </w:r>
      <w:r w:rsidRPr="007D1B6D">
        <w:tab/>
      </w:r>
      <w:r w:rsidRPr="007D1B6D">
        <w:rPr>
          <w:u w:val="single"/>
        </w:rPr>
        <w:t>CONTESTED ISSUES</w:t>
      </w:r>
    </w:p>
    <w:p w:rsidR="006A08E0" w:rsidRDefault="006A08E0" w:rsidP="00CB17D2">
      <w:pPr>
        <w:spacing w:line="360" w:lineRule="auto"/>
      </w:pPr>
    </w:p>
    <w:p w:rsidR="007D1B6D" w:rsidRDefault="007D1B6D" w:rsidP="00945AC9">
      <w:pPr>
        <w:spacing w:line="360" w:lineRule="auto"/>
        <w:ind w:firstLine="1440"/>
      </w:pPr>
      <w:r w:rsidRPr="007D1B6D">
        <w:t xml:space="preserve">The sole issues remaining for disposition relate to the </w:t>
      </w:r>
      <w:r w:rsidR="00417378">
        <w:t>C</w:t>
      </w:r>
      <w:r w:rsidRPr="007D1B6D">
        <w:t>ompany’s treatment of accumulated deferred income tax (ADIT) and the calculation of state income taxes.  Peoples TWP takes the general position that ADIT and state taxes are treated the same way in its DSIC calculation as those items have historically been treated in water company DSIC calculations.  The Company’s DSIC is consistent with the Public Utility Code and Commission policy and, viewed as a whole, is just and reasonable.</w:t>
      </w:r>
    </w:p>
    <w:p w:rsidR="007D1B6D" w:rsidRPr="007D1B6D" w:rsidRDefault="007D1B6D" w:rsidP="00945AC9">
      <w:pPr>
        <w:spacing w:line="360" w:lineRule="auto"/>
        <w:ind w:firstLine="1440"/>
      </w:pPr>
    </w:p>
    <w:p w:rsidR="007D1B6D" w:rsidRDefault="007D1B6D" w:rsidP="00945AC9">
      <w:pPr>
        <w:spacing w:line="360" w:lineRule="auto"/>
        <w:ind w:firstLine="1440"/>
      </w:pPr>
      <w:r w:rsidRPr="007D1B6D">
        <w:t>OCA objects to the Company’s treatment of ADIT and the state tax gross-up.  In OCA’s view, these segments of the DSIC calculation are not based on traditional ratemaking principles and are therefore not just and reasonable.</w:t>
      </w:r>
    </w:p>
    <w:p w:rsidR="007D1B6D" w:rsidRPr="007D1B6D" w:rsidRDefault="007D1B6D" w:rsidP="00945AC9">
      <w:pPr>
        <w:spacing w:line="360" w:lineRule="auto"/>
        <w:ind w:firstLine="1440"/>
      </w:pPr>
    </w:p>
    <w:p w:rsidR="007D1B6D" w:rsidRDefault="007D1B6D" w:rsidP="00945AC9">
      <w:pPr>
        <w:spacing w:line="360" w:lineRule="auto"/>
        <w:rPr>
          <w:u w:val="single"/>
        </w:rPr>
      </w:pPr>
      <w:r w:rsidRPr="007D1B6D">
        <w:t>A.</w:t>
      </w:r>
      <w:r w:rsidRPr="007D1B6D">
        <w:tab/>
      </w:r>
      <w:r w:rsidRPr="007D1B6D">
        <w:rPr>
          <w:u w:val="single"/>
        </w:rPr>
        <w:t>Legal Standard</w:t>
      </w:r>
    </w:p>
    <w:p w:rsidR="007D1B6D" w:rsidRPr="007D1B6D" w:rsidRDefault="007D1B6D" w:rsidP="00945AC9">
      <w:pPr>
        <w:spacing w:line="360" w:lineRule="auto"/>
        <w:rPr>
          <w:u w:val="single"/>
        </w:rPr>
      </w:pPr>
    </w:p>
    <w:p w:rsidR="007D1B6D" w:rsidRPr="007D1B6D" w:rsidRDefault="007D1B6D" w:rsidP="00945AC9">
      <w:pPr>
        <w:spacing w:line="360" w:lineRule="auto"/>
        <w:ind w:firstLine="1440"/>
      </w:pPr>
      <w:r w:rsidRPr="007D1B6D">
        <w:t>The burden of proof to establish the justness and reasonableness of a proposed rate rests solely upon the public utility.</w:t>
      </w:r>
      <w:r w:rsidRPr="007D1B6D">
        <w:rPr>
          <w:vertAlign w:val="superscript"/>
        </w:rPr>
        <w:footnoteReference w:id="25"/>
      </w:r>
      <w:r w:rsidRPr="007D1B6D">
        <w:t xml:space="preserve">  The standard to be met by the public utility is set forth in Section 315(a) of the Code, as follows:</w:t>
      </w:r>
    </w:p>
    <w:p w:rsidR="007D1B6D" w:rsidRDefault="007D1B6D" w:rsidP="007D1B6D">
      <w:pPr>
        <w:ind w:left="1440" w:right="1350"/>
      </w:pPr>
    </w:p>
    <w:p w:rsidR="007D1B6D" w:rsidRPr="007D1B6D" w:rsidRDefault="007D1B6D" w:rsidP="006A08E0">
      <w:pPr>
        <w:ind w:left="1440" w:right="1440"/>
      </w:pPr>
      <w:r w:rsidRPr="007D1B6D">
        <w:t xml:space="preserve">Reasonableness of rates. – In any proceeding upon the motion of the commission, involving any proposed or existing rate of any public utility, or in any proceedings upon complaint involving any </w:t>
      </w:r>
      <w:r w:rsidRPr="007D1B6D">
        <w:lastRenderedPageBreak/>
        <w:t>proposed increase in rates, the burden of proof to show that the rate involved is just and reasonable shall be upon the public utility.</w:t>
      </w:r>
      <w:r w:rsidRPr="007D1B6D">
        <w:rPr>
          <w:vertAlign w:val="superscript"/>
        </w:rPr>
        <w:footnoteReference w:id="26"/>
      </w:r>
    </w:p>
    <w:p w:rsidR="007D1B6D" w:rsidRDefault="007D1B6D" w:rsidP="00945AC9">
      <w:pPr>
        <w:spacing w:line="360" w:lineRule="auto"/>
        <w:ind w:right="1440"/>
      </w:pPr>
    </w:p>
    <w:p w:rsidR="007D1B6D" w:rsidRDefault="007D1B6D" w:rsidP="00CB17D2">
      <w:pPr>
        <w:spacing w:line="360" w:lineRule="auto"/>
      </w:pPr>
      <w:r w:rsidRPr="007D1B6D">
        <w:t>This standard must be met by a preponderance of evidence and supported by substantial evidence.</w:t>
      </w:r>
      <w:r w:rsidRPr="007D1B6D">
        <w:rPr>
          <w:vertAlign w:val="superscript"/>
        </w:rPr>
        <w:footnoteReference w:id="27"/>
      </w:r>
    </w:p>
    <w:p w:rsidR="00945AC9" w:rsidRPr="007D1B6D" w:rsidRDefault="00945AC9" w:rsidP="00945AC9">
      <w:pPr>
        <w:spacing w:line="360" w:lineRule="auto"/>
        <w:ind w:firstLine="1440"/>
      </w:pPr>
    </w:p>
    <w:p w:rsidR="007D1B6D" w:rsidRPr="007D1B6D" w:rsidRDefault="007D1B6D" w:rsidP="00945AC9">
      <w:pPr>
        <w:spacing w:line="360" w:lineRule="auto"/>
        <w:ind w:firstLine="1440"/>
      </w:pPr>
      <w:r w:rsidRPr="007D1B6D">
        <w:t>As explained more fully below, the positions of each party is based upon competing views regarding the standards to which the DSIC must adhere.  The position advocated by OCA is that each and every element of the DSIC must be “just and reasonable” as required by Section 1301 of the Public Utility Code.</w:t>
      </w:r>
      <w:r w:rsidRPr="007D1B6D">
        <w:rPr>
          <w:rStyle w:val="FootnoteReference"/>
        </w:rPr>
        <w:footnoteReference w:id="28"/>
      </w:r>
      <w:r w:rsidRPr="007D1B6D">
        <w:t xml:space="preserve">  OCA maintains that if the treatment of ADIT and the state tax gross-up are not just and reasonable, the DSIC is not consistent with</w:t>
      </w:r>
      <w:r w:rsidR="00CB17D2">
        <w:t xml:space="preserve"> the</w:t>
      </w:r>
      <w:r w:rsidRPr="007D1B6D">
        <w:t xml:space="preserve"> Public Utility Code and the Company’s position must be rejected.</w:t>
      </w:r>
    </w:p>
    <w:p w:rsidR="006A08E0" w:rsidRDefault="006A08E0" w:rsidP="00945AC9">
      <w:pPr>
        <w:spacing w:line="360" w:lineRule="auto"/>
        <w:ind w:firstLine="1440"/>
      </w:pPr>
    </w:p>
    <w:p w:rsidR="007D1B6D" w:rsidRPr="007D1B6D" w:rsidRDefault="007D1B6D" w:rsidP="00945AC9">
      <w:pPr>
        <w:spacing w:line="360" w:lineRule="auto"/>
        <w:ind w:firstLine="1440"/>
      </w:pPr>
      <w:r w:rsidRPr="007D1B6D">
        <w:t xml:space="preserve">The Company, in contrast, draws the distinction between the Commission’s review of a DSIC and the fuller review that is required in a base rate proceeding.  According to Peoples TWP, the law requires that the DSIC as a whole is just and reasonable even if certain elements of the calculation depart from traditional ratemaking techniques.   </w:t>
      </w:r>
    </w:p>
    <w:p w:rsidR="006A08E0" w:rsidRDefault="006A08E0" w:rsidP="00945AC9">
      <w:pPr>
        <w:spacing w:line="360" w:lineRule="auto"/>
        <w:ind w:firstLine="1440"/>
      </w:pPr>
    </w:p>
    <w:p w:rsidR="007D1B6D" w:rsidRPr="007D1B6D" w:rsidRDefault="007D1B6D" w:rsidP="00945AC9">
      <w:pPr>
        <w:spacing w:line="360" w:lineRule="auto"/>
        <w:ind w:firstLine="1440"/>
      </w:pPr>
      <w:r w:rsidRPr="007D1B6D">
        <w:t>The statutory basis for a general rate increase, known as a base rate, is found in Section 1308(d) of the Public Utility Code.</w:t>
      </w:r>
      <w:r w:rsidRPr="007D1B6D">
        <w:rPr>
          <w:rStyle w:val="FootnoteReference"/>
        </w:rPr>
        <w:footnoteReference w:id="29"/>
      </w:r>
      <w:r w:rsidRPr="007D1B6D">
        <w:t xml:space="preserve">  Base rate investigations are broad and of necessity, costly and time-consuming.  Rates are established using a test-year concept which involves a thorough and complex analysis of the utilities</w:t>
      </w:r>
      <w:r w:rsidR="00B07BF7">
        <w:t>’</w:t>
      </w:r>
      <w:r w:rsidRPr="007D1B6D">
        <w:t xml:space="preserve"> revenues, capital costs, expenses, et cetera.</w:t>
      </w:r>
      <w:r w:rsidRPr="007D1B6D">
        <w:rPr>
          <w:rStyle w:val="FootnoteReference"/>
        </w:rPr>
        <w:footnoteReference w:id="30"/>
      </w:r>
    </w:p>
    <w:p w:rsidR="006A08E0" w:rsidRDefault="006A08E0" w:rsidP="00945AC9">
      <w:pPr>
        <w:spacing w:line="360" w:lineRule="auto"/>
        <w:ind w:firstLine="1440"/>
      </w:pPr>
    </w:p>
    <w:p w:rsidR="007D1B6D" w:rsidRPr="007D1B6D" w:rsidRDefault="007D1B6D" w:rsidP="00945AC9">
      <w:pPr>
        <w:spacing w:line="360" w:lineRule="auto"/>
        <w:ind w:firstLine="1440"/>
      </w:pPr>
      <w:r w:rsidRPr="007D1B6D">
        <w:lastRenderedPageBreak/>
        <w:t>The Public Utility Code also provides for the recovery of certain expenses by surcharge.  A Section 1307(a) surcharge request does not mandate the same level of scrutiny by the Commission as a request for a general rate increase.  Indeed, the Commonwealth Court described the appropriate level of Commission scrutiny as “preliminary and cursory.”</w:t>
      </w:r>
      <w:r w:rsidRPr="007D1B6D">
        <w:rPr>
          <w:rStyle w:val="FootnoteReference"/>
        </w:rPr>
        <w:footnoteReference w:id="31"/>
      </w:r>
      <w:r w:rsidRPr="007D1B6D">
        <w:t xml:space="preserve">  Ratepayers are protected by the reconciliation and auditing authority of the Commission found in 1307(e).</w:t>
      </w:r>
      <w:r w:rsidRPr="007D1B6D">
        <w:rPr>
          <w:rStyle w:val="FootnoteReference"/>
        </w:rPr>
        <w:footnoteReference w:id="32"/>
      </w:r>
      <w:r w:rsidRPr="007D1B6D">
        <w:t xml:space="preserve">   Section 1307 represents a statutorily</w:t>
      </w:r>
      <w:r w:rsidR="00B07BF7">
        <w:t>-</w:t>
      </w:r>
      <w:r w:rsidRPr="007D1B6D">
        <w:t>authorized departure from the full review required by Section 1308.</w:t>
      </w:r>
      <w:r w:rsidRPr="007D1B6D">
        <w:rPr>
          <w:rStyle w:val="FootnoteReference"/>
        </w:rPr>
        <w:footnoteReference w:id="33"/>
      </w:r>
    </w:p>
    <w:p w:rsidR="006A08E0" w:rsidRDefault="006A08E0" w:rsidP="00945AC9">
      <w:pPr>
        <w:spacing w:line="360" w:lineRule="auto"/>
        <w:ind w:firstLine="1440"/>
      </w:pPr>
    </w:p>
    <w:p w:rsidR="007D1B6D" w:rsidRPr="007D1B6D" w:rsidRDefault="007D1B6D" w:rsidP="00945AC9">
      <w:pPr>
        <w:spacing w:line="360" w:lineRule="auto"/>
        <w:ind w:firstLine="1440"/>
      </w:pPr>
      <w:r w:rsidRPr="007D1B6D">
        <w:t>Initially, the water companies were permitted to request recovery of certain infrastructure improvement expenses pursuant to Section 1307(a).  In the Commission’s view, it was desirable to permit the recovery of these expenses on an expedited basis and to avoid the repeated filing of base rate applications which cause significant expense to ratepayers.</w:t>
      </w:r>
      <w:r w:rsidRPr="007D1B6D">
        <w:rPr>
          <w:rStyle w:val="FootnoteReference"/>
        </w:rPr>
        <w:footnoteReference w:id="34"/>
      </w:r>
      <w:r w:rsidRPr="007D1B6D">
        <w:t xml:space="preserve">  Section 1307 was thereafter amended by the General Assembly to explicitly permit water companies to recover costs of certain distribution improvement projects.</w:t>
      </w:r>
      <w:r w:rsidRPr="007D1B6D">
        <w:rPr>
          <w:rStyle w:val="FootnoteReference"/>
        </w:rPr>
        <w:footnoteReference w:id="35"/>
      </w:r>
      <w:r w:rsidRPr="007D1B6D">
        <w:t xml:space="preserve">  The Commission was delegated the discretion to determine the procedures to be followed to establish such a surcharge.</w:t>
      </w:r>
    </w:p>
    <w:p w:rsidR="006A08E0" w:rsidRDefault="006A08E0" w:rsidP="00945AC9">
      <w:pPr>
        <w:spacing w:line="360" w:lineRule="auto"/>
        <w:ind w:firstLine="1440"/>
      </w:pPr>
    </w:p>
    <w:p w:rsidR="007D1B6D" w:rsidRPr="007D1B6D" w:rsidRDefault="007D1B6D" w:rsidP="00945AC9">
      <w:pPr>
        <w:spacing w:line="360" w:lineRule="auto"/>
        <w:ind w:firstLine="1440"/>
      </w:pPr>
      <w:r w:rsidRPr="007D1B6D">
        <w:t>By utilizing the DSIC mechanism, water companies were able to accelerate the replacement of aging infrastructure and improve water quality and water service.  Accordingly, Chapter 13 was again amended to permit other utilities to utilize a DSIC mechanism for the recovery of costs related to the improvement of infrastructure in order to improve the reliability of service to utility customers.  Section 1307(g) was repealed and replaced with more specific statutory authority found in Sections 1350-1360, commonly referred to as Act 11.</w:t>
      </w:r>
      <w:r w:rsidRPr="007D1B6D">
        <w:rPr>
          <w:rStyle w:val="FootnoteReference"/>
        </w:rPr>
        <w:footnoteReference w:id="36"/>
      </w:r>
      <w:r w:rsidRPr="007D1B6D">
        <w:t xml:space="preserve"> </w:t>
      </w:r>
    </w:p>
    <w:p w:rsidR="006A08E0" w:rsidRDefault="006A08E0" w:rsidP="00945AC9">
      <w:pPr>
        <w:spacing w:line="360" w:lineRule="auto"/>
        <w:ind w:firstLine="1440"/>
      </w:pPr>
    </w:p>
    <w:p w:rsidR="007D1B6D" w:rsidRDefault="007D1B6D" w:rsidP="00945AC9">
      <w:pPr>
        <w:spacing w:line="360" w:lineRule="auto"/>
        <w:ind w:firstLine="1440"/>
      </w:pPr>
      <w:r w:rsidRPr="007D1B6D">
        <w:lastRenderedPageBreak/>
        <w:t>Both parties, in support of their arguments regarding ADIT and the state tax gross-up, rely heavily on competing views of the “intent” of the General Assembly in passing Act 11 as evidenced by certain elements of the statute’s legislative history.  However, it is clear that, read as a whole, the Commission has been granted significant discretion in the manner in which it chooses to implement Act 11 and the calculation of various elements of the DSIC.  Although the General Assembly also provided significantly more instruction for the proper development and administration of the DSIC mechanism than that found in 1307(a) and 1307(g), Act 11 codified much of the Commission’s prior practice used to implement Section 1307(g)</w:t>
      </w:r>
      <w:r w:rsidR="00B07BF7">
        <w:t>.  T</w:t>
      </w:r>
      <w:r w:rsidRPr="007D1B6D">
        <w:t>he Commission remains vested with significant discretion to implement the new provisions now made part of the statute.  Section 1358(a)(2) provides the Commission with the authority to permit water utilities to continue utilizing DSICs which were approved under Section 1307(g), but also provides that the Commission may, in time, change or modify those requirements.</w:t>
      </w:r>
      <w:r w:rsidRPr="007D1B6D">
        <w:rPr>
          <w:rStyle w:val="FootnoteReference"/>
        </w:rPr>
        <w:footnoteReference w:id="37"/>
      </w:r>
      <w:r w:rsidRPr="007D1B6D">
        <w:t xml:space="preserve">  Just as the General Assembly provided significant auditing authority to protect ratepayers subject to a 1307(a) surcharge, the General Assembly has required protections for ratepayers in a DSIC in the form of a reset of the D</w:t>
      </w:r>
      <w:r w:rsidR="00E64106">
        <w:t>SI</w:t>
      </w:r>
      <w:r w:rsidRPr="007D1B6D">
        <w:t>C surcharge and the cap on earnings.  The purpose of these protections is a recognition that by creating a simplified framework for the more timely recovery of infrastructure improvement costs, the application of certain ratemaking principles that are appropriate for the in-depth investigation and review of a base rate are not necessary in the context of a DSIC.</w:t>
      </w:r>
      <w:r w:rsidRPr="007D1B6D">
        <w:rPr>
          <w:rStyle w:val="FootnoteReference"/>
        </w:rPr>
        <w:footnoteReference w:id="38"/>
      </w:r>
      <w:r w:rsidRPr="007D1B6D">
        <w:t xml:space="preserve">  </w:t>
      </w:r>
    </w:p>
    <w:p w:rsidR="007D1B6D" w:rsidRPr="007D1B6D" w:rsidRDefault="007D1B6D" w:rsidP="00945AC9">
      <w:pPr>
        <w:spacing w:line="360" w:lineRule="auto"/>
        <w:ind w:firstLine="1440"/>
      </w:pPr>
    </w:p>
    <w:p w:rsidR="007D1B6D" w:rsidRDefault="007D1B6D" w:rsidP="00945AC9">
      <w:pPr>
        <w:spacing w:line="360" w:lineRule="auto"/>
        <w:ind w:firstLine="1440"/>
      </w:pPr>
      <w:r w:rsidRPr="007D1B6D">
        <w:t>Accordingly, the Commission’s focus is the overall effect of the calculated DSIC rate and whether, as a whole, the DSIC is just and reasonable.</w:t>
      </w:r>
      <w:r w:rsidRPr="007D1B6D">
        <w:rPr>
          <w:rStyle w:val="FootnoteReference"/>
        </w:rPr>
        <w:footnoteReference w:id="39"/>
      </w:r>
      <w:r w:rsidRPr="007D1B6D">
        <w:t xml:space="preserve">  Peoples TWP argues that OCA’s contention that a rate can be declared unjust or unreasonable by looking in isolation at one or two base rate components that are not included in the calculation is contrary to OCA’s successful position in </w:t>
      </w:r>
      <w:r w:rsidRPr="007D1B6D">
        <w:rPr>
          <w:i/>
        </w:rPr>
        <w:t>Duquesne Light Co. v. Barasch</w:t>
      </w:r>
      <w:r w:rsidRPr="007D1B6D">
        <w:t>.</w:t>
      </w:r>
      <w:r w:rsidRPr="007D1B6D">
        <w:rPr>
          <w:rStyle w:val="FootnoteReference"/>
        </w:rPr>
        <w:footnoteReference w:id="40"/>
      </w:r>
      <w:r w:rsidRPr="007D1B6D">
        <w:t xml:space="preserve">  In </w:t>
      </w:r>
      <w:r w:rsidRPr="007D1B6D">
        <w:rPr>
          <w:i/>
        </w:rPr>
        <w:t>Barasch,</w:t>
      </w:r>
      <w:r w:rsidRPr="007D1B6D">
        <w:t xml:space="preserve"> the United States Supreme Court noted that in determining just and reasonable rates, “the economic judgments required in </w:t>
      </w:r>
      <w:r w:rsidRPr="007D1B6D">
        <w:lastRenderedPageBreak/>
        <w:t>rate proceedings are often hopelessly complex and do not admit of a single correct result.”</w:t>
      </w:r>
      <w:r w:rsidRPr="007D1B6D">
        <w:rPr>
          <w:rStyle w:val="FootnoteReference"/>
        </w:rPr>
        <w:footnoteReference w:id="41"/>
      </w:r>
      <w:r w:rsidRPr="007D1B6D">
        <w:t xml:space="preserve"> Thus the Supreme Court in </w:t>
      </w:r>
      <w:r w:rsidRPr="007D1B6D">
        <w:rPr>
          <w:i/>
        </w:rPr>
        <w:t>Barasch</w:t>
      </w:r>
      <w:r w:rsidRPr="007D1B6D">
        <w:t xml:space="preserve"> acknowledged that there are many ways to achieve rates that are just and reasonable, and went on to find that the disallowance of a single element is not the appropriate standard for determining whether rates are just and reasonable.  The Court explained that this is due, in part, to the fact that “errors to the detriment of one party may well be canceled out by countervailing errors or allowances in another part of the rate proceeding.” </w:t>
      </w:r>
      <w:r w:rsidRPr="007D1B6D">
        <w:rPr>
          <w:rStyle w:val="FootnoteReference"/>
        </w:rPr>
        <w:footnoteReference w:id="42"/>
      </w:r>
      <w:r w:rsidR="00A075E1">
        <w:t xml:space="preserve">  </w:t>
      </w:r>
      <w:r w:rsidRPr="007D1B6D">
        <w:t>The courts in Pennsylvania have similarly concluded that there is no single way to arrive at just and reasonable rates and that the Commission is “vested with discretion to decide what factors it will consider in setting or evaluating a utility’s rates.”</w:t>
      </w:r>
      <w:r w:rsidRPr="007D1B6D">
        <w:rPr>
          <w:rStyle w:val="FootnoteReference"/>
        </w:rPr>
        <w:footnoteReference w:id="43"/>
      </w:r>
      <w:r w:rsidRPr="007D1B6D">
        <w:t xml:space="preserve"> </w:t>
      </w:r>
    </w:p>
    <w:p w:rsidR="00F40901" w:rsidRDefault="00F40901" w:rsidP="00945AC9">
      <w:pPr>
        <w:spacing w:line="360" w:lineRule="auto"/>
        <w:ind w:firstLine="1440"/>
      </w:pPr>
    </w:p>
    <w:p w:rsidR="007D1B6D" w:rsidRPr="007D1B6D" w:rsidRDefault="007D1B6D" w:rsidP="00945AC9">
      <w:pPr>
        <w:spacing w:line="360" w:lineRule="auto"/>
        <w:ind w:firstLine="1440"/>
      </w:pPr>
      <w:r w:rsidRPr="007D1B6D">
        <w:t>Accordingly, the specific objections raised by OCA to Peoples TWP’s DSIC regarding ADIT and the gross-up of state income taxes will be considered below.</w:t>
      </w:r>
    </w:p>
    <w:p w:rsidR="007D1B6D" w:rsidRPr="007D1B6D" w:rsidRDefault="007D1B6D" w:rsidP="00945AC9">
      <w:pPr>
        <w:spacing w:line="360" w:lineRule="auto"/>
        <w:ind w:firstLine="1440"/>
      </w:pPr>
    </w:p>
    <w:p w:rsidR="007D1B6D" w:rsidRPr="007D1B6D" w:rsidRDefault="007D1B6D" w:rsidP="00945AC9">
      <w:pPr>
        <w:spacing w:line="360" w:lineRule="auto"/>
        <w:rPr>
          <w:u w:val="single"/>
        </w:rPr>
      </w:pPr>
      <w:r w:rsidRPr="007D1B6D">
        <w:t>B.</w:t>
      </w:r>
      <w:r w:rsidRPr="007D1B6D">
        <w:tab/>
      </w:r>
      <w:r w:rsidRPr="007D1B6D">
        <w:rPr>
          <w:u w:val="single"/>
        </w:rPr>
        <w:t>OCA’s Objections and the Company’s Position</w:t>
      </w:r>
    </w:p>
    <w:p w:rsidR="007D1B6D" w:rsidRDefault="007D1B6D" w:rsidP="00945AC9">
      <w:pPr>
        <w:spacing w:line="360" w:lineRule="auto"/>
        <w:ind w:firstLine="1440"/>
      </w:pPr>
    </w:p>
    <w:p w:rsidR="007D1B6D" w:rsidRDefault="007D1B6D" w:rsidP="00945AC9">
      <w:pPr>
        <w:spacing w:line="360" w:lineRule="auto"/>
        <w:ind w:firstLine="1440"/>
      </w:pPr>
      <w:r w:rsidRPr="007D1B6D">
        <w:t>OCA contends that Peoples TWP should be required to include an adjustment for deferred income taxes and should not be permitted to use a state tax gross-up in calculating it</w:t>
      </w:r>
      <w:r w:rsidR="00A9442F">
        <w:t>s</w:t>
      </w:r>
      <w:r w:rsidRPr="007D1B6D">
        <w:t xml:space="preserve"> tax expense for the purpose of the DSIC.  OCA concedes that Peoples</w:t>
      </w:r>
      <w:r w:rsidR="00A9442F">
        <w:t>’</w:t>
      </w:r>
      <w:r w:rsidRPr="007D1B6D">
        <w:t xml:space="preserve"> treatment of ADIT and the gross</w:t>
      </w:r>
      <w:r w:rsidR="00A9442F">
        <w:t>-</w:t>
      </w:r>
      <w:r w:rsidRPr="007D1B6D">
        <w:t xml:space="preserve">up of state taxes are consistent with how these matters have been historically treated by the water distribution companies.  We recognize, as OCA points out, that Act 11 does not bind the Commission to past practice.  But the purpose of this proceeding is not to revisit the policy decisions already made by the Commission in its </w:t>
      </w:r>
      <w:r w:rsidRPr="007D1B6D">
        <w:rPr>
          <w:i/>
        </w:rPr>
        <w:t>Final Implementation Order</w:t>
      </w:r>
      <w:r w:rsidRPr="007D1B6D">
        <w:t xml:space="preserve">.  The </w:t>
      </w:r>
      <w:r w:rsidRPr="00B07BF7">
        <w:rPr>
          <w:i/>
        </w:rPr>
        <w:t>Final Implementation Order</w:t>
      </w:r>
      <w:r w:rsidRPr="007D1B6D">
        <w:t xml:space="preserve"> is not binding, but is to provide guidance to utilities to ensure consistency </w:t>
      </w:r>
      <w:r w:rsidRPr="007D1B6D">
        <w:lastRenderedPageBreak/>
        <w:t>of practice.</w:t>
      </w:r>
      <w:r w:rsidRPr="007D1B6D">
        <w:rPr>
          <w:rStyle w:val="FootnoteReference"/>
        </w:rPr>
        <w:footnoteReference w:id="44"/>
      </w:r>
      <w:r w:rsidRPr="007D1B6D">
        <w:t xml:space="preserve"> </w:t>
      </w:r>
      <w:r w:rsidR="00F85FE2">
        <w:t xml:space="preserve"> </w:t>
      </w:r>
      <w:r w:rsidRPr="007D1B6D">
        <w:t xml:space="preserve">However, OCA must put forth some factual basis which would make it inappropriate to apply the policy set forth in the </w:t>
      </w:r>
      <w:r w:rsidRPr="007D1B6D">
        <w:rPr>
          <w:i/>
        </w:rPr>
        <w:t>Final Implementation Order</w:t>
      </w:r>
      <w:r w:rsidRPr="007D1B6D">
        <w:t xml:space="preserve"> to the Company’s DSIC.  We find that Peoples TWP’s treatment of ADIT and the gross-up of state taxes is consistent with the treatment of those items by the water companies and the </w:t>
      </w:r>
      <w:r w:rsidRPr="007D1B6D">
        <w:rPr>
          <w:i/>
        </w:rPr>
        <w:t>Final Implementation Order</w:t>
      </w:r>
      <w:r w:rsidRPr="007D1B6D">
        <w:t xml:space="preserve"> and does not violate any specific language in Act 11.  OCA does not offer any compelling reason to treat Peoples TWP, a gas utility, differently from the water utilities.  Rather, the arguments made by OCA would require an evaluation of the </w:t>
      </w:r>
      <w:r w:rsidRPr="007D1B6D">
        <w:rPr>
          <w:i/>
        </w:rPr>
        <w:t>policy</w:t>
      </w:r>
      <w:r w:rsidRPr="007D1B6D">
        <w:t xml:space="preserve"> decisions already made by the Commission.  OCA does not offer any specific facts relating specifically to Peoples TWP that mandate departing from Commission policy.</w:t>
      </w:r>
    </w:p>
    <w:p w:rsidR="007D1B6D" w:rsidRPr="007D1B6D" w:rsidRDefault="007D1B6D" w:rsidP="00945AC9">
      <w:pPr>
        <w:spacing w:line="360" w:lineRule="auto"/>
        <w:ind w:firstLine="1440"/>
      </w:pPr>
    </w:p>
    <w:p w:rsidR="007D1B6D" w:rsidRDefault="007D1B6D" w:rsidP="00483B21">
      <w:pPr>
        <w:spacing w:line="360" w:lineRule="auto"/>
        <w:ind w:firstLine="1440"/>
      </w:pPr>
      <w:r w:rsidRPr="007D1B6D">
        <w:t>Generally, Peoples TWP contends that both OCA proposals should be rejected because the calculation of Peoples’ DSIC is consistent with the method of calculation of DSIC</w:t>
      </w:r>
      <w:r w:rsidR="00A9442F">
        <w:t xml:space="preserve"> tariffs</w:t>
      </w:r>
      <w:r w:rsidRPr="007D1B6D">
        <w:t xml:space="preserve"> historically used by water companies.  In Peoples TWP’s view, it should</w:t>
      </w:r>
      <w:r w:rsidR="00620372">
        <w:t xml:space="preserve"> be permitted to calculate its </w:t>
      </w:r>
      <w:r w:rsidRPr="007D1B6D">
        <w:t xml:space="preserve">DSIC </w:t>
      </w:r>
      <w:r w:rsidR="00620372">
        <w:t>in the same manner.</w:t>
      </w:r>
    </w:p>
    <w:p w:rsidR="00945AC9" w:rsidRDefault="00945AC9" w:rsidP="00483B21">
      <w:pPr>
        <w:spacing w:line="360" w:lineRule="auto"/>
        <w:rPr>
          <w:szCs w:val="20"/>
          <w:u w:val="single"/>
        </w:rPr>
      </w:pPr>
    </w:p>
    <w:p w:rsidR="00620372" w:rsidRPr="007D1B6D" w:rsidRDefault="00F40901" w:rsidP="00483B21">
      <w:pPr>
        <w:spacing w:line="360" w:lineRule="auto"/>
        <w:ind w:firstLine="720"/>
      </w:pPr>
      <w:r>
        <w:t>1.</w:t>
      </w:r>
      <w:r>
        <w:tab/>
      </w:r>
      <w:r w:rsidR="0089491F">
        <w:rPr>
          <w:u w:val="single"/>
        </w:rPr>
        <w:t>ADIT</w:t>
      </w:r>
    </w:p>
    <w:p w:rsidR="00945AC9" w:rsidRDefault="00945AC9" w:rsidP="00483B21">
      <w:pPr>
        <w:spacing w:line="360" w:lineRule="auto"/>
        <w:ind w:left="1440"/>
      </w:pPr>
    </w:p>
    <w:p w:rsidR="007D1B6D" w:rsidRPr="007D1B6D" w:rsidRDefault="007D1B6D" w:rsidP="00483B21">
      <w:pPr>
        <w:spacing w:line="360" w:lineRule="auto"/>
        <w:ind w:firstLine="1440"/>
      </w:pPr>
      <w:r w:rsidRPr="007D1B6D">
        <w:t xml:space="preserve">As explained above, our purpose is not to revisit policy decisions already made by the Commission, but to determine whether it is appropriate to depart from that policy due to the facts presented in this case.  In regard to the ADIT adjustment, OCA makes no new arguments here that were not made and rejected by the Commission in the </w:t>
      </w:r>
      <w:r w:rsidRPr="007D1B6D">
        <w:rPr>
          <w:i/>
        </w:rPr>
        <w:t>Final Implementation Order</w:t>
      </w:r>
      <w:r w:rsidRPr="007D1B6D">
        <w:t>:</w:t>
      </w:r>
    </w:p>
    <w:p w:rsidR="007D1B6D" w:rsidRDefault="007D1B6D" w:rsidP="00945AC9">
      <w:pPr>
        <w:ind w:left="1440" w:right="1440"/>
      </w:pPr>
    </w:p>
    <w:p w:rsidR="007D1B6D" w:rsidRPr="007D1B6D" w:rsidRDefault="007D1B6D" w:rsidP="007D1B6D">
      <w:pPr>
        <w:ind w:left="1440" w:right="1440"/>
      </w:pPr>
      <w:r w:rsidRPr="007D1B6D">
        <w:t xml:space="preserve">OCA has proposed that the DSIC calculation include an adjustment for accumulated deferred income taxes to recognize the difference between the utilities’ tax depreciation and book depreciation, which can be viewed as a source of zero cost capital.  OCA Comments at 10.  Accumulated deferred income taxes (ADIT) and a number of additional items, including working capital and taxes associated with DSIC-eligible property, are accounted for in the normal base rate case process.  Upon review, we agree with PPL’s comments that the DSIC is intended to be a straightforward mechanism which is easy to calculate, easy to audit </w:t>
      </w:r>
      <w:r w:rsidRPr="007D1B6D">
        <w:lastRenderedPageBreak/>
        <w:t>and which does not require a full rate case analysis.  Inclusion of an ADIT adjustment would be inconsistent with that goal and would likely invite litigation over its calculation.  Moreover, we note that the water DSIC, used successfully for over 15 years, did no</w:t>
      </w:r>
      <w:r w:rsidR="00F40901">
        <w:t xml:space="preserve">t include an ADIT adjustment.  </w:t>
      </w:r>
      <w:r w:rsidRPr="007D1B6D">
        <w:t>And, in any event, consumers remain protected against over earnings by the earnings cap under Section 1358(b)(3) which “captures the revenue impact of all other adjustments and insure</w:t>
      </w:r>
      <w:r w:rsidR="00A9442F">
        <w:t>s</w:t>
      </w:r>
      <w:r w:rsidRPr="007D1B6D">
        <w:t xml:space="preserve"> that the DSIC does not result in unreasonable rates.”  PPL Comments at 8.  </w:t>
      </w:r>
    </w:p>
    <w:p w:rsidR="00F40901" w:rsidRDefault="00F40901" w:rsidP="007D1B6D">
      <w:pPr>
        <w:ind w:left="1440" w:right="1440"/>
      </w:pPr>
    </w:p>
    <w:p w:rsidR="007D1B6D" w:rsidRPr="007D1B6D" w:rsidRDefault="007D1B6D" w:rsidP="007D1B6D">
      <w:pPr>
        <w:ind w:left="1440" w:right="1440"/>
      </w:pPr>
      <w:r w:rsidRPr="007D1B6D">
        <w:t>Therefore, the Commission declines to adopt the OCA proposal to include, in the DSIC calculation, an adjustment for accumulated deferred income taxes.  The adjustment, which was not previously used in the DSIC by the water industry, would add unnecessary complexities to the DSIC and, accordingly, will not be included in the model tariff.</w:t>
      </w:r>
      <w:r w:rsidRPr="007D1B6D">
        <w:rPr>
          <w:rStyle w:val="FootnoteReference"/>
        </w:rPr>
        <w:footnoteReference w:id="45"/>
      </w:r>
      <w:r w:rsidRPr="007D1B6D">
        <w:t xml:space="preserve">  </w:t>
      </w:r>
    </w:p>
    <w:p w:rsidR="007D1B6D" w:rsidRPr="007D1B6D" w:rsidRDefault="007D1B6D" w:rsidP="00F40901">
      <w:pPr>
        <w:spacing w:line="360" w:lineRule="auto"/>
      </w:pPr>
    </w:p>
    <w:p w:rsidR="007D1B6D" w:rsidRDefault="007D1B6D" w:rsidP="00945AC9">
      <w:pPr>
        <w:spacing w:line="360" w:lineRule="auto"/>
        <w:ind w:firstLine="1440"/>
      </w:pPr>
      <w:r w:rsidRPr="007D1B6D">
        <w:t>Nevertheless, the Commission provided OCA with an additional opportunity to put forth evidence specific to Peoples TWP that may require a different result.  OCA has not done so.  It is true, as OCA thoroughly explained in its briefs, that ADIT should be recognized when developing base rates pursuant to Section 1308(d).  However, a DSIC surcharge is not a base rate and different principles apply.</w:t>
      </w:r>
      <w:r w:rsidRPr="007D1B6D">
        <w:rPr>
          <w:rStyle w:val="FootnoteReference"/>
        </w:rPr>
        <w:footnoteReference w:id="46"/>
      </w:r>
      <w:r w:rsidRPr="007D1B6D">
        <w:t xml:space="preserve"> </w:t>
      </w:r>
      <w:r w:rsidR="00A9442F">
        <w:t xml:space="preserve"> </w:t>
      </w:r>
      <w:r w:rsidRPr="007D1B6D">
        <w:t xml:space="preserve">Including ADIT in the DSIC calculation would defeat the goal of the Commission to implement a straightforward mechanism which was easy to calculate.  In addition, based upon a review of the record, the arguments advanced by Peoples TWP are consistent with the position taken by the Commission as expressed in the </w:t>
      </w:r>
      <w:r w:rsidRPr="007D1B6D">
        <w:rPr>
          <w:i/>
        </w:rPr>
        <w:t>Final Implementation Order</w:t>
      </w:r>
      <w:r w:rsidRPr="007D1B6D">
        <w:t>.  No persuasive evidence has been presented in this matter to justify the inclusion of ADIT in the DSIC calculation.  Nor has OCA convincingly argued that Act 11 does not grant the Commission sufficient discretion to exclude ADIT from the DSIC calculation.</w:t>
      </w:r>
    </w:p>
    <w:p w:rsidR="007D1B6D" w:rsidRPr="007D1B6D" w:rsidRDefault="007D1B6D" w:rsidP="00945AC9">
      <w:pPr>
        <w:spacing w:line="360" w:lineRule="auto"/>
        <w:ind w:firstLine="1440"/>
      </w:pPr>
    </w:p>
    <w:p w:rsidR="007D1B6D" w:rsidRDefault="007D1B6D" w:rsidP="00945AC9">
      <w:pPr>
        <w:spacing w:line="360" w:lineRule="auto"/>
        <w:ind w:firstLine="1440"/>
      </w:pPr>
      <w:r w:rsidRPr="007D1B6D">
        <w:t xml:space="preserve">Requiring the Company to include ADIT in its DSIC calculation would clearly complicate the </w:t>
      </w:r>
      <w:r w:rsidR="00620372">
        <w:t xml:space="preserve">calculation of the surcharge.  </w:t>
      </w:r>
      <w:r w:rsidRPr="007D1B6D">
        <w:t>ADIT is generated by tax depreciation deductions that exceed book depreciation deductions.</w:t>
      </w:r>
      <w:r w:rsidRPr="007D1B6D">
        <w:rPr>
          <w:rStyle w:val="FootnoteReference"/>
        </w:rPr>
        <w:footnoteReference w:id="47"/>
      </w:r>
      <w:r w:rsidRPr="007D1B6D">
        <w:t xml:space="preserve">  As acknowledged by OCA witness Catlin and as </w:t>
      </w:r>
      <w:r w:rsidRPr="007D1B6D">
        <w:lastRenderedPageBreak/>
        <w:t>further explained by Peoples TWP witness Warren, whether and to what extent Peoples TWP has any ADIT balance not already reflected in base rates depends in part upon its overall tax position.</w:t>
      </w:r>
      <w:r w:rsidRPr="007D1B6D">
        <w:rPr>
          <w:rStyle w:val="FootnoteReference"/>
        </w:rPr>
        <w:footnoteReference w:id="48"/>
      </w:r>
      <w:r w:rsidRPr="007D1B6D">
        <w:t xml:space="preserve">  In recent years Peoples TWP has generated tax deductions that exceed its income, resulting in net operating losses for tax purposes.</w:t>
      </w:r>
      <w:r w:rsidRPr="007D1B6D">
        <w:rPr>
          <w:rStyle w:val="FootnoteReference"/>
        </w:rPr>
        <w:footnoteReference w:id="49"/>
      </w:r>
      <w:r w:rsidRPr="007D1B6D">
        <w:t xml:space="preserve">  As a result, Peoples TWP has not been able to benefit from all available accelerated depreciation deductions and has substantial tax loss carry-forwards.  As a consequence, deductions have not produced any incremental cash for the Company which would have augmented its ADIT balance.  The result, as conceded by Mr.</w:t>
      </w:r>
      <w:r w:rsidR="00F40901">
        <w:t> </w:t>
      </w:r>
      <w:r w:rsidRPr="007D1B6D">
        <w:t>Catlin, is that effectively no ADIT adjustment can be included at this time, due to prior and ongoing tax losses.</w:t>
      </w:r>
      <w:r w:rsidRPr="007D1B6D">
        <w:rPr>
          <w:rStyle w:val="FootnoteReference"/>
        </w:rPr>
        <w:footnoteReference w:id="50"/>
      </w:r>
      <w:r w:rsidRPr="007D1B6D">
        <w:t xml:space="preserve">  This situation can recur in the future at any time, depending upon available tax deductions under federal law, thereby complicating the determination of ADIT.  OCA’s own concession in this proceeding, that essentially no ADIT offset is proper at this time, demonstrates that the adjustment is not easy to calculate, and could invite litigation over the utility’s past, present, and future income tax status.  </w:t>
      </w:r>
    </w:p>
    <w:p w:rsidR="007D1B6D" w:rsidRPr="007D1B6D" w:rsidRDefault="007D1B6D" w:rsidP="00945AC9">
      <w:pPr>
        <w:spacing w:line="360" w:lineRule="auto"/>
        <w:ind w:firstLine="1440"/>
      </w:pPr>
    </w:p>
    <w:p w:rsidR="007D1B6D" w:rsidRDefault="007D1B6D" w:rsidP="00945AC9">
      <w:pPr>
        <w:spacing w:line="360" w:lineRule="auto"/>
        <w:ind w:firstLine="1440"/>
      </w:pPr>
      <w:r w:rsidRPr="007D1B6D">
        <w:t>The complication of computing ADIT offsets is further demonstrated by OCA’s proposal in this case.  OCA computes a $20,000 ADIT offset based upon projected revenues to be received under the DSIC.</w:t>
      </w:r>
      <w:r w:rsidRPr="007D1B6D">
        <w:rPr>
          <w:rStyle w:val="FootnoteReference"/>
        </w:rPr>
        <w:footnoteReference w:id="51"/>
      </w:r>
      <w:r w:rsidRPr="007D1B6D">
        <w:t xml:space="preserve">  However, if ADIT is reflected in the rate calculation, the revenues received under the DSIC would be reduced, thereby reducing OCA’s calculated ADIT offset.  The determination of ADIT for purposes of quarterly DSIC filings is further complicated by the seasonal nature of the gas utility business and the differing deductions available.  </w:t>
      </w:r>
      <w:r w:rsidR="00B40652" w:rsidRPr="007D1B6D">
        <w:t>The DSIC</w:t>
      </w:r>
      <w:r w:rsidRPr="007D1B6D">
        <w:t xml:space="preserve"> is calculated on a quarterly basis.</w:t>
      </w:r>
      <w:r w:rsidRPr="007D1B6D">
        <w:rPr>
          <w:rStyle w:val="FootnoteReference"/>
        </w:rPr>
        <w:footnoteReference w:id="52"/>
      </w:r>
      <w:r w:rsidRPr="007D1B6D">
        <w:t xml:space="preserve">  Thus, any determination of ADIT would involve estimates that would require subsequent true-ups.  To inject estimates into the DSIC plant balance used in the calculation would be contrary to the use of known, historic balanc</w:t>
      </w:r>
      <w:r w:rsidR="00F40901">
        <w:t xml:space="preserve">es envisioned by the statute.  </w:t>
      </w:r>
      <w:r w:rsidRPr="007D1B6D">
        <w:t xml:space="preserve">This is inconsistent with the “straightforward” calculation intended for the DSIC.  </w:t>
      </w:r>
    </w:p>
    <w:p w:rsidR="007D1B6D" w:rsidRDefault="007D1B6D" w:rsidP="00945AC9">
      <w:pPr>
        <w:spacing w:line="360" w:lineRule="auto"/>
        <w:ind w:firstLine="1440"/>
      </w:pPr>
      <w:r w:rsidRPr="007D1B6D">
        <w:lastRenderedPageBreak/>
        <w:t>Finally, the determination of any ADIT deductions is complicated by the fact that, as to plant already reflected in base rates, or plant reflected in a DSIC, the ADIT balance may decline because tax depreciation deductions have reached the point where book depreciation deductions for an asset exceed tax deductions.  This is particularly the case for plant that is subject to accelerated depreciation such as bonus depreciation deduction, which can turn around within a few years of the creation of the ADIT.</w:t>
      </w:r>
      <w:r w:rsidRPr="007D1B6D">
        <w:rPr>
          <w:rStyle w:val="FootnoteReference"/>
        </w:rPr>
        <w:footnoteReference w:id="53"/>
      </w:r>
      <w:r w:rsidRPr="007D1B6D">
        <w:t xml:space="preserve">  Such ADIT balance reductions can offset, in whole or in part, any new ADIT balances created from new DSIC-eligible plant. </w:t>
      </w:r>
    </w:p>
    <w:p w:rsidR="007D1B6D" w:rsidRPr="007D1B6D" w:rsidRDefault="007D1B6D" w:rsidP="00945AC9">
      <w:pPr>
        <w:spacing w:line="360" w:lineRule="auto"/>
        <w:ind w:firstLine="1440"/>
      </w:pPr>
    </w:p>
    <w:p w:rsidR="007D1B6D" w:rsidRDefault="007D1B6D" w:rsidP="00945AC9">
      <w:pPr>
        <w:spacing w:line="360" w:lineRule="auto"/>
        <w:ind w:firstLine="1440"/>
      </w:pPr>
      <w:r w:rsidRPr="007D1B6D">
        <w:t xml:space="preserve">The Commission recognized in its </w:t>
      </w:r>
      <w:r w:rsidRPr="007D1B6D">
        <w:rPr>
          <w:i/>
        </w:rPr>
        <w:t>Final Implementation Order</w:t>
      </w:r>
      <w:r w:rsidRPr="007D1B6D">
        <w:t xml:space="preserve">, that the impact of ADIT is already factored into the DSIC through the calculation of the earnings cap, which prohibits Peoples </w:t>
      </w:r>
      <w:r w:rsidR="002A51FD">
        <w:t xml:space="preserve">TWP </w:t>
      </w:r>
      <w:r w:rsidRPr="007D1B6D">
        <w:t>from exceeding its allowable rate of return.  The Company’s DSIC will be reset to zero if the data included in the most recent Annual or Quarterly Earnings report filed with the Commission shows that Peoples TWP would earn a rate of return that would exceed the allowable rate of return used to calculate its fixed costs under the DSIC as described in the pre-tax return section.</w:t>
      </w:r>
      <w:r w:rsidRPr="007D1B6D">
        <w:rPr>
          <w:rStyle w:val="FootnoteReference"/>
        </w:rPr>
        <w:footnoteReference w:id="54"/>
      </w:r>
      <w:r w:rsidRPr="007D1B6D">
        <w:t xml:space="preserve">  Since earnings are reviewed quarterly, the earnings cap adequately addresses the concern associated with ADIT for plant additions under the DSIC, without the complication of reviewing these issues in each quarterly DSIC filing.  The Commission in the </w:t>
      </w:r>
      <w:r w:rsidRPr="007D1B6D">
        <w:rPr>
          <w:i/>
        </w:rPr>
        <w:t xml:space="preserve">Final Implementation </w:t>
      </w:r>
      <w:r w:rsidR="00B40652" w:rsidRPr="007D1B6D">
        <w:rPr>
          <w:i/>
        </w:rPr>
        <w:t>Order</w:t>
      </w:r>
      <w:r w:rsidRPr="007D1B6D">
        <w:t xml:space="preserve"> explained that consumers remain protected against over earnings by the earnings cap under Section 1358(b)(3) which captures the revenue impact of all other adjustments and insure</w:t>
      </w:r>
      <w:r w:rsidR="00024B3B">
        <w:t>s</w:t>
      </w:r>
      <w:r w:rsidRPr="007D1B6D">
        <w:t xml:space="preserve"> that the DSIC does not result in unreasonable rates.</w:t>
      </w:r>
    </w:p>
    <w:p w:rsidR="007D1B6D" w:rsidRPr="007D1B6D" w:rsidRDefault="007D1B6D" w:rsidP="00945AC9">
      <w:pPr>
        <w:spacing w:line="360" w:lineRule="auto"/>
        <w:ind w:firstLine="1440"/>
      </w:pPr>
    </w:p>
    <w:p w:rsidR="007D1B6D" w:rsidRDefault="007D1B6D" w:rsidP="00945AC9">
      <w:pPr>
        <w:spacing w:line="360" w:lineRule="auto"/>
        <w:ind w:firstLine="1440"/>
      </w:pPr>
      <w:r w:rsidRPr="007D1B6D">
        <w:t xml:space="preserve">OCA contends that calculating ADIT is not overly complicated, relying on the fact that other jurisdictions include the ADIT adjustment in their surcharge mechanisms.  While the practices of other jurisdictions may bear some examination by the Commission in the future, the fact that making the ADIT adjustment is possible, does not negate the fact that the Commission has determined that it is counter to the stated goal of Act 11 to provide a simplified method of cost recovery for infrastructure improvements.  OCA has not demonstrated a compelling reason why the customer protections of Act 11 are inadequate. </w:t>
      </w:r>
      <w:r w:rsidR="00024B3B">
        <w:t xml:space="preserve"> </w:t>
      </w:r>
      <w:r w:rsidRPr="007D1B6D">
        <w:t xml:space="preserve">Therefore, OCA’s </w:t>
      </w:r>
      <w:r w:rsidRPr="007D1B6D">
        <w:lastRenderedPageBreak/>
        <w:t>proposal is clearly contrary to the simple mechanism envisioned by the General Assembly and the Commission and should be rejected.</w:t>
      </w:r>
    </w:p>
    <w:p w:rsidR="007D1B6D" w:rsidRPr="007D1B6D" w:rsidRDefault="007D1B6D" w:rsidP="00945AC9">
      <w:pPr>
        <w:spacing w:line="360" w:lineRule="auto"/>
        <w:ind w:firstLine="1440"/>
      </w:pPr>
    </w:p>
    <w:p w:rsidR="007D1B6D" w:rsidRPr="007D1B6D" w:rsidRDefault="007D1B6D" w:rsidP="00945AC9">
      <w:pPr>
        <w:spacing w:line="360" w:lineRule="auto"/>
        <w:ind w:firstLine="1440"/>
      </w:pPr>
      <w:r w:rsidRPr="007D1B6D">
        <w:t>OCA has argued that changed circumstances exist which make the inclusion of ADIT, outside of the earnings cap, appropriate at this time.  While this may be true, the Commission has been granted the discretion to consider those changes, but has chosen, as a policy, to continue to exclude ADIT from the DSIC calculation.  There is nothing in Act 11 which requires the Commission to do otherwise.  As noted above, our role here is not to revisit the Commission’s policy choices.</w:t>
      </w:r>
      <w:r w:rsidR="00620372">
        <w:t xml:space="preserve"> </w:t>
      </w:r>
      <w:r w:rsidRPr="007D1B6D">
        <w:t xml:space="preserve"> OCA has not demonstrated that in the case of Peoples TWP’s proposed DSIC calculation, it is necessary to depart from that policy or that the factual record demonstrates that Peoples’ DSIC calculation as a whole results in a rate that is not just and reasonable. </w:t>
      </w:r>
    </w:p>
    <w:p w:rsidR="00FC1759" w:rsidRDefault="00FC1759" w:rsidP="00FA0219">
      <w:pPr>
        <w:spacing w:line="360" w:lineRule="auto"/>
        <w:ind w:firstLine="720"/>
      </w:pPr>
    </w:p>
    <w:p w:rsidR="007D1B6D" w:rsidRDefault="00F40901" w:rsidP="00FA0219">
      <w:pPr>
        <w:spacing w:line="360" w:lineRule="auto"/>
        <w:ind w:firstLine="720"/>
        <w:rPr>
          <w:u w:val="single"/>
        </w:rPr>
      </w:pPr>
      <w:r>
        <w:t>2.</w:t>
      </w:r>
      <w:r>
        <w:tab/>
      </w:r>
      <w:r w:rsidR="007D1B6D" w:rsidRPr="00F40901">
        <w:rPr>
          <w:u w:val="single"/>
        </w:rPr>
        <w:t>Gross-</w:t>
      </w:r>
      <w:r w:rsidR="00712CD7">
        <w:rPr>
          <w:u w:val="single"/>
        </w:rPr>
        <w:t>U</w:t>
      </w:r>
      <w:r w:rsidR="007D1B6D" w:rsidRPr="00F40901">
        <w:rPr>
          <w:u w:val="single"/>
        </w:rPr>
        <w:t>p of State Taxes</w:t>
      </w:r>
    </w:p>
    <w:p w:rsidR="00F40901" w:rsidRPr="007D1B6D" w:rsidRDefault="00F40901" w:rsidP="001F3634">
      <w:pPr>
        <w:spacing w:line="360" w:lineRule="auto"/>
      </w:pPr>
    </w:p>
    <w:p w:rsidR="007D1B6D" w:rsidRPr="007D1B6D" w:rsidRDefault="007D1B6D" w:rsidP="0089491F">
      <w:pPr>
        <w:pStyle w:val="BodyText2"/>
        <w:spacing w:line="360" w:lineRule="auto"/>
        <w:ind w:firstLine="1440"/>
        <w:jc w:val="left"/>
      </w:pPr>
      <w:r w:rsidRPr="007D1B6D">
        <w:t>In its DSIC filing, Peoples TWP included a state income tax gross-up to reflect that additional revenues produce greater taxes.  The Company argues this gross-up is consistent with the Commission’s historic calculation of the water DSIC.  As described in the Company’s testimony, no witnesses were aware of any water DSIC that did not includ</w:t>
      </w:r>
      <w:r w:rsidR="00B40652">
        <w:t xml:space="preserve">e a state income tax gross-up. </w:t>
      </w:r>
      <w:r w:rsidR="00503834">
        <w:t xml:space="preserve"> </w:t>
      </w:r>
      <w:r w:rsidRPr="007D1B6D">
        <w:t xml:space="preserve">Peoples TWP St. 1-R </w:t>
      </w:r>
      <w:r w:rsidR="00F42F01">
        <w:t>at</w:t>
      </w:r>
      <w:r w:rsidRPr="007D1B6D">
        <w:t xml:space="preserve"> 9-10, 12; Peoples TWP St. 3-R</w:t>
      </w:r>
      <w:r w:rsidR="00F42F01">
        <w:t xml:space="preserve"> at </w:t>
      </w:r>
      <w:r w:rsidRPr="007D1B6D">
        <w:t>7-8.  The OCA has proposed that the state income tax gross-up included in Peoples TWP’s DS</w:t>
      </w:r>
      <w:r w:rsidR="00503834">
        <w:t xml:space="preserve">IC calculation be disallowed.  </w:t>
      </w:r>
      <w:r w:rsidRPr="007D1B6D">
        <w:t xml:space="preserve">Peoples TWP Reply Brief, at 22. </w:t>
      </w:r>
    </w:p>
    <w:p w:rsidR="007D1B6D" w:rsidRDefault="007D1B6D" w:rsidP="0089491F">
      <w:pPr>
        <w:spacing w:line="360" w:lineRule="auto"/>
      </w:pPr>
    </w:p>
    <w:p w:rsidR="007D1B6D" w:rsidRPr="007D1B6D" w:rsidRDefault="007D1B6D" w:rsidP="0089491F">
      <w:pPr>
        <w:spacing w:line="360" w:lineRule="auto"/>
        <w:ind w:firstLine="1440"/>
      </w:pPr>
      <w:r w:rsidRPr="007D1B6D">
        <w:t xml:space="preserve">OCA argues that the Company used the full statutory income tax rate to calculate its DSIC rate, however Peoples TWP will not pay state income taxes on its DSIC income.  OCA contends this is because the deductions for the repair allowance and accelerated depreciation far exceed the state taxable income that will be generated by the DSIC.  OCA asserts the approach used by the Company is contrary to the “actual taxes paid” doctrine which requires that state income tax deductions must be reflected in rates on a current basis.  OCA contends that, in order to make the DSIC calculation correct (to allow recovery only for costs actually incurred by the utility), the flow-through of the state income tax deductions associated with DSIC plant must be </w:t>
      </w:r>
      <w:r w:rsidRPr="007D1B6D">
        <w:lastRenderedPageBreak/>
        <w:t xml:space="preserve">accounted for in determining the state income taxes that are included in the DSIC pre-tax rate of return.  DSIC Petition at Tariff Supp. 28 at Original Page No. 111; Peoples TWP St. 1-S, Exh. APW-1S at 3-4; Peoples TWP St. 3-R at 7-10; OCA St. 1 at 12-13; </w:t>
      </w:r>
      <w:r w:rsidRPr="007D1B6D">
        <w:rPr>
          <w:u w:val="single"/>
        </w:rPr>
        <w:t>see</w:t>
      </w:r>
      <w:r w:rsidRPr="007D1B6D">
        <w:t xml:space="preserve"> </w:t>
      </w:r>
      <w:r w:rsidRPr="007D1B6D">
        <w:rPr>
          <w:u w:val="single"/>
        </w:rPr>
        <w:t>also</w:t>
      </w:r>
      <w:r w:rsidRPr="007D1B6D">
        <w:t xml:space="preserve">, OCA M.B. at 28-34; </w:t>
      </w:r>
      <w:r w:rsidRPr="007D1B6D">
        <w:rPr>
          <w:u w:val="single"/>
        </w:rPr>
        <w:fldChar w:fldCharType="begin"/>
      </w:r>
      <w:r w:rsidRPr="007D1B6D">
        <w:instrText xml:space="preserve"> TA \s "Barasch v. Pa. PUC, 507 Pa. 496, 504-05, 518, 520-22, 491 A.2d 94, 98, 101, 105-07 (1985)" </w:instrText>
      </w:r>
      <w:r w:rsidRPr="007D1B6D">
        <w:rPr>
          <w:u w:val="single"/>
        </w:rPr>
        <w:fldChar w:fldCharType="end"/>
      </w:r>
      <w:r w:rsidRPr="007D1B6D">
        <w:fldChar w:fldCharType="begin"/>
      </w:r>
      <w:r w:rsidRPr="007D1B6D">
        <w:instrText xml:space="preserve"> TA \l "</w:instrText>
      </w:r>
      <w:r w:rsidRPr="007D1B6D">
        <w:rPr>
          <w:u w:val="single"/>
        </w:rPr>
        <w:instrText>Pittsburgh v. Pa. PUC</w:instrText>
      </w:r>
      <w:r w:rsidRPr="007D1B6D">
        <w:instrText xml:space="preserve">, 182 Pa. Super. 551, 577-79, 128 A.2d 372, 384 (1956)" \s "Pittsburgh v. Pa. PUC, 182 Pa. Super. 551, 577-79, 128 A.2d 372, 384 (1956)" \c 1 </w:instrText>
      </w:r>
      <w:r w:rsidRPr="007D1B6D">
        <w:fldChar w:fldCharType="end"/>
      </w:r>
      <w:r w:rsidRPr="007D1B6D">
        <w:fldChar w:fldCharType="begin"/>
      </w:r>
      <w:r w:rsidRPr="007D1B6D">
        <w:instrText xml:space="preserve"> TA \l "</w:instrText>
      </w:r>
      <w:r w:rsidRPr="007D1B6D">
        <w:rPr>
          <w:u w:val="single"/>
        </w:rPr>
        <w:instrText>Pa. PUC v. Jackson Sewer Corp.</w:instrText>
      </w:r>
      <w:r w:rsidRPr="007D1B6D">
        <w:instrText xml:space="preserve">, 2001 Pa.PUC LEXIS 53" \s "Pa. PUC v. Jackson Sewer Corp., 2001 Pa.PUC LEXIS 53" \c 8 </w:instrText>
      </w:r>
      <w:r w:rsidRPr="007D1B6D">
        <w:fldChar w:fldCharType="end"/>
      </w:r>
      <w:r w:rsidRPr="007D1B6D">
        <w:fldChar w:fldCharType="begin"/>
      </w:r>
      <w:r w:rsidRPr="007D1B6D">
        <w:instrText xml:space="preserve"> TA \s "Barasch v. Pa. PUC, 507 Pa. 61, 493 A. 2d 653 (1985)" </w:instrText>
      </w:r>
      <w:r w:rsidRPr="007D1B6D">
        <w:fldChar w:fldCharType="end"/>
      </w:r>
      <w:r w:rsidRPr="007D1B6D">
        <w:fldChar w:fldCharType="begin"/>
      </w:r>
      <w:r w:rsidRPr="007D1B6D">
        <w:instrText xml:space="preserve"> TA \l "</w:instrText>
      </w:r>
      <w:r w:rsidRPr="007D1B6D">
        <w:rPr>
          <w:u w:val="single"/>
        </w:rPr>
        <w:instrText>Popowsky v. Pa. PUC</w:instrText>
      </w:r>
      <w:r w:rsidRPr="007D1B6D">
        <w:instrText xml:space="preserve">, 695 A.2d 448, 455 (Pa. Commw. Ct. 1997)" \s "Popowsky v. Pa. PUC, 695 A.2d 448, 455 (Pa. Commw. Ct. 1997)" \c 1 </w:instrText>
      </w:r>
      <w:r w:rsidRPr="007D1B6D">
        <w:fldChar w:fldCharType="end"/>
      </w:r>
      <w:r w:rsidRPr="007D1B6D">
        <w:t>OCA Reply Brief, at 30-31.</w:t>
      </w:r>
    </w:p>
    <w:p w:rsidR="007D1B6D" w:rsidRDefault="007D1B6D" w:rsidP="0025567C">
      <w:pPr>
        <w:spacing w:line="360" w:lineRule="auto"/>
      </w:pPr>
    </w:p>
    <w:p w:rsidR="007D1B6D" w:rsidRPr="007D1B6D" w:rsidRDefault="007D1B6D" w:rsidP="0025567C">
      <w:pPr>
        <w:spacing w:line="360" w:lineRule="auto"/>
      </w:pPr>
      <w:r w:rsidRPr="007D1B6D">
        <w:t>The actual taxes paid doctrine requires utilities to flow through state tax benefits to ratepayers.</w:t>
      </w:r>
      <w:r w:rsidRPr="007D1B6D">
        <w:rPr>
          <w:rStyle w:val="FootnoteReference"/>
        </w:rPr>
        <w:footnoteReference w:id="55"/>
      </w:r>
      <w:r w:rsidRPr="007D1B6D">
        <w:t xml:space="preserve">  According to OCA:</w:t>
      </w:r>
    </w:p>
    <w:p w:rsidR="00945AC9" w:rsidRDefault="00945AC9" w:rsidP="007D1B6D">
      <w:pPr>
        <w:tabs>
          <w:tab w:val="left" w:pos="1440"/>
        </w:tabs>
        <w:ind w:left="1440" w:right="1440"/>
      </w:pPr>
    </w:p>
    <w:p w:rsidR="007D1B6D" w:rsidRPr="007D1B6D" w:rsidRDefault="007D1B6D" w:rsidP="007D1B6D">
      <w:pPr>
        <w:tabs>
          <w:tab w:val="left" w:pos="1440"/>
        </w:tabs>
        <w:ind w:left="1440" w:right="1440"/>
      </w:pPr>
      <w:r w:rsidRPr="007D1B6D">
        <w:t>The Company developed its pre-tax rate of return by grossing up the equity component of its overall return to account for both state and federal income taxes at the full statutory rates.  DSIC Petition at Tariff Supp. 28 at Original Page No. 111; Peoples St. 1-S at 3-4; Peoples TWP St. 3-R at 7-10; OCA St. 1 at 12-13.  The amount of state income taxes that Peoples will pay on DSIC revenues, however, will be affected by tax deductions related to the DSIC investment, in particular the accelerated depreciation and, when applicable, bonus de</w:t>
      </w:r>
      <w:r w:rsidR="00BB1168">
        <w:t xml:space="preserve">preciation.  OCA St. 1 at 13.  </w:t>
      </w:r>
      <w:r w:rsidRPr="007D1B6D">
        <w:t>Because Peoples will not pay state income taxes on the full amount of its equity return, these deductions should be taken into account in determining state taxable income and state income tax expense.  The state income tax rate used to calculate DSIC revenue requirement should reflect the state income tax expense actually paid.</w:t>
      </w:r>
      <w:r w:rsidRPr="007D1B6D">
        <w:rPr>
          <w:rStyle w:val="FootnoteReference"/>
        </w:rPr>
        <w:footnoteReference w:id="56"/>
      </w:r>
    </w:p>
    <w:p w:rsidR="00945AC9" w:rsidRDefault="00945AC9" w:rsidP="007D1B6D">
      <w:pPr>
        <w:spacing w:line="360" w:lineRule="auto"/>
        <w:ind w:firstLine="1440"/>
      </w:pPr>
    </w:p>
    <w:p w:rsidR="007D1B6D" w:rsidRPr="007D1B6D" w:rsidRDefault="007D1B6D" w:rsidP="00945AC9">
      <w:pPr>
        <w:spacing w:line="360" w:lineRule="auto"/>
        <w:ind w:firstLine="1440"/>
      </w:pPr>
      <w:r w:rsidRPr="007D1B6D">
        <w:t>OCA proposes that the Company should reflect incremental flow-through tax deductions for accelerated depreciation on DSIC-eligible plant additions and remove the state tax gross-up.  Peoples TWP counters that, historically, water companies have been permitted to gross-up state taxes and there is no reason why a gas utility should not be permitted to do the same.  Further, according to Peoples TWP, the actual taxes paid doctrine does not apply to DSIC proceedings and should not be applied to DSIC proceedings.</w:t>
      </w:r>
    </w:p>
    <w:p w:rsidR="00620372" w:rsidRDefault="00620372" w:rsidP="00945AC9">
      <w:pPr>
        <w:spacing w:line="360" w:lineRule="auto"/>
        <w:ind w:firstLine="1440"/>
      </w:pPr>
    </w:p>
    <w:p w:rsidR="007D1B6D" w:rsidRPr="007D1B6D" w:rsidRDefault="007D1B6D" w:rsidP="00945AC9">
      <w:pPr>
        <w:spacing w:line="360" w:lineRule="auto"/>
        <w:ind w:firstLine="1440"/>
      </w:pPr>
      <w:r w:rsidRPr="007D1B6D">
        <w:t xml:space="preserve">The actual taxes paid doctrine permits a utility to only charge rates which reflect actual tax expenses.  A utility cannot claim ephemeral or speculative tax expenses that may or </w:t>
      </w:r>
      <w:r w:rsidRPr="007D1B6D">
        <w:lastRenderedPageBreak/>
        <w:t>may not be paid at some point in the future.</w:t>
      </w:r>
      <w:r w:rsidRPr="007D1B6D">
        <w:rPr>
          <w:rStyle w:val="FootnoteReference"/>
        </w:rPr>
        <w:footnoteReference w:id="57"/>
      </w:r>
      <w:r w:rsidRPr="007D1B6D">
        <w:t xml:space="preserve">  However, the purpose of the state tax gross-up in the DSIC is to simplify the calculation.  OCA asserts that no income tax gross-up is appropriate because incremental deductions exceed taxable income before deductions.  In its brief, Peoples TWP explains that OCA’s incremental deduction proposal should be rejected because it would incorporate inaccurate tax adjustments into the DSIC and would require a much more complicated and extensive calculation than intended by Act 11.  As explained by Peoples TWP witness Warren,</w:t>
      </w:r>
      <w:r w:rsidRPr="007D1B6D">
        <w:rPr>
          <w:rStyle w:val="FootnoteReference"/>
        </w:rPr>
        <w:footnoteReference w:id="58"/>
      </w:r>
      <w:r w:rsidRPr="007D1B6D">
        <w:t xml:space="preserve"> it is inappropriate to try to isolate and compute state tax liabili</w:t>
      </w:r>
      <w:r w:rsidR="0089491F">
        <w:t xml:space="preserve">ties on an incremental basis.  </w:t>
      </w:r>
      <w:r w:rsidRPr="007D1B6D">
        <w:t>The Company’s tax posture is computed on an overall basis, and it would be incorrect to ignore overall taxes and the tax allowance reflected previously in base rates.  Due to accelerated depreciation, as to plant that was reflected in a prior base rate proceeding, state tax depreciation deductions will progressively decline.  Elimination of the state income tax gross-up through an “incremental” deduction approach improperly ignores state tax depreciation and accelerated depreciation deductions that were reflected in the Company’s prior base rate case.</w:t>
      </w:r>
      <w:r w:rsidRPr="007D1B6D">
        <w:rPr>
          <w:rStyle w:val="FootnoteReference"/>
        </w:rPr>
        <w:footnoteReference w:id="59"/>
      </w:r>
      <w:r w:rsidRPr="007D1B6D">
        <w:t xml:space="preserve">  At least some of the tax deductions that were previously available will no longer be available to the Company.  In addition, under accelerated depreciation procedures, the amount of the depreciation deduction on each tax vintage declines over time.</w:t>
      </w:r>
      <w:r w:rsidRPr="007D1B6D">
        <w:rPr>
          <w:rStyle w:val="FootnoteReference"/>
        </w:rPr>
        <w:footnoteReference w:id="60"/>
      </w:r>
      <w:r w:rsidRPr="007D1B6D">
        <w:t xml:space="preserve">  </w:t>
      </w:r>
    </w:p>
    <w:p w:rsidR="00620372" w:rsidRDefault="00620372" w:rsidP="00945AC9">
      <w:pPr>
        <w:spacing w:line="360" w:lineRule="auto"/>
        <w:ind w:firstLine="1440"/>
      </w:pPr>
    </w:p>
    <w:p w:rsidR="007D1B6D" w:rsidRPr="007D1B6D" w:rsidRDefault="007D1B6D" w:rsidP="00945AC9">
      <w:pPr>
        <w:spacing w:line="360" w:lineRule="auto"/>
        <w:ind w:firstLine="1440"/>
      </w:pPr>
      <w:r w:rsidRPr="007D1B6D">
        <w:t>Further, Peoples TWP contends that the “actual taxes paid” doctrine is a concept related to base rate proceedings when a utility’s complete tax structure can be analyzed.  Much like its opposition to the ADIT adjustment, OCA contends that the DSIC cannot be just and reasonable because the state tax gross-up violates th</w:t>
      </w:r>
      <w:r w:rsidR="00E52412">
        <w:t xml:space="preserve">e actual taxes paid doctrine.  </w:t>
      </w:r>
      <w:r w:rsidRPr="007D1B6D">
        <w:t xml:space="preserve">As explained above, the DSIC calculation does not necessarily adhere to all traditional ratemaking principles.  Rather it is meant to be a simplified method for the recovery of specific costs in order to avoid the many complex and controversial elements of a base rate proceeding.  Indeed, the flow through of tax deductions and the determination of a utility’s taxable income is often one of the most controversial and contentious aspects of a base rate proceeding.  Indeed, the customer </w:t>
      </w:r>
      <w:r w:rsidRPr="007D1B6D">
        <w:lastRenderedPageBreak/>
        <w:t>protections in the statute are for the purpose of off-setting any potential harm to ratepayers caused by the truncated calculation of the surcharge.  Specifically, tax depreciation deductions allowed for Pennsylvania net income tax purposes are reflected in the calculation of the Company’s earnings reports.</w:t>
      </w:r>
      <w:r w:rsidRPr="007D1B6D">
        <w:rPr>
          <w:rStyle w:val="FootnoteReference"/>
        </w:rPr>
        <w:footnoteReference w:id="61"/>
      </w:r>
      <w:r w:rsidRPr="007D1B6D">
        <w:t xml:space="preserve">  Thus, if Peoples TWP is overearning its authorized return as a result of tax depreciation deductions or other benefits, it is not permitted to charge the DSIC.</w:t>
      </w:r>
      <w:r w:rsidRPr="007D1B6D">
        <w:rPr>
          <w:rStyle w:val="FootnoteReference"/>
        </w:rPr>
        <w:footnoteReference w:id="62"/>
      </w:r>
      <w:r w:rsidRPr="007D1B6D">
        <w:t xml:space="preserve">  Accordingly, it is the overall effect of the rate which must be just and reasonable.</w:t>
      </w:r>
    </w:p>
    <w:p w:rsidR="007D1B6D" w:rsidRPr="007D1B6D" w:rsidRDefault="007D1B6D" w:rsidP="00945AC9">
      <w:pPr>
        <w:spacing w:line="360" w:lineRule="auto"/>
        <w:ind w:firstLine="1440"/>
      </w:pPr>
    </w:p>
    <w:p w:rsidR="007D1B6D" w:rsidRPr="007D1B6D" w:rsidRDefault="007D1B6D" w:rsidP="00945AC9">
      <w:pPr>
        <w:spacing w:line="360" w:lineRule="auto"/>
        <w:ind w:firstLine="720"/>
      </w:pPr>
      <w:r w:rsidRPr="007D1B6D">
        <w:t>3.</w:t>
      </w:r>
      <w:r w:rsidRPr="007D1B6D">
        <w:tab/>
      </w:r>
      <w:r w:rsidRPr="007D1B6D">
        <w:rPr>
          <w:u w:val="single"/>
        </w:rPr>
        <w:t>Conclusion</w:t>
      </w:r>
    </w:p>
    <w:p w:rsidR="007D1B6D" w:rsidRDefault="007D1B6D" w:rsidP="004F49D3">
      <w:pPr>
        <w:pStyle w:val="BodyText2"/>
        <w:spacing w:line="360" w:lineRule="auto"/>
        <w:ind w:firstLine="1440"/>
        <w:jc w:val="left"/>
      </w:pPr>
    </w:p>
    <w:p w:rsidR="007D1B6D" w:rsidRDefault="007D1B6D" w:rsidP="004F49D3">
      <w:pPr>
        <w:pStyle w:val="BodyText2"/>
        <w:spacing w:line="360" w:lineRule="auto"/>
        <w:ind w:firstLine="1440"/>
        <w:jc w:val="left"/>
      </w:pPr>
      <w:r w:rsidRPr="007D1B6D">
        <w:t>In sum, Peoples TWP’s proposed DSIC tariff should be approved as modified by the settlement.  OCA’s position that the calculation should include an ADIT adjustment and that the state tax gross-up should be removed, will complicate what is envisioned as a simplified method of cost recovery for utilities to improve infrastructure.  Although the calculation departs from traditional ratemaking and would not be acceptable in base rate proceedings, there is no evidence that the customer protections built into Act 11 are insufficient to mitigate any inequities that may occur to ratepayers.</w:t>
      </w:r>
    </w:p>
    <w:p w:rsidR="007D1B6D" w:rsidRPr="007D1B6D" w:rsidRDefault="007D1B6D" w:rsidP="004F49D3">
      <w:pPr>
        <w:pStyle w:val="BodyText2"/>
        <w:spacing w:line="360" w:lineRule="auto"/>
        <w:ind w:firstLine="1440"/>
      </w:pPr>
      <w:r w:rsidRPr="007D1B6D">
        <w:t xml:space="preserve">    </w:t>
      </w:r>
    </w:p>
    <w:p w:rsidR="007D1B6D" w:rsidRPr="007D1B6D" w:rsidRDefault="007D1B6D" w:rsidP="004F49D3">
      <w:pPr>
        <w:pStyle w:val="BodyText2"/>
        <w:spacing w:line="360" w:lineRule="auto"/>
        <w:ind w:firstLine="1440"/>
        <w:jc w:val="left"/>
      </w:pPr>
      <w:r w:rsidRPr="007D1B6D">
        <w:t xml:space="preserve"> Therefore, as a whole, the DSIC proposed by Peoples TWP meets the requirement that all rates must be “just and reasonable</w:t>
      </w:r>
      <w:r w:rsidR="00E52412">
        <w:t>.</w:t>
      </w:r>
      <w:r w:rsidRPr="007D1B6D">
        <w:t>”  Accordingly, Peoples TWP’s calculation mechanism for the DSIC should be approved, and the modifications proposed by the OCA be denied.</w:t>
      </w:r>
    </w:p>
    <w:p w:rsidR="007D1B6D" w:rsidRPr="007D1B6D" w:rsidRDefault="007D1B6D" w:rsidP="007D1B6D">
      <w:pPr>
        <w:spacing w:line="360" w:lineRule="auto"/>
        <w:ind w:firstLine="1440"/>
      </w:pPr>
      <w:r w:rsidRPr="007D1B6D">
        <w:t xml:space="preserve">  </w:t>
      </w:r>
    </w:p>
    <w:p w:rsidR="007D1B6D" w:rsidRPr="007D1B6D" w:rsidRDefault="007D1B6D" w:rsidP="004F49D3">
      <w:pPr>
        <w:spacing w:line="360" w:lineRule="auto"/>
        <w:ind w:hanging="90"/>
        <w:jc w:val="center"/>
      </w:pPr>
      <w:r w:rsidRPr="007D1B6D">
        <w:t>VI.</w:t>
      </w:r>
      <w:r w:rsidRPr="007D1B6D">
        <w:tab/>
      </w:r>
      <w:r w:rsidRPr="007D1B6D">
        <w:rPr>
          <w:u w:val="single"/>
        </w:rPr>
        <w:t>CONCLUSIONS OF LAW</w:t>
      </w:r>
    </w:p>
    <w:p w:rsidR="009B1D4D" w:rsidRDefault="009B1D4D" w:rsidP="007D1B6D">
      <w:pPr>
        <w:spacing w:line="360" w:lineRule="auto"/>
        <w:ind w:firstLine="1440"/>
      </w:pPr>
    </w:p>
    <w:p w:rsidR="007D1B6D" w:rsidRPr="007D1B6D" w:rsidRDefault="007D1B6D" w:rsidP="007D1B6D">
      <w:pPr>
        <w:spacing w:line="360" w:lineRule="auto"/>
        <w:ind w:firstLine="1440"/>
      </w:pPr>
      <w:r w:rsidRPr="007D1B6D">
        <w:t>1.</w:t>
      </w:r>
      <w:r w:rsidRPr="007D1B6D">
        <w:tab/>
        <w:t>The Commission has jurisdiction over the subject matter and the parties to this proceeding pursuant to 66 Pa.C.S. §§ 1350-1360.</w:t>
      </w:r>
    </w:p>
    <w:p w:rsidR="009B1D4D" w:rsidRDefault="009B1D4D" w:rsidP="007D1B6D">
      <w:pPr>
        <w:spacing w:line="360" w:lineRule="auto"/>
        <w:ind w:firstLine="1440"/>
      </w:pPr>
    </w:p>
    <w:p w:rsidR="007D1B6D" w:rsidRPr="007D1B6D" w:rsidRDefault="007D1B6D" w:rsidP="007D1B6D">
      <w:pPr>
        <w:spacing w:line="360" w:lineRule="auto"/>
        <w:ind w:firstLine="1440"/>
      </w:pPr>
      <w:r w:rsidRPr="007D1B6D">
        <w:t>2.</w:t>
      </w:r>
      <w:r w:rsidRPr="007D1B6D">
        <w:tab/>
        <w:t xml:space="preserve">In any proceeding upon the motion of the Commission, involving any proposed or existing rate of any public utility, or in any proceeding upon complaint involving </w:t>
      </w:r>
      <w:r w:rsidRPr="007D1B6D">
        <w:lastRenderedPageBreak/>
        <w:t xml:space="preserve">any proposed increase in rates, the burden of proof to show that the rate involved is just and reasonable shall be upon the public utility.  66 Pa.C.S. § 315(a). </w:t>
      </w:r>
    </w:p>
    <w:p w:rsidR="009B1D4D" w:rsidRDefault="009B1D4D" w:rsidP="007D1B6D">
      <w:pPr>
        <w:spacing w:line="360" w:lineRule="auto"/>
        <w:ind w:firstLine="1440"/>
      </w:pPr>
    </w:p>
    <w:p w:rsidR="007D1B6D" w:rsidRPr="007D1B6D" w:rsidRDefault="007D1B6D" w:rsidP="007D1B6D">
      <w:pPr>
        <w:spacing w:line="360" w:lineRule="auto"/>
        <w:ind w:firstLine="1440"/>
      </w:pPr>
      <w:r w:rsidRPr="007D1B6D">
        <w:t>3.</w:t>
      </w:r>
      <w:r w:rsidRPr="007D1B6D">
        <w:tab/>
        <w:t>Absent an express limitation on existing ratemaking authority, the Commission retains its full and existing ratemaking authority.  66 Pa.C.S. § 1358(c).</w:t>
      </w:r>
    </w:p>
    <w:p w:rsidR="008C5D46" w:rsidRDefault="008C5D46" w:rsidP="007D1B6D">
      <w:pPr>
        <w:spacing w:line="360" w:lineRule="auto"/>
        <w:ind w:firstLine="1440"/>
      </w:pPr>
    </w:p>
    <w:p w:rsidR="007D1B6D" w:rsidRPr="007D1B6D" w:rsidRDefault="007D1B6D" w:rsidP="007D1B6D">
      <w:pPr>
        <w:spacing w:line="360" w:lineRule="auto"/>
        <w:ind w:firstLine="1440"/>
      </w:pPr>
      <w:r w:rsidRPr="007D1B6D">
        <w:t>4.</w:t>
      </w:r>
      <w:r w:rsidRPr="007D1B6D">
        <w:tab/>
        <w:t>The disallowance of a single element is not the appropriate standard for determining whether rates are just and reasonable.  There is no single way to arrive at “just and reasonable rates.”  Any determination regarding whether rates are just and reasonable must look at the total effect of the rates, and not at individual components, such as the state income tax gross-up or the inclusion of ADIT</w:t>
      </w:r>
      <w:r w:rsidRPr="007D1B6D">
        <w:rPr>
          <w:i/>
        </w:rPr>
        <w:t>.  Duquesne Light Co</w:t>
      </w:r>
      <w:r w:rsidR="000F5B99">
        <w:rPr>
          <w:i/>
        </w:rPr>
        <w:t>.</w:t>
      </w:r>
      <w:r w:rsidRPr="007D1B6D">
        <w:rPr>
          <w:i/>
        </w:rPr>
        <w:t xml:space="preserve"> v. Barasch</w:t>
      </w:r>
      <w:r w:rsidRPr="007D1B6D">
        <w:t>, 488 US 299 (1989).</w:t>
      </w:r>
    </w:p>
    <w:p w:rsidR="007D2F98" w:rsidRDefault="007D1B6D" w:rsidP="007D1B6D">
      <w:pPr>
        <w:spacing w:line="360" w:lineRule="auto"/>
        <w:ind w:firstLine="1440"/>
        <w:contextualSpacing/>
      </w:pPr>
      <w:r w:rsidRPr="007D1B6D">
        <w:t xml:space="preserve"> </w:t>
      </w:r>
    </w:p>
    <w:p w:rsidR="007D1B6D" w:rsidRPr="007D1B6D" w:rsidRDefault="007D1B6D" w:rsidP="007D1B6D">
      <w:pPr>
        <w:spacing w:line="360" w:lineRule="auto"/>
        <w:ind w:firstLine="1440"/>
        <w:contextualSpacing/>
        <w:rPr>
          <w:b/>
        </w:rPr>
      </w:pPr>
      <w:r w:rsidRPr="007D1B6D">
        <w:t>5.</w:t>
      </w:r>
      <w:r w:rsidRPr="007D1B6D">
        <w:tab/>
        <w:t xml:space="preserve">A “preponderance of the evidence” means that one party must present evidence which is more convincing by even the smallest amount, than the evidence presented by an opposing party.  </w:t>
      </w:r>
      <w:proofErr w:type="gramStart"/>
      <w:r w:rsidRPr="00E52412">
        <w:rPr>
          <w:i/>
        </w:rPr>
        <w:t>Se-Ling Hosiery v. Margulies</w:t>
      </w:r>
      <w:r w:rsidRPr="00503834">
        <w:t>,</w:t>
      </w:r>
      <w:r w:rsidR="002A51FD">
        <w:t xml:space="preserve"> 70 A.</w:t>
      </w:r>
      <w:r w:rsidRPr="007D1B6D">
        <w:t>2d 854 (Pa. 1954).</w:t>
      </w:r>
      <w:proofErr w:type="gramEnd"/>
      <w:r w:rsidRPr="007D1B6D">
        <w:rPr>
          <w:b/>
        </w:rPr>
        <w:t xml:space="preserve">  </w:t>
      </w:r>
    </w:p>
    <w:p w:rsidR="007D1B6D" w:rsidRPr="007D1B6D" w:rsidRDefault="007D1B6D" w:rsidP="007D1B6D">
      <w:pPr>
        <w:spacing w:line="360" w:lineRule="auto"/>
        <w:ind w:firstLine="1440"/>
      </w:pPr>
    </w:p>
    <w:p w:rsidR="007D1B6D" w:rsidRDefault="007D1B6D" w:rsidP="007D1B6D">
      <w:pPr>
        <w:spacing w:line="360" w:lineRule="auto"/>
        <w:ind w:firstLine="1440"/>
        <w:contextualSpacing/>
      </w:pPr>
      <w:r w:rsidRPr="007D1B6D">
        <w:t>6.</w:t>
      </w:r>
      <w:r w:rsidRPr="007D1B6D">
        <w:tab/>
        <w:t>Section 1350 of Act 11 establishes a DSIC mechanism that allows certain public utilities, including Peoples TWP to recover the costs related to the repair, improvement, and replacement of eligible property outside of a rate case.  66 Pa.C.S. § 1350.</w:t>
      </w:r>
    </w:p>
    <w:p w:rsidR="00FC1759" w:rsidRPr="007D1B6D" w:rsidRDefault="00FC1759" w:rsidP="007D1B6D">
      <w:pPr>
        <w:spacing w:line="360" w:lineRule="auto"/>
        <w:ind w:firstLine="1440"/>
        <w:contextualSpacing/>
      </w:pPr>
    </w:p>
    <w:p w:rsidR="007D1B6D" w:rsidRPr="007D1B6D" w:rsidRDefault="007D1B6D" w:rsidP="007D1B6D">
      <w:pPr>
        <w:spacing w:line="360" w:lineRule="auto"/>
        <w:ind w:firstLine="1440"/>
      </w:pPr>
      <w:r w:rsidRPr="007D1B6D">
        <w:t>7.</w:t>
      </w:r>
      <w:r w:rsidRPr="007D1B6D">
        <w:tab/>
        <w:t>Section 1353 permits certain public utilities, including Peoples TWP, on or after January 1, 2013, to petition the Commission for approval to establish a DSIC.  The DSIC is intended to provide for timely recovery of the reasonable and prudent costs incurred to repair, improve, or replace eligible property in order to ensure and maintain adequate, efficient, safe, reliable and reasonable service.  66 Pa.C.S. § 1353(a).</w:t>
      </w:r>
    </w:p>
    <w:p w:rsidR="007D1B6D" w:rsidRPr="007D1B6D" w:rsidRDefault="007D1B6D" w:rsidP="007D1B6D">
      <w:pPr>
        <w:spacing w:line="360" w:lineRule="auto"/>
        <w:ind w:firstLine="1440"/>
        <w:contextualSpacing/>
      </w:pPr>
    </w:p>
    <w:p w:rsidR="007D1B6D" w:rsidRPr="007D1B6D" w:rsidRDefault="007D1B6D" w:rsidP="007D1B6D">
      <w:pPr>
        <w:spacing w:line="360" w:lineRule="auto"/>
        <w:ind w:firstLine="1440"/>
      </w:pPr>
      <w:r w:rsidRPr="007D1B6D">
        <w:t>8.</w:t>
      </w:r>
      <w:r w:rsidRPr="007D1B6D">
        <w:tab/>
        <w:t>The Commission is required, after notice and an opportunity to be heard, to approve, modify or reject the utility’s proposed DSIC and initial tariff.  66 Pa.C.S. § 1355.</w:t>
      </w:r>
    </w:p>
    <w:p w:rsidR="007D1B6D" w:rsidRPr="007D1B6D" w:rsidRDefault="007D1B6D" w:rsidP="007D1B6D">
      <w:pPr>
        <w:spacing w:line="360" w:lineRule="auto"/>
        <w:ind w:left="720" w:firstLine="1440"/>
      </w:pPr>
    </w:p>
    <w:p w:rsidR="007D1B6D" w:rsidRPr="007D1B6D" w:rsidRDefault="007D1B6D" w:rsidP="007D2F98">
      <w:pPr>
        <w:spacing w:line="360" w:lineRule="auto"/>
        <w:ind w:firstLine="1440"/>
        <w:contextualSpacing/>
      </w:pPr>
      <w:r w:rsidRPr="007D1B6D">
        <w:t>9.</w:t>
      </w:r>
      <w:r w:rsidRPr="007D1B6D">
        <w:tab/>
        <w:t>Absent an express limitation on existing ratemaking authority, the Commission retains its full and existing ratemaking authority.  66 Pa.C.S. § 1358(c).</w:t>
      </w:r>
    </w:p>
    <w:p w:rsidR="007D1B6D" w:rsidRPr="007D1B6D" w:rsidRDefault="007D1B6D" w:rsidP="007D1B6D">
      <w:pPr>
        <w:pStyle w:val="BodyText"/>
        <w:spacing w:after="0" w:line="360" w:lineRule="auto"/>
        <w:ind w:firstLine="1440"/>
        <w:rPr>
          <w:rFonts w:ascii="Times New Roman" w:hAnsi="Times New Roman"/>
          <w:sz w:val="24"/>
          <w:szCs w:val="24"/>
        </w:rPr>
      </w:pPr>
      <w:r w:rsidRPr="007D1B6D">
        <w:rPr>
          <w:rFonts w:ascii="Times New Roman" w:hAnsi="Times New Roman"/>
          <w:sz w:val="24"/>
          <w:szCs w:val="24"/>
        </w:rPr>
        <w:lastRenderedPageBreak/>
        <w:t>10.</w:t>
      </w:r>
      <w:r w:rsidRPr="007D1B6D">
        <w:rPr>
          <w:rFonts w:ascii="Times New Roman" w:hAnsi="Times New Roman"/>
          <w:sz w:val="24"/>
          <w:szCs w:val="24"/>
        </w:rPr>
        <w:tab/>
        <w:t xml:space="preserve">The disallowance of a single element is not the appropriate standard for determining whether rates are just and reasonable.  There is no single way to arrive at “just and reasonable rates.”  Any determination regarding whether rates are just and reasonable must look at the total effect of the rates, and not at individual components, such as the state income tax gross-up or the inclusion of ADIT.  </w:t>
      </w:r>
      <w:r w:rsidRPr="005D5E30">
        <w:rPr>
          <w:rFonts w:ascii="Times New Roman" w:hAnsi="Times New Roman"/>
          <w:i/>
          <w:sz w:val="24"/>
          <w:szCs w:val="24"/>
        </w:rPr>
        <w:t>Duquesne Light Co</w:t>
      </w:r>
      <w:r w:rsidR="000F5B99">
        <w:rPr>
          <w:rFonts w:ascii="Times New Roman" w:hAnsi="Times New Roman"/>
          <w:i/>
          <w:sz w:val="24"/>
          <w:szCs w:val="24"/>
        </w:rPr>
        <w:t xml:space="preserve">. </w:t>
      </w:r>
      <w:r w:rsidRPr="005D5E30">
        <w:rPr>
          <w:rFonts w:ascii="Times New Roman" w:hAnsi="Times New Roman"/>
          <w:i/>
          <w:sz w:val="24"/>
          <w:szCs w:val="24"/>
        </w:rPr>
        <w:t>v.</w:t>
      </w:r>
      <w:r w:rsidR="00B40652">
        <w:rPr>
          <w:rFonts w:ascii="Times New Roman" w:hAnsi="Times New Roman"/>
          <w:i/>
          <w:sz w:val="24"/>
          <w:szCs w:val="24"/>
        </w:rPr>
        <w:t xml:space="preserve"> </w:t>
      </w:r>
      <w:r w:rsidRPr="005D5E30">
        <w:rPr>
          <w:rFonts w:ascii="Times New Roman" w:hAnsi="Times New Roman"/>
          <w:i/>
          <w:sz w:val="24"/>
          <w:szCs w:val="24"/>
        </w:rPr>
        <w:t>Barasch</w:t>
      </w:r>
      <w:r w:rsidRPr="007D1B6D">
        <w:rPr>
          <w:rFonts w:ascii="Times New Roman" w:hAnsi="Times New Roman"/>
          <w:sz w:val="24"/>
          <w:szCs w:val="24"/>
        </w:rPr>
        <w:t>, 488 US 299 (1989).</w:t>
      </w:r>
    </w:p>
    <w:p w:rsidR="007D1B6D" w:rsidRPr="007D1B6D" w:rsidRDefault="007D1B6D" w:rsidP="007D1B6D">
      <w:pPr>
        <w:spacing w:line="360" w:lineRule="auto"/>
        <w:ind w:firstLine="1440"/>
      </w:pPr>
    </w:p>
    <w:p w:rsidR="007D1B6D" w:rsidRPr="007D1B6D" w:rsidRDefault="007D1B6D" w:rsidP="007D2F98">
      <w:pPr>
        <w:spacing w:line="360" w:lineRule="auto"/>
        <w:ind w:firstLine="1440"/>
        <w:contextualSpacing/>
      </w:pPr>
      <w:r w:rsidRPr="007D1B6D">
        <w:t>11.</w:t>
      </w:r>
      <w:r w:rsidRPr="007D1B6D">
        <w:tab/>
        <w:t>Peoples TWP, LLC has sustained its burden of pr</w:t>
      </w:r>
      <w:r w:rsidR="002A51FD">
        <w:t xml:space="preserve">oof in this proceeding.  </w:t>
      </w:r>
      <w:proofErr w:type="gramStart"/>
      <w:r w:rsidR="002A51FD">
        <w:t xml:space="preserve">66 </w:t>
      </w:r>
      <w:proofErr w:type="spellStart"/>
      <w:r w:rsidR="002A51FD">
        <w:t>Pa.</w:t>
      </w:r>
      <w:r w:rsidRPr="007D1B6D">
        <w:t>C.S</w:t>
      </w:r>
      <w:proofErr w:type="spellEnd"/>
      <w:r w:rsidRPr="007D1B6D">
        <w:t>.</w:t>
      </w:r>
      <w:proofErr w:type="gramEnd"/>
      <w:r w:rsidRPr="007D1B6D">
        <w:t xml:space="preserve"> § 332(a).</w:t>
      </w:r>
    </w:p>
    <w:p w:rsidR="007D1B6D" w:rsidRPr="007D1B6D" w:rsidRDefault="007D1B6D" w:rsidP="007D1B6D">
      <w:pPr>
        <w:spacing w:line="360" w:lineRule="auto"/>
        <w:ind w:left="1440" w:firstLine="1440"/>
        <w:contextualSpacing/>
      </w:pPr>
    </w:p>
    <w:p w:rsidR="00AC126E" w:rsidRDefault="00AC126E" w:rsidP="007D1B6D">
      <w:pPr>
        <w:spacing w:line="360" w:lineRule="auto"/>
        <w:jc w:val="center"/>
      </w:pPr>
    </w:p>
    <w:p w:rsidR="007D1B6D" w:rsidRPr="007D1B6D" w:rsidRDefault="007D1B6D" w:rsidP="007D1B6D">
      <w:pPr>
        <w:spacing w:line="360" w:lineRule="auto"/>
        <w:jc w:val="center"/>
      </w:pPr>
      <w:r w:rsidRPr="007D1B6D">
        <w:t>V</w:t>
      </w:r>
      <w:r w:rsidR="008C5D46">
        <w:t>II</w:t>
      </w:r>
      <w:r w:rsidRPr="007D1B6D">
        <w:t>.</w:t>
      </w:r>
      <w:r w:rsidRPr="007D1B6D">
        <w:tab/>
      </w:r>
      <w:r w:rsidRPr="007D1B6D">
        <w:rPr>
          <w:u w:val="single"/>
        </w:rPr>
        <w:t>RECOMMENDED ORDER</w:t>
      </w:r>
    </w:p>
    <w:p w:rsidR="007D1B6D" w:rsidRPr="007D1B6D" w:rsidRDefault="007D1B6D" w:rsidP="007D1B6D">
      <w:pPr>
        <w:spacing w:line="360" w:lineRule="auto"/>
        <w:ind w:firstLine="1440"/>
      </w:pPr>
    </w:p>
    <w:p w:rsidR="00CF559F" w:rsidRDefault="00CF559F" w:rsidP="007D1B6D">
      <w:pPr>
        <w:spacing w:line="360" w:lineRule="auto"/>
        <w:ind w:firstLine="1440"/>
      </w:pPr>
    </w:p>
    <w:p w:rsidR="007D1B6D" w:rsidRDefault="007D1B6D" w:rsidP="007D1B6D">
      <w:pPr>
        <w:spacing w:line="360" w:lineRule="auto"/>
        <w:ind w:firstLine="1440"/>
      </w:pPr>
      <w:r w:rsidRPr="007D1B6D">
        <w:t>THEREFORE,</w:t>
      </w:r>
    </w:p>
    <w:p w:rsidR="007D1B6D" w:rsidRPr="007D1B6D" w:rsidRDefault="007D1B6D" w:rsidP="007D1B6D">
      <w:pPr>
        <w:spacing w:line="360" w:lineRule="auto"/>
        <w:ind w:firstLine="1440"/>
      </w:pPr>
    </w:p>
    <w:p w:rsidR="007D1B6D" w:rsidRDefault="007D1B6D" w:rsidP="007D1B6D">
      <w:pPr>
        <w:spacing w:line="360" w:lineRule="auto"/>
        <w:ind w:firstLine="1440"/>
      </w:pPr>
      <w:r w:rsidRPr="007D1B6D">
        <w:t>IT IS RECOMMENDED:</w:t>
      </w:r>
    </w:p>
    <w:p w:rsidR="007D1B6D" w:rsidRPr="007D1B6D" w:rsidRDefault="007D1B6D" w:rsidP="007D1B6D">
      <w:pPr>
        <w:spacing w:line="360" w:lineRule="auto"/>
        <w:ind w:firstLine="1440"/>
      </w:pPr>
    </w:p>
    <w:p w:rsidR="007D1B6D" w:rsidRDefault="007D1B6D" w:rsidP="007D1B6D">
      <w:pPr>
        <w:spacing w:line="360" w:lineRule="auto"/>
        <w:ind w:firstLine="1440"/>
      </w:pPr>
      <w:r w:rsidRPr="007D1B6D">
        <w:t>1.</w:t>
      </w:r>
      <w:r w:rsidRPr="007D1B6D">
        <w:tab/>
        <w:t>That the DSIC calculation proposed by Peoples TWP, LLC, as modified by the Proposed Stipulation of Common Issues, which does not include additional ADIT on DSIC plant as an offset to eligible plant</w:t>
      </w:r>
      <w:r w:rsidR="00024B3B">
        <w:t>,</w:t>
      </w:r>
      <w:r w:rsidRPr="007D1B6D">
        <w:t xml:space="preserve"> is hereby approved effective July 1, 2013.</w:t>
      </w:r>
    </w:p>
    <w:p w:rsidR="00FC1759" w:rsidRPr="007D1B6D" w:rsidRDefault="00FC1759" w:rsidP="007D1B6D">
      <w:pPr>
        <w:spacing w:line="360" w:lineRule="auto"/>
        <w:ind w:firstLine="1440"/>
      </w:pPr>
    </w:p>
    <w:p w:rsidR="007D1B6D" w:rsidRPr="007D1B6D" w:rsidRDefault="007D1B6D" w:rsidP="007D1B6D">
      <w:pPr>
        <w:spacing w:line="360" w:lineRule="auto"/>
        <w:ind w:firstLine="1440"/>
      </w:pPr>
      <w:r w:rsidRPr="007D1B6D">
        <w:t>2.</w:t>
      </w:r>
      <w:r w:rsidRPr="007D1B6D">
        <w:tab/>
        <w:t xml:space="preserve">That the DSIC calculation proposed by Peoples TWP, LLC, as modified by the Proposed Stipulation of Common Issues, which does include the state income tax gross-up, is hereby approved effective July 1, 2013. </w:t>
      </w:r>
    </w:p>
    <w:p w:rsidR="007D1B6D" w:rsidRDefault="007D1B6D" w:rsidP="007D1B6D">
      <w:pPr>
        <w:spacing w:line="360" w:lineRule="auto"/>
        <w:ind w:firstLine="1440"/>
      </w:pPr>
    </w:p>
    <w:p w:rsidR="007D1B6D" w:rsidRPr="007D1B6D" w:rsidRDefault="007D1B6D" w:rsidP="007D1B6D">
      <w:pPr>
        <w:spacing w:line="360" w:lineRule="auto"/>
        <w:ind w:firstLine="1440"/>
      </w:pPr>
      <w:r w:rsidRPr="007D1B6D">
        <w:t>3.</w:t>
      </w:r>
      <w:r w:rsidRPr="007D1B6D">
        <w:tab/>
        <w:t>That the formal complaint filed by the Office of Consumer Advocate at PUC Docket No. C-2013-2348849 is marked satisfied as to the matters agreed upon in the Stipulation of Settlement, but is dismissed in all other respects.</w:t>
      </w:r>
    </w:p>
    <w:p w:rsidR="007D1B6D" w:rsidRDefault="007D1B6D" w:rsidP="007D1B6D">
      <w:pPr>
        <w:spacing w:line="360" w:lineRule="auto"/>
        <w:ind w:firstLine="1440"/>
      </w:pPr>
    </w:p>
    <w:p w:rsidR="007D1B6D" w:rsidRPr="007D1B6D" w:rsidRDefault="007D1B6D" w:rsidP="00945AC9">
      <w:pPr>
        <w:spacing w:line="360" w:lineRule="auto"/>
        <w:ind w:firstLine="1440"/>
      </w:pPr>
      <w:r w:rsidRPr="007D1B6D">
        <w:lastRenderedPageBreak/>
        <w:t>4.</w:t>
      </w:r>
      <w:r w:rsidRPr="007D1B6D">
        <w:tab/>
        <w:t xml:space="preserve">That </w:t>
      </w:r>
      <w:bookmarkStart w:id="0" w:name="_GoBack"/>
      <w:bookmarkEnd w:id="0"/>
      <w:r w:rsidRPr="007D1B6D">
        <w:t>Peoples TWP</w:t>
      </w:r>
      <w:r w:rsidR="00E52412">
        <w:t>, LLC</w:t>
      </w:r>
      <w:r w:rsidRPr="007D1B6D">
        <w:t xml:space="preserve"> be permitted to file a tariff supplement on ten days’ notice to the Commission to establish a Distribution System Improvement Charge to become effective July 1, 2013, consistent with the terms of this Recommended Order. </w:t>
      </w:r>
    </w:p>
    <w:p w:rsidR="007D1B6D" w:rsidRPr="007D1B6D" w:rsidRDefault="007D1B6D" w:rsidP="00945AC9">
      <w:pPr>
        <w:spacing w:line="360" w:lineRule="auto"/>
        <w:ind w:firstLine="1440"/>
      </w:pPr>
    </w:p>
    <w:p w:rsidR="007D1B6D" w:rsidRPr="007D1B6D" w:rsidRDefault="007D1B6D" w:rsidP="00945AC9">
      <w:pPr>
        <w:spacing w:line="360" w:lineRule="auto"/>
        <w:ind w:firstLine="1440"/>
      </w:pPr>
      <w:r w:rsidRPr="007D1B6D">
        <w:t>5.</w:t>
      </w:r>
      <w:r w:rsidRPr="007D1B6D">
        <w:tab/>
        <w:t>That the DSIC application provided by Peoples TWP, LLC to its customer classes shall provide that:</w:t>
      </w:r>
    </w:p>
    <w:p w:rsidR="007D1B6D" w:rsidRDefault="007D1B6D" w:rsidP="007D1B6D">
      <w:pPr>
        <w:spacing w:line="360" w:lineRule="auto"/>
        <w:ind w:left="2160" w:right="720" w:firstLine="1440"/>
      </w:pPr>
    </w:p>
    <w:p w:rsidR="007D1B6D" w:rsidRPr="007D1B6D" w:rsidRDefault="007D1B6D" w:rsidP="00C179C0">
      <w:pPr>
        <w:ind w:left="2160" w:right="1440"/>
      </w:pPr>
      <w:r w:rsidRPr="007D1B6D">
        <w:t>The DSIC shall be applied equally to all customer classes, except that the Company ma</w:t>
      </w:r>
      <w:r w:rsidR="00E52412">
        <w:t>y reduce or eliminate the Rider</w:t>
      </w:r>
      <w:r w:rsidRPr="007D1B6D">
        <w:t xml:space="preserve"> DSIC to any customer with competitive alternatives who are paying flexed or discounted rates and customers having negotiated contracts with the Company, if it is reasonably necessary to do so.</w:t>
      </w:r>
    </w:p>
    <w:p w:rsidR="007D1B6D" w:rsidRPr="007D1B6D" w:rsidRDefault="007D1B6D" w:rsidP="007D1B6D">
      <w:pPr>
        <w:ind w:left="1440" w:firstLine="1440"/>
      </w:pPr>
    </w:p>
    <w:p w:rsidR="007D1B6D" w:rsidRPr="007D1B6D" w:rsidRDefault="007D1B6D" w:rsidP="007D1B6D">
      <w:pPr>
        <w:spacing w:line="360" w:lineRule="auto"/>
        <w:ind w:firstLine="1440"/>
      </w:pPr>
    </w:p>
    <w:p w:rsidR="007D1B6D" w:rsidRPr="007D1B6D" w:rsidRDefault="007D1B6D" w:rsidP="00945AC9">
      <w:pPr>
        <w:spacing w:line="360" w:lineRule="auto"/>
        <w:ind w:firstLine="1440"/>
      </w:pPr>
      <w:r w:rsidRPr="007D1B6D">
        <w:t>6.</w:t>
      </w:r>
      <w:r w:rsidRPr="007D1B6D">
        <w:tab/>
        <w:t>That upon acceptance and approval by the Commission of the tariff supplement and supporting data filed by Peoples TWP</w:t>
      </w:r>
      <w:r w:rsidR="00E52412">
        <w:t>, LLC</w:t>
      </w:r>
      <w:r w:rsidRPr="007D1B6D">
        <w:t xml:space="preserve">, as being consistent with this Order, the inquiry and investigation at Docket No. P-2013-2344595 be terminated and the docket marked closed. </w:t>
      </w:r>
    </w:p>
    <w:p w:rsidR="007D1B6D" w:rsidRPr="007D1B6D" w:rsidRDefault="007D1B6D" w:rsidP="007D1B6D">
      <w:pPr>
        <w:spacing w:line="360" w:lineRule="auto"/>
        <w:ind w:firstLine="1440"/>
      </w:pPr>
    </w:p>
    <w:p w:rsidR="007D1B6D" w:rsidRDefault="007D1B6D" w:rsidP="007D1B6D">
      <w:pPr>
        <w:tabs>
          <w:tab w:val="left" w:pos="0"/>
        </w:tabs>
        <w:jc w:val="both"/>
      </w:pPr>
    </w:p>
    <w:p w:rsidR="007D1B6D" w:rsidRPr="00D40D85" w:rsidRDefault="007D1B6D" w:rsidP="007D1B6D">
      <w:pPr>
        <w:tabs>
          <w:tab w:val="left" w:pos="0"/>
        </w:tabs>
        <w:jc w:val="both"/>
        <w:rPr>
          <w:u w:val="single"/>
        </w:rPr>
      </w:pPr>
      <w:r w:rsidRPr="00D40D85">
        <w:t xml:space="preserve">Date:  </w:t>
      </w:r>
      <w:r w:rsidR="0081087D">
        <w:rPr>
          <w:u w:val="single"/>
        </w:rPr>
        <w:t xml:space="preserve">April </w:t>
      </w:r>
      <w:r w:rsidR="008C5D46">
        <w:rPr>
          <w:u w:val="single"/>
        </w:rPr>
        <w:t>1</w:t>
      </w:r>
      <w:r w:rsidRPr="00D40D85">
        <w:rPr>
          <w:u w:val="single"/>
        </w:rPr>
        <w:t>, 2014</w:t>
      </w:r>
      <w:r w:rsidRPr="00D40D85">
        <w:tab/>
      </w:r>
      <w:r w:rsidRPr="00D40D85">
        <w:tab/>
      </w:r>
      <w:r w:rsidR="008C5D46">
        <w:tab/>
      </w:r>
      <w:r w:rsidR="0081087D">
        <w:tab/>
      </w:r>
      <w:r w:rsidRPr="00D40D85">
        <w:tab/>
      </w:r>
      <w:r w:rsidRPr="00D40D85">
        <w:rPr>
          <w:u w:val="single"/>
        </w:rPr>
        <w:tab/>
      </w:r>
      <w:r w:rsidRPr="00D40D85">
        <w:rPr>
          <w:u w:val="single"/>
        </w:rPr>
        <w:tab/>
        <w:t>/s/</w:t>
      </w:r>
      <w:r w:rsidRPr="00D40D85">
        <w:rPr>
          <w:u w:val="single"/>
        </w:rPr>
        <w:tab/>
      </w:r>
      <w:r w:rsidRPr="00D40D85">
        <w:rPr>
          <w:u w:val="single"/>
        </w:rPr>
        <w:tab/>
      </w:r>
      <w:r w:rsidRPr="00D40D85">
        <w:rPr>
          <w:u w:val="single"/>
        </w:rPr>
        <w:tab/>
      </w:r>
    </w:p>
    <w:p w:rsidR="007D1B6D" w:rsidRPr="00D40D85" w:rsidRDefault="007D1B6D" w:rsidP="007D1B6D">
      <w:pPr>
        <w:tabs>
          <w:tab w:val="left" w:pos="0"/>
        </w:tabs>
        <w:jc w:val="both"/>
      </w:pPr>
      <w:r w:rsidRPr="00D40D85">
        <w:tab/>
      </w:r>
      <w:r w:rsidRPr="00D40D85">
        <w:tab/>
      </w:r>
      <w:r w:rsidRPr="00D40D85">
        <w:tab/>
      </w:r>
      <w:r w:rsidRPr="00D40D85">
        <w:tab/>
      </w:r>
      <w:r w:rsidRPr="00D40D85">
        <w:tab/>
      </w:r>
      <w:r w:rsidRPr="00D40D85">
        <w:tab/>
      </w:r>
      <w:r w:rsidRPr="00D40D85">
        <w:tab/>
        <w:t>Mary D. Long</w:t>
      </w:r>
    </w:p>
    <w:p w:rsidR="007D1B6D" w:rsidRDefault="007D1B6D" w:rsidP="007D1B6D">
      <w:pPr>
        <w:tabs>
          <w:tab w:val="left" w:pos="0"/>
        </w:tabs>
        <w:jc w:val="both"/>
      </w:pPr>
      <w:r w:rsidRPr="00D40D85">
        <w:tab/>
      </w:r>
      <w:r w:rsidRPr="00D40D85">
        <w:tab/>
      </w:r>
      <w:r w:rsidRPr="00D40D85">
        <w:tab/>
      </w:r>
      <w:r w:rsidRPr="00D40D85">
        <w:tab/>
      </w:r>
      <w:r w:rsidRPr="00D40D85">
        <w:tab/>
      </w:r>
      <w:r w:rsidRPr="00D40D85">
        <w:tab/>
      </w:r>
      <w:r w:rsidRPr="00D40D85">
        <w:tab/>
        <w:t>Administrative Law Judge</w:t>
      </w:r>
    </w:p>
    <w:p w:rsidR="007D1B6D" w:rsidRDefault="007D1B6D" w:rsidP="007D1B6D">
      <w:pPr>
        <w:tabs>
          <w:tab w:val="left" w:pos="0"/>
        </w:tabs>
        <w:jc w:val="both"/>
      </w:pPr>
    </w:p>
    <w:p w:rsidR="007D1B6D" w:rsidRDefault="007D1B6D" w:rsidP="007D1B6D">
      <w:pPr>
        <w:tabs>
          <w:tab w:val="left" w:pos="0"/>
        </w:tabs>
        <w:jc w:val="both"/>
      </w:pPr>
    </w:p>
    <w:p w:rsidR="007D1B6D" w:rsidRDefault="007D1B6D" w:rsidP="007D1B6D">
      <w:pPr>
        <w:tabs>
          <w:tab w:val="left" w:pos="0"/>
        </w:tabs>
        <w:jc w:val="both"/>
      </w:pPr>
    </w:p>
    <w:p w:rsidR="007D1B6D" w:rsidRPr="009E6175" w:rsidRDefault="007D1B6D" w:rsidP="007D1B6D">
      <w:pPr>
        <w:tabs>
          <w:tab w:val="left" w:pos="0"/>
        </w:tabs>
        <w:jc w:val="both"/>
        <w:rPr>
          <w:u w:val="single"/>
        </w:rPr>
      </w:pPr>
      <w:r w:rsidRPr="00BF5EE7">
        <w:t xml:space="preserve">Date:  </w:t>
      </w:r>
      <w:r w:rsidR="0081087D">
        <w:rPr>
          <w:u w:val="single"/>
        </w:rPr>
        <w:t xml:space="preserve">April </w:t>
      </w:r>
      <w:r w:rsidR="008C5D46">
        <w:rPr>
          <w:u w:val="single"/>
        </w:rPr>
        <w:t>1,</w:t>
      </w:r>
      <w:r w:rsidRPr="00BF5EE7">
        <w:rPr>
          <w:u w:val="single"/>
        </w:rPr>
        <w:t xml:space="preserve"> 2014</w:t>
      </w:r>
      <w:r w:rsidRPr="00BF5EE7">
        <w:tab/>
      </w:r>
      <w:r w:rsidRPr="00BF5EE7">
        <w:tab/>
      </w:r>
      <w:r w:rsidRPr="00BF5EE7">
        <w:tab/>
      </w:r>
      <w:r w:rsidR="0081087D">
        <w:tab/>
      </w:r>
      <w:r w:rsidRPr="00BF5EE7">
        <w:tab/>
      </w:r>
      <w:r w:rsidRPr="009E6175">
        <w:rPr>
          <w:u w:val="single"/>
        </w:rPr>
        <w:tab/>
      </w:r>
      <w:r w:rsidRPr="009E6175">
        <w:rPr>
          <w:u w:val="single"/>
        </w:rPr>
        <w:tab/>
        <w:t>/s/</w:t>
      </w:r>
      <w:r w:rsidRPr="009E6175">
        <w:rPr>
          <w:u w:val="single"/>
        </w:rPr>
        <w:tab/>
      </w:r>
      <w:r w:rsidRPr="009E6175">
        <w:rPr>
          <w:u w:val="single"/>
        </w:rPr>
        <w:tab/>
      </w:r>
      <w:r w:rsidRPr="009E6175">
        <w:rPr>
          <w:u w:val="single"/>
        </w:rPr>
        <w:tab/>
      </w:r>
    </w:p>
    <w:p w:rsidR="007D1B6D" w:rsidRPr="009E6175" w:rsidRDefault="007D1B6D" w:rsidP="007D1B6D">
      <w:pPr>
        <w:tabs>
          <w:tab w:val="left" w:pos="0"/>
        </w:tabs>
        <w:jc w:val="both"/>
      </w:pPr>
      <w:r w:rsidRPr="009E6175">
        <w:tab/>
      </w:r>
      <w:r w:rsidRPr="009E6175">
        <w:tab/>
      </w:r>
      <w:r w:rsidRPr="009E6175">
        <w:tab/>
      </w:r>
      <w:r w:rsidRPr="009E6175">
        <w:tab/>
      </w:r>
      <w:r w:rsidRPr="009E6175">
        <w:tab/>
      </w:r>
      <w:r w:rsidRPr="009E6175">
        <w:tab/>
      </w:r>
      <w:r w:rsidRPr="009E6175">
        <w:tab/>
      </w:r>
      <w:r>
        <w:t>Jeffrey A. Watson</w:t>
      </w:r>
    </w:p>
    <w:p w:rsidR="007D1B6D" w:rsidRPr="00BF5EE7" w:rsidRDefault="007D1B6D" w:rsidP="007D1B6D">
      <w:pPr>
        <w:tabs>
          <w:tab w:val="left" w:pos="0"/>
        </w:tabs>
        <w:jc w:val="both"/>
      </w:pPr>
      <w:r w:rsidRPr="00BF5EE7">
        <w:tab/>
      </w:r>
      <w:r w:rsidRPr="00BF5EE7">
        <w:tab/>
      </w:r>
      <w:r w:rsidRPr="00BF5EE7">
        <w:tab/>
      </w:r>
      <w:r w:rsidRPr="00BF5EE7">
        <w:tab/>
      </w:r>
      <w:r w:rsidRPr="00BF5EE7">
        <w:tab/>
      </w:r>
      <w:r w:rsidRPr="00BF5EE7">
        <w:tab/>
      </w:r>
      <w:r w:rsidRPr="00BF5EE7">
        <w:tab/>
        <w:t>Administrative Law Judge</w:t>
      </w:r>
    </w:p>
    <w:sectPr w:rsidR="007D1B6D" w:rsidRPr="00BF5EE7" w:rsidSect="00B70BA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2E5" w:rsidRDefault="005462E5" w:rsidP="00B51D76">
      <w:r>
        <w:separator/>
      </w:r>
    </w:p>
  </w:endnote>
  <w:endnote w:type="continuationSeparator" w:id="0">
    <w:p w:rsidR="005462E5" w:rsidRDefault="005462E5" w:rsidP="00B51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B6D" w:rsidRDefault="007D1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D1B6D" w:rsidRDefault="007D1B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4901980"/>
      <w:docPartObj>
        <w:docPartGallery w:val="Page Numbers (Bottom of Page)"/>
        <w:docPartUnique/>
      </w:docPartObj>
    </w:sdtPr>
    <w:sdtEndPr/>
    <w:sdtContent>
      <w:p w:rsidR="007D1B6D" w:rsidRDefault="007D1B6D">
        <w:pPr>
          <w:pStyle w:val="Footer"/>
          <w:jc w:val="center"/>
        </w:pPr>
        <w:r>
          <w:fldChar w:fldCharType="begin"/>
        </w:r>
        <w:r>
          <w:instrText xml:space="preserve"> PAGE   \* MERGEFORMAT </w:instrText>
        </w:r>
        <w:r>
          <w:fldChar w:fldCharType="separate"/>
        </w:r>
        <w:r w:rsidR="00AE5DEC">
          <w:rPr>
            <w:noProof/>
          </w:rPr>
          <w:t>26</w:t>
        </w:r>
        <w:r>
          <w:rPr>
            <w:noProof/>
          </w:rPr>
          <w:fldChar w:fldCharType="end"/>
        </w:r>
      </w:p>
    </w:sdtContent>
  </w:sdt>
  <w:p w:rsidR="007D1B6D" w:rsidRDefault="007D1B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B6D" w:rsidRDefault="007D1B6D">
    <w:pPr>
      <w:pStyle w:val="Footer"/>
      <w:jc w:val="center"/>
    </w:pPr>
  </w:p>
  <w:p w:rsidR="007D1B6D" w:rsidRDefault="007D1B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2E5" w:rsidRDefault="005462E5" w:rsidP="00B51D76">
      <w:r>
        <w:separator/>
      </w:r>
    </w:p>
  </w:footnote>
  <w:footnote w:type="continuationSeparator" w:id="0">
    <w:p w:rsidR="005462E5" w:rsidRDefault="005462E5" w:rsidP="00B51D76">
      <w:r>
        <w:continuationSeparator/>
      </w:r>
    </w:p>
  </w:footnote>
  <w:footnote w:id="1">
    <w:p w:rsidR="007D1B6D" w:rsidRDefault="007D1B6D" w:rsidP="00CB17D2">
      <w:pPr>
        <w:ind w:firstLine="720"/>
        <w:rPr>
          <w:sz w:val="20"/>
        </w:rPr>
      </w:pPr>
      <w:r w:rsidRPr="003852B1">
        <w:rPr>
          <w:rStyle w:val="FootnoteReference"/>
        </w:rPr>
        <w:footnoteRef/>
      </w:r>
      <w:r w:rsidRPr="003852B1">
        <w:rPr>
          <w:vertAlign w:val="superscript"/>
        </w:rPr>
        <w:t xml:space="preserve">  </w:t>
      </w:r>
      <w:r>
        <w:tab/>
      </w:r>
      <w:r w:rsidRPr="004D53EF">
        <w:rPr>
          <w:sz w:val="20"/>
        </w:rPr>
        <w:t>An individual, William Guntrum, filed a formal complaint on April 11, 2013.  The Commission dismissed his complaint in the May 23, 2013 Opinion and Order.  In the same Opinion and Order, the Commission also granted the Petition of Peoples TWP, LLC for Approval of Limited Waivers of Certain Tariff Rules Related to Customer Service Line Replacements, PUC Docket No. P-2013-2346156.</w:t>
      </w:r>
    </w:p>
    <w:p w:rsidR="007D1B6D" w:rsidRPr="004D53EF" w:rsidRDefault="007D1B6D" w:rsidP="00CB17D2">
      <w:pPr>
        <w:ind w:firstLine="720"/>
        <w:rPr>
          <w:sz w:val="20"/>
        </w:rPr>
      </w:pPr>
    </w:p>
  </w:footnote>
  <w:footnote w:id="2">
    <w:p w:rsidR="007D1B6D" w:rsidRPr="007D1B6D" w:rsidRDefault="007D1B6D" w:rsidP="001E0165">
      <w:pPr>
        <w:pStyle w:val="FootnoteText"/>
      </w:pPr>
      <w:r w:rsidRPr="007D1B6D">
        <w:rPr>
          <w:rStyle w:val="FootnoteReference"/>
        </w:rPr>
        <w:footnoteRef/>
      </w:r>
      <w:r w:rsidRPr="007D1B6D">
        <w:t xml:space="preserve">  </w:t>
      </w:r>
      <w:r w:rsidRPr="007D1B6D">
        <w:tab/>
        <w:t>The reader is directed to these documents to review a recitation of these issues.</w:t>
      </w:r>
    </w:p>
  </w:footnote>
  <w:footnote w:id="3">
    <w:p w:rsidR="002A51FD" w:rsidRDefault="002A51FD">
      <w:pPr>
        <w:pStyle w:val="FootnoteText"/>
      </w:pPr>
      <w:r>
        <w:rPr>
          <w:rStyle w:val="FootnoteReference"/>
        </w:rPr>
        <w:footnoteRef/>
      </w:r>
      <w:r>
        <w:t xml:space="preserve"> </w:t>
      </w:r>
      <w:r>
        <w:tab/>
      </w:r>
      <w:proofErr w:type="gramStart"/>
      <w:r>
        <w:t>Proposed Stipulation of Certain Issues, Section III.</w:t>
      </w:r>
      <w:proofErr w:type="gramEnd"/>
    </w:p>
  </w:footnote>
  <w:footnote w:id="4">
    <w:p w:rsidR="00CB17D2" w:rsidRDefault="007D1B6D" w:rsidP="001E0165">
      <w:pPr>
        <w:pStyle w:val="FootnoteText"/>
      </w:pPr>
      <w:r>
        <w:rPr>
          <w:rStyle w:val="FootnoteReference"/>
        </w:rPr>
        <w:footnoteRef/>
      </w:r>
      <w:r>
        <w:t xml:space="preserve"> </w:t>
      </w:r>
      <w:r>
        <w:tab/>
      </w:r>
      <w:r>
        <w:rPr>
          <w:i/>
        </w:rPr>
        <w:t>See</w:t>
      </w:r>
      <w:r>
        <w:t xml:space="preserve"> 52 </w:t>
      </w:r>
      <w:proofErr w:type="spellStart"/>
      <w:r>
        <w:t>Pa.Code</w:t>
      </w:r>
      <w:proofErr w:type="spellEnd"/>
      <w:r>
        <w:t xml:space="preserve"> § 5.231.</w:t>
      </w:r>
    </w:p>
    <w:p w:rsidR="007D1B6D" w:rsidRDefault="007D1B6D" w:rsidP="001E0165">
      <w:pPr>
        <w:pStyle w:val="FootnoteText"/>
      </w:pPr>
      <w:r>
        <w:t xml:space="preserve">  </w:t>
      </w:r>
    </w:p>
  </w:footnote>
  <w:footnote w:id="5">
    <w:p w:rsidR="00CB17D2" w:rsidRDefault="007D1B6D" w:rsidP="001E0165">
      <w:pPr>
        <w:pStyle w:val="FootnoteText"/>
      </w:pPr>
      <w:r>
        <w:rPr>
          <w:rStyle w:val="FootnoteReference"/>
        </w:rPr>
        <w:footnoteRef/>
      </w:r>
      <w:r>
        <w:t xml:space="preserve"> </w:t>
      </w:r>
      <w:r>
        <w:tab/>
      </w:r>
      <w:r w:rsidRPr="00E44D97">
        <w:rPr>
          <w:i/>
        </w:rPr>
        <w:t xml:space="preserve">Pa. Pub. </w:t>
      </w:r>
      <w:proofErr w:type="gramStart"/>
      <w:r w:rsidRPr="00E44D97">
        <w:rPr>
          <w:i/>
        </w:rPr>
        <w:t>Util. Comm’n v. CS Water and Sewer Associates</w:t>
      </w:r>
      <w:r w:rsidR="003A40C0" w:rsidRPr="00C00557">
        <w:t>,</w:t>
      </w:r>
      <w:r w:rsidR="003A40C0">
        <w:t xml:space="preserve"> 74 Pa. PUC,</w:t>
      </w:r>
      <w:r>
        <w:t xml:space="preserve"> 767, 771 (1991).</w:t>
      </w:r>
      <w:proofErr w:type="gramEnd"/>
    </w:p>
    <w:p w:rsidR="007D1B6D" w:rsidRDefault="007D1B6D" w:rsidP="001E0165">
      <w:pPr>
        <w:pStyle w:val="FootnoteText"/>
      </w:pPr>
      <w:r>
        <w:tab/>
      </w:r>
    </w:p>
  </w:footnote>
  <w:footnote w:id="6">
    <w:p w:rsidR="007D1B6D" w:rsidRDefault="007D1B6D" w:rsidP="001E0165">
      <w:pPr>
        <w:pStyle w:val="FootnoteText"/>
      </w:pPr>
      <w:r>
        <w:rPr>
          <w:rStyle w:val="FootnoteReference"/>
        </w:rPr>
        <w:footnoteRef/>
      </w:r>
      <w:r>
        <w:t xml:space="preserve"> </w:t>
      </w:r>
      <w:r>
        <w:tab/>
        <w:t>66 Pa.C.S. §§ 1350-1360 (Act 11).</w:t>
      </w:r>
    </w:p>
    <w:p w:rsidR="007D1B6D" w:rsidRDefault="007D1B6D" w:rsidP="001E0165">
      <w:pPr>
        <w:pStyle w:val="FootnoteText"/>
      </w:pPr>
    </w:p>
  </w:footnote>
  <w:footnote w:id="7">
    <w:p w:rsidR="007D1B6D" w:rsidRDefault="007D1B6D" w:rsidP="001E0165">
      <w:pPr>
        <w:pStyle w:val="FootnoteText"/>
      </w:pPr>
      <w:r>
        <w:rPr>
          <w:rStyle w:val="FootnoteReference"/>
        </w:rPr>
        <w:footnoteRef/>
      </w:r>
      <w:r>
        <w:t xml:space="preserve">  </w:t>
      </w:r>
      <w:r>
        <w:tab/>
      </w:r>
      <w:r w:rsidRPr="0081087D">
        <w:rPr>
          <w:i/>
        </w:rPr>
        <w:t>Final Implementation Order</w:t>
      </w:r>
      <w:r>
        <w:t xml:space="preserve"> at 46.</w:t>
      </w:r>
    </w:p>
    <w:p w:rsidR="00CB17D2" w:rsidRDefault="00CB17D2" w:rsidP="001E0165">
      <w:pPr>
        <w:pStyle w:val="FootnoteText"/>
      </w:pPr>
    </w:p>
  </w:footnote>
  <w:footnote w:id="8">
    <w:p w:rsidR="007D1B6D" w:rsidRDefault="007D1B6D" w:rsidP="001E0165">
      <w:pPr>
        <w:pStyle w:val="FootnoteText"/>
      </w:pPr>
      <w:r>
        <w:rPr>
          <w:rStyle w:val="FootnoteReference"/>
        </w:rPr>
        <w:footnoteRef/>
      </w:r>
      <w:r>
        <w:t xml:space="preserve"> </w:t>
      </w:r>
      <w:r>
        <w:tab/>
      </w:r>
      <w:r w:rsidRPr="00737561">
        <w:t>Peoples TWP St</w:t>
      </w:r>
      <w:r>
        <w:t>.</w:t>
      </w:r>
      <w:r w:rsidRPr="00737561">
        <w:t xml:space="preserve"> in Support at 4.</w:t>
      </w:r>
    </w:p>
    <w:p w:rsidR="00CB17D2" w:rsidRDefault="00CB17D2" w:rsidP="001E0165">
      <w:pPr>
        <w:pStyle w:val="FootnoteText"/>
      </w:pPr>
    </w:p>
  </w:footnote>
  <w:footnote w:id="9">
    <w:p w:rsidR="007D1B6D" w:rsidRDefault="007D1B6D" w:rsidP="001E0165">
      <w:pPr>
        <w:pStyle w:val="FootnoteText"/>
      </w:pPr>
      <w:r>
        <w:rPr>
          <w:rStyle w:val="FootnoteReference"/>
        </w:rPr>
        <w:footnoteRef/>
      </w:r>
      <w:r>
        <w:t xml:space="preserve">  </w:t>
      </w:r>
      <w:r>
        <w:tab/>
        <w:t>OCA St. 1 at 15.</w:t>
      </w:r>
    </w:p>
    <w:p w:rsidR="00CB17D2" w:rsidRDefault="00CB17D2" w:rsidP="001E0165">
      <w:pPr>
        <w:pStyle w:val="FootnoteText"/>
      </w:pPr>
    </w:p>
  </w:footnote>
  <w:footnote w:id="10">
    <w:p w:rsidR="007D1B6D" w:rsidRDefault="007D1B6D" w:rsidP="001E0165">
      <w:pPr>
        <w:pStyle w:val="FootnoteText"/>
      </w:pPr>
      <w:r>
        <w:rPr>
          <w:rStyle w:val="FootnoteReference"/>
        </w:rPr>
        <w:footnoteRef/>
      </w:r>
      <w:r>
        <w:t xml:space="preserve">  </w:t>
      </w:r>
      <w:r>
        <w:tab/>
        <w:t>Peoples St. 1-R at 14.</w:t>
      </w:r>
    </w:p>
  </w:footnote>
  <w:footnote w:id="11">
    <w:p w:rsidR="007D1B6D" w:rsidRDefault="007D1B6D" w:rsidP="001E0165">
      <w:pPr>
        <w:pStyle w:val="FootnoteText"/>
      </w:pPr>
      <w:r>
        <w:rPr>
          <w:rStyle w:val="FootnoteReference"/>
        </w:rPr>
        <w:footnoteRef/>
      </w:r>
      <w:r>
        <w:t xml:space="preserve"> </w:t>
      </w:r>
      <w:r>
        <w:tab/>
        <w:t>Peoples TWP St. in Support at 5.</w:t>
      </w:r>
    </w:p>
    <w:p w:rsidR="00CB17D2" w:rsidRDefault="00CB17D2" w:rsidP="001E0165">
      <w:pPr>
        <w:pStyle w:val="FootnoteText"/>
      </w:pPr>
    </w:p>
  </w:footnote>
  <w:footnote w:id="12">
    <w:p w:rsidR="007D1B6D" w:rsidRDefault="007D1B6D" w:rsidP="001E0165">
      <w:pPr>
        <w:pStyle w:val="FootnoteText"/>
      </w:pPr>
      <w:r>
        <w:rPr>
          <w:rStyle w:val="FootnoteReference"/>
        </w:rPr>
        <w:footnoteRef/>
      </w:r>
      <w:r>
        <w:t xml:space="preserve">  </w:t>
      </w:r>
      <w:r>
        <w:tab/>
        <w:t>Peoples TWP St. in Support at 5.</w:t>
      </w:r>
    </w:p>
    <w:p w:rsidR="00CB17D2" w:rsidRDefault="00CB17D2" w:rsidP="001E0165">
      <w:pPr>
        <w:pStyle w:val="FootnoteText"/>
      </w:pPr>
    </w:p>
  </w:footnote>
  <w:footnote w:id="13">
    <w:p w:rsidR="007D1B6D" w:rsidRDefault="007D1B6D" w:rsidP="001E0165">
      <w:pPr>
        <w:pStyle w:val="FootnoteText"/>
      </w:pPr>
      <w:r>
        <w:rPr>
          <w:rStyle w:val="FootnoteReference"/>
        </w:rPr>
        <w:footnoteRef/>
      </w:r>
      <w:r>
        <w:t xml:space="preserve">  </w:t>
      </w:r>
      <w:r>
        <w:tab/>
        <w:t>Peoples TWP St. 2 at 6.</w:t>
      </w:r>
    </w:p>
    <w:p w:rsidR="00CB17D2" w:rsidRDefault="00CB17D2" w:rsidP="001E0165">
      <w:pPr>
        <w:pStyle w:val="FootnoteText"/>
      </w:pPr>
    </w:p>
  </w:footnote>
  <w:footnote w:id="14">
    <w:p w:rsidR="007D1B6D" w:rsidRDefault="007D1B6D" w:rsidP="001E0165">
      <w:pPr>
        <w:pStyle w:val="FootnoteText"/>
      </w:pPr>
      <w:r>
        <w:rPr>
          <w:rStyle w:val="FootnoteReference"/>
        </w:rPr>
        <w:footnoteRef/>
      </w:r>
      <w:r>
        <w:t xml:space="preserve">  </w:t>
      </w:r>
      <w:r>
        <w:tab/>
        <w:t>OCA St. 1 at 5.</w:t>
      </w:r>
    </w:p>
  </w:footnote>
  <w:footnote w:id="15">
    <w:p w:rsidR="007D1B6D" w:rsidRDefault="007D1B6D" w:rsidP="001E0165">
      <w:pPr>
        <w:pStyle w:val="FootnoteText"/>
      </w:pPr>
      <w:r>
        <w:rPr>
          <w:rStyle w:val="FootnoteReference"/>
        </w:rPr>
        <w:footnoteRef/>
      </w:r>
      <w:r>
        <w:t xml:space="preserve">  </w:t>
      </w:r>
      <w:r>
        <w:tab/>
      </w:r>
      <w:r>
        <w:rPr>
          <w:i/>
        </w:rPr>
        <w:t>See Joint Petition of Metropolitan Edison Co.</w:t>
      </w:r>
      <w:r w:rsidR="0081087D">
        <w:rPr>
          <w:i/>
        </w:rPr>
        <w:t>,</w:t>
      </w:r>
      <w:r>
        <w:rPr>
          <w:i/>
        </w:rPr>
        <w:t xml:space="preserve"> et al for Approval of Smart Meter Technology Procurement and Installation Plan</w:t>
      </w:r>
      <w:r>
        <w:t>, PUC Docket No. M-2009-2123950 (Opinion and Order entered August 3, 2010)</w:t>
      </w:r>
      <w:r w:rsidR="006A08E0">
        <w:t xml:space="preserve"> </w:t>
      </w:r>
      <w:r>
        <w:t>(finding on reconsideration that the Commission’s order should not have included an advisory opinion on the companies’ ability to roll smart meter costs into base rates in future proceedings).</w:t>
      </w:r>
    </w:p>
    <w:p w:rsidR="00CB17D2" w:rsidRPr="00565840" w:rsidRDefault="00CB17D2" w:rsidP="001E0165">
      <w:pPr>
        <w:pStyle w:val="FootnoteText"/>
      </w:pPr>
    </w:p>
  </w:footnote>
  <w:footnote w:id="16">
    <w:p w:rsidR="00CB17D2" w:rsidRDefault="007D1B6D" w:rsidP="001E0165">
      <w:pPr>
        <w:pStyle w:val="FootnoteText"/>
      </w:pPr>
      <w:r>
        <w:rPr>
          <w:rStyle w:val="FootnoteReference"/>
        </w:rPr>
        <w:footnoteRef/>
      </w:r>
      <w:r>
        <w:t xml:space="preserve">  </w:t>
      </w:r>
      <w:r>
        <w:tab/>
        <w:t>Peoples TWP St. 1-R at 7-8</w:t>
      </w:r>
      <w:r w:rsidR="0081087D">
        <w:t>.</w:t>
      </w:r>
    </w:p>
    <w:p w:rsidR="007D1B6D" w:rsidRDefault="007D1B6D" w:rsidP="001E0165">
      <w:pPr>
        <w:pStyle w:val="FootnoteText"/>
      </w:pPr>
      <w:r>
        <w:t>.</w:t>
      </w:r>
    </w:p>
  </w:footnote>
  <w:footnote w:id="17">
    <w:p w:rsidR="007D1B6D" w:rsidRDefault="007D1B6D" w:rsidP="001E0165">
      <w:pPr>
        <w:pStyle w:val="FootnoteText"/>
      </w:pPr>
      <w:r>
        <w:rPr>
          <w:rStyle w:val="FootnoteReference"/>
        </w:rPr>
        <w:footnoteRef/>
      </w:r>
      <w:r>
        <w:t xml:space="preserve"> </w:t>
      </w:r>
      <w:r>
        <w:tab/>
        <w:t>OCA St. 1-S at 3.</w:t>
      </w:r>
    </w:p>
    <w:p w:rsidR="00CB17D2" w:rsidRDefault="00CB17D2" w:rsidP="001E0165">
      <w:pPr>
        <w:pStyle w:val="FootnoteText"/>
      </w:pPr>
    </w:p>
  </w:footnote>
  <w:footnote w:id="18">
    <w:p w:rsidR="007D1B6D" w:rsidRDefault="007D1B6D" w:rsidP="001E0165">
      <w:pPr>
        <w:pStyle w:val="FootnoteText"/>
      </w:pPr>
      <w:r>
        <w:rPr>
          <w:rStyle w:val="FootnoteReference"/>
        </w:rPr>
        <w:footnoteRef/>
      </w:r>
      <w:r>
        <w:t xml:space="preserve">  </w:t>
      </w:r>
      <w:r>
        <w:tab/>
        <w:t>66 Pa.C.S. § 1353.</w:t>
      </w:r>
    </w:p>
  </w:footnote>
  <w:footnote w:id="19">
    <w:p w:rsidR="007D1B6D" w:rsidRDefault="007D1B6D" w:rsidP="001E0165">
      <w:pPr>
        <w:pStyle w:val="FootnoteText"/>
      </w:pPr>
      <w:r>
        <w:rPr>
          <w:rStyle w:val="FootnoteReference"/>
        </w:rPr>
        <w:footnoteRef/>
      </w:r>
      <w:r>
        <w:t xml:space="preserve"> </w:t>
      </w:r>
      <w:r>
        <w:tab/>
        <w:t>66 Pa.C.S. § 1510.</w:t>
      </w:r>
    </w:p>
    <w:p w:rsidR="00CB17D2" w:rsidRDefault="00CB17D2" w:rsidP="001E0165">
      <w:pPr>
        <w:pStyle w:val="FootnoteText"/>
      </w:pPr>
    </w:p>
  </w:footnote>
  <w:footnote w:id="20">
    <w:p w:rsidR="007D1B6D" w:rsidRDefault="007D1B6D" w:rsidP="001E0165">
      <w:pPr>
        <w:pStyle w:val="FootnoteText"/>
      </w:pPr>
      <w:r>
        <w:rPr>
          <w:rStyle w:val="FootnoteReference"/>
        </w:rPr>
        <w:footnoteRef/>
      </w:r>
      <w:r>
        <w:t xml:space="preserve"> </w:t>
      </w:r>
      <w:r>
        <w:tab/>
        <w:t>OCA St. 1 at 4.</w:t>
      </w:r>
    </w:p>
    <w:p w:rsidR="00CB17D2" w:rsidRDefault="00CB17D2" w:rsidP="001E0165">
      <w:pPr>
        <w:pStyle w:val="FootnoteText"/>
      </w:pPr>
    </w:p>
  </w:footnote>
  <w:footnote w:id="21">
    <w:p w:rsidR="007D1B6D" w:rsidRDefault="007D1B6D" w:rsidP="001E0165">
      <w:pPr>
        <w:pStyle w:val="FootnoteText"/>
      </w:pPr>
      <w:r>
        <w:rPr>
          <w:rStyle w:val="FootnoteReference"/>
        </w:rPr>
        <w:footnoteRef/>
      </w:r>
      <w:r>
        <w:t xml:space="preserve">  </w:t>
      </w:r>
      <w:r>
        <w:tab/>
        <w:t xml:space="preserve">Section 904-A of the Administrative Code of 1929, Act of April 9, 1929, P.L. 177, </w:t>
      </w:r>
      <w:r>
        <w:rPr>
          <w:i/>
        </w:rPr>
        <w:t>as amended,</w:t>
      </w:r>
      <w:r>
        <w:t xml:space="preserve"> 71 P.S. § 309-4.</w:t>
      </w:r>
    </w:p>
    <w:p w:rsidR="007D1B6D" w:rsidRPr="007B0A60" w:rsidRDefault="007D1B6D" w:rsidP="001E0165">
      <w:pPr>
        <w:pStyle w:val="FootnoteText"/>
      </w:pPr>
    </w:p>
  </w:footnote>
  <w:footnote w:id="22">
    <w:p w:rsidR="007D1B6D" w:rsidRDefault="007D1B6D" w:rsidP="001E0165">
      <w:pPr>
        <w:pStyle w:val="FootnoteText"/>
      </w:pPr>
      <w:r>
        <w:rPr>
          <w:rStyle w:val="FootnoteReference"/>
        </w:rPr>
        <w:footnoteRef/>
      </w:r>
      <w:r>
        <w:t xml:space="preserve">  </w:t>
      </w:r>
      <w:r>
        <w:tab/>
        <w:t>Section 399.45 of the Small Business Advocate Act, Act of December 21, 1988, P.L. 1871, 73 P.S. §</w:t>
      </w:r>
      <w:r w:rsidR="00503834">
        <w:t> </w:t>
      </w:r>
      <w:r>
        <w:t>399.45.</w:t>
      </w:r>
    </w:p>
    <w:p w:rsidR="00CB17D2" w:rsidRDefault="00CB17D2" w:rsidP="001E0165">
      <w:pPr>
        <w:pStyle w:val="FootnoteText"/>
      </w:pPr>
    </w:p>
  </w:footnote>
  <w:footnote w:id="23">
    <w:p w:rsidR="007D1B6D" w:rsidRDefault="007D1B6D" w:rsidP="001E0165">
      <w:pPr>
        <w:pStyle w:val="FootnoteText"/>
      </w:pPr>
      <w:r>
        <w:rPr>
          <w:rStyle w:val="FootnoteReference"/>
        </w:rPr>
        <w:footnoteRef/>
      </w:r>
      <w:r>
        <w:t xml:space="preserve">  </w:t>
      </w:r>
      <w:r>
        <w:tab/>
        <w:t>66 Pa.C.S. § 1351.</w:t>
      </w:r>
    </w:p>
  </w:footnote>
  <w:footnote w:id="24">
    <w:p w:rsidR="007D1B6D" w:rsidRDefault="007D1B6D" w:rsidP="001E0165">
      <w:pPr>
        <w:pStyle w:val="FootnoteText"/>
      </w:pPr>
      <w:r>
        <w:rPr>
          <w:rStyle w:val="FootnoteReference"/>
        </w:rPr>
        <w:footnoteRef/>
      </w:r>
      <w:r>
        <w:t xml:space="preserve">  </w:t>
      </w:r>
      <w:r>
        <w:tab/>
        <w:t>66 Pa.C.S. § 1353(a).</w:t>
      </w:r>
    </w:p>
    <w:p w:rsidR="00CB17D2" w:rsidRDefault="00CB17D2" w:rsidP="001E0165">
      <w:pPr>
        <w:pStyle w:val="FootnoteText"/>
      </w:pPr>
    </w:p>
  </w:footnote>
  <w:footnote w:id="25">
    <w:p w:rsidR="007D1B6D" w:rsidRDefault="007D1B6D" w:rsidP="001E0165">
      <w:pPr>
        <w:pStyle w:val="FootnoteText"/>
      </w:pPr>
      <w:r>
        <w:rPr>
          <w:rStyle w:val="FootnoteReference"/>
        </w:rPr>
        <w:footnoteRef/>
      </w:r>
      <w:r>
        <w:t xml:space="preserve">  </w:t>
      </w:r>
      <w:r>
        <w:tab/>
      </w:r>
      <w:r>
        <w:rPr>
          <w:i/>
        </w:rPr>
        <w:t>Pa. Pub. Util. Comm’n</w:t>
      </w:r>
      <w:r w:rsidR="00B40652">
        <w:rPr>
          <w:i/>
        </w:rPr>
        <w:t xml:space="preserve"> </w:t>
      </w:r>
      <w:r w:rsidRPr="005E1C19">
        <w:rPr>
          <w:i/>
        </w:rPr>
        <w:t>v. UGI Penn Natural Gas, Inc. – Gas Division 1307(f),</w:t>
      </w:r>
      <w:r w:rsidRPr="005E1C19">
        <w:t xml:space="preserve"> PUC </w:t>
      </w:r>
      <w:r>
        <w:t xml:space="preserve">Docket No. </w:t>
      </w:r>
      <w:r w:rsidRPr="005E1C19">
        <w:t>R</w:t>
      </w:r>
      <w:r w:rsidR="00503834">
        <w:noBreakHyphen/>
      </w:r>
      <w:r w:rsidRPr="005E1C19">
        <w:t>2012-2302221</w:t>
      </w:r>
      <w:r>
        <w:t xml:space="preserve"> </w:t>
      </w:r>
      <w:r w:rsidRPr="005E1C19">
        <w:t xml:space="preserve">(Recommended Decision </w:t>
      </w:r>
      <w:r>
        <w:t xml:space="preserve">dated September 12, 2012), </w:t>
      </w:r>
      <w:r>
        <w:rPr>
          <w:i/>
        </w:rPr>
        <w:t xml:space="preserve">adopted, </w:t>
      </w:r>
      <w:r>
        <w:t xml:space="preserve">Commission </w:t>
      </w:r>
      <w:r w:rsidRPr="005E1C19">
        <w:t>Order entered November 8, 2012</w:t>
      </w:r>
      <w:r>
        <w:t>.</w:t>
      </w:r>
    </w:p>
    <w:p w:rsidR="00CB17D2" w:rsidRDefault="00CB17D2" w:rsidP="001E0165">
      <w:pPr>
        <w:pStyle w:val="FootnoteText"/>
      </w:pPr>
    </w:p>
  </w:footnote>
  <w:footnote w:id="26">
    <w:p w:rsidR="00856007" w:rsidRDefault="007D1B6D" w:rsidP="001E0165">
      <w:pPr>
        <w:pStyle w:val="FootnoteText"/>
      </w:pPr>
      <w:r>
        <w:rPr>
          <w:rStyle w:val="FootnoteReference"/>
        </w:rPr>
        <w:footnoteRef/>
      </w:r>
      <w:r w:rsidR="00B07BF7">
        <w:t xml:space="preserve">  </w:t>
      </w:r>
      <w:r w:rsidR="00B07BF7">
        <w:tab/>
        <w:t>66 Pa.</w:t>
      </w:r>
      <w:r>
        <w:t xml:space="preserve">C.S. § 315(a); see also </w:t>
      </w:r>
      <w:r w:rsidRPr="00620372">
        <w:rPr>
          <w:i/>
        </w:rPr>
        <w:t>Brockway Glass Co. v. Pa. Pub. Util. Comm’n</w:t>
      </w:r>
      <w:r w:rsidRPr="00B66D17">
        <w:t>, 4</w:t>
      </w:r>
      <w:r>
        <w:t xml:space="preserve">37 A.2d 1067 (Pa.Cmwlth. 1981); </w:t>
      </w:r>
      <w:r w:rsidRPr="00620372">
        <w:rPr>
          <w:i/>
        </w:rPr>
        <w:t xml:space="preserve">Lower Frederick Twp. Water Co. v. Pa. Pub. </w:t>
      </w:r>
      <w:proofErr w:type="gramStart"/>
      <w:r w:rsidRPr="00620372">
        <w:rPr>
          <w:i/>
        </w:rPr>
        <w:t>Util. Comm’n</w:t>
      </w:r>
      <w:r w:rsidRPr="00B66D17">
        <w:t>, 409 A.2d 505, 507 (Pa.</w:t>
      </w:r>
      <w:r>
        <w:t>Cmwlth. 1980).</w:t>
      </w:r>
      <w:proofErr w:type="gramEnd"/>
    </w:p>
    <w:p w:rsidR="002A51FD" w:rsidRDefault="002A51FD" w:rsidP="001E0165">
      <w:pPr>
        <w:pStyle w:val="FootnoteText"/>
      </w:pPr>
    </w:p>
  </w:footnote>
  <w:footnote w:id="27">
    <w:p w:rsidR="007D1B6D" w:rsidRDefault="007D1B6D" w:rsidP="001E0165">
      <w:pPr>
        <w:pStyle w:val="FootnoteText"/>
      </w:pPr>
      <w:r>
        <w:rPr>
          <w:rStyle w:val="FootnoteReference"/>
        </w:rPr>
        <w:footnoteRef/>
      </w:r>
      <w:r>
        <w:t xml:space="preserve"> </w:t>
      </w:r>
      <w:r>
        <w:tab/>
      </w:r>
      <w:r w:rsidRPr="0081087D">
        <w:rPr>
          <w:i/>
        </w:rPr>
        <w:t>Lower Frederick Twp. Water Co.</w:t>
      </w:r>
    </w:p>
    <w:p w:rsidR="00CB17D2" w:rsidRPr="00E63AD2" w:rsidRDefault="00CB17D2" w:rsidP="001E0165">
      <w:pPr>
        <w:pStyle w:val="FootnoteText"/>
      </w:pPr>
    </w:p>
  </w:footnote>
  <w:footnote w:id="28">
    <w:p w:rsidR="00CB17D2" w:rsidRDefault="007D1B6D" w:rsidP="001E0165">
      <w:pPr>
        <w:pStyle w:val="FootnoteText"/>
      </w:pPr>
      <w:r>
        <w:rPr>
          <w:rStyle w:val="FootnoteReference"/>
        </w:rPr>
        <w:footnoteRef/>
      </w:r>
      <w:r>
        <w:t xml:space="preserve">  </w:t>
      </w:r>
      <w:r>
        <w:tab/>
        <w:t>66 Pa.C.S. § 1301</w:t>
      </w:r>
      <w:r w:rsidR="0081087D">
        <w:t>.</w:t>
      </w:r>
    </w:p>
    <w:p w:rsidR="007D1B6D" w:rsidRDefault="007D1B6D" w:rsidP="001E0165">
      <w:pPr>
        <w:pStyle w:val="FootnoteText"/>
      </w:pPr>
    </w:p>
  </w:footnote>
  <w:footnote w:id="29">
    <w:p w:rsidR="007D1B6D" w:rsidRDefault="007D1B6D" w:rsidP="001E0165">
      <w:pPr>
        <w:pStyle w:val="FootnoteText"/>
      </w:pPr>
      <w:r>
        <w:rPr>
          <w:rStyle w:val="FootnoteReference"/>
        </w:rPr>
        <w:footnoteRef/>
      </w:r>
      <w:r>
        <w:t xml:space="preserve">  </w:t>
      </w:r>
      <w:r>
        <w:tab/>
      </w:r>
      <w:proofErr w:type="gramStart"/>
      <w:r>
        <w:t>66 Pa.C.S.</w:t>
      </w:r>
      <w:proofErr w:type="gramEnd"/>
      <w:r>
        <w:t xml:space="preserve"> </w:t>
      </w:r>
      <w:proofErr w:type="gramStart"/>
      <w:r>
        <w:t>§ 1308(d).</w:t>
      </w:r>
      <w:proofErr w:type="gramEnd"/>
    </w:p>
    <w:p w:rsidR="00CB17D2" w:rsidRDefault="00CB17D2" w:rsidP="001E0165">
      <w:pPr>
        <w:pStyle w:val="FootnoteText"/>
      </w:pPr>
    </w:p>
  </w:footnote>
  <w:footnote w:id="30">
    <w:p w:rsidR="007D1B6D" w:rsidRDefault="007D1B6D" w:rsidP="001E0165">
      <w:pPr>
        <w:pStyle w:val="FootnoteText"/>
      </w:pPr>
      <w:r>
        <w:rPr>
          <w:rStyle w:val="FootnoteReference"/>
        </w:rPr>
        <w:footnoteRef/>
      </w:r>
      <w:r>
        <w:t xml:space="preserve">  </w:t>
      </w:r>
      <w:r>
        <w:tab/>
      </w:r>
      <w:r w:rsidRPr="002A51FD">
        <w:rPr>
          <w:i/>
        </w:rPr>
        <w:t xml:space="preserve">See </w:t>
      </w:r>
      <w:r w:rsidRPr="0081087D">
        <w:rPr>
          <w:i/>
        </w:rPr>
        <w:t>Popowsky v. Pa. Pub. Util. Comm’n</w:t>
      </w:r>
      <w:r>
        <w:t>, 13 A.3d 583 (Pa.Cmwlth. 2011)</w:t>
      </w:r>
      <w:r w:rsidR="00CB17D2">
        <w:t xml:space="preserve"> </w:t>
      </w:r>
      <w:r>
        <w:t>(</w:t>
      </w:r>
      <w:r w:rsidRPr="0081087D">
        <w:rPr>
          <w:i/>
        </w:rPr>
        <w:t>Newtown Artesian Water</w:t>
      </w:r>
      <w:r>
        <w:t xml:space="preserve">); </w:t>
      </w:r>
      <w:r w:rsidRPr="0081087D">
        <w:rPr>
          <w:i/>
        </w:rPr>
        <w:t>Popowsky v. Pa. Pub. Util. Comm’n</w:t>
      </w:r>
      <w:r>
        <w:t>, 869 A.2d 1144 (Pa.Cmwlth. 2004)</w:t>
      </w:r>
      <w:r w:rsidR="00CB17D2">
        <w:t xml:space="preserve"> </w:t>
      </w:r>
      <w:r>
        <w:t>(</w:t>
      </w:r>
      <w:r w:rsidRPr="0081087D">
        <w:rPr>
          <w:i/>
        </w:rPr>
        <w:t>Pa. American</w:t>
      </w:r>
      <w:r>
        <w:t>).</w:t>
      </w:r>
    </w:p>
    <w:p w:rsidR="00CB17D2" w:rsidRPr="003D6C21" w:rsidRDefault="00CB17D2" w:rsidP="001E0165">
      <w:pPr>
        <w:pStyle w:val="FootnoteText"/>
      </w:pPr>
    </w:p>
  </w:footnote>
  <w:footnote w:id="31">
    <w:p w:rsidR="007D1B6D" w:rsidRDefault="007D1B6D" w:rsidP="001E0165">
      <w:pPr>
        <w:pStyle w:val="FootnoteText"/>
      </w:pPr>
      <w:r>
        <w:rPr>
          <w:rStyle w:val="FootnoteReference"/>
        </w:rPr>
        <w:footnoteRef/>
      </w:r>
      <w:r>
        <w:t xml:space="preserve">  </w:t>
      </w:r>
      <w:r>
        <w:tab/>
      </w:r>
      <w:proofErr w:type="gramStart"/>
      <w:r w:rsidRPr="0081087D">
        <w:rPr>
          <w:i/>
        </w:rPr>
        <w:t>Masthope Rapids Pro</w:t>
      </w:r>
      <w:r w:rsidR="002A51FD">
        <w:rPr>
          <w:i/>
        </w:rPr>
        <w:t>perty Owners Council v. Pa. Pub</w:t>
      </w:r>
      <w:r w:rsidRPr="0081087D">
        <w:rPr>
          <w:i/>
        </w:rPr>
        <w:t>.</w:t>
      </w:r>
      <w:proofErr w:type="gramEnd"/>
      <w:r w:rsidRPr="0081087D">
        <w:rPr>
          <w:i/>
        </w:rPr>
        <w:t xml:space="preserve"> Util. Comm’n</w:t>
      </w:r>
      <w:r>
        <w:t>, 581 A.2d 994, 1000 (Pa</w:t>
      </w:r>
      <w:r w:rsidR="00CB17D2">
        <w:t>.</w:t>
      </w:r>
      <w:r>
        <w:t>Cmwlth. 1990).</w:t>
      </w:r>
    </w:p>
    <w:p w:rsidR="00856007" w:rsidRPr="00E903C3" w:rsidRDefault="00856007" w:rsidP="001E0165">
      <w:pPr>
        <w:pStyle w:val="FootnoteText"/>
      </w:pPr>
    </w:p>
  </w:footnote>
  <w:footnote w:id="32">
    <w:p w:rsidR="007D1B6D" w:rsidRDefault="007D1B6D" w:rsidP="001E0165">
      <w:pPr>
        <w:pStyle w:val="FootnoteText"/>
      </w:pPr>
      <w:r>
        <w:rPr>
          <w:rStyle w:val="FootnoteReference"/>
        </w:rPr>
        <w:footnoteRef/>
      </w:r>
      <w:r>
        <w:t xml:space="preserve">  </w:t>
      </w:r>
      <w:r>
        <w:tab/>
        <w:t xml:space="preserve">66 Pa.C.S. § 1307(e); </w:t>
      </w:r>
      <w:r>
        <w:rPr>
          <w:i/>
        </w:rPr>
        <w:t>Pa. Industr</w:t>
      </w:r>
      <w:r w:rsidR="002A51FD">
        <w:rPr>
          <w:i/>
        </w:rPr>
        <w:t>ial Energy Coalition v. Pa. Pub</w:t>
      </w:r>
      <w:r>
        <w:rPr>
          <w:i/>
        </w:rPr>
        <w:t xml:space="preserve">. Util. Comm’n, </w:t>
      </w:r>
      <w:r>
        <w:t xml:space="preserve">653 A.2d 1336 (Pa.Cmwlth. 1995), </w:t>
      </w:r>
      <w:r>
        <w:rPr>
          <w:i/>
        </w:rPr>
        <w:t>affirmed per curium,</w:t>
      </w:r>
      <w:r>
        <w:t xml:space="preserve"> 670 A.2d 1152 (Pa. 1996)</w:t>
      </w:r>
      <w:r w:rsidR="00CB17D2">
        <w:t xml:space="preserve"> </w:t>
      </w:r>
      <w:r>
        <w:t>(</w:t>
      </w:r>
      <w:r>
        <w:rPr>
          <w:i/>
        </w:rPr>
        <w:t>PIEC</w:t>
      </w:r>
      <w:r>
        <w:t>).</w:t>
      </w:r>
    </w:p>
    <w:p w:rsidR="00CB17D2" w:rsidRPr="008C0625" w:rsidRDefault="00CB17D2" w:rsidP="001E0165">
      <w:pPr>
        <w:pStyle w:val="FootnoteText"/>
      </w:pPr>
    </w:p>
  </w:footnote>
  <w:footnote w:id="33">
    <w:p w:rsidR="007D1B6D" w:rsidRDefault="007D1B6D" w:rsidP="001E0165">
      <w:pPr>
        <w:pStyle w:val="FootnoteText"/>
      </w:pPr>
      <w:r>
        <w:rPr>
          <w:rStyle w:val="FootnoteReference"/>
        </w:rPr>
        <w:footnoteRef/>
      </w:r>
      <w:r>
        <w:t xml:space="preserve">  </w:t>
      </w:r>
      <w:r>
        <w:tab/>
      </w:r>
      <w:r w:rsidRPr="0081087D">
        <w:rPr>
          <w:i/>
        </w:rPr>
        <w:t>Pa. American; PIEC</w:t>
      </w:r>
      <w:r>
        <w:t>.</w:t>
      </w:r>
    </w:p>
    <w:p w:rsidR="00CB17D2" w:rsidRPr="008C0625" w:rsidRDefault="00CB17D2" w:rsidP="001E0165">
      <w:pPr>
        <w:pStyle w:val="FootnoteText"/>
      </w:pPr>
    </w:p>
  </w:footnote>
  <w:footnote w:id="34">
    <w:p w:rsidR="007D1B6D" w:rsidRDefault="007D1B6D" w:rsidP="001E0165">
      <w:pPr>
        <w:pStyle w:val="FootnoteText"/>
      </w:pPr>
      <w:r>
        <w:rPr>
          <w:rStyle w:val="FootnoteReference"/>
        </w:rPr>
        <w:footnoteRef/>
      </w:r>
      <w:r>
        <w:t xml:space="preserve">  </w:t>
      </w:r>
      <w:r>
        <w:tab/>
      </w:r>
      <w:r w:rsidRPr="0081087D">
        <w:rPr>
          <w:i/>
        </w:rPr>
        <w:t>Re Pennsylvania-American Water Company</w:t>
      </w:r>
      <w:r>
        <w:t>, 86 Pa. PUC 415 (1996).</w:t>
      </w:r>
    </w:p>
    <w:p w:rsidR="00CB17D2" w:rsidRPr="00D639AB" w:rsidRDefault="00CB17D2" w:rsidP="001E0165">
      <w:pPr>
        <w:pStyle w:val="FootnoteText"/>
      </w:pPr>
    </w:p>
  </w:footnote>
  <w:footnote w:id="35">
    <w:p w:rsidR="007D1B6D" w:rsidRDefault="007D1B6D" w:rsidP="001E0165">
      <w:pPr>
        <w:pStyle w:val="FootnoteText"/>
      </w:pPr>
      <w:r w:rsidRPr="00620372">
        <w:rPr>
          <w:rStyle w:val="FootnoteReference"/>
        </w:rPr>
        <w:footnoteRef/>
      </w:r>
      <w:r w:rsidRPr="00620372">
        <w:t xml:space="preserve">  </w:t>
      </w:r>
      <w:r w:rsidRPr="00620372">
        <w:tab/>
        <w:t>Act 156 of December 18, 1996, P.L. 1061, 66 Pa.C.S. § 1307(g).</w:t>
      </w:r>
    </w:p>
    <w:p w:rsidR="00CB17D2" w:rsidRPr="00620372" w:rsidRDefault="00CB17D2" w:rsidP="001E0165">
      <w:pPr>
        <w:pStyle w:val="FootnoteText"/>
      </w:pPr>
    </w:p>
  </w:footnote>
  <w:footnote w:id="36">
    <w:p w:rsidR="007D1B6D" w:rsidRPr="00620372" w:rsidRDefault="007D1B6D" w:rsidP="001E0165">
      <w:pPr>
        <w:pStyle w:val="FootnoteText"/>
      </w:pPr>
      <w:r w:rsidRPr="00620372">
        <w:rPr>
          <w:rStyle w:val="FootnoteReference"/>
        </w:rPr>
        <w:footnoteRef/>
      </w:r>
      <w:r w:rsidRPr="00620372">
        <w:t xml:space="preserve"> </w:t>
      </w:r>
      <w:r w:rsidRPr="00620372">
        <w:tab/>
        <w:t>Act 11 of February 14, 2012, P.L. 72.</w:t>
      </w:r>
    </w:p>
  </w:footnote>
  <w:footnote w:id="37">
    <w:p w:rsidR="007D1B6D" w:rsidRDefault="007D1B6D" w:rsidP="001E0165">
      <w:pPr>
        <w:pStyle w:val="FootnoteText"/>
      </w:pPr>
      <w:r w:rsidRPr="00620372">
        <w:rPr>
          <w:rStyle w:val="FootnoteReference"/>
        </w:rPr>
        <w:footnoteRef/>
      </w:r>
      <w:r w:rsidRPr="00620372">
        <w:t xml:space="preserve">  </w:t>
      </w:r>
      <w:r w:rsidRPr="00620372">
        <w:tab/>
        <w:t>66 Pa.C.S. § 1358(a)(2).</w:t>
      </w:r>
    </w:p>
    <w:p w:rsidR="00FE6893" w:rsidRPr="00620372" w:rsidRDefault="00FE6893" w:rsidP="001E0165">
      <w:pPr>
        <w:pStyle w:val="FootnoteText"/>
      </w:pPr>
    </w:p>
  </w:footnote>
  <w:footnote w:id="38">
    <w:p w:rsidR="007D1B6D" w:rsidRDefault="007D1B6D" w:rsidP="001E0165">
      <w:pPr>
        <w:pStyle w:val="FootnoteText"/>
      </w:pPr>
      <w:r w:rsidRPr="00CB5CA2">
        <w:rPr>
          <w:rStyle w:val="FootnoteReference"/>
        </w:rPr>
        <w:footnoteRef/>
      </w:r>
      <w:r w:rsidRPr="00CB5CA2">
        <w:t xml:space="preserve">  </w:t>
      </w:r>
      <w:r w:rsidRPr="00CB5CA2">
        <w:tab/>
      </w:r>
      <w:r w:rsidRPr="00CB5CA2">
        <w:rPr>
          <w:i/>
        </w:rPr>
        <w:t xml:space="preserve">See PIEC, </w:t>
      </w:r>
      <w:r w:rsidRPr="00CB5CA2">
        <w:t>653 A.2d at 1348-49.</w:t>
      </w:r>
    </w:p>
    <w:p w:rsidR="00FE6893" w:rsidRPr="00CB5CA2" w:rsidRDefault="00FE6893" w:rsidP="001E0165">
      <w:pPr>
        <w:pStyle w:val="FootnoteText"/>
      </w:pPr>
    </w:p>
  </w:footnote>
  <w:footnote w:id="39">
    <w:p w:rsidR="00FE6893" w:rsidRDefault="007D1B6D" w:rsidP="001E0165">
      <w:pPr>
        <w:pStyle w:val="FootnoteText"/>
      </w:pPr>
      <w:r>
        <w:rPr>
          <w:rStyle w:val="FootnoteReference"/>
        </w:rPr>
        <w:footnoteRef/>
      </w:r>
      <w:r>
        <w:t xml:space="preserve">  </w:t>
      </w:r>
      <w:r>
        <w:tab/>
        <w:t xml:space="preserve">66 Pa.C.S. § 1301. </w:t>
      </w:r>
    </w:p>
    <w:p w:rsidR="007D1B6D" w:rsidRDefault="007D1B6D" w:rsidP="001E0165">
      <w:pPr>
        <w:pStyle w:val="FootnoteText"/>
      </w:pPr>
      <w:r>
        <w:t xml:space="preserve"> </w:t>
      </w:r>
    </w:p>
  </w:footnote>
  <w:footnote w:id="40">
    <w:p w:rsidR="007D1B6D" w:rsidRDefault="007D1B6D" w:rsidP="001E0165">
      <w:pPr>
        <w:pStyle w:val="FootnoteText"/>
      </w:pPr>
      <w:r>
        <w:rPr>
          <w:rStyle w:val="FootnoteReference"/>
        </w:rPr>
        <w:footnoteRef/>
      </w:r>
      <w:r>
        <w:t xml:space="preserve">  </w:t>
      </w:r>
      <w:r>
        <w:tab/>
        <w:t>488 US 299 (1989) (</w:t>
      </w:r>
      <w:r w:rsidRPr="00D70E39">
        <w:rPr>
          <w:i/>
        </w:rPr>
        <w:t>Barasch</w:t>
      </w:r>
      <w:r>
        <w:t>).</w:t>
      </w:r>
    </w:p>
    <w:p w:rsidR="00FE6893" w:rsidRDefault="00FE6893" w:rsidP="001E0165">
      <w:pPr>
        <w:pStyle w:val="FootnoteText"/>
      </w:pPr>
    </w:p>
  </w:footnote>
  <w:footnote w:id="41">
    <w:p w:rsidR="007D1B6D" w:rsidRDefault="007D1B6D" w:rsidP="001E0165">
      <w:pPr>
        <w:pStyle w:val="FootnoteText"/>
      </w:pPr>
      <w:r>
        <w:rPr>
          <w:rStyle w:val="FootnoteReference"/>
        </w:rPr>
        <w:footnoteRef/>
      </w:r>
      <w:r>
        <w:t xml:space="preserve">  </w:t>
      </w:r>
      <w:r>
        <w:tab/>
      </w:r>
      <w:r w:rsidRPr="00D70E39">
        <w:rPr>
          <w:i/>
        </w:rPr>
        <w:t>Id.</w:t>
      </w:r>
      <w:r>
        <w:t xml:space="preserve"> at 314.</w:t>
      </w:r>
    </w:p>
    <w:p w:rsidR="00FC1759" w:rsidRDefault="00FC1759" w:rsidP="001E0165">
      <w:pPr>
        <w:pStyle w:val="FootnoteText"/>
      </w:pPr>
    </w:p>
  </w:footnote>
  <w:footnote w:id="42">
    <w:p w:rsidR="007D1B6D" w:rsidRDefault="007D1B6D" w:rsidP="001E0165">
      <w:pPr>
        <w:pStyle w:val="FootnoteText"/>
      </w:pPr>
      <w:r>
        <w:rPr>
          <w:rStyle w:val="FootnoteReference"/>
        </w:rPr>
        <w:footnoteRef/>
      </w:r>
      <w:r>
        <w:t xml:space="preserve">  </w:t>
      </w:r>
      <w:r>
        <w:tab/>
      </w:r>
      <w:r w:rsidRPr="00F40901">
        <w:rPr>
          <w:i/>
        </w:rPr>
        <w:t>Id</w:t>
      </w:r>
      <w:r>
        <w:t>.</w:t>
      </w:r>
    </w:p>
    <w:p w:rsidR="00F40901" w:rsidRPr="00D70E39" w:rsidRDefault="00F40901" w:rsidP="001E0165">
      <w:pPr>
        <w:pStyle w:val="FootnoteText"/>
      </w:pPr>
    </w:p>
  </w:footnote>
  <w:footnote w:id="43">
    <w:p w:rsidR="007D1B6D" w:rsidRDefault="007D1B6D" w:rsidP="001E0165">
      <w:pPr>
        <w:pStyle w:val="FootnoteText"/>
      </w:pPr>
      <w:r>
        <w:rPr>
          <w:rStyle w:val="FootnoteReference"/>
        </w:rPr>
        <w:footnoteRef/>
      </w:r>
      <w:r>
        <w:t xml:space="preserve">  </w:t>
      </w:r>
      <w:r>
        <w:tab/>
      </w:r>
      <w:r>
        <w:rPr>
          <w:i/>
        </w:rPr>
        <w:t>Popowsky v. Pa. Pub. Util. Comm’n</w:t>
      </w:r>
      <w:r w:rsidRPr="00C63471">
        <w:t>, 683 A.2d 958</w:t>
      </w:r>
      <w:r>
        <w:t>, 961</w:t>
      </w:r>
      <w:r w:rsidR="00856007">
        <w:t xml:space="preserve"> (Pa.</w:t>
      </w:r>
      <w:r w:rsidRPr="00C63471">
        <w:t>Cmwlth.</w:t>
      </w:r>
      <w:r>
        <w:t xml:space="preserve"> Ct. 1996) (</w:t>
      </w:r>
      <w:r w:rsidRPr="00C63471">
        <w:rPr>
          <w:i/>
        </w:rPr>
        <w:t>Equitable</w:t>
      </w:r>
      <w:r w:rsidR="00A075E1">
        <w:t xml:space="preserve">).  Indeed, </w:t>
      </w:r>
      <w:r>
        <w:t xml:space="preserve">this is the notion which underlies OCA’s advocacy for and the Commission’s approval of, black box settlements in base rate cases where the Commission approves a settlement based on the overall rate agreed to by the parties without scrutinizing every element of its calculation.  </w:t>
      </w:r>
      <w:r w:rsidR="00A075E1">
        <w:rPr>
          <w:i/>
        </w:rPr>
        <w:t xml:space="preserve">See e.g., </w:t>
      </w:r>
      <w:r w:rsidRPr="005D5634">
        <w:rPr>
          <w:i/>
        </w:rPr>
        <w:t xml:space="preserve">Pub. Util. Comm’n v. Peoples TWP, LLC, </w:t>
      </w:r>
      <w:r w:rsidRPr="005D5634">
        <w:t>PUC Docket No. R-2013-2355886 (Opinion and Order entered December 19, 2013), slip op. at 27.</w:t>
      </w:r>
    </w:p>
    <w:p w:rsidR="00F40901" w:rsidRPr="005D5634" w:rsidRDefault="00F40901" w:rsidP="001E0165">
      <w:pPr>
        <w:pStyle w:val="FootnoteText"/>
      </w:pPr>
    </w:p>
  </w:footnote>
  <w:footnote w:id="44">
    <w:p w:rsidR="007D1B6D" w:rsidRPr="00C16EE8" w:rsidRDefault="007D1B6D" w:rsidP="001E0165">
      <w:pPr>
        <w:pStyle w:val="FootnoteText"/>
        <w:rPr>
          <w:i/>
        </w:rPr>
      </w:pPr>
      <w:r>
        <w:rPr>
          <w:rStyle w:val="FootnoteReference"/>
        </w:rPr>
        <w:footnoteRef/>
      </w:r>
      <w:r>
        <w:t xml:space="preserve">  </w:t>
      </w:r>
      <w:r>
        <w:tab/>
      </w:r>
      <w:r>
        <w:rPr>
          <w:i/>
        </w:rPr>
        <w:t xml:space="preserve">See Department of Environmental Resources v. Rushton Mining Co., </w:t>
      </w:r>
      <w:r w:rsidR="00A075E1">
        <w:t>591 A.2d 1168 (Pa.</w:t>
      </w:r>
      <w:r w:rsidRPr="00F3623A">
        <w:t>Cmwlth. 1990)</w:t>
      </w:r>
      <w:r w:rsidR="00A075E1">
        <w:t xml:space="preserve"> </w:t>
      </w:r>
      <w:r>
        <w:t>(agency policy which rises to the level of a “binding norm” must be promulgated as a regulation in accordance with the Commonwealth Documents Law).</w:t>
      </w:r>
    </w:p>
  </w:footnote>
  <w:footnote w:id="45">
    <w:p w:rsidR="007D1B6D" w:rsidRDefault="007D1B6D" w:rsidP="001E0165">
      <w:pPr>
        <w:pStyle w:val="FootnoteText"/>
      </w:pPr>
      <w:r>
        <w:rPr>
          <w:rStyle w:val="FootnoteReference"/>
        </w:rPr>
        <w:footnoteRef/>
      </w:r>
      <w:r>
        <w:t xml:space="preserve"> </w:t>
      </w:r>
      <w:r>
        <w:tab/>
      </w:r>
      <w:proofErr w:type="gramStart"/>
      <w:r w:rsidRPr="001E0165">
        <w:rPr>
          <w:i/>
        </w:rPr>
        <w:t>Final Implementation Order</w:t>
      </w:r>
      <w:r>
        <w:t xml:space="preserve"> at 39.</w:t>
      </w:r>
      <w:proofErr w:type="gramEnd"/>
    </w:p>
    <w:p w:rsidR="00F40901" w:rsidRPr="00C538B5" w:rsidRDefault="00F40901" w:rsidP="001E0165">
      <w:pPr>
        <w:pStyle w:val="FootnoteText"/>
      </w:pPr>
    </w:p>
  </w:footnote>
  <w:footnote w:id="46">
    <w:p w:rsidR="00F40901" w:rsidRDefault="007D1B6D" w:rsidP="001E0165">
      <w:pPr>
        <w:pStyle w:val="FootnoteText"/>
      </w:pPr>
      <w:r>
        <w:rPr>
          <w:rStyle w:val="FootnoteReference"/>
        </w:rPr>
        <w:footnoteRef/>
      </w:r>
      <w:r>
        <w:t xml:space="preserve">  </w:t>
      </w:r>
      <w:r>
        <w:tab/>
      </w:r>
      <w:r w:rsidRPr="001E0165">
        <w:rPr>
          <w:i/>
        </w:rPr>
        <w:t>Equitable; PIEC</w:t>
      </w:r>
      <w:r>
        <w:t>.</w:t>
      </w:r>
    </w:p>
    <w:p w:rsidR="007D1B6D" w:rsidRDefault="007D1B6D" w:rsidP="001E0165">
      <w:pPr>
        <w:pStyle w:val="FootnoteText"/>
      </w:pPr>
      <w:r>
        <w:tab/>
      </w:r>
    </w:p>
  </w:footnote>
  <w:footnote w:id="47">
    <w:p w:rsidR="00F40901" w:rsidRDefault="007D1B6D" w:rsidP="001E0165">
      <w:pPr>
        <w:pStyle w:val="FootnoteText"/>
      </w:pPr>
      <w:r>
        <w:rPr>
          <w:rStyle w:val="FootnoteReference"/>
        </w:rPr>
        <w:footnoteRef/>
      </w:r>
      <w:r>
        <w:t xml:space="preserve"> </w:t>
      </w:r>
      <w:r>
        <w:tab/>
        <w:t>Peoples TWP St. 3-R at 4.</w:t>
      </w:r>
    </w:p>
    <w:p w:rsidR="007D1B6D" w:rsidRDefault="007D1B6D" w:rsidP="001E0165">
      <w:pPr>
        <w:pStyle w:val="FootnoteText"/>
      </w:pPr>
      <w:r>
        <w:t xml:space="preserve">  </w:t>
      </w:r>
    </w:p>
  </w:footnote>
  <w:footnote w:id="48">
    <w:p w:rsidR="007D1B6D" w:rsidRDefault="007D1B6D" w:rsidP="001E0165">
      <w:pPr>
        <w:pStyle w:val="FootnoteText"/>
      </w:pPr>
      <w:r>
        <w:rPr>
          <w:rStyle w:val="FootnoteReference"/>
        </w:rPr>
        <w:footnoteRef/>
      </w:r>
      <w:r>
        <w:t xml:space="preserve">  </w:t>
      </w:r>
      <w:r>
        <w:tab/>
        <w:t xml:space="preserve">OCA St. </w:t>
      </w:r>
      <w:r w:rsidR="00F42F01">
        <w:t>1</w:t>
      </w:r>
      <w:r>
        <w:t xml:space="preserve"> </w:t>
      </w:r>
      <w:r w:rsidR="00F42F01">
        <w:t>at</w:t>
      </w:r>
      <w:r>
        <w:t xml:space="preserve"> 11; Peoples St. 3-R at 4.</w:t>
      </w:r>
    </w:p>
    <w:p w:rsidR="00F40901" w:rsidRDefault="00F40901" w:rsidP="001E0165">
      <w:pPr>
        <w:pStyle w:val="FootnoteText"/>
      </w:pPr>
    </w:p>
  </w:footnote>
  <w:footnote w:id="49">
    <w:p w:rsidR="007D1B6D" w:rsidRDefault="007D1B6D" w:rsidP="001E0165">
      <w:pPr>
        <w:pStyle w:val="FootnoteText"/>
        <w:rPr>
          <w:i/>
        </w:rPr>
      </w:pPr>
      <w:r>
        <w:rPr>
          <w:rStyle w:val="FootnoteReference"/>
        </w:rPr>
        <w:footnoteRef/>
      </w:r>
      <w:r>
        <w:t xml:space="preserve">  </w:t>
      </w:r>
      <w:r>
        <w:tab/>
      </w:r>
      <w:r>
        <w:rPr>
          <w:i/>
        </w:rPr>
        <w:t>Id.</w:t>
      </w:r>
    </w:p>
    <w:p w:rsidR="00F40901" w:rsidRPr="00FC6A8E" w:rsidRDefault="00F40901" w:rsidP="001E0165">
      <w:pPr>
        <w:pStyle w:val="FootnoteText"/>
      </w:pPr>
    </w:p>
  </w:footnote>
  <w:footnote w:id="50">
    <w:p w:rsidR="007D1B6D" w:rsidRDefault="007D1B6D" w:rsidP="001E0165">
      <w:pPr>
        <w:pStyle w:val="FootnoteText"/>
      </w:pPr>
      <w:r>
        <w:rPr>
          <w:rStyle w:val="FootnoteReference"/>
        </w:rPr>
        <w:footnoteRef/>
      </w:r>
      <w:r>
        <w:t xml:space="preserve">  </w:t>
      </w:r>
      <w:r>
        <w:tab/>
        <w:t>OCA St. 1 at 10.</w:t>
      </w:r>
    </w:p>
    <w:p w:rsidR="00F40901" w:rsidRDefault="00F40901" w:rsidP="001E0165">
      <w:pPr>
        <w:pStyle w:val="FootnoteText"/>
      </w:pPr>
    </w:p>
  </w:footnote>
  <w:footnote w:id="51">
    <w:p w:rsidR="007D1B6D" w:rsidRDefault="007D1B6D" w:rsidP="001E0165">
      <w:pPr>
        <w:pStyle w:val="FootnoteText"/>
      </w:pPr>
      <w:r>
        <w:rPr>
          <w:rStyle w:val="FootnoteReference"/>
        </w:rPr>
        <w:footnoteRef/>
      </w:r>
      <w:r>
        <w:t xml:space="preserve">  </w:t>
      </w:r>
      <w:r>
        <w:tab/>
        <w:t>OCA Reply Brief at 21.</w:t>
      </w:r>
    </w:p>
    <w:p w:rsidR="00F40901" w:rsidRDefault="00F40901" w:rsidP="001E0165">
      <w:pPr>
        <w:pStyle w:val="FootnoteText"/>
      </w:pPr>
    </w:p>
  </w:footnote>
  <w:footnote w:id="52">
    <w:p w:rsidR="00F40901" w:rsidRDefault="007D1B6D" w:rsidP="001E0165">
      <w:pPr>
        <w:pStyle w:val="FootnoteText"/>
      </w:pPr>
      <w:r>
        <w:rPr>
          <w:rStyle w:val="FootnoteReference"/>
        </w:rPr>
        <w:footnoteRef/>
      </w:r>
      <w:r>
        <w:t xml:space="preserve">  </w:t>
      </w:r>
      <w:r>
        <w:tab/>
        <w:t>Peoples TWP Exhibit APW-1S.</w:t>
      </w:r>
    </w:p>
    <w:p w:rsidR="007D1B6D" w:rsidRDefault="007D1B6D" w:rsidP="001E0165">
      <w:pPr>
        <w:pStyle w:val="FootnoteText"/>
      </w:pPr>
      <w:r>
        <w:t xml:space="preserve">  </w:t>
      </w:r>
    </w:p>
  </w:footnote>
  <w:footnote w:id="53">
    <w:p w:rsidR="007D1B6D" w:rsidRDefault="007D1B6D" w:rsidP="001E0165">
      <w:pPr>
        <w:pStyle w:val="FootnoteText"/>
      </w:pPr>
      <w:r>
        <w:rPr>
          <w:rStyle w:val="FootnoteReference"/>
        </w:rPr>
        <w:footnoteRef/>
      </w:r>
      <w:r>
        <w:t xml:space="preserve">  </w:t>
      </w:r>
      <w:r>
        <w:tab/>
        <w:t>Peoples TWP St. 3-R at 10.</w:t>
      </w:r>
    </w:p>
    <w:p w:rsidR="00FC1759" w:rsidRDefault="00FC1759" w:rsidP="001E0165">
      <w:pPr>
        <w:pStyle w:val="FootnoteText"/>
      </w:pPr>
    </w:p>
  </w:footnote>
  <w:footnote w:id="54">
    <w:p w:rsidR="007D1B6D" w:rsidRDefault="007D1B6D" w:rsidP="001E0165">
      <w:pPr>
        <w:pStyle w:val="FootnoteText"/>
      </w:pPr>
      <w:r w:rsidRPr="00B57472">
        <w:rPr>
          <w:rStyle w:val="FootnoteReference"/>
        </w:rPr>
        <w:footnoteRef/>
      </w:r>
      <w:r w:rsidRPr="00B57472">
        <w:t xml:space="preserve"> </w:t>
      </w:r>
      <w:r>
        <w:tab/>
        <w:t>Peoples TWP St. 1-R at 12</w:t>
      </w:r>
      <w:r w:rsidRPr="00736BE1">
        <w:t>.</w:t>
      </w:r>
      <w:r w:rsidRPr="007B7443">
        <w:t xml:space="preserve">  </w:t>
      </w:r>
    </w:p>
    <w:p w:rsidR="007D1B6D" w:rsidRPr="007B7443" w:rsidRDefault="007D1B6D" w:rsidP="001E0165">
      <w:pPr>
        <w:pStyle w:val="FootnoteText"/>
      </w:pPr>
    </w:p>
  </w:footnote>
  <w:footnote w:id="55">
    <w:p w:rsidR="007D1B6D" w:rsidRDefault="007D1B6D" w:rsidP="001E0165">
      <w:pPr>
        <w:pStyle w:val="FootnoteText"/>
      </w:pPr>
      <w:r>
        <w:rPr>
          <w:rStyle w:val="FootnoteReference"/>
        </w:rPr>
        <w:footnoteRef/>
      </w:r>
      <w:r>
        <w:t xml:space="preserve">  </w:t>
      </w:r>
      <w:r>
        <w:tab/>
      </w:r>
      <w:r w:rsidRPr="00971AD2">
        <w:rPr>
          <w:i/>
        </w:rPr>
        <w:t>Barasch v. Pa. Pub. Util. Comm’n</w:t>
      </w:r>
      <w:r>
        <w:t xml:space="preserve">, </w:t>
      </w:r>
      <w:r w:rsidRPr="00736BE1">
        <w:t xml:space="preserve">491 </w:t>
      </w:r>
      <w:r>
        <w:t>A.2d 94</w:t>
      </w:r>
      <w:r w:rsidR="00971AD2">
        <w:t xml:space="preserve"> </w:t>
      </w:r>
      <w:r>
        <w:t>(Pa. 1985)</w:t>
      </w:r>
      <w:r w:rsidR="00971AD2">
        <w:t xml:space="preserve"> </w:t>
      </w:r>
      <w:r>
        <w:t>(</w:t>
      </w:r>
      <w:r w:rsidRPr="0081087D">
        <w:rPr>
          <w:i/>
        </w:rPr>
        <w:t>Penn Power</w:t>
      </w:r>
      <w:r>
        <w:t>)</w:t>
      </w:r>
      <w:r w:rsidRPr="00736BE1">
        <w:t>.</w:t>
      </w:r>
    </w:p>
    <w:p w:rsidR="00FC1759" w:rsidRDefault="00FC1759" w:rsidP="001E0165">
      <w:pPr>
        <w:pStyle w:val="FootnoteText"/>
      </w:pPr>
    </w:p>
  </w:footnote>
  <w:footnote w:id="56">
    <w:p w:rsidR="007D1B6D" w:rsidRDefault="007D1B6D" w:rsidP="001E0165">
      <w:pPr>
        <w:pStyle w:val="FootnoteText"/>
      </w:pPr>
      <w:r>
        <w:rPr>
          <w:rStyle w:val="FootnoteReference"/>
        </w:rPr>
        <w:footnoteRef/>
      </w:r>
      <w:r>
        <w:t xml:space="preserve">  </w:t>
      </w:r>
      <w:r>
        <w:tab/>
        <w:t>OCA Main Brief at 28.</w:t>
      </w:r>
    </w:p>
    <w:p w:rsidR="00EA75B9" w:rsidRDefault="00EA75B9" w:rsidP="001E0165">
      <w:pPr>
        <w:pStyle w:val="FootnoteText"/>
      </w:pPr>
    </w:p>
  </w:footnote>
  <w:footnote w:id="57">
    <w:p w:rsidR="007D1B6D" w:rsidRDefault="007D1B6D" w:rsidP="001E0165">
      <w:pPr>
        <w:pStyle w:val="FootnoteText"/>
      </w:pPr>
      <w:r>
        <w:rPr>
          <w:rStyle w:val="FootnoteReference"/>
        </w:rPr>
        <w:footnoteRef/>
      </w:r>
      <w:r>
        <w:t xml:space="preserve"> </w:t>
      </w:r>
      <w:r>
        <w:tab/>
      </w:r>
      <w:proofErr w:type="gramStart"/>
      <w:r w:rsidRPr="0081087D">
        <w:rPr>
          <w:i/>
        </w:rPr>
        <w:t>Penn Power</w:t>
      </w:r>
      <w:r>
        <w:t>.</w:t>
      </w:r>
      <w:proofErr w:type="gramEnd"/>
    </w:p>
    <w:p w:rsidR="00EA75B9" w:rsidRPr="00223C09" w:rsidRDefault="00EA75B9" w:rsidP="001E0165">
      <w:pPr>
        <w:pStyle w:val="FootnoteText"/>
      </w:pPr>
    </w:p>
  </w:footnote>
  <w:footnote w:id="58">
    <w:p w:rsidR="007D1B6D" w:rsidRDefault="007D1B6D" w:rsidP="001E0165">
      <w:pPr>
        <w:pStyle w:val="FootnoteText"/>
      </w:pPr>
      <w:r>
        <w:rPr>
          <w:rStyle w:val="FootnoteReference"/>
        </w:rPr>
        <w:footnoteRef/>
      </w:r>
      <w:r>
        <w:t xml:space="preserve">  </w:t>
      </w:r>
      <w:r>
        <w:tab/>
        <w:t>Peoples TWP St. 3-R at 9.</w:t>
      </w:r>
    </w:p>
    <w:p w:rsidR="00483B21" w:rsidRDefault="00483B21" w:rsidP="001E0165">
      <w:pPr>
        <w:pStyle w:val="FootnoteText"/>
      </w:pPr>
    </w:p>
  </w:footnote>
  <w:footnote w:id="59">
    <w:p w:rsidR="000668BB" w:rsidRDefault="007D1B6D" w:rsidP="001E0165">
      <w:pPr>
        <w:pStyle w:val="FootnoteText"/>
      </w:pPr>
      <w:r>
        <w:rPr>
          <w:rStyle w:val="FootnoteReference"/>
        </w:rPr>
        <w:footnoteRef/>
      </w:r>
      <w:r>
        <w:t xml:space="preserve">  </w:t>
      </w:r>
      <w:r>
        <w:tab/>
      </w:r>
      <w:r w:rsidRPr="0080770A">
        <w:rPr>
          <w:i/>
        </w:rPr>
        <w:t>Id.</w:t>
      </w:r>
      <w:r>
        <w:t xml:space="preserve"> at </w:t>
      </w:r>
      <w:r w:rsidRPr="002234FF">
        <w:t>10</w:t>
      </w:r>
      <w:r>
        <w:t>.</w:t>
      </w:r>
    </w:p>
    <w:p w:rsidR="00FC1759" w:rsidRDefault="00FC1759" w:rsidP="001E0165">
      <w:pPr>
        <w:pStyle w:val="FootnoteText"/>
      </w:pPr>
    </w:p>
  </w:footnote>
  <w:footnote w:id="60">
    <w:p w:rsidR="007D1B6D" w:rsidRDefault="007D1B6D" w:rsidP="001E0165">
      <w:pPr>
        <w:pStyle w:val="FootnoteText"/>
      </w:pPr>
      <w:r>
        <w:rPr>
          <w:rStyle w:val="FootnoteReference"/>
        </w:rPr>
        <w:footnoteRef/>
      </w:r>
      <w:r w:rsidR="00E52412">
        <w:t xml:space="preserve"> </w:t>
      </w:r>
      <w:r w:rsidR="00E52412">
        <w:tab/>
      </w:r>
      <w:r w:rsidRPr="0080770A">
        <w:rPr>
          <w:i/>
        </w:rPr>
        <w:t>Id</w:t>
      </w:r>
      <w:r>
        <w:t xml:space="preserve">. at </w:t>
      </w:r>
      <w:r w:rsidRPr="002234FF">
        <w:t>9-10</w:t>
      </w:r>
      <w:r>
        <w:t>.</w:t>
      </w:r>
    </w:p>
    <w:p w:rsidR="00EA75B9" w:rsidRDefault="00EA75B9" w:rsidP="001E0165">
      <w:pPr>
        <w:pStyle w:val="FootnoteText"/>
      </w:pPr>
    </w:p>
  </w:footnote>
  <w:footnote w:id="61">
    <w:p w:rsidR="007D1B6D" w:rsidRDefault="007D1B6D" w:rsidP="001E0165">
      <w:pPr>
        <w:pStyle w:val="FootnoteText"/>
      </w:pPr>
      <w:r>
        <w:rPr>
          <w:rStyle w:val="FootnoteReference"/>
        </w:rPr>
        <w:footnoteRef/>
      </w:r>
      <w:r>
        <w:t xml:space="preserve">  </w:t>
      </w:r>
      <w:r>
        <w:tab/>
        <w:t>Peoples TWP St. 1-R at 12.</w:t>
      </w:r>
    </w:p>
    <w:p w:rsidR="00EA75B9" w:rsidRDefault="00EA75B9" w:rsidP="001E0165">
      <w:pPr>
        <w:pStyle w:val="FootnoteText"/>
      </w:pPr>
    </w:p>
  </w:footnote>
  <w:footnote w:id="62">
    <w:p w:rsidR="007D1B6D" w:rsidRDefault="007D1B6D" w:rsidP="001E0165">
      <w:pPr>
        <w:pStyle w:val="FootnoteText"/>
      </w:pPr>
      <w:r>
        <w:rPr>
          <w:rStyle w:val="FootnoteReference"/>
        </w:rPr>
        <w:footnoteRef/>
      </w:r>
      <w:r>
        <w:t xml:space="preserve">  </w:t>
      </w:r>
      <w:r>
        <w:tab/>
        <w:t>66 Pa.C.S. § 1358(b).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C3FA8"/>
    <w:multiLevelType w:val="hybridMultilevel"/>
    <w:tmpl w:val="15FA95D8"/>
    <w:lvl w:ilvl="0" w:tplc="16FC0AB4">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nsid w:val="08085A04"/>
    <w:multiLevelType w:val="hybridMultilevel"/>
    <w:tmpl w:val="B45CD74A"/>
    <w:lvl w:ilvl="0" w:tplc="C17C2F2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5C5425"/>
    <w:multiLevelType w:val="hybridMultilevel"/>
    <w:tmpl w:val="2432F6AC"/>
    <w:lvl w:ilvl="0" w:tplc="82B83B6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08763D5B"/>
    <w:multiLevelType w:val="hybridMultilevel"/>
    <w:tmpl w:val="26665E4E"/>
    <w:lvl w:ilvl="0" w:tplc="511ACC52">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7567E6D"/>
    <w:multiLevelType w:val="hybridMultilevel"/>
    <w:tmpl w:val="206888BA"/>
    <w:lvl w:ilvl="0" w:tplc="CC3E03D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7E7360"/>
    <w:multiLevelType w:val="hybridMultilevel"/>
    <w:tmpl w:val="6D3044E4"/>
    <w:lvl w:ilvl="0" w:tplc="371C9222">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874245"/>
    <w:multiLevelType w:val="hybridMultilevel"/>
    <w:tmpl w:val="A83A2DB2"/>
    <w:lvl w:ilvl="0" w:tplc="57DAD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B441A1"/>
    <w:multiLevelType w:val="hybridMultilevel"/>
    <w:tmpl w:val="41C8E590"/>
    <w:lvl w:ilvl="0" w:tplc="478897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064C78"/>
    <w:multiLevelType w:val="hybridMultilevel"/>
    <w:tmpl w:val="0E9E0D5A"/>
    <w:lvl w:ilvl="0" w:tplc="93BE72F4">
      <w:start w:val="1"/>
      <w:numFmt w:val="decimal"/>
      <w:lvlText w:val="%1."/>
      <w:lvlJc w:val="left"/>
      <w:pPr>
        <w:ind w:left="1440" w:hanging="360"/>
      </w:pPr>
    </w:lvl>
    <w:lvl w:ilvl="1" w:tplc="04090019">
      <w:start w:val="1"/>
      <w:numFmt w:val="lowerLetter"/>
      <w:lvlText w:val="%2."/>
      <w:lvlJc w:val="left"/>
      <w:pPr>
        <w:ind w:left="2160" w:hanging="360"/>
      </w:pPr>
    </w:lvl>
    <w:lvl w:ilvl="2" w:tplc="D3FABFC4">
      <w:start w:val="2"/>
      <w:numFmt w:val="upperLetter"/>
      <w:lvlText w:val="%3."/>
      <w:lvlJc w:val="left"/>
      <w:pPr>
        <w:ind w:left="3060" w:hanging="360"/>
      </w:pPr>
      <w:rPr>
        <w:rFonts w:hint="default"/>
      </w:rPr>
    </w:lvl>
    <w:lvl w:ilvl="3" w:tplc="02F848EE">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38869B3"/>
    <w:multiLevelType w:val="hybridMultilevel"/>
    <w:tmpl w:val="048EFC0E"/>
    <w:lvl w:ilvl="0" w:tplc="3FCA94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8F2300"/>
    <w:multiLevelType w:val="hybridMultilevel"/>
    <w:tmpl w:val="EC5C379C"/>
    <w:lvl w:ilvl="0" w:tplc="AF8860FA">
      <w:start w:val="1"/>
      <w:numFmt w:val="upperLetter"/>
      <w:lvlText w:val="%1."/>
      <w:lvlJc w:val="left"/>
      <w:pPr>
        <w:ind w:left="720" w:hanging="630"/>
      </w:pPr>
      <w:rPr>
        <w:rFonts w:hint="default"/>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678E073B"/>
    <w:multiLevelType w:val="hybridMultilevel"/>
    <w:tmpl w:val="6E6CB124"/>
    <w:lvl w:ilvl="0" w:tplc="B6E626F2">
      <w:start w:val="1"/>
      <w:numFmt w:val="lowerRoman"/>
      <w:lvlText w:val="(%1)"/>
      <w:lvlJc w:val="left"/>
      <w:pPr>
        <w:ind w:left="5760" w:hanging="72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2">
    <w:nsid w:val="6E4E6962"/>
    <w:multiLevelType w:val="hybridMultilevel"/>
    <w:tmpl w:val="26166126"/>
    <w:lvl w:ilvl="0" w:tplc="60FAB640">
      <w:start w:val="1"/>
      <w:numFmt w:val="upperRoman"/>
      <w:pStyle w:val="ListParagraph"/>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9"/>
  </w:num>
  <w:num w:numId="4">
    <w:abstractNumId w:val="13"/>
  </w:num>
  <w:num w:numId="5">
    <w:abstractNumId w:val="8"/>
  </w:num>
  <w:num w:numId="6">
    <w:abstractNumId w:val="3"/>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8"/>
    <w:lvlOverride w:ilvl="0">
      <w:startOverride w:val="1"/>
    </w:lvlOverride>
    <w:lvlOverride w:ilvl="1">
      <w:startOverride w:val="1"/>
    </w:lvlOverride>
    <w:lvlOverride w:ilvl="2">
      <w:startOverride w:val="2"/>
    </w:lvlOverride>
  </w:num>
  <w:num w:numId="11">
    <w:abstractNumId w:val="6"/>
  </w:num>
  <w:num w:numId="12">
    <w:abstractNumId w:val="8"/>
    <w:lvlOverride w:ilvl="0">
      <w:startOverride w:val="1"/>
    </w:lvlOverride>
  </w:num>
  <w:num w:numId="13">
    <w:abstractNumId w:val="0"/>
  </w:num>
  <w:num w:numId="14">
    <w:abstractNumId w:val="7"/>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F0F"/>
    <w:rsid w:val="0001124B"/>
    <w:rsid w:val="00024B3B"/>
    <w:rsid w:val="00032B66"/>
    <w:rsid w:val="00061A4D"/>
    <w:rsid w:val="000668BB"/>
    <w:rsid w:val="00070853"/>
    <w:rsid w:val="000C501C"/>
    <w:rsid w:val="000E1B90"/>
    <w:rsid w:val="000F5B99"/>
    <w:rsid w:val="0012199F"/>
    <w:rsid w:val="00126FA6"/>
    <w:rsid w:val="001452AE"/>
    <w:rsid w:val="0015397C"/>
    <w:rsid w:val="00183CB4"/>
    <w:rsid w:val="001A1AC0"/>
    <w:rsid w:val="001C102B"/>
    <w:rsid w:val="001E0165"/>
    <w:rsid w:val="001E1445"/>
    <w:rsid w:val="001E4DAF"/>
    <w:rsid w:val="001F3634"/>
    <w:rsid w:val="0021196E"/>
    <w:rsid w:val="00233AA6"/>
    <w:rsid w:val="00246040"/>
    <w:rsid w:val="0025567C"/>
    <w:rsid w:val="00295DC2"/>
    <w:rsid w:val="002A51FD"/>
    <w:rsid w:val="002C4338"/>
    <w:rsid w:val="002D0C73"/>
    <w:rsid w:val="002D74B5"/>
    <w:rsid w:val="00314207"/>
    <w:rsid w:val="00394CD2"/>
    <w:rsid w:val="003A40C0"/>
    <w:rsid w:val="003C0717"/>
    <w:rsid w:val="00417378"/>
    <w:rsid w:val="00443DD5"/>
    <w:rsid w:val="00444146"/>
    <w:rsid w:val="0046279C"/>
    <w:rsid w:val="00471A60"/>
    <w:rsid w:val="00483B21"/>
    <w:rsid w:val="004B4A3B"/>
    <w:rsid w:val="004C1CC6"/>
    <w:rsid w:val="004F49D3"/>
    <w:rsid w:val="00503834"/>
    <w:rsid w:val="005462E5"/>
    <w:rsid w:val="00547FE2"/>
    <w:rsid w:val="00560D36"/>
    <w:rsid w:val="005D5085"/>
    <w:rsid w:val="005D5E30"/>
    <w:rsid w:val="00620372"/>
    <w:rsid w:val="00630551"/>
    <w:rsid w:val="006A08E0"/>
    <w:rsid w:val="006D08F6"/>
    <w:rsid w:val="006F78AD"/>
    <w:rsid w:val="006F7D15"/>
    <w:rsid w:val="00705605"/>
    <w:rsid w:val="00712CD7"/>
    <w:rsid w:val="00731955"/>
    <w:rsid w:val="00755437"/>
    <w:rsid w:val="00797B7C"/>
    <w:rsid w:val="007C7C16"/>
    <w:rsid w:val="007C7C94"/>
    <w:rsid w:val="007D1B6D"/>
    <w:rsid w:val="007D2F98"/>
    <w:rsid w:val="007F0BFE"/>
    <w:rsid w:val="00806F84"/>
    <w:rsid w:val="0081087D"/>
    <w:rsid w:val="00842CDA"/>
    <w:rsid w:val="00844739"/>
    <w:rsid w:val="00847D95"/>
    <w:rsid w:val="00856007"/>
    <w:rsid w:val="0089491F"/>
    <w:rsid w:val="008C5D46"/>
    <w:rsid w:val="008E12ED"/>
    <w:rsid w:val="008F4477"/>
    <w:rsid w:val="008F5983"/>
    <w:rsid w:val="00924F08"/>
    <w:rsid w:val="00927ED9"/>
    <w:rsid w:val="00937DA6"/>
    <w:rsid w:val="00945AC9"/>
    <w:rsid w:val="00967F0F"/>
    <w:rsid w:val="00971AD2"/>
    <w:rsid w:val="00982488"/>
    <w:rsid w:val="00990701"/>
    <w:rsid w:val="009A54B4"/>
    <w:rsid w:val="009B1D4D"/>
    <w:rsid w:val="009B38D3"/>
    <w:rsid w:val="009E7D01"/>
    <w:rsid w:val="00A07037"/>
    <w:rsid w:val="00A075E1"/>
    <w:rsid w:val="00A374D4"/>
    <w:rsid w:val="00A60592"/>
    <w:rsid w:val="00A75763"/>
    <w:rsid w:val="00A845D3"/>
    <w:rsid w:val="00A90DC5"/>
    <w:rsid w:val="00A9442F"/>
    <w:rsid w:val="00AA1F4B"/>
    <w:rsid w:val="00AC126E"/>
    <w:rsid w:val="00AC39D1"/>
    <w:rsid w:val="00AD373A"/>
    <w:rsid w:val="00AD41BC"/>
    <w:rsid w:val="00AD579D"/>
    <w:rsid w:val="00AE2D0F"/>
    <w:rsid w:val="00AE5DEC"/>
    <w:rsid w:val="00B07BF7"/>
    <w:rsid w:val="00B07D73"/>
    <w:rsid w:val="00B40652"/>
    <w:rsid w:val="00B51D76"/>
    <w:rsid w:val="00B6462B"/>
    <w:rsid w:val="00B70BA2"/>
    <w:rsid w:val="00BB1168"/>
    <w:rsid w:val="00BC3B43"/>
    <w:rsid w:val="00BE195C"/>
    <w:rsid w:val="00BF0B4F"/>
    <w:rsid w:val="00C00557"/>
    <w:rsid w:val="00C031C4"/>
    <w:rsid w:val="00C179C0"/>
    <w:rsid w:val="00C721D5"/>
    <w:rsid w:val="00CB17D2"/>
    <w:rsid w:val="00CD1821"/>
    <w:rsid w:val="00CF503C"/>
    <w:rsid w:val="00CF559F"/>
    <w:rsid w:val="00D11993"/>
    <w:rsid w:val="00D37622"/>
    <w:rsid w:val="00D6201F"/>
    <w:rsid w:val="00D93BF1"/>
    <w:rsid w:val="00DA7F32"/>
    <w:rsid w:val="00DB2A22"/>
    <w:rsid w:val="00DD3811"/>
    <w:rsid w:val="00DE63ED"/>
    <w:rsid w:val="00E1434A"/>
    <w:rsid w:val="00E152AC"/>
    <w:rsid w:val="00E44D97"/>
    <w:rsid w:val="00E52412"/>
    <w:rsid w:val="00E6130F"/>
    <w:rsid w:val="00E64106"/>
    <w:rsid w:val="00EA75B9"/>
    <w:rsid w:val="00ED4CB9"/>
    <w:rsid w:val="00F348F9"/>
    <w:rsid w:val="00F40901"/>
    <w:rsid w:val="00F42F01"/>
    <w:rsid w:val="00F85FE2"/>
    <w:rsid w:val="00FA0219"/>
    <w:rsid w:val="00FB626C"/>
    <w:rsid w:val="00FC1759"/>
    <w:rsid w:val="00FC19B0"/>
    <w:rsid w:val="00FE6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F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
    <w:basedOn w:val="DefaultParagraphFont"/>
    <w:uiPriority w:val="99"/>
    <w:unhideWhenUsed/>
    <w:rsid w:val="00D6201F"/>
    <w:rPr>
      <w:rFonts w:ascii="Times New Roman" w:hAnsi="Times New Roman"/>
      <w:vertAlign w:val="superscript"/>
    </w:rPr>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autoRedefine/>
    <w:uiPriority w:val="99"/>
    <w:unhideWhenUsed/>
    <w:qFormat/>
    <w:rsid w:val="001E0165"/>
    <w:pPr>
      <w:ind w:firstLine="720"/>
    </w:pPr>
    <w:rPr>
      <w:sz w:val="20"/>
      <w:szCs w:val="20"/>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uiPriority w:val="99"/>
    <w:rsid w:val="001E0165"/>
  </w:style>
  <w:style w:type="paragraph" w:styleId="ListParagraph">
    <w:name w:val="List Paragraph"/>
    <w:basedOn w:val="Normal"/>
    <w:autoRedefine/>
    <w:uiPriority w:val="34"/>
    <w:qFormat/>
    <w:rsid w:val="00842CDA"/>
    <w:pPr>
      <w:numPr>
        <w:numId w:val="15"/>
      </w:numPr>
      <w:spacing w:line="360" w:lineRule="auto"/>
      <w:ind w:left="0" w:firstLine="0"/>
      <w:jc w:val="center"/>
    </w:pPr>
    <w:rPr>
      <w:szCs w:val="20"/>
      <w:u w:val="single"/>
    </w:rPr>
  </w:style>
  <w:style w:type="paragraph" w:customStyle="1" w:styleId="IndentedQuote">
    <w:name w:val="Indented Quote"/>
    <w:basedOn w:val="Normal"/>
    <w:qFormat/>
    <w:rsid w:val="00A75763"/>
    <w:pPr>
      <w:spacing w:after="120"/>
      <w:ind w:left="720" w:right="720"/>
    </w:pPr>
    <w:rPr>
      <w:szCs w:val="20"/>
    </w:rPr>
  </w:style>
  <w:style w:type="paragraph" w:customStyle="1" w:styleId="Indentedquote0">
    <w:name w:val="Indented quote"/>
    <w:basedOn w:val="Normal"/>
    <w:qFormat/>
    <w:rsid w:val="00D37622"/>
    <w:pPr>
      <w:widowControl w:val="0"/>
      <w:autoSpaceDE w:val="0"/>
      <w:autoSpaceDN w:val="0"/>
      <w:adjustRightInd w:val="0"/>
      <w:spacing w:after="120"/>
      <w:ind w:left="1440" w:right="1440"/>
    </w:pPr>
  </w:style>
  <w:style w:type="paragraph" w:styleId="Footer">
    <w:name w:val="footer"/>
    <w:basedOn w:val="Normal"/>
    <w:link w:val="FooterChar"/>
    <w:uiPriority w:val="99"/>
    <w:rsid w:val="00B51D76"/>
    <w:pPr>
      <w:tabs>
        <w:tab w:val="center" w:pos="4320"/>
        <w:tab w:val="right" w:pos="8640"/>
      </w:tabs>
    </w:pPr>
    <w:rPr>
      <w:sz w:val="20"/>
      <w:szCs w:val="20"/>
    </w:rPr>
  </w:style>
  <w:style w:type="character" w:customStyle="1" w:styleId="FooterChar">
    <w:name w:val="Footer Char"/>
    <w:basedOn w:val="DefaultParagraphFont"/>
    <w:link w:val="Footer"/>
    <w:uiPriority w:val="99"/>
    <w:rsid w:val="00B51D76"/>
  </w:style>
  <w:style w:type="paragraph" w:styleId="Header">
    <w:name w:val="header"/>
    <w:basedOn w:val="Normal"/>
    <w:link w:val="HeaderChar"/>
    <w:uiPriority w:val="99"/>
    <w:unhideWhenUsed/>
    <w:rsid w:val="00B51D76"/>
    <w:pPr>
      <w:tabs>
        <w:tab w:val="center" w:pos="4680"/>
        <w:tab w:val="right" w:pos="9360"/>
      </w:tabs>
    </w:pPr>
  </w:style>
  <w:style w:type="character" w:customStyle="1" w:styleId="HeaderChar">
    <w:name w:val="Header Char"/>
    <w:basedOn w:val="DefaultParagraphFont"/>
    <w:link w:val="Header"/>
    <w:uiPriority w:val="99"/>
    <w:rsid w:val="00B51D76"/>
    <w:rPr>
      <w:sz w:val="24"/>
      <w:szCs w:val="24"/>
    </w:rPr>
  </w:style>
  <w:style w:type="paragraph" w:styleId="BodyText2">
    <w:name w:val="Body Text 2"/>
    <w:basedOn w:val="Normal"/>
    <w:link w:val="BodyText2Char"/>
    <w:uiPriority w:val="99"/>
    <w:qFormat/>
    <w:rsid w:val="007D1B6D"/>
    <w:pPr>
      <w:spacing w:line="480" w:lineRule="auto"/>
      <w:ind w:firstLine="720"/>
      <w:jc w:val="both"/>
    </w:pPr>
  </w:style>
  <w:style w:type="character" w:customStyle="1" w:styleId="BodyText2Char">
    <w:name w:val="Body Text 2 Char"/>
    <w:basedOn w:val="DefaultParagraphFont"/>
    <w:link w:val="BodyText2"/>
    <w:uiPriority w:val="99"/>
    <w:rsid w:val="007D1B6D"/>
    <w:rPr>
      <w:sz w:val="24"/>
      <w:szCs w:val="24"/>
    </w:rPr>
  </w:style>
  <w:style w:type="paragraph" w:styleId="BodyText">
    <w:name w:val="Body Text"/>
    <w:basedOn w:val="Normal"/>
    <w:link w:val="BodyTextChar"/>
    <w:uiPriority w:val="99"/>
    <w:unhideWhenUsed/>
    <w:qFormat/>
    <w:rsid w:val="007D1B6D"/>
    <w:pPr>
      <w:spacing w:after="120" w:line="276" w:lineRule="auto"/>
    </w:pPr>
    <w:rPr>
      <w:rFonts w:ascii="Calibri" w:hAnsi="Calibri"/>
      <w:sz w:val="22"/>
      <w:szCs w:val="22"/>
    </w:rPr>
  </w:style>
  <w:style w:type="character" w:customStyle="1" w:styleId="BodyTextChar">
    <w:name w:val="Body Text Char"/>
    <w:basedOn w:val="DefaultParagraphFont"/>
    <w:link w:val="BodyText"/>
    <w:uiPriority w:val="99"/>
    <w:rsid w:val="007D1B6D"/>
    <w:rPr>
      <w:rFonts w:ascii="Calibri" w:hAnsi="Calibri"/>
      <w:sz w:val="22"/>
      <w:szCs w:val="22"/>
    </w:rPr>
  </w:style>
  <w:style w:type="character" w:styleId="PageNumber">
    <w:name w:val="page number"/>
    <w:basedOn w:val="DefaultParagraphFont"/>
    <w:rsid w:val="007D1B6D"/>
  </w:style>
  <w:style w:type="paragraph" w:styleId="BalloonText">
    <w:name w:val="Balloon Text"/>
    <w:basedOn w:val="Normal"/>
    <w:link w:val="BalloonTextChar"/>
    <w:uiPriority w:val="99"/>
    <w:semiHidden/>
    <w:unhideWhenUsed/>
    <w:rsid w:val="00B40652"/>
    <w:rPr>
      <w:rFonts w:ascii="Tahoma" w:hAnsi="Tahoma" w:cs="Tahoma"/>
      <w:sz w:val="16"/>
      <w:szCs w:val="16"/>
    </w:rPr>
  </w:style>
  <w:style w:type="character" w:customStyle="1" w:styleId="BalloonTextChar">
    <w:name w:val="Balloon Text Char"/>
    <w:basedOn w:val="DefaultParagraphFont"/>
    <w:link w:val="BalloonText"/>
    <w:uiPriority w:val="99"/>
    <w:semiHidden/>
    <w:rsid w:val="00B406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F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
    <w:basedOn w:val="DefaultParagraphFont"/>
    <w:uiPriority w:val="99"/>
    <w:unhideWhenUsed/>
    <w:rsid w:val="00D6201F"/>
    <w:rPr>
      <w:rFonts w:ascii="Times New Roman" w:hAnsi="Times New Roman"/>
      <w:vertAlign w:val="superscript"/>
    </w:rPr>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autoRedefine/>
    <w:uiPriority w:val="99"/>
    <w:unhideWhenUsed/>
    <w:qFormat/>
    <w:rsid w:val="001E0165"/>
    <w:pPr>
      <w:ind w:firstLine="720"/>
    </w:pPr>
    <w:rPr>
      <w:sz w:val="20"/>
      <w:szCs w:val="20"/>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uiPriority w:val="99"/>
    <w:rsid w:val="001E0165"/>
  </w:style>
  <w:style w:type="paragraph" w:styleId="ListParagraph">
    <w:name w:val="List Paragraph"/>
    <w:basedOn w:val="Normal"/>
    <w:autoRedefine/>
    <w:uiPriority w:val="34"/>
    <w:qFormat/>
    <w:rsid w:val="00842CDA"/>
    <w:pPr>
      <w:numPr>
        <w:numId w:val="15"/>
      </w:numPr>
      <w:spacing w:line="360" w:lineRule="auto"/>
      <w:ind w:left="0" w:firstLine="0"/>
      <w:jc w:val="center"/>
    </w:pPr>
    <w:rPr>
      <w:szCs w:val="20"/>
      <w:u w:val="single"/>
    </w:rPr>
  </w:style>
  <w:style w:type="paragraph" w:customStyle="1" w:styleId="IndentedQuote">
    <w:name w:val="Indented Quote"/>
    <w:basedOn w:val="Normal"/>
    <w:qFormat/>
    <w:rsid w:val="00A75763"/>
    <w:pPr>
      <w:spacing w:after="120"/>
      <w:ind w:left="720" w:right="720"/>
    </w:pPr>
    <w:rPr>
      <w:szCs w:val="20"/>
    </w:rPr>
  </w:style>
  <w:style w:type="paragraph" w:customStyle="1" w:styleId="Indentedquote0">
    <w:name w:val="Indented quote"/>
    <w:basedOn w:val="Normal"/>
    <w:qFormat/>
    <w:rsid w:val="00D37622"/>
    <w:pPr>
      <w:widowControl w:val="0"/>
      <w:autoSpaceDE w:val="0"/>
      <w:autoSpaceDN w:val="0"/>
      <w:adjustRightInd w:val="0"/>
      <w:spacing w:after="120"/>
      <w:ind w:left="1440" w:right="1440"/>
    </w:pPr>
  </w:style>
  <w:style w:type="paragraph" w:styleId="Footer">
    <w:name w:val="footer"/>
    <w:basedOn w:val="Normal"/>
    <w:link w:val="FooterChar"/>
    <w:uiPriority w:val="99"/>
    <w:rsid w:val="00B51D76"/>
    <w:pPr>
      <w:tabs>
        <w:tab w:val="center" w:pos="4320"/>
        <w:tab w:val="right" w:pos="8640"/>
      </w:tabs>
    </w:pPr>
    <w:rPr>
      <w:sz w:val="20"/>
      <w:szCs w:val="20"/>
    </w:rPr>
  </w:style>
  <w:style w:type="character" w:customStyle="1" w:styleId="FooterChar">
    <w:name w:val="Footer Char"/>
    <w:basedOn w:val="DefaultParagraphFont"/>
    <w:link w:val="Footer"/>
    <w:uiPriority w:val="99"/>
    <w:rsid w:val="00B51D76"/>
  </w:style>
  <w:style w:type="paragraph" w:styleId="Header">
    <w:name w:val="header"/>
    <w:basedOn w:val="Normal"/>
    <w:link w:val="HeaderChar"/>
    <w:uiPriority w:val="99"/>
    <w:unhideWhenUsed/>
    <w:rsid w:val="00B51D76"/>
    <w:pPr>
      <w:tabs>
        <w:tab w:val="center" w:pos="4680"/>
        <w:tab w:val="right" w:pos="9360"/>
      </w:tabs>
    </w:pPr>
  </w:style>
  <w:style w:type="character" w:customStyle="1" w:styleId="HeaderChar">
    <w:name w:val="Header Char"/>
    <w:basedOn w:val="DefaultParagraphFont"/>
    <w:link w:val="Header"/>
    <w:uiPriority w:val="99"/>
    <w:rsid w:val="00B51D76"/>
    <w:rPr>
      <w:sz w:val="24"/>
      <w:szCs w:val="24"/>
    </w:rPr>
  </w:style>
  <w:style w:type="paragraph" w:styleId="BodyText2">
    <w:name w:val="Body Text 2"/>
    <w:basedOn w:val="Normal"/>
    <w:link w:val="BodyText2Char"/>
    <w:uiPriority w:val="99"/>
    <w:qFormat/>
    <w:rsid w:val="007D1B6D"/>
    <w:pPr>
      <w:spacing w:line="480" w:lineRule="auto"/>
      <w:ind w:firstLine="720"/>
      <w:jc w:val="both"/>
    </w:pPr>
  </w:style>
  <w:style w:type="character" w:customStyle="1" w:styleId="BodyText2Char">
    <w:name w:val="Body Text 2 Char"/>
    <w:basedOn w:val="DefaultParagraphFont"/>
    <w:link w:val="BodyText2"/>
    <w:uiPriority w:val="99"/>
    <w:rsid w:val="007D1B6D"/>
    <w:rPr>
      <w:sz w:val="24"/>
      <w:szCs w:val="24"/>
    </w:rPr>
  </w:style>
  <w:style w:type="paragraph" w:styleId="BodyText">
    <w:name w:val="Body Text"/>
    <w:basedOn w:val="Normal"/>
    <w:link w:val="BodyTextChar"/>
    <w:uiPriority w:val="99"/>
    <w:unhideWhenUsed/>
    <w:qFormat/>
    <w:rsid w:val="007D1B6D"/>
    <w:pPr>
      <w:spacing w:after="120" w:line="276" w:lineRule="auto"/>
    </w:pPr>
    <w:rPr>
      <w:rFonts w:ascii="Calibri" w:hAnsi="Calibri"/>
      <w:sz w:val="22"/>
      <w:szCs w:val="22"/>
    </w:rPr>
  </w:style>
  <w:style w:type="character" w:customStyle="1" w:styleId="BodyTextChar">
    <w:name w:val="Body Text Char"/>
    <w:basedOn w:val="DefaultParagraphFont"/>
    <w:link w:val="BodyText"/>
    <w:uiPriority w:val="99"/>
    <w:rsid w:val="007D1B6D"/>
    <w:rPr>
      <w:rFonts w:ascii="Calibri" w:hAnsi="Calibri"/>
      <w:sz w:val="22"/>
      <w:szCs w:val="22"/>
    </w:rPr>
  </w:style>
  <w:style w:type="character" w:styleId="PageNumber">
    <w:name w:val="page number"/>
    <w:basedOn w:val="DefaultParagraphFont"/>
    <w:rsid w:val="007D1B6D"/>
  </w:style>
  <w:style w:type="paragraph" w:styleId="BalloonText">
    <w:name w:val="Balloon Text"/>
    <w:basedOn w:val="Normal"/>
    <w:link w:val="BalloonTextChar"/>
    <w:uiPriority w:val="99"/>
    <w:semiHidden/>
    <w:unhideWhenUsed/>
    <w:rsid w:val="00B40652"/>
    <w:rPr>
      <w:rFonts w:ascii="Tahoma" w:hAnsi="Tahoma" w:cs="Tahoma"/>
      <w:sz w:val="16"/>
      <w:szCs w:val="16"/>
    </w:rPr>
  </w:style>
  <w:style w:type="character" w:customStyle="1" w:styleId="BalloonTextChar">
    <w:name w:val="Balloon Text Char"/>
    <w:basedOn w:val="DefaultParagraphFont"/>
    <w:link w:val="BalloonText"/>
    <w:uiPriority w:val="99"/>
    <w:semiHidden/>
    <w:rsid w:val="00B406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59555">
      <w:bodyDiv w:val="1"/>
      <w:marLeft w:val="0"/>
      <w:marRight w:val="0"/>
      <w:marTop w:val="0"/>
      <w:marBottom w:val="0"/>
      <w:divBdr>
        <w:top w:val="none" w:sz="0" w:space="0" w:color="auto"/>
        <w:left w:val="none" w:sz="0" w:space="0" w:color="auto"/>
        <w:bottom w:val="none" w:sz="0" w:space="0" w:color="auto"/>
        <w:right w:val="none" w:sz="0" w:space="0" w:color="auto"/>
      </w:divBdr>
    </w:div>
    <w:div w:id="93837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4B6BB-7025-469D-A4E7-47732BC8C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1</Pages>
  <Words>7397</Words>
  <Characters>42169</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49468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D Long</dc:creator>
  <cp:lastModifiedBy>bfaccenda</cp:lastModifiedBy>
  <cp:revision>73</cp:revision>
  <cp:lastPrinted>2014-04-02T13:38:00Z</cp:lastPrinted>
  <dcterms:created xsi:type="dcterms:W3CDTF">2014-03-31T12:03:00Z</dcterms:created>
  <dcterms:modified xsi:type="dcterms:W3CDTF">2014-04-02T13:39:00Z</dcterms:modified>
</cp:coreProperties>
</file>