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0044DC">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0044DC">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0044DC">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0044DC">
      <w:pPr>
        <w:widowControl/>
        <w:tabs>
          <w:tab w:val="left" w:pos="-720"/>
        </w:tabs>
        <w:suppressAutoHyphens/>
        <w:rPr>
          <w:sz w:val="26"/>
          <w:szCs w:val="26"/>
        </w:rPr>
      </w:pPr>
    </w:p>
    <w:p w:rsidR="00F514FB" w:rsidRPr="00F514FB" w:rsidRDefault="00F514FB" w:rsidP="000044DC">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0044DC">
            <w:pPr>
              <w:widowControl/>
              <w:rPr>
                <w:sz w:val="26"/>
                <w:szCs w:val="26"/>
              </w:rPr>
            </w:pPr>
          </w:p>
        </w:tc>
        <w:tc>
          <w:tcPr>
            <w:tcW w:w="4428" w:type="dxa"/>
          </w:tcPr>
          <w:p w:rsidR="00F514FB" w:rsidRPr="00F514FB" w:rsidRDefault="00865F6B" w:rsidP="000044DC">
            <w:pPr>
              <w:widowControl/>
              <w:jc w:val="right"/>
              <w:rPr>
                <w:sz w:val="26"/>
                <w:szCs w:val="26"/>
              </w:rPr>
            </w:pPr>
            <w:r>
              <w:rPr>
                <w:sz w:val="26"/>
                <w:szCs w:val="26"/>
              </w:rPr>
              <w:t>Public Meeting held April 3, 2014</w:t>
            </w:r>
          </w:p>
          <w:p w:rsidR="00F514FB" w:rsidRPr="00F514FB" w:rsidRDefault="00F514FB" w:rsidP="000044DC">
            <w:pPr>
              <w:widowControl/>
              <w:jc w:val="right"/>
              <w:rPr>
                <w:sz w:val="26"/>
                <w:szCs w:val="26"/>
              </w:rPr>
            </w:pPr>
          </w:p>
          <w:p w:rsidR="00F514FB" w:rsidRPr="00F514FB" w:rsidRDefault="00F514FB" w:rsidP="000044DC">
            <w:pPr>
              <w:widowControl/>
              <w:jc w:val="right"/>
              <w:rPr>
                <w:sz w:val="26"/>
                <w:szCs w:val="26"/>
              </w:rPr>
            </w:pPr>
          </w:p>
        </w:tc>
      </w:tr>
      <w:tr w:rsidR="00F514FB" w:rsidRPr="00F514FB" w:rsidTr="00E871F2">
        <w:tc>
          <w:tcPr>
            <w:tcW w:w="5058" w:type="dxa"/>
          </w:tcPr>
          <w:p w:rsidR="00F514FB" w:rsidRPr="00F514FB" w:rsidRDefault="00F514FB" w:rsidP="000044DC">
            <w:pPr>
              <w:widowControl/>
              <w:rPr>
                <w:sz w:val="26"/>
                <w:szCs w:val="26"/>
              </w:rPr>
            </w:pPr>
            <w:r w:rsidRPr="00F514FB">
              <w:rPr>
                <w:sz w:val="26"/>
                <w:szCs w:val="26"/>
              </w:rPr>
              <w:t>Commissioners Present:</w:t>
            </w:r>
          </w:p>
          <w:p w:rsidR="00F514FB" w:rsidRPr="00F514FB" w:rsidRDefault="00F514FB" w:rsidP="000044DC">
            <w:pPr>
              <w:widowControl/>
              <w:rPr>
                <w:sz w:val="26"/>
                <w:szCs w:val="26"/>
              </w:rPr>
            </w:pPr>
          </w:p>
          <w:p w:rsidR="00731444" w:rsidRPr="008516FF" w:rsidRDefault="00731444" w:rsidP="000044DC">
            <w:pPr>
              <w:widowControl/>
              <w:tabs>
                <w:tab w:val="left" w:pos="705"/>
              </w:tabs>
              <w:ind w:firstLine="720"/>
              <w:contextualSpacing/>
              <w:rPr>
                <w:sz w:val="26"/>
                <w:szCs w:val="26"/>
              </w:rPr>
            </w:pPr>
            <w:r w:rsidRPr="008516FF">
              <w:rPr>
                <w:sz w:val="26"/>
                <w:szCs w:val="26"/>
              </w:rPr>
              <w:t>Robert F. Powelson, Chairman</w:t>
            </w:r>
          </w:p>
          <w:p w:rsidR="00731444" w:rsidRPr="008516FF" w:rsidRDefault="00731444" w:rsidP="000044DC">
            <w:pPr>
              <w:widowControl/>
              <w:tabs>
                <w:tab w:val="left" w:pos="705"/>
              </w:tabs>
              <w:ind w:firstLine="720"/>
              <w:contextualSpacing/>
              <w:rPr>
                <w:sz w:val="26"/>
                <w:szCs w:val="26"/>
              </w:rPr>
            </w:pPr>
            <w:r w:rsidRPr="008516FF">
              <w:rPr>
                <w:sz w:val="26"/>
                <w:szCs w:val="26"/>
              </w:rPr>
              <w:t>John F. Coleman, Jr., Vice Chairman</w:t>
            </w:r>
          </w:p>
          <w:p w:rsidR="00731444" w:rsidRPr="008516FF" w:rsidRDefault="00731444" w:rsidP="000044DC">
            <w:pPr>
              <w:widowControl/>
              <w:tabs>
                <w:tab w:val="left" w:pos="705"/>
              </w:tabs>
              <w:ind w:firstLine="720"/>
              <w:contextualSpacing/>
              <w:rPr>
                <w:sz w:val="26"/>
                <w:szCs w:val="26"/>
              </w:rPr>
            </w:pPr>
            <w:r w:rsidRPr="008516FF">
              <w:rPr>
                <w:sz w:val="26"/>
                <w:szCs w:val="26"/>
              </w:rPr>
              <w:t>James H. Cawley</w:t>
            </w:r>
          </w:p>
          <w:p w:rsidR="00731444" w:rsidRDefault="00731444" w:rsidP="000044DC">
            <w:pPr>
              <w:widowControl/>
              <w:tabs>
                <w:tab w:val="left" w:pos="705"/>
              </w:tabs>
              <w:ind w:firstLine="720"/>
              <w:contextualSpacing/>
              <w:rPr>
                <w:sz w:val="26"/>
                <w:szCs w:val="26"/>
              </w:rPr>
            </w:pPr>
            <w:r w:rsidRPr="008516FF">
              <w:rPr>
                <w:sz w:val="26"/>
                <w:szCs w:val="26"/>
              </w:rPr>
              <w:t>Pamela A. Witmer</w:t>
            </w:r>
          </w:p>
          <w:p w:rsidR="00731444" w:rsidRPr="008516FF" w:rsidRDefault="00731444" w:rsidP="000044DC">
            <w:pPr>
              <w:widowControl/>
              <w:tabs>
                <w:tab w:val="left" w:pos="705"/>
              </w:tabs>
              <w:ind w:firstLine="720"/>
              <w:contextualSpacing/>
              <w:rPr>
                <w:sz w:val="26"/>
                <w:szCs w:val="26"/>
              </w:rPr>
            </w:pPr>
            <w:r>
              <w:rPr>
                <w:sz w:val="26"/>
                <w:szCs w:val="26"/>
              </w:rPr>
              <w:t>Gladys M. Brown</w:t>
            </w:r>
          </w:p>
          <w:p w:rsidR="00F514FB" w:rsidRPr="00F514FB" w:rsidRDefault="00F514FB" w:rsidP="000044DC">
            <w:pPr>
              <w:widowControl/>
              <w:rPr>
                <w:sz w:val="26"/>
                <w:szCs w:val="26"/>
              </w:rPr>
            </w:pPr>
          </w:p>
          <w:p w:rsidR="00F514FB" w:rsidRPr="00F514FB" w:rsidRDefault="00F514FB" w:rsidP="000044DC">
            <w:pPr>
              <w:widowControl/>
              <w:rPr>
                <w:sz w:val="26"/>
                <w:szCs w:val="26"/>
              </w:rPr>
            </w:pPr>
          </w:p>
        </w:tc>
        <w:tc>
          <w:tcPr>
            <w:tcW w:w="4428" w:type="dxa"/>
          </w:tcPr>
          <w:p w:rsidR="00F514FB" w:rsidRPr="00F514FB" w:rsidRDefault="00F514FB" w:rsidP="000044DC">
            <w:pPr>
              <w:widowControl/>
              <w:jc w:val="right"/>
              <w:rPr>
                <w:sz w:val="26"/>
                <w:szCs w:val="26"/>
              </w:rPr>
            </w:pPr>
          </w:p>
          <w:p w:rsidR="00F514FB" w:rsidRPr="00F514FB" w:rsidRDefault="00F514FB" w:rsidP="000044DC">
            <w:pPr>
              <w:widowControl/>
              <w:jc w:val="right"/>
              <w:rPr>
                <w:sz w:val="26"/>
                <w:szCs w:val="26"/>
              </w:rPr>
            </w:pPr>
          </w:p>
        </w:tc>
      </w:tr>
      <w:tr w:rsidR="00F514FB" w:rsidRPr="00F514FB" w:rsidTr="00DE25AC">
        <w:tc>
          <w:tcPr>
            <w:tcW w:w="5058" w:type="dxa"/>
          </w:tcPr>
          <w:p w:rsidR="00F514FB" w:rsidRPr="00F514FB" w:rsidRDefault="00865F6B" w:rsidP="000044DC">
            <w:pPr>
              <w:widowControl/>
              <w:rPr>
                <w:sz w:val="26"/>
                <w:szCs w:val="26"/>
              </w:rPr>
            </w:pPr>
            <w:r>
              <w:rPr>
                <w:sz w:val="26"/>
                <w:szCs w:val="26"/>
              </w:rPr>
              <w:t>Sherry Dixon</w:t>
            </w:r>
          </w:p>
          <w:p w:rsidR="00F514FB" w:rsidRPr="00F514FB" w:rsidRDefault="00F514FB" w:rsidP="000044DC">
            <w:pPr>
              <w:widowControl/>
              <w:rPr>
                <w:sz w:val="26"/>
                <w:szCs w:val="26"/>
              </w:rPr>
            </w:pPr>
          </w:p>
        </w:tc>
        <w:tc>
          <w:tcPr>
            <w:tcW w:w="4428" w:type="dxa"/>
          </w:tcPr>
          <w:p w:rsidR="00F514FB" w:rsidRPr="00F514FB" w:rsidRDefault="00865F6B" w:rsidP="000044DC">
            <w:pPr>
              <w:widowControl/>
              <w:jc w:val="right"/>
              <w:rPr>
                <w:sz w:val="26"/>
                <w:szCs w:val="26"/>
              </w:rPr>
            </w:pPr>
            <w:r>
              <w:rPr>
                <w:sz w:val="26"/>
                <w:szCs w:val="26"/>
              </w:rPr>
              <w:t>F-2013-2353645</w:t>
            </w:r>
          </w:p>
        </w:tc>
      </w:tr>
      <w:tr w:rsidR="00F514FB" w:rsidRPr="00F514FB" w:rsidTr="00DE25AC">
        <w:tc>
          <w:tcPr>
            <w:tcW w:w="5058" w:type="dxa"/>
          </w:tcPr>
          <w:p w:rsidR="00F514FB" w:rsidRPr="00F514FB" w:rsidRDefault="00F514FB" w:rsidP="000044DC">
            <w:pPr>
              <w:widowControl/>
              <w:ind w:firstLine="1440"/>
              <w:rPr>
                <w:sz w:val="26"/>
                <w:szCs w:val="26"/>
              </w:rPr>
            </w:pPr>
            <w:r w:rsidRPr="00F514FB">
              <w:rPr>
                <w:sz w:val="26"/>
                <w:szCs w:val="26"/>
              </w:rPr>
              <w:t>v.</w:t>
            </w:r>
          </w:p>
          <w:p w:rsidR="00F514FB" w:rsidRPr="00F514FB" w:rsidRDefault="00F514FB" w:rsidP="000044DC">
            <w:pPr>
              <w:widowControl/>
              <w:ind w:firstLine="1440"/>
              <w:rPr>
                <w:sz w:val="26"/>
                <w:szCs w:val="26"/>
              </w:rPr>
            </w:pPr>
          </w:p>
        </w:tc>
        <w:tc>
          <w:tcPr>
            <w:tcW w:w="4428" w:type="dxa"/>
          </w:tcPr>
          <w:p w:rsidR="00F514FB" w:rsidRPr="00F514FB" w:rsidRDefault="00F514FB" w:rsidP="000044DC">
            <w:pPr>
              <w:widowControl/>
              <w:rPr>
                <w:sz w:val="26"/>
                <w:szCs w:val="26"/>
              </w:rPr>
            </w:pPr>
          </w:p>
        </w:tc>
      </w:tr>
      <w:tr w:rsidR="00F514FB" w:rsidRPr="00F514FB" w:rsidTr="00E871F2">
        <w:tc>
          <w:tcPr>
            <w:tcW w:w="5058" w:type="dxa"/>
          </w:tcPr>
          <w:p w:rsidR="00F514FB" w:rsidRPr="00F514FB" w:rsidRDefault="00865F6B" w:rsidP="000044DC">
            <w:pPr>
              <w:widowControl/>
              <w:rPr>
                <w:sz w:val="26"/>
                <w:szCs w:val="26"/>
              </w:rPr>
            </w:pPr>
            <w:r>
              <w:rPr>
                <w:sz w:val="26"/>
                <w:szCs w:val="26"/>
              </w:rPr>
              <w:t>PECO Energy Company</w:t>
            </w:r>
          </w:p>
        </w:tc>
        <w:tc>
          <w:tcPr>
            <w:tcW w:w="4428" w:type="dxa"/>
          </w:tcPr>
          <w:p w:rsidR="00F514FB" w:rsidRPr="00F514FB" w:rsidRDefault="00F514FB" w:rsidP="000044DC">
            <w:pPr>
              <w:widowControl/>
              <w:rPr>
                <w:sz w:val="26"/>
                <w:szCs w:val="26"/>
              </w:rPr>
            </w:pPr>
          </w:p>
        </w:tc>
      </w:tr>
    </w:tbl>
    <w:p w:rsidR="00F514FB" w:rsidRPr="00F514FB" w:rsidRDefault="00F514FB" w:rsidP="000044DC">
      <w:pPr>
        <w:widowControl/>
        <w:rPr>
          <w:sz w:val="26"/>
          <w:szCs w:val="26"/>
        </w:rPr>
      </w:pPr>
    </w:p>
    <w:p w:rsidR="00F514FB" w:rsidRPr="00F514FB" w:rsidRDefault="00F514FB" w:rsidP="000044DC">
      <w:pPr>
        <w:widowControl/>
        <w:rPr>
          <w:sz w:val="26"/>
          <w:szCs w:val="26"/>
        </w:rPr>
      </w:pPr>
    </w:p>
    <w:p w:rsidR="00F514FB" w:rsidRPr="00F514FB" w:rsidRDefault="00F514FB" w:rsidP="000044DC">
      <w:pPr>
        <w:widowControl/>
        <w:jc w:val="center"/>
        <w:rPr>
          <w:b/>
          <w:sz w:val="26"/>
          <w:szCs w:val="26"/>
        </w:rPr>
      </w:pPr>
      <w:r w:rsidRPr="00F514FB">
        <w:rPr>
          <w:b/>
          <w:sz w:val="26"/>
          <w:szCs w:val="26"/>
        </w:rPr>
        <w:t>OPINION AND ORDER</w:t>
      </w:r>
    </w:p>
    <w:p w:rsidR="00F514FB" w:rsidRPr="00F514FB" w:rsidRDefault="00F514FB" w:rsidP="000044DC">
      <w:pPr>
        <w:widowControl/>
        <w:jc w:val="center"/>
        <w:rPr>
          <w:b/>
          <w:sz w:val="26"/>
          <w:szCs w:val="26"/>
        </w:rPr>
      </w:pPr>
    </w:p>
    <w:p w:rsidR="00F514FB" w:rsidRPr="00F514FB" w:rsidRDefault="00F514FB" w:rsidP="000044DC">
      <w:pPr>
        <w:widowControl/>
        <w:jc w:val="center"/>
        <w:rPr>
          <w:b/>
          <w:sz w:val="26"/>
          <w:szCs w:val="26"/>
        </w:rPr>
      </w:pPr>
    </w:p>
    <w:p w:rsidR="00F514FB" w:rsidRPr="00F514FB" w:rsidRDefault="00F514FB" w:rsidP="000044DC">
      <w:pPr>
        <w:widowControl/>
        <w:rPr>
          <w:b/>
          <w:sz w:val="26"/>
          <w:szCs w:val="26"/>
        </w:rPr>
      </w:pPr>
      <w:r w:rsidRPr="00F514FB">
        <w:rPr>
          <w:b/>
          <w:sz w:val="26"/>
          <w:szCs w:val="26"/>
        </w:rPr>
        <w:t>BY THE COMMISSION:</w:t>
      </w:r>
    </w:p>
    <w:p w:rsidR="00F514FB" w:rsidRPr="00F514FB" w:rsidRDefault="00F514FB" w:rsidP="000044DC">
      <w:pPr>
        <w:widowControl/>
        <w:rPr>
          <w:sz w:val="26"/>
          <w:szCs w:val="26"/>
        </w:rPr>
      </w:pPr>
    </w:p>
    <w:p w:rsidR="00F514FB" w:rsidRPr="00F514FB" w:rsidRDefault="00F514FB" w:rsidP="000044DC">
      <w:pPr>
        <w:widowControl/>
        <w:rPr>
          <w:sz w:val="26"/>
          <w:szCs w:val="26"/>
        </w:rPr>
      </w:pPr>
    </w:p>
    <w:p w:rsidR="00AB41CD" w:rsidRDefault="00CA43A5" w:rsidP="000044DC">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are the Exceptions</w:t>
      </w:r>
      <w:r w:rsidR="00E13593">
        <w:rPr>
          <w:color w:val="000000"/>
          <w:sz w:val="26"/>
        </w:rPr>
        <w:t xml:space="preserve"> (Exceptions) of Sherry Dixon</w:t>
      </w:r>
      <w:r w:rsidR="00671E4C">
        <w:rPr>
          <w:color w:val="000000"/>
          <w:sz w:val="26"/>
        </w:rPr>
        <w:t xml:space="preserve"> </w:t>
      </w:r>
      <w:r w:rsidR="00E13593">
        <w:rPr>
          <w:color w:val="000000"/>
          <w:sz w:val="26"/>
        </w:rPr>
        <w:t>(Complainant</w:t>
      </w:r>
      <w:r w:rsidR="00E36BD4">
        <w:rPr>
          <w:color w:val="000000"/>
          <w:sz w:val="26"/>
        </w:rPr>
        <w:t>) filed on February 24, 2014</w:t>
      </w:r>
      <w:r w:rsidR="00671E4C">
        <w:rPr>
          <w:color w:val="000000"/>
          <w:sz w:val="26"/>
        </w:rPr>
        <w:t xml:space="preserve">, to the Initial Decision (I.D.) of Administrative </w:t>
      </w:r>
      <w:r w:rsidR="00E13593">
        <w:rPr>
          <w:color w:val="000000"/>
          <w:sz w:val="26"/>
        </w:rPr>
        <w:t>Law Judge (ALJ) David A. Salapa</w:t>
      </w:r>
      <w:r w:rsidR="00671E4C">
        <w:rPr>
          <w:color w:val="000000"/>
          <w:sz w:val="26"/>
        </w:rPr>
        <w:t>, w</w:t>
      </w:r>
      <w:r w:rsidR="00E13593">
        <w:rPr>
          <w:color w:val="000000"/>
          <w:sz w:val="26"/>
        </w:rPr>
        <w:t>hich was issued on November 26, 2013</w:t>
      </w:r>
      <w:r w:rsidR="00671E4C">
        <w:rPr>
          <w:color w:val="000000"/>
          <w:sz w:val="26"/>
        </w:rPr>
        <w:t>, in</w:t>
      </w:r>
      <w:r w:rsidR="0030295D">
        <w:rPr>
          <w:color w:val="000000"/>
          <w:sz w:val="26"/>
        </w:rPr>
        <w:t xml:space="preserve"> the above-captioned proceeding</w:t>
      </w:r>
      <w:r w:rsidR="00671E4C">
        <w:rPr>
          <w:color w:val="000000"/>
          <w:sz w:val="26"/>
        </w:rPr>
        <w:t>.  Replies to Exceptio</w:t>
      </w:r>
      <w:r w:rsidR="00E13593">
        <w:rPr>
          <w:color w:val="000000"/>
          <w:sz w:val="26"/>
        </w:rPr>
        <w:t>ns were filed by PEC</w:t>
      </w:r>
      <w:r w:rsidR="006951A9">
        <w:rPr>
          <w:color w:val="000000"/>
          <w:sz w:val="26"/>
        </w:rPr>
        <w:t>O Energy Company (PECO or Respondent</w:t>
      </w:r>
      <w:r w:rsidR="00671E4C">
        <w:rPr>
          <w:color w:val="000000"/>
          <w:sz w:val="26"/>
        </w:rPr>
        <w:t>) on</w:t>
      </w:r>
      <w:r w:rsidR="00E36BD4">
        <w:rPr>
          <w:color w:val="000000"/>
          <w:sz w:val="26"/>
        </w:rPr>
        <w:t xml:space="preserve"> February 10, 2014</w:t>
      </w:r>
      <w:r w:rsidR="00671E4C">
        <w:rPr>
          <w:color w:val="000000"/>
          <w:sz w:val="26"/>
        </w:rPr>
        <w:t>.</w:t>
      </w:r>
      <w:r w:rsidR="00535906">
        <w:rPr>
          <w:rStyle w:val="FootnoteReference"/>
          <w:color w:val="000000"/>
          <w:sz w:val="26"/>
        </w:rPr>
        <w:footnoteReference w:id="1"/>
      </w:r>
      <w:r w:rsidR="00671E4C">
        <w:rPr>
          <w:color w:val="000000"/>
          <w:sz w:val="26"/>
        </w:rPr>
        <w:t xml:space="preserve">  </w:t>
      </w:r>
      <w:r w:rsidRPr="00CA43A5">
        <w:rPr>
          <w:sz w:val="26"/>
          <w:szCs w:val="26"/>
        </w:rPr>
        <w:t>For the reason</w:t>
      </w:r>
      <w:r w:rsidR="00E13593">
        <w:rPr>
          <w:sz w:val="26"/>
          <w:szCs w:val="26"/>
        </w:rPr>
        <w:t>s stated below, we will deny the Exceptions and adopt the ALJ’s Initial Decision</w:t>
      </w:r>
      <w:r w:rsidRPr="00CA43A5">
        <w:rPr>
          <w:sz w:val="26"/>
          <w:szCs w:val="26"/>
        </w:rPr>
        <w:t>.</w:t>
      </w:r>
    </w:p>
    <w:p w:rsidR="00E36BD4" w:rsidRDefault="00E36BD4" w:rsidP="000044DC">
      <w:pPr>
        <w:widowControl/>
        <w:spacing w:line="360" w:lineRule="auto"/>
        <w:ind w:firstLine="1440"/>
        <w:rPr>
          <w:sz w:val="26"/>
          <w:szCs w:val="26"/>
        </w:rPr>
      </w:pPr>
    </w:p>
    <w:p w:rsidR="00CA43A5" w:rsidRDefault="00CA43A5" w:rsidP="000044DC">
      <w:pPr>
        <w:widowControl/>
        <w:spacing w:line="360" w:lineRule="auto"/>
        <w:jc w:val="center"/>
        <w:rPr>
          <w:b/>
          <w:sz w:val="26"/>
          <w:szCs w:val="26"/>
        </w:rPr>
      </w:pPr>
      <w:bookmarkStart w:id="0" w:name="OLE_LINK1"/>
      <w:bookmarkStart w:id="1" w:name="OLE_LINK2"/>
      <w:r w:rsidRPr="00CA43A5">
        <w:rPr>
          <w:b/>
          <w:sz w:val="26"/>
          <w:szCs w:val="26"/>
        </w:rPr>
        <w:lastRenderedPageBreak/>
        <w:t>History of the Proceeding</w:t>
      </w:r>
    </w:p>
    <w:p w:rsidR="00BF5C31" w:rsidRDefault="00BF5C31" w:rsidP="000044DC">
      <w:pPr>
        <w:widowControl/>
        <w:spacing w:line="360" w:lineRule="auto"/>
        <w:jc w:val="center"/>
        <w:rPr>
          <w:b/>
          <w:sz w:val="26"/>
          <w:szCs w:val="26"/>
        </w:rPr>
      </w:pPr>
    </w:p>
    <w:p w:rsidR="00C553B2" w:rsidRDefault="00F32174" w:rsidP="000044DC">
      <w:pPr>
        <w:widowControl/>
        <w:spacing w:line="360" w:lineRule="auto"/>
        <w:rPr>
          <w:sz w:val="26"/>
          <w:szCs w:val="26"/>
        </w:rPr>
      </w:pPr>
      <w:r>
        <w:rPr>
          <w:sz w:val="26"/>
          <w:szCs w:val="26"/>
        </w:rPr>
        <w:tab/>
      </w:r>
      <w:r>
        <w:rPr>
          <w:sz w:val="26"/>
          <w:szCs w:val="26"/>
        </w:rPr>
        <w:tab/>
      </w:r>
      <w:r w:rsidRPr="00F32174">
        <w:rPr>
          <w:sz w:val="26"/>
          <w:szCs w:val="26"/>
        </w:rPr>
        <w:t>O</w:t>
      </w:r>
      <w:r>
        <w:rPr>
          <w:sz w:val="26"/>
          <w:szCs w:val="26"/>
        </w:rPr>
        <w:t>n March 15, 2013, the Complainant</w:t>
      </w:r>
      <w:r w:rsidRPr="00F32174">
        <w:rPr>
          <w:sz w:val="26"/>
          <w:szCs w:val="26"/>
        </w:rPr>
        <w:t xml:space="preserve"> filed a </w:t>
      </w:r>
      <w:r>
        <w:rPr>
          <w:sz w:val="26"/>
          <w:szCs w:val="26"/>
        </w:rPr>
        <w:t>Formal C</w:t>
      </w:r>
      <w:r w:rsidRPr="00F32174">
        <w:rPr>
          <w:sz w:val="26"/>
          <w:szCs w:val="26"/>
        </w:rPr>
        <w:t>omplai</w:t>
      </w:r>
      <w:r w:rsidR="0049375E">
        <w:rPr>
          <w:sz w:val="26"/>
          <w:szCs w:val="26"/>
        </w:rPr>
        <w:t>nt with the Commission against PECO</w:t>
      </w:r>
      <w:r>
        <w:rPr>
          <w:sz w:val="26"/>
          <w:szCs w:val="26"/>
        </w:rPr>
        <w:t>.</w:t>
      </w:r>
      <w:r>
        <w:rPr>
          <w:rStyle w:val="FootnoteReference"/>
          <w:sz w:val="26"/>
          <w:szCs w:val="26"/>
        </w:rPr>
        <w:footnoteReference w:id="2"/>
      </w:r>
      <w:r w:rsidR="00747E07">
        <w:rPr>
          <w:sz w:val="26"/>
          <w:szCs w:val="26"/>
        </w:rPr>
        <w:t xml:space="preserve">  In her Complaint, she alleged that</w:t>
      </w:r>
      <w:r w:rsidRPr="00F32174">
        <w:rPr>
          <w:sz w:val="26"/>
          <w:szCs w:val="26"/>
        </w:rPr>
        <w:t xml:space="preserve"> </w:t>
      </w:r>
      <w:r w:rsidR="00747E07">
        <w:rPr>
          <w:sz w:val="26"/>
          <w:szCs w:val="26"/>
        </w:rPr>
        <w:t>PECO was threatening to shut off her service and that there were incorrect charges on her bill</w:t>
      </w:r>
      <w:r w:rsidR="00141CB1">
        <w:rPr>
          <w:sz w:val="26"/>
          <w:szCs w:val="26"/>
        </w:rPr>
        <w:t xml:space="preserve">.  She stated that her meter was broken, </w:t>
      </w:r>
      <w:r w:rsidR="009E3FDD">
        <w:rPr>
          <w:sz w:val="26"/>
          <w:szCs w:val="26"/>
        </w:rPr>
        <w:t xml:space="preserve">that </w:t>
      </w:r>
      <w:r w:rsidR="00141CB1">
        <w:rPr>
          <w:sz w:val="26"/>
          <w:szCs w:val="26"/>
        </w:rPr>
        <w:t xml:space="preserve">she was paying double what she should pay, and that PECO had refused to investigate the matter.  As relief, she </w:t>
      </w:r>
      <w:r w:rsidR="008E42B1">
        <w:rPr>
          <w:sz w:val="26"/>
          <w:szCs w:val="26"/>
        </w:rPr>
        <w:t xml:space="preserve">requested that PECO </w:t>
      </w:r>
      <w:r w:rsidR="00D903B9">
        <w:rPr>
          <w:sz w:val="26"/>
          <w:szCs w:val="26"/>
        </w:rPr>
        <w:t xml:space="preserve">look into her account.  She also requested a payment arrangement.  </w:t>
      </w:r>
    </w:p>
    <w:p w:rsidR="00C553B2" w:rsidRDefault="00C553B2" w:rsidP="000044DC">
      <w:pPr>
        <w:widowControl/>
        <w:spacing w:line="360" w:lineRule="auto"/>
        <w:rPr>
          <w:sz w:val="26"/>
          <w:szCs w:val="26"/>
        </w:rPr>
      </w:pPr>
    </w:p>
    <w:p w:rsidR="00F32174" w:rsidRPr="00F32174" w:rsidRDefault="00D903B9" w:rsidP="006E69B0">
      <w:pPr>
        <w:widowControl/>
        <w:spacing w:line="360" w:lineRule="auto"/>
        <w:ind w:firstLine="1440"/>
        <w:rPr>
          <w:sz w:val="26"/>
          <w:szCs w:val="26"/>
        </w:rPr>
      </w:pPr>
      <w:r>
        <w:rPr>
          <w:sz w:val="26"/>
          <w:szCs w:val="26"/>
        </w:rPr>
        <w:t>PECO filed an Answer and New M</w:t>
      </w:r>
      <w:r w:rsidR="00F32174" w:rsidRPr="00F32174">
        <w:rPr>
          <w:sz w:val="26"/>
          <w:szCs w:val="26"/>
        </w:rPr>
        <w:t>atter on April 1, 2013.  T</w:t>
      </w:r>
      <w:r>
        <w:rPr>
          <w:sz w:val="26"/>
          <w:szCs w:val="26"/>
        </w:rPr>
        <w:t>he A</w:t>
      </w:r>
      <w:r w:rsidR="00F32174" w:rsidRPr="00F32174">
        <w:rPr>
          <w:sz w:val="26"/>
          <w:szCs w:val="26"/>
        </w:rPr>
        <w:t>nswer admit</w:t>
      </w:r>
      <w:r w:rsidR="008E42B1">
        <w:rPr>
          <w:sz w:val="26"/>
          <w:szCs w:val="26"/>
        </w:rPr>
        <w:t>ted that the Respondent provided</w:t>
      </w:r>
      <w:r w:rsidR="00F32174" w:rsidRPr="00F32174">
        <w:rPr>
          <w:sz w:val="26"/>
          <w:szCs w:val="26"/>
        </w:rPr>
        <w:t xml:space="preserve"> service to the Complainant at the addres</w:t>
      </w:r>
      <w:r w:rsidR="008E42B1">
        <w:rPr>
          <w:sz w:val="26"/>
          <w:szCs w:val="26"/>
        </w:rPr>
        <w:t>s shown on the C</w:t>
      </w:r>
      <w:r>
        <w:rPr>
          <w:sz w:val="26"/>
          <w:szCs w:val="26"/>
        </w:rPr>
        <w:t>omplaint</w:t>
      </w:r>
      <w:r w:rsidR="00C553B2">
        <w:rPr>
          <w:sz w:val="26"/>
          <w:szCs w:val="26"/>
        </w:rPr>
        <w:t>.  It</w:t>
      </w:r>
      <w:r w:rsidR="00160F98">
        <w:rPr>
          <w:sz w:val="26"/>
          <w:szCs w:val="26"/>
        </w:rPr>
        <w:t xml:space="preserve"> averred </w:t>
      </w:r>
      <w:r w:rsidR="008E42B1">
        <w:rPr>
          <w:sz w:val="26"/>
          <w:szCs w:val="26"/>
        </w:rPr>
        <w:t>that the Complainant’s bills were</w:t>
      </w:r>
      <w:r w:rsidR="00160F98">
        <w:rPr>
          <w:sz w:val="26"/>
          <w:szCs w:val="26"/>
        </w:rPr>
        <w:t xml:space="preserve"> correct as rendered and that her high bill concerns had been investigated</w:t>
      </w:r>
      <w:r>
        <w:rPr>
          <w:sz w:val="26"/>
          <w:szCs w:val="26"/>
        </w:rPr>
        <w:t>.  Additionally, the A</w:t>
      </w:r>
      <w:r w:rsidR="00F32174" w:rsidRPr="00F32174">
        <w:rPr>
          <w:sz w:val="26"/>
          <w:szCs w:val="26"/>
        </w:rPr>
        <w:t>nswer</w:t>
      </w:r>
      <w:r w:rsidR="008F54C3">
        <w:rPr>
          <w:sz w:val="26"/>
          <w:szCs w:val="26"/>
        </w:rPr>
        <w:t xml:space="preserve"> alleged that the Complainant was</w:t>
      </w:r>
      <w:r w:rsidR="00F32174" w:rsidRPr="00F32174">
        <w:rPr>
          <w:sz w:val="26"/>
          <w:szCs w:val="26"/>
        </w:rPr>
        <w:t xml:space="preserve"> currently </w:t>
      </w:r>
      <w:r w:rsidR="00501FDC">
        <w:rPr>
          <w:sz w:val="26"/>
          <w:szCs w:val="26"/>
        </w:rPr>
        <w:t xml:space="preserve">enrolled in the </w:t>
      </w:r>
      <w:r w:rsidR="00C553B2">
        <w:rPr>
          <w:sz w:val="26"/>
          <w:szCs w:val="26"/>
        </w:rPr>
        <w:t>Respondent</w:t>
      </w:r>
      <w:r w:rsidR="00501FDC">
        <w:rPr>
          <w:sz w:val="26"/>
          <w:szCs w:val="26"/>
        </w:rPr>
        <w:t>’s Customer Assistance Program</w:t>
      </w:r>
      <w:r w:rsidR="00F32174" w:rsidRPr="00F32174">
        <w:rPr>
          <w:sz w:val="26"/>
          <w:szCs w:val="26"/>
        </w:rPr>
        <w:t xml:space="preserve"> </w:t>
      </w:r>
      <w:r w:rsidR="00501FDC">
        <w:rPr>
          <w:sz w:val="26"/>
          <w:szCs w:val="26"/>
        </w:rPr>
        <w:t xml:space="preserve">(CAP) </w:t>
      </w:r>
      <w:r w:rsidR="00F32174" w:rsidRPr="00F32174">
        <w:rPr>
          <w:sz w:val="26"/>
          <w:szCs w:val="26"/>
        </w:rPr>
        <w:t>and</w:t>
      </w:r>
      <w:r w:rsidR="00501FDC">
        <w:rPr>
          <w:sz w:val="26"/>
          <w:szCs w:val="26"/>
        </w:rPr>
        <w:t xml:space="preserve"> her past due balance was comprised entirely of CAP arrearages</w:t>
      </w:r>
      <w:r w:rsidR="00F32174" w:rsidRPr="00F32174">
        <w:rPr>
          <w:sz w:val="26"/>
          <w:szCs w:val="26"/>
        </w:rPr>
        <w:t>.</w:t>
      </w:r>
      <w:r w:rsidR="00E8003F">
        <w:rPr>
          <w:sz w:val="26"/>
          <w:szCs w:val="26"/>
        </w:rPr>
        <w:t xml:space="preserve">  PECO requested that the Complaint be dismissed. </w:t>
      </w:r>
    </w:p>
    <w:p w:rsidR="00F32174" w:rsidRPr="00F32174" w:rsidRDefault="00F32174" w:rsidP="000044DC">
      <w:pPr>
        <w:widowControl/>
        <w:spacing w:line="360" w:lineRule="auto"/>
        <w:rPr>
          <w:sz w:val="26"/>
          <w:szCs w:val="26"/>
        </w:rPr>
      </w:pPr>
    </w:p>
    <w:p w:rsidR="009B7BFC" w:rsidRDefault="00E8003F" w:rsidP="000044DC">
      <w:pPr>
        <w:widowControl/>
        <w:spacing w:line="360" w:lineRule="auto"/>
        <w:rPr>
          <w:sz w:val="26"/>
          <w:szCs w:val="26"/>
        </w:rPr>
      </w:pPr>
      <w:r>
        <w:rPr>
          <w:sz w:val="26"/>
          <w:szCs w:val="26"/>
        </w:rPr>
        <w:tab/>
      </w:r>
      <w:r>
        <w:rPr>
          <w:sz w:val="26"/>
          <w:szCs w:val="26"/>
        </w:rPr>
        <w:tab/>
        <w:t>The ALJ convened</w:t>
      </w:r>
      <w:r w:rsidR="00F32174" w:rsidRPr="00F32174">
        <w:rPr>
          <w:sz w:val="26"/>
          <w:szCs w:val="26"/>
        </w:rPr>
        <w:t xml:space="preserve"> a telephonic hearing on October 31, 2013.  The Complainant appeared </w:t>
      </w:r>
      <w:r w:rsidR="00F32174" w:rsidRPr="00E8003F">
        <w:rPr>
          <w:i/>
          <w:sz w:val="26"/>
          <w:szCs w:val="26"/>
        </w:rPr>
        <w:t>pro se</w:t>
      </w:r>
      <w:r w:rsidR="00F32174" w:rsidRPr="00F32174">
        <w:rPr>
          <w:sz w:val="26"/>
          <w:szCs w:val="26"/>
        </w:rPr>
        <w:t xml:space="preserve"> and presented testimony.  </w:t>
      </w:r>
      <w:r>
        <w:rPr>
          <w:sz w:val="26"/>
          <w:szCs w:val="26"/>
        </w:rPr>
        <w:t xml:space="preserve">PECO </w:t>
      </w:r>
      <w:r w:rsidR="009B7BFC">
        <w:rPr>
          <w:sz w:val="26"/>
          <w:szCs w:val="26"/>
        </w:rPr>
        <w:t>was</w:t>
      </w:r>
      <w:r>
        <w:rPr>
          <w:sz w:val="26"/>
          <w:szCs w:val="26"/>
        </w:rPr>
        <w:t xml:space="preserve"> represented</w:t>
      </w:r>
      <w:r w:rsidR="009B7BFC">
        <w:rPr>
          <w:sz w:val="26"/>
          <w:szCs w:val="26"/>
        </w:rPr>
        <w:t xml:space="preserve"> by counsel</w:t>
      </w:r>
      <w:r>
        <w:rPr>
          <w:sz w:val="26"/>
          <w:szCs w:val="26"/>
        </w:rPr>
        <w:t xml:space="preserve"> and</w:t>
      </w:r>
      <w:r w:rsidR="00F32174" w:rsidRPr="00F32174">
        <w:rPr>
          <w:sz w:val="26"/>
          <w:szCs w:val="26"/>
        </w:rPr>
        <w:t xml:space="preserve"> presented two witnesses who sponsored twelve</w:t>
      </w:r>
      <w:r>
        <w:rPr>
          <w:sz w:val="26"/>
          <w:szCs w:val="26"/>
        </w:rPr>
        <w:t xml:space="preserve"> exhibits</w:t>
      </w:r>
      <w:r w:rsidR="009B7BFC">
        <w:rPr>
          <w:sz w:val="26"/>
          <w:szCs w:val="26"/>
        </w:rPr>
        <w:t>,</w:t>
      </w:r>
      <w:r>
        <w:rPr>
          <w:sz w:val="26"/>
          <w:szCs w:val="26"/>
        </w:rPr>
        <w:t xml:space="preserve"> which were</w:t>
      </w:r>
      <w:r w:rsidR="00F32174" w:rsidRPr="00F32174">
        <w:rPr>
          <w:sz w:val="26"/>
          <w:szCs w:val="26"/>
        </w:rPr>
        <w:t xml:space="preserve"> admitted into the record.  The record closed on November 5, 2013</w:t>
      </w:r>
      <w:r>
        <w:rPr>
          <w:sz w:val="26"/>
          <w:szCs w:val="26"/>
        </w:rPr>
        <w:t xml:space="preserve">.  On November 26, 2013, the ALJ issued an Initial Decision </w:t>
      </w:r>
      <w:r w:rsidR="008F54C3">
        <w:rPr>
          <w:sz w:val="26"/>
          <w:szCs w:val="26"/>
        </w:rPr>
        <w:t xml:space="preserve">in </w:t>
      </w:r>
      <w:r>
        <w:rPr>
          <w:sz w:val="26"/>
          <w:szCs w:val="26"/>
        </w:rPr>
        <w:t>which</w:t>
      </w:r>
      <w:r w:rsidR="008F54C3">
        <w:rPr>
          <w:sz w:val="26"/>
          <w:szCs w:val="26"/>
        </w:rPr>
        <w:t xml:space="preserve"> he</w:t>
      </w:r>
      <w:r>
        <w:rPr>
          <w:sz w:val="26"/>
          <w:szCs w:val="26"/>
        </w:rPr>
        <w:t xml:space="preserve"> found that the Complainant’s bills were correct as rendered and that she was not entitled to a</w:t>
      </w:r>
      <w:r w:rsidR="00B53B3B">
        <w:rPr>
          <w:sz w:val="26"/>
          <w:szCs w:val="26"/>
        </w:rPr>
        <w:t xml:space="preserve"> payment arrangement as all of</w:t>
      </w:r>
      <w:r>
        <w:rPr>
          <w:sz w:val="26"/>
          <w:szCs w:val="26"/>
        </w:rPr>
        <w:t xml:space="preserve"> her arrearages</w:t>
      </w:r>
      <w:r w:rsidR="009B7BFC">
        <w:rPr>
          <w:sz w:val="26"/>
          <w:szCs w:val="26"/>
        </w:rPr>
        <w:t xml:space="preserve"> </w:t>
      </w:r>
      <w:r>
        <w:rPr>
          <w:sz w:val="26"/>
          <w:szCs w:val="26"/>
        </w:rPr>
        <w:t>were</w:t>
      </w:r>
      <w:r w:rsidR="004A60B1">
        <w:rPr>
          <w:sz w:val="26"/>
          <w:szCs w:val="26"/>
        </w:rPr>
        <w:t xml:space="preserve"> accrued under CAP rates.  </w:t>
      </w:r>
    </w:p>
    <w:p w:rsidR="009B7BFC" w:rsidRDefault="009B7BFC" w:rsidP="000044DC">
      <w:pPr>
        <w:widowControl/>
        <w:spacing w:line="360" w:lineRule="auto"/>
        <w:rPr>
          <w:sz w:val="26"/>
          <w:szCs w:val="26"/>
        </w:rPr>
      </w:pPr>
    </w:p>
    <w:p w:rsidR="00E75E1C" w:rsidRDefault="00E75E1C">
      <w:pPr>
        <w:widowControl/>
        <w:spacing w:after="200" w:line="276" w:lineRule="auto"/>
        <w:rPr>
          <w:sz w:val="26"/>
          <w:szCs w:val="26"/>
        </w:rPr>
      </w:pPr>
      <w:r>
        <w:rPr>
          <w:sz w:val="26"/>
          <w:szCs w:val="26"/>
        </w:rPr>
        <w:br w:type="page"/>
      </w:r>
    </w:p>
    <w:p w:rsidR="009B7BFC" w:rsidRDefault="009B7BFC" w:rsidP="006E69B0">
      <w:pPr>
        <w:pStyle w:val="FootnoteText"/>
        <w:spacing w:line="360" w:lineRule="auto"/>
        <w:ind w:firstLine="1440"/>
        <w:rPr>
          <w:sz w:val="26"/>
          <w:szCs w:val="26"/>
        </w:rPr>
      </w:pPr>
      <w:r w:rsidRPr="004A60B1">
        <w:rPr>
          <w:sz w:val="26"/>
          <w:szCs w:val="26"/>
        </w:rPr>
        <w:lastRenderedPageBreak/>
        <w:t xml:space="preserve">On December 30, 2013, the Complainant filed a letter stating that she had not received the Initial Decision until December 26, 2014, well past the due date to file Exceptions.  She provided a copy of </w:t>
      </w:r>
      <w:r>
        <w:rPr>
          <w:sz w:val="26"/>
          <w:szCs w:val="26"/>
        </w:rPr>
        <w:t xml:space="preserve">the </w:t>
      </w:r>
      <w:r w:rsidRPr="004A60B1">
        <w:rPr>
          <w:sz w:val="26"/>
          <w:szCs w:val="26"/>
        </w:rPr>
        <w:t>envelope she received from the Comm</w:t>
      </w:r>
      <w:r>
        <w:rPr>
          <w:sz w:val="26"/>
          <w:szCs w:val="26"/>
        </w:rPr>
        <w:t>ission with the postmark date showing that</w:t>
      </w:r>
      <w:r w:rsidRPr="004A60B1">
        <w:rPr>
          <w:sz w:val="26"/>
          <w:szCs w:val="26"/>
        </w:rPr>
        <w:t xml:space="preserve"> she had received the Initial </w:t>
      </w:r>
      <w:r>
        <w:rPr>
          <w:sz w:val="26"/>
          <w:szCs w:val="26"/>
        </w:rPr>
        <w:t>Decision after the due date to file E</w:t>
      </w:r>
      <w:r w:rsidRPr="004A60B1">
        <w:rPr>
          <w:sz w:val="26"/>
          <w:szCs w:val="26"/>
        </w:rPr>
        <w:t>xcepti</w:t>
      </w:r>
      <w:r>
        <w:rPr>
          <w:sz w:val="26"/>
          <w:szCs w:val="26"/>
        </w:rPr>
        <w:t>ons.  In the letter, s</w:t>
      </w:r>
      <w:r w:rsidRPr="004A60B1">
        <w:rPr>
          <w:sz w:val="26"/>
          <w:szCs w:val="26"/>
        </w:rPr>
        <w:t>he indi</w:t>
      </w:r>
      <w:r>
        <w:rPr>
          <w:sz w:val="26"/>
          <w:szCs w:val="26"/>
        </w:rPr>
        <w:t>cated that she would be filing E</w:t>
      </w:r>
      <w:r w:rsidRPr="004A60B1">
        <w:rPr>
          <w:sz w:val="26"/>
          <w:szCs w:val="26"/>
        </w:rPr>
        <w:t>xceptions.</w:t>
      </w:r>
      <w:r>
        <w:rPr>
          <w:sz w:val="26"/>
          <w:szCs w:val="26"/>
        </w:rPr>
        <w:t xml:space="preserve">  By Secretarial Letter dated</w:t>
      </w:r>
      <w:r w:rsidRPr="004A60B1">
        <w:rPr>
          <w:sz w:val="26"/>
          <w:szCs w:val="26"/>
        </w:rPr>
        <w:t xml:space="preserve"> January 2, 2014, the Complainant’s letter was returned to her for a signature and a certificate of service.  The Commission received the corrected document on January 10, 2014.  </w:t>
      </w:r>
    </w:p>
    <w:p w:rsidR="009B7BFC" w:rsidRDefault="009B7BFC" w:rsidP="006E69B0">
      <w:pPr>
        <w:pStyle w:val="FootnoteText"/>
        <w:spacing w:line="360" w:lineRule="auto"/>
        <w:ind w:firstLine="1440"/>
        <w:rPr>
          <w:sz w:val="26"/>
          <w:szCs w:val="26"/>
        </w:rPr>
      </w:pPr>
    </w:p>
    <w:p w:rsidR="009B7BFC" w:rsidRDefault="009B7BFC" w:rsidP="006E69B0">
      <w:pPr>
        <w:pStyle w:val="FootnoteText"/>
        <w:spacing w:line="360" w:lineRule="auto"/>
        <w:ind w:firstLine="1440"/>
      </w:pPr>
      <w:r>
        <w:rPr>
          <w:sz w:val="26"/>
          <w:szCs w:val="26"/>
        </w:rPr>
        <w:t>On January 21, 2014</w:t>
      </w:r>
      <w:r w:rsidRPr="004A60B1">
        <w:rPr>
          <w:sz w:val="26"/>
          <w:szCs w:val="26"/>
        </w:rPr>
        <w:t xml:space="preserve">, the Commission </w:t>
      </w:r>
      <w:r w:rsidR="00FE6FA5">
        <w:rPr>
          <w:sz w:val="26"/>
          <w:szCs w:val="26"/>
        </w:rPr>
        <w:t xml:space="preserve">noted that the Initial Decision became the final action of the Commission when no Exceptions were timely filed.  Considering the allegations in the Complainant’s letter, however, the Commission rescinded that action and </w:t>
      </w:r>
      <w:r w:rsidRPr="004A60B1">
        <w:rPr>
          <w:sz w:val="26"/>
          <w:szCs w:val="26"/>
        </w:rPr>
        <w:t>granted the Complainant an exten</w:t>
      </w:r>
      <w:r>
        <w:rPr>
          <w:sz w:val="26"/>
          <w:szCs w:val="26"/>
        </w:rPr>
        <w:t>sion of time in which to file E</w:t>
      </w:r>
      <w:r w:rsidR="004C2678">
        <w:rPr>
          <w:sz w:val="26"/>
          <w:szCs w:val="26"/>
        </w:rPr>
        <w:t>xceptions.  On February 1</w:t>
      </w:r>
      <w:r w:rsidR="00B1701E">
        <w:rPr>
          <w:sz w:val="26"/>
          <w:szCs w:val="26"/>
        </w:rPr>
        <w:t>0</w:t>
      </w:r>
      <w:r w:rsidRPr="004A60B1">
        <w:rPr>
          <w:sz w:val="26"/>
          <w:szCs w:val="26"/>
        </w:rPr>
        <w:t>, 2014, the Commission received her Exceptions but returned them for</w:t>
      </w:r>
      <w:r>
        <w:rPr>
          <w:sz w:val="26"/>
          <w:szCs w:val="26"/>
        </w:rPr>
        <w:t xml:space="preserve"> lack of a signature.  </w:t>
      </w:r>
      <w:r w:rsidRPr="004A60B1">
        <w:rPr>
          <w:sz w:val="26"/>
          <w:szCs w:val="26"/>
        </w:rPr>
        <w:t xml:space="preserve">On February 24, 2014, the Commission </w:t>
      </w:r>
      <w:r>
        <w:rPr>
          <w:sz w:val="26"/>
          <w:szCs w:val="26"/>
        </w:rPr>
        <w:t>r</w:t>
      </w:r>
      <w:r w:rsidRPr="004A60B1">
        <w:rPr>
          <w:sz w:val="26"/>
          <w:szCs w:val="26"/>
        </w:rPr>
        <w:t>eceived the corrected filing.  As the Complainant did not timely receive the Initial Decision and complied with the due dates imposed by the Commission for an extension of time and to correct her</w:t>
      </w:r>
      <w:r>
        <w:rPr>
          <w:sz w:val="26"/>
          <w:szCs w:val="26"/>
        </w:rPr>
        <w:t xml:space="preserve"> filings, her Exceptions are</w:t>
      </w:r>
      <w:r w:rsidRPr="004A60B1">
        <w:rPr>
          <w:sz w:val="26"/>
          <w:szCs w:val="26"/>
        </w:rPr>
        <w:t xml:space="preserve"> considered timely filed.</w:t>
      </w:r>
    </w:p>
    <w:p w:rsidR="009B7BFC" w:rsidRDefault="009B7BFC" w:rsidP="000044DC">
      <w:pPr>
        <w:widowControl/>
        <w:spacing w:line="360" w:lineRule="auto"/>
        <w:rPr>
          <w:sz w:val="26"/>
          <w:szCs w:val="26"/>
        </w:rPr>
      </w:pPr>
    </w:p>
    <w:p w:rsidR="00CA43A5" w:rsidRDefault="009B7BFC" w:rsidP="006E69B0">
      <w:pPr>
        <w:widowControl/>
        <w:spacing w:line="360" w:lineRule="auto"/>
        <w:ind w:firstLine="1440"/>
        <w:rPr>
          <w:sz w:val="26"/>
          <w:szCs w:val="26"/>
        </w:rPr>
      </w:pPr>
      <w:r w:rsidRPr="004A60B1">
        <w:rPr>
          <w:sz w:val="26"/>
          <w:szCs w:val="26"/>
        </w:rPr>
        <w:t xml:space="preserve">It appears from PECO’s Replies to Exceptions, that the </w:t>
      </w:r>
      <w:r>
        <w:rPr>
          <w:sz w:val="26"/>
          <w:szCs w:val="26"/>
        </w:rPr>
        <w:t>Respondent</w:t>
      </w:r>
      <w:r w:rsidRPr="004A60B1">
        <w:rPr>
          <w:sz w:val="26"/>
          <w:szCs w:val="26"/>
        </w:rPr>
        <w:t xml:space="preserve"> received a copy of the Exceptions on February 7, 2014.  </w:t>
      </w:r>
      <w:r w:rsidR="00E8003F">
        <w:rPr>
          <w:sz w:val="26"/>
          <w:szCs w:val="26"/>
        </w:rPr>
        <w:t xml:space="preserve">PECO filed Replies to Exceptions on </w:t>
      </w:r>
      <w:r w:rsidR="004A60B1">
        <w:rPr>
          <w:sz w:val="26"/>
          <w:szCs w:val="26"/>
        </w:rPr>
        <w:t xml:space="preserve">February 10, 2014. </w:t>
      </w:r>
      <w:bookmarkEnd w:id="0"/>
      <w:bookmarkEnd w:id="1"/>
    </w:p>
    <w:p w:rsidR="00A839F2" w:rsidRPr="00BF5C31" w:rsidRDefault="00A839F2" w:rsidP="000044DC">
      <w:pPr>
        <w:widowControl/>
        <w:spacing w:line="360" w:lineRule="auto"/>
        <w:rPr>
          <w:sz w:val="26"/>
          <w:szCs w:val="26"/>
        </w:rPr>
      </w:pPr>
    </w:p>
    <w:p w:rsidR="00CA43A5" w:rsidRPr="00CA43A5" w:rsidRDefault="00CA43A5" w:rsidP="000044DC">
      <w:pPr>
        <w:widowControl/>
        <w:spacing w:line="360" w:lineRule="auto"/>
        <w:jc w:val="center"/>
        <w:rPr>
          <w:sz w:val="26"/>
          <w:szCs w:val="26"/>
        </w:rPr>
      </w:pPr>
      <w:r w:rsidRPr="00CA43A5">
        <w:rPr>
          <w:b/>
          <w:sz w:val="26"/>
          <w:szCs w:val="26"/>
        </w:rPr>
        <w:t>Discussion</w:t>
      </w:r>
    </w:p>
    <w:p w:rsidR="009B7BFC" w:rsidRDefault="009B7BFC" w:rsidP="000044DC">
      <w:pPr>
        <w:widowControl/>
        <w:spacing w:line="360" w:lineRule="auto"/>
        <w:contextualSpacing/>
        <w:rPr>
          <w:b/>
          <w:sz w:val="26"/>
          <w:szCs w:val="26"/>
        </w:rPr>
      </w:pPr>
    </w:p>
    <w:p w:rsidR="007F7270" w:rsidRPr="00D36748" w:rsidRDefault="007F7270" w:rsidP="000044DC">
      <w:pPr>
        <w:widowControl/>
        <w:spacing w:line="360" w:lineRule="auto"/>
        <w:contextualSpacing/>
        <w:rPr>
          <w:b/>
          <w:sz w:val="26"/>
          <w:szCs w:val="26"/>
        </w:rPr>
      </w:pPr>
      <w:r w:rsidRPr="00D36748">
        <w:rPr>
          <w:b/>
          <w:sz w:val="26"/>
          <w:szCs w:val="26"/>
        </w:rPr>
        <w:t>Legal Standards</w:t>
      </w:r>
    </w:p>
    <w:p w:rsidR="0043592C" w:rsidRDefault="0043592C" w:rsidP="000044DC">
      <w:pPr>
        <w:widowControl/>
        <w:spacing w:line="360" w:lineRule="auto"/>
        <w:rPr>
          <w:sz w:val="26"/>
          <w:szCs w:val="26"/>
        </w:rPr>
      </w:pPr>
    </w:p>
    <w:p w:rsidR="002738C4" w:rsidRPr="002738C4" w:rsidRDefault="002738C4" w:rsidP="000044DC">
      <w:pPr>
        <w:widowControl/>
        <w:spacing w:line="360" w:lineRule="auto"/>
        <w:ind w:firstLine="1440"/>
        <w:rPr>
          <w:sz w:val="26"/>
          <w:szCs w:val="26"/>
        </w:rPr>
      </w:pPr>
      <w:r w:rsidRPr="002738C4">
        <w:rPr>
          <w:sz w:val="26"/>
          <w:szCs w:val="26"/>
        </w:rPr>
        <w:t xml:space="preserve">As the proponent of a rule or order, the Complainant in this proceeding bears the burden of proof pursuant to Section 332(a) of the Public Utility Code (Code).  </w:t>
      </w:r>
      <w:r w:rsidRPr="002738C4">
        <w:rPr>
          <w:sz w:val="26"/>
          <w:szCs w:val="26"/>
        </w:rPr>
        <w:lastRenderedPageBreak/>
        <w:t xml:space="preserve">66 Pa. C.S. § 332(a).  To establish a sufficient case and satisfy the burden of proof, the Complainant must show that the Respondent is responsible or accountable for the problem described in the Complaint.  </w:t>
      </w:r>
      <w:r w:rsidRPr="002738C4">
        <w:rPr>
          <w:i/>
          <w:sz w:val="26"/>
          <w:szCs w:val="26"/>
        </w:rPr>
        <w:t>Patterson v. The Bell Telephone Company of Pennsylvania</w:t>
      </w:r>
      <w:r w:rsidRPr="002738C4">
        <w:rPr>
          <w:sz w:val="26"/>
          <w:szCs w:val="26"/>
        </w:rPr>
        <w:t xml:space="preserve">, 72 Pa. P.U.C. 196 (1990).  Such a showing must be by a preponderance of the evidence.  </w:t>
      </w:r>
      <w:r w:rsidRPr="002738C4">
        <w:rPr>
          <w:i/>
          <w:iCs/>
          <w:sz w:val="26"/>
          <w:szCs w:val="26"/>
        </w:rPr>
        <w:t>Samuel J. Lansberry, Inc. v. Pa. PUC</w:t>
      </w:r>
      <w:r w:rsidRPr="002738C4">
        <w:rPr>
          <w:sz w:val="26"/>
          <w:szCs w:val="26"/>
        </w:rPr>
        <w:t xml:space="preserve">, 578 A.2d 600 (Pa. Cmwlth. 1990), </w:t>
      </w:r>
      <w:r w:rsidRPr="002738C4">
        <w:rPr>
          <w:i/>
          <w:sz w:val="26"/>
          <w:szCs w:val="26"/>
        </w:rPr>
        <w:t>alloc. denied,</w:t>
      </w:r>
      <w:r w:rsidRPr="002738C4">
        <w:rPr>
          <w:sz w:val="26"/>
          <w:szCs w:val="26"/>
        </w:rPr>
        <w:t xml:space="preserve"> 529 Pa. 654, 602 A.2d 863 (1992).  That is, the Complainant’s evidence must be more convincing, by even the smallest amount, than that presented by the Respondent.  </w:t>
      </w:r>
      <w:r w:rsidRPr="002738C4">
        <w:rPr>
          <w:i/>
          <w:sz w:val="26"/>
          <w:szCs w:val="26"/>
        </w:rPr>
        <w:t>Se-Ling Hosiery, Inc. v. Margulies</w:t>
      </w:r>
      <w:r w:rsidRPr="002738C4">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2738C4">
        <w:rPr>
          <w:i/>
          <w:sz w:val="26"/>
          <w:szCs w:val="26"/>
        </w:rPr>
        <w:t xml:space="preserve">Norfolk &amp; Western Ry. Co. v. Pa. PUC, </w:t>
      </w:r>
      <w:r w:rsidRPr="002738C4">
        <w:rPr>
          <w:sz w:val="26"/>
          <w:szCs w:val="26"/>
        </w:rPr>
        <w:t>489 Pa. 109, 413 A.2d 1037 (1980).</w:t>
      </w:r>
    </w:p>
    <w:p w:rsidR="002738C4" w:rsidRPr="002738C4" w:rsidRDefault="002738C4" w:rsidP="000044DC">
      <w:pPr>
        <w:widowControl/>
        <w:spacing w:line="360" w:lineRule="auto"/>
        <w:ind w:firstLine="1440"/>
        <w:rPr>
          <w:sz w:val="26"/>
          <w:szCs w:val="26"/>
        </w:rPr>
      </w:pPr>
    </w:p>
    <w:p w:rsidR="002738C4" w:rsidRPr="002738C4" w:rsidRDefault="002738C4" w:rsidP="000044DC">
      <w:pPr>
        <w:widowControl/>
        <w:spacing w:line="360" w:lineRule="auto"/>
        <w:ind w:firstLine="1440"/>
        <w:rPr>
          <w:i/>
          <w:sz w:val="26"/>
          <w:szCs w:val="26"/>
        </w:rPr>
      </w:pPr>
      <w:r w:rsidRPr="002738C4">
        <w:rPr>
          <w:sz w:val="26"/>
          <w:szCs w:val="26"/>
        </w:rPr>
        <w:t xml:space="preserve">Upon the presentation by the Complainant of evidence sufficient to initially satisfy the burden of proof, the burden of going forward with the evidence to rebut the evidence of the </w:t>
      </w:r>
      <w:r w:rsidR="008C053E">
        <w:rPr>
          <w:sz w:val="26"/>
          <w:szCs w:val="26"/>
        </w:rPr>
        <w:t>C</w:t>
      </w:r>
      <w:r w:rsidRPr="002738C4">
        <w:rPr>
          <w:sz w:val="26"/>
          <w:szCs w:val="26"/>
        </w:rPr>
        <w:t xml:space="preserve">omplainant shifts to the Respondent.  If the evidence presented by the Respondent is of co-equal value or “weight,” the burden of proof has not been satisfied. The Complainant now has to provide some additional evidence to rebut that of the Respondent. </w:t>
      </w:r>
      <w:r w:rsidRPr="002738C4">
        <w:rPr>
          <w:iCs/>
          <w:sz w:val="26"/>
          <w:szCs w:val="26"/>
        </w:rPr>
        <w:t xml:space="preserve"> </w:t>
      </w:r>
      <w:r w:rsidRPr="002738C4">
        <w:rPr>
          <w:i/>
          <w:iCs/>
          <w:sz w:val="26"/>
          <w:szCs w:val="26"/>
        </w:rPr>
        <w:t>Burleson v. Pa. PUC,</w:t>
      </w:r>
      <w:r w:rsidRPr="002738C4">
        <w:rPr>
          <w:iCs/>
          <w:sz w:val="26"/>
          <w:szCs w:val="26"/>
        </w:rPr>
        <w:t xml:space="preserve"> 443 A.2d 1373 (Pa. Cmwlth. 1982), </w:t>
      </w:r>
      <w:r w:rsidRPr="002738C4">
        <w:rPr>
          <w:i/>
          <w:iCs/>
          <w:sz w:val="26"/>
          <w:szCs w:val="26"/>
        </w:rPr>
        <w:t>aff’d,</w:t>
      </w:r>
      <w:r w:rsidRPr="002738C4">
        <w:rPr>
          <w:iCs/>
          <w:sz w:val="26"/>
          <w:szCs w:val="26"/>
        </w:rPr>
        <w:t xml:space="preserve"> 501 Pa. 433, 461 A.2d 1234 (1983).</w:t>
      </w:r>
    </w:p>
    <w:p w:rsidR="002738C4" w:rsidRPr="002738C4" w:rsidRDefault="002738C4" w:rsidP="000044DC">
      <w:pPr>
        <w:widowControl/>
        <w:spacing w:line="360" w:lineRule="auto"/>
        <w:ind w:firstLine="1440"/>
        <w:rPr>
          <w:sz w:val="26"/>
          <w:szCs w:val="26"/>
        </w:rPr>
      </w:pPr>
    </w:p>
    <w:p w:rsidR="002738C4" w:rsidRPr="002738C4" w:rsidRDefault="002738C4" w:rsidP="000044DC">
      <w:pPr>
        <w:widowControl/>
        <w:spacing w:line="360" w:lineRule="auto"/>
        <w:ind w:firstLine="1440"/>
        <w:rPr>
          <w:i/>
          <w:sz w:val="26"/>
          <w:szCs w:val="26"/>
        </w:rPr>
      </w:pPr>
      <w:r w:rsidRPr="002738C4">
        <w:rPr>
          <w:sz w:val="26"/>
          <w:szCs w:val="26"/>
        </w:rPr>
        <w:t xml:space="preserve">While the burden of going forward with the evidence may shift back and forth during a proceeding, the burden of proof never shifts. </w:t>
      </w:r>
      <w:r w:rsidR="00F91282">
        <w:rPr>
          <w:sz w:val="26"/>
          <w:szCs w:val="26"/>
        </w:rPr>
        <w:t xml:space="preserve"> </w:t>
      </w:r>
      <w:r w:rsidRPr="002738C4">
        <w:rPr>
          <w:sz w:val="26"/>
          <w:szCs w:val="26"/>
        </w:rPr>
        <w:t xml:space="preserve">The burden of proof always remains on the party seeking affirmative relief from the Commission.  </w:t>
      </w:r>
      <w:r w:rsidRPr="002738C4">
        <w:rPr>
          <w:i/>
          <w:sz w:val="26"/>
          <w:szCs w:val="26"/>
        </w:rPr>
        <w:t xml:space="preserve">Milkie v. Pa. PUC, </w:t>
      </w:r>
      <w:r w:rsidRPr="002738C4">
        <w:rPr>
          <w:sz w:val="26"/>
          <w:szCs w:val="26"/>
        </w:rPr>
        <w:t>768 A.2d 1217 (Pa. Cmwlth. 2001).</w:t>
      </w:r>
    </w:p>
    <w:p w:rsidR="002738C4" w:rsidRPr="002738C4" w:rsidRDefault="002738C4" w:rsidP="000044DC">
      <w:pPr>
        <w:widowControl/>
        <w:spacing w:line="360" w:lineRule="auto"/>
        <w:ind w:firstLine="1440"/>
        <w:rPr>
          <w:sz w:val="26"/>
          <w:szCs w:val="26"/>
        </w:rPr>
      </w:pPr>
    </w:p>
    <w:p w:rsidR="00006F35" w:rsidRDefault="002738C4" w:rsidP="000044DC">
      <w:pPr>
        <w:widowControl/>
        <w:spacing w:line="360" w:lineRule="auto"/>
        <w:ind w:firstLine="1440"/>
        <w:rPr>
          <w:sz w:val="26"/>
          <w:szCs w:val="26"/>
        </w:rPr>
      </w:pPr>
      <w:r w:rsidRPr="002738C4">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w:t>
      </w:r>
      <w:r w:rsidRPr="002738C4">
        <w:rPr>
          <w:sz w:val="26"/>
          <w:szCs w:val="26"/>
        </w:rPr>
        <w:lastRenderedPageBreak/>
        <w:t xml:space="preserve">length each contention or argument raised by the parties.  </w:t>
      </w:r>
      <w:r w:rsidRPr="002738C4">
        <w:rPr>
          <w:i/>
          <w:iCs/>
          <w:sz w:val="26"/>
          <w:szCs w:val="26"/>
        </w:rPr>
        <w:t xml:space="preserve">Consolidated Rail Corp. v. Pa. PUC, </w:t>
      </w:r>
      <w:r w:rsidRPr="002738C4">
        <w:rPr>
          <w:sz w:val="26"/>
          <w:szCs w:val="26"/>
        </w:rPr>
        <w:t xml:space="preserve">625 A.2d 741 (Pa. Cmwlth. 1993); </w:t>
      </w:r>
      <w:r w:rsidRPr="002738C4">
        <w:rPr>
          <w:i/>
          <w:sz w:val="26"/>
          <w:szCs w:val="26"/>
        </w:rPr>
        <w:t xml:space="preserve">also </w:t>
      </w:r>
      <w:r w:rsidRPr="002738C4">
        <w:rPr>
          <w:i/>
          <w:iCs/>
          <w:sz w:val="26"/>
          <w:szCs w:val="26"/>
        </w:rPr>
        <w:t>see, generally, University of Pennsylvania v. Pa. PUC</w:t>
      </w:r>
      <w:r w:rsidRPr="002738C4">
        <w:rPr>
          <w:sz w:val="26"/>
          <w:szCs w:val="26"/>
        </w:rPr>
        <w:t>, 485 A.2d 1217 (Pa. Cmwlth. 1984).</w:t>
      </w:r>
    </w:p>
    <w:p w:rsidR="002738C4" w:rsidRDefault="002738C4" w:rsidP="000044DC">
      <w:pPr>
        <w:widowControl/>
        <w:spacing w:line="360" w:lineRule="auto"/>
        <w:ind w:firstLine="1440"/>
        <w:rPr>
          <w:sz w:val="26"/>
          <w:szCs w:val="26"/>
        </w:rPr>
      </w:pPr>
    </w:p>
    <w:p w:rsidR="00006F35" w:rsidRDefault="00802E4F" w:rsidP="000044DC">
      <w:pPr>
        <w:widowControl/>
        <w:spacing w:line="360" w:lineRule="auto"/>
        <w:rPr>
          <w:b/>
          <w:sz w:val="26"/>
          <w:szCs w:val="26"/>
        </w:rPr>
      </w:pPr>
      <w:r>
        <w:rPr>
          <w:b/>
          <w:sz w:val="26"/>
          <w:szCs w:val="26"/>
        </w:rPr>
        <w:t>ALJ’s Initial Decision</w:t>
      </w:r>
    </w:p>
    <w:p w:rsidR="00802E4F" w:rsidRDefault="00802E4F" w:rsidP="000044DC">
      <w:pPr>
        <w:widowControl/>
        <w:spacing w:line="360" w:lineRule="auto"/>
        <w:ind w:firstLine="1440"/>
        <w:rPr>
          <w:b/>
          <w:sz w:val="26"/>
          <w:szCs w:val="26"/>
        </w:rPr>
      </w:pPr>
    </w:p>
    <w:p w:rsidR="007E03C5" w:rsidRDefault="00F91282" w:rsidP="000044DC">
      <w:pPr>
        <w:widowControl/>
        <w:spacing w:line="360" w:lineRule="auto"/>
        <w:ind w:firstLine="1440"/>
        <w:rPr>
          <w:sz w:val="26"/>
          <w:szCs w:val="26"/>
        </w:rPr>
      </w:pPr>
      <w:r>
        <w:rPr>
          <w:sz w:val="26"/>
          <w:szCs w:val="26"/>
        </w:rPr>
        <w:t>ALJ Salapa made thirty-</w:t>
      </w:r>
      <w:r w:rsidR="007E03C5">
        <w:rPr>
          <w:sz w:val="26"/>
          <w:szCs w:val="26"/>
        </w:rPr>
        <w:t>six</w:t>
      </w:r>
      <w:r w:rsidR="00802E4F" w:rsidRPr="00CA43A5">
        <w:rPr>
          <w:sz w:val="26"/>
          <w:szCs w:val="26"/>
        </w:rPr>
        <w:t xml:space="preserve"> Findings of Fact </w:t>
      </w:r>
      <w:r w:rsidR="00A839F2">
        <w:rPr>
          <w:sz w:val="26"/>
          <w:szCs w:val="26"/>
        </w:rPr>
        <w:t>and reached eight</w:t>
      </w:r>
      <w:r w:rsidR="00802E4F" w:rsidRPr="00CA43A5">
        <w:rPr>
          <w:sz w:val="26"/>
          <w:szCs w:val="26"/>
        </w:rPr>
        <w:t xml:space="preserve"> Conclusions of Law.  </w:t>
      </w:r>
      <w:r w:rsidR="007E03C5">
        <w:rPr>
          <w:sz w:val="26"/>
          <w:szCs w:val="26"/>
        </w:rPr>
        <w:t>I.D. at 5-9</w:t>
      </w:r>
      <w:r w:rsidR="005B47A8">
        <w:rPr>
          <w:sz w:val="26"/>
          <w:szCs w:val="26"/>
        </w:rPr>
        <w:t xml:space="preserve"> and</w:t>
      </w:r>
      <w:r w:rsidR="007E03C5">
        <w:rPr>
          <w:sz w:val="26"/>
          <w:szCs w:val="26"/>
        </w:rPr>
        <w:t xml:space="preserve"> 19.  </w:t>
      </w:r>
      <w:r w:rsidR="00802E4F"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8F54C3" w:rsidRDefault="008F54C3" w:rsidP="000044DC">
      <w:pPr>
        <w:widowControl/>
        <w:spacing w:line="360" w:lineRule="auto"/>
        <w:ind w:firstLine="1440"/>
        <w:rPr>
          <w:sz w:val="26"/>
          <w:szCs w:val="26"/>
        </w:rPr>
      </w:pPr>
    </w:p>
    <w:p w:rsidR="00626F14" w:rsidRDefault="00BC3E0D" w:rsidP="000044DC">
      <w:pPr>
        <w:widowControl/>
        <w:spacing w:line="360" w:lineRule="auto"/>
        <w:ind w:firstLine="1440"/>
        <w:rPr>
          <w:sz w:val="26"/>
          <w:szCs w:val="26"/>
        </w:rPr>
      </w:pPr>
      <w:r>
        <w:rPr>
          <w:sz w:val="26"/>
          <w:szCs w:val="26"/>
        </w:rPr>
        <w:t>Relying on the testimony and exhibits presented by the Parties, t</w:t>
      </w:r>
      <w:r w:rsidR="00715F1D">
        <w:rPr>
          <w:sz w:val="26"/>
          <w:szCs w:val="26"/>
        </w:rPr>
        <w:t>he ALJ held that the Comp</w:t>
      </w:r>
      <w:r w:rsidR="00693DA2">
        <w:rPr>
          <w:sz w:val="26"/>
          <w:szCs w:val="26"/>
        </w:rPr>
        <w:t>lainant had failed to prove</w:t>
      </w:r>
      <w:r w:rsidR="00715F1D">
        <w:rPr>
          <w:sz w:val="26"/>
          <w:szCs w:val="26"/>
        </w:rPr>
        <w:t xml:space="preserve"> her bills were inaccurate</w:t>
      </w:r>
      <w:r w:rsidR="005B47A8">
        <w:rPr>
          <w:sz w:val="26"/>
          <w:szCs w:val="26"/>
        </w:rPr>
        <w:t>,</w:t>
      </w:r>
      <w:r w:rsidR="00715F1D">
        <w:rPr>
          <w:sz w:val="26"/>
          <w:szCs w:val="26"/>
        </w:rPr>
        <w:t xml:space="preserve"> concluding that the bills were correct as rendered and that the Complainant was capable of using the amount of electricity for which she was billed.  I.D. at 16.  </w:t>
      </w:r>
      <w:r>
        <w:rPr>
          <w:sz w:val="26"/>
          <w:szCs w:val="26"/>
        </w:rPr>
        <w:t>He reasoned</w:t>
      </w:r>
      <w:r w:rsidR="00715F1D">
        <w:rPr>
          <w:sz w:val="26"/>
          <w:szCs w:val="26"/>
        </w:rPr>
        <w:t xml:space="preserve"> </w:t>
      </w:r>
      <w:r>
        <w:rPr>
          <w:sz w:val="26"/>
          <w:szCs w:val="26"/>
        </w:rPr>
        <w:t xml:space="preserve">that the </w:t>
      </w:r>
      <w:r w:rsidR="00626F14">
        <w:rPr>
          <w:sz w:val="26"/>
          <w:szCs w:val="26"/>
        </w:rPr>
        <w:t>Complainant did not sp</w:t>
      </w:r>
      <w:r>
        <w:rPr>
          <w:sz w:val="26"/>
          <w:szCs w:val="26"/>
        </w:rPr>
        <w:t>ecify any particular month in which</w:t>
      </w:r>
      <w:r w:rsidR="00626F14">
        <w:rPr>
          <w:sz w:val="26"/>
          <w:szCs w:val="26"/>
        </w:rPr>
        <w:t xml:space="preserve"> her bills were high but merely asserted that she was paying double what she should pay and that her meter was malfunctioning.  The ALJ</w:t>
      </w:r>
      <w:r>
        <w:rPr>
          <w:sz w:val="26"/>
          <w:szCs w:val="26"/>
        </w:rPr>
        <w:t xml:space="preserve"> also</w:t>
      </w:r>
      <w:r w:rsidR="00626F14">
        <w:rPr>
          <w:sz w:val="26"/>
          <w:szCs w:val="26"/>
        </w:rPr>
        <w:t xml:space="preserve"> noted that</w:t>
      </w:r>
      <w:r w:rsidR="005B47A8">
        <w:rPr>
          <w:sz w:val="26"/>
          <w:szCs w:val="26"/>
        </w:rPr>
        <w:t>,</w:t>
      </w:r>
      <w:r w:rsidR="00626F14">
        <w:rPr>
          <w:sz w:val="26"/>
          <w:szCs w:val="26"/>
        </w:rPr>
        <w:t xml:space="preserve"> although the Complainant testified that she did not use her dishwasher and rarely </w:t>
      </w:r>
      <w:r>
        <w:rPr>
          <w:sz w:val="26"/>
          <w:szCs w:val="26"/>
        </w:rPr>
        <w:t>used the space heaters, she had</w:t>
      </w:r>
      <w:r w:rsidR="00626F14">
        <w:rPr>
          <w:sz w:val="26"/>
          <w:szCs w:val="26"/>
        </w:rPr>
        <w:t xml:space="preserve"> testified that she used the space heaters to supplement her gas heat.  I.D. at 6 and 13. </w:t>
      </w:r>
    </w:p>
    <w:p w:rsidR="00626F14" w:rsidRDefault="00626F14" w:rsidP="000044DC">
      <w:pPr>
        <w:widowControl/>
        <w:spacing w:line="360" w:lineRule="auto"/>
        <w:ind w:firstLine="1440"/>
        <w:rPr>
          <w:sz w:val="26"/>
          <w:szCs w:val="26"/>
        </w:rPr>
      </w:pPr>
    </w:p>
    <w:p w:rsidR="00715F1D" w:rsidRDefault="00626F14" w:rsidP="000044DC">
      <w:pPr>
        <w:widowControl/>
        <w:spacing w:line="360" w:lineRule="auto"/>
        <w:ind w:firstLine="1440"/>
        <w:rPr>
          <w:sz w:val="26"/>
          <w:szCs w:val="26"/>
        </w:rPr>
      </w:pPr>
      <w:r>
        <w:rPr>
          <w:sz w:val="26"/>
          <w:szCs w:val="26"/>
        </w:rPr>
        <w:t xml:space="preserve">Turning to the evidence presented by PECO, the ALJ found that the </w:t>
      </w:r>
      <w:r w:rsidR="00A67F69">
        <w:rPr>
          <w:sz w:val="26"/>
          <w:szCs w:val="26"/>
        </w:rPr>
        <w:t xml:space="preserve">Respondent </w:t>
      </w:r>
      <w:r w:rsidR="00715F1D">
        <w:rPr>
          <w:sz w:val="26"/>
          <w:szCs w:val="26"/>
        </w:rPr>
        <w:t xml:space="preserve">had produced evidence demonstrating that it had twice conducted high bill investigations; </w:t>
      </w:r>
      <w:r>
        <w:rPr>
          <w:sz w:val="26"/>
          <w:szCs w:val="26"/>
        </w:rPr>
        <w:t xml:space="preserve">the first </w:t>
      </w:r>
      <w:r w:rsidR="00715F1D">
        <w:rPr>
          <w:sz w:val="26"/>
          <w:szCs w:val="26"/>
        </w:rPr>
        <w:t xml:space="preserve">on December 9, 2009 and </w:t>
      </w:r>
      <w:r>
        <w:rPr>
          <w:sz w:val="26"/>
          <w:szCs w:val="26"/>
        </w:rPr>
        <w:t xml:space="preserve">the second </w:t>
      </w:r>
      <w:r w:rsidR="00693DA2">
        <w:rPr>
          <w:sz w:val="26"/>
          <w:szCs w:val="26"/>
        </w:rPr>
        <w:t>on February 5</w:t>
      </w:r>
      <w:r w:rsidR="005B47A8">
        <w:rPr>
          <w:sz w:val="26"/>
          <w:szCs w:val="26"/>
        </w:rPr>
        <w:t>,</w:t>
      </w:r>
      <w:r w:rsidR="00693DA2">
        <w:rPr>
          <w:sz w:val="26"/>
          <w:szCs w:val="26"/>
        </w:rPr>
        <w:t xml:space="preserve"> 2013.  T</w:t>
      </w:r>
      <w:r w:rsidR="00715F1D">
        <w:rPr>
          <w:sz w:val="26"/>
          <w:szCs w:val="26"/>
        </w:rPr>
        <w:t xml:space="preserve">hese investigations </w:t>
      </w:r>
      <w:r w:rsidR="00790F51">
        <w:rPr>
          <w:sz w:val="26"/>
          <w:szCs w:val="26"/>
        </w:rPr>
        <w:t xml:space="preserve">had </w:t>
      </w:r>
      <w:r w:rsidR="00715F1D">
        <w:rPr>
          <w:sz w:val="26"/>
          <w:szCs w:val="26"/>
        </w:rPr>
        <w:t xml:space="preserve">included checking the number and types of electric appliances at the service address and testing the meter.  </w:t>
      </w:r>
      <w:r w:rsidR="00790F51">
        <w:rPr>
          <w:sz w:val="26"/>
          <w:szCs w:val="26"/>
        </w:rPr>
        <w:t>The ALJ noted that</w:t>
      </w:r>
      <w:r w:rsidR="00E5525E">
        <w:rPr>
          <w:sz w:val="26"/>
          <w:szCs w:val="26"/>
        </w:rPr>
        <w:t>,</w:t>
      </w:r>
      <w:r w:rsidR="00790F51">
        <w:rPr>
          <w:sz w:val="26"/>
          <w:szCs w:val="26"/>
        </w:rPr>
        <w:t xml:space="preserve"> d</w:t>
      </w:r>
      <w:r w:rsidR="00715F1D">
        <w:rPr>
          <w:sz w:val="26"/>
          <w:szCs w:val="26"/>
        </w:rPr>
        <w:t>uring the February 2013 investigation, PECO discovered four electr</w:t>
      </w:r>
      <w:r w:rsidR="00790F51">
        <w:rPr>
          <w:sz w:val="26"/>
          <w:szCs w:val="26"/>
        </w:rPr>
        <w:t>ic space heaters</w:t>
      </w:r>
      <w:r w:rsidR="00E5525E">
        <w:rPr>
          <w:sz w:val="26"/>
          <w:szCs w:val="26"/>
        </w:rPr>
        <w:t xml:space="preserve">.  It also </w:t>
      </w:r>
      <w:r w:rsidR="00715F1D">
        <w:rPr>
          <w:sz w:val="26"/>
          <w:szCs w:val="26"/>
        </w:rPr>
        <w:t xml:space="preserve">removed, replaced, and tested the meter and reported that the meter had been accurately recording usage.  I.D. at 6-7.  </w:t>
      </w:r>
      <w:r w:rsidR="00356511">
        <w:rPr>
          <w:sz w:val="26"/>
          <w:szCs w:val="26"/>
        </w:rPr>
        <w:t xml:space="preserve">Finally, the ALJ found that PECO had demonstrated that the Complainant’s </w:t>
      </w:r>
      <w:r w:rsidR="00356511">
        <w:rPr>
          <w:sz w:val="26"/>
          <w:szCs w:val="26"/>
        </w:rPr>
        <w:lastRenderedPageBreak/>
        <w:t>actual usage was below her potential usag</w:t>
      </w:r>
      <w:r w:rsidR="00EB1983">
        <w:rPr>
          <w:sz w:val="26"/>
          <w:szCs w:val="26"/>
        </w:rPr>
        <w:t xml:space="preserve">e, </w:t>
      </w:r>
      <w:r w:rsidR="00356511">
        <w:rPr>
          <w:sz w:val="26"/>
          <w:szCs w:val="26"/>
        </w:rPr>
        <w:t>no foreign load was present, and there was no meter mix up with another unit at the servic</w:t>
      </w:r>
      <w:r w:rsidR="00EB1983">
        <w:rPr>
          <w:sz w:val="26"/>
          <w:szCs w:val="26"/>
        </w:rPr>
        <w:t>e address</w:t>
      </w:r>
      <w:r w:rsidR="00693DA2">
        <w:rPr>
          <w:sz w:val="26"/>
          <w:szCs w:val="26"/>
        </w:rPr>
        <w:t xml:space="preserve">.  He </w:t>
      </w:r>
      <w:r w:rsidR="00356511">
        <w:rPr>
          <w:sz w:val="26"/>
          <w:szCs w:val="26"/>
        </w:rPr>
        <w:t>dismissed the Complaint.  I.D. at 14</w:t>
      </w:r>
      <w:r w:rsidR="00E5525E">
        <w:rPr>
          <w:sz w:val="26"/>
          <w:szCs w:val="26"/>
        </w:rPr>
        <w:t xml:space="preserve"> and </w:t>
      </w:r>
      <w:r w:rsidR="00356511">
        <w:rPr>
          <w:sz w:val="26"/>
          <w:szCs w:val="26"/>
        </w:rPr>
        <w:t>19.</w:t>
      </w:r>
      <w:r w:rsidR="009A507C">
        <w:rPr>
          <w:rStyle w:val="FootnoteReference"/>
          <w:sz w:val="26"/>
          <w:szCs w:val="26"/>
        </w:rPr>
        <w:footnoteReference w:id="3"/>
      </w:r>
      <w:r w:rsidR="00356511">
        <w:rPr>
          <w:sz w:val="26"/>
          <w:szCs w:val="26"/>
        </w:rPr>
        <w:t xml:space="preserve">  </w:t>
      </w:r>
    </w:p>
    <w:p w:rsidR="00CB5C78" w:rsidRDefault="00CB5C78" w:rsidP="000044DC">
      <w:pPr>
        <w:widowControl/>
        <w:spacing w:line="360" w:lineRule="auto"/>
        <w:contextualSpacing/>
        <w:rPr>
          <w:b/>
          <w:sz w:val="26"/>
          <w:szCs w:val="26"/>
        </w:rPr>
      </w:pPr>
    </w:p>
    <w:p w:rsidR="007B2AEC" w:rsidRDefault="00804BE4" w:rsidP="000044DC">
      <w:pPr>
        <w:widowControl/>
        <w:spacing w:line="360" w:lineRule="auto"/>
        <w:contextualSpacing/>
        <w:rPr>
          <w:b/>
          <w:sz w:val="26"/>
          <w:szCs w:val="26"/>
        </w:rPr>
      </w:pPr>
      <w:r>
        <w:rPr>
          <w:b/>
          <w:sz w:val="26"/>
          <w:szCs w:val="26"/>
        </w:rPr>
        <w:t>Exceptions</w:t>
      </w:r>
      <w:r w:rsidR="00A27F75">
        <w:rPr>
          <w:b/>
          <w:sz w:val="26"/>
          <w:szCs w:val="26"/>
        </w:rPr>
        <w:t xml:space="preserve"> and </w:t>
      </w:r>
      <w:r>
        <w:rPr>
          <w:b/>
          <w:sz w:val="26"/>
          <w:szCs w:val="26"/>
        </w:rPr>
        <w:t>Replies</w:t>
      </w:r>
    </w:p>
    <w:p w:rsidR="007B2AEC" w:rsidRDefault="007B2AEC" w:rsidP="000044DC">
      <w:pPr>
        <w:widowControl/>
        <w:spacing w:line="360" w:lineRule="auto"/>
        <w:contextualSpacing/>
        <w:rPr>
          <w:b/>
          <w:sz w:val="26"/>
          <w:szCs w:val="26"/>
        </w:rPr>
      </w:pPr>
    </w:p>
    <w:p w:rsidR="007B2AEC" w:rsidRPr="007B2AEC" w:rsidRDefault="007B2AEC" w:rsidP="000044DC">
      <w:pPr>
        <w:widowControl/>
        <w:spacing w:line="360" w:lineRule="auto"/>
        <w:contextualSpacing/>
        <w:rPr>
          <w:b/>
          <w:sz w:val="26"/>
          <w:szCs w:val="26"/>
        </w:rPr>
      </w:pPr>
      <w:r>
        <w:rPr>
          <w:b/>
          <w:sz w:val="26"/>
          <w:szCs w:val="26"/>
        </w:rPr>
        <w:tab/>
      </w:r>
      <w:r>
        <w:rPr>
          <w:b/>
          <w:sz w:val="26"/>
          <w:szCs w:val="26"/>
        </w:rPr>
        <w:tab/>
      </w:r>
      <w:r w:rsidR="00C17154">
        <w:rPr>
          <w:sz w:val="26"/>
          <w:szCs w:val="26"/>
        </w:rPr>
        <w:t xml:space="preserve">The Complainant filed two Exceptions </w:t>
      </w:r>
      <w:r>
        <w:rPr>
          <w:sz w:val="26"/>
          <w:szCs w:val="26"/>
        </w:rPr>
        <w:t xml:space="preserve">and PECO filed Replies to Exceptions.  </w:t>
      </w:r>
      <w:r w:rsidRPr="007B2AEC">
        <w:rPr>
          <w:sz w:val="26"/>
          <w:szCs w:val="26"/>
        </w:rPr>
        <w:t>We note at the outset that the Exceptions of the Complainant are not in strict compliance with Section 5.533(b) of our Rules of Administrative Practice and Procedure, 52 Pa. Code § 5.533(b), which provides that:</w:t>
      </w:r>
    </w:p>
    <w:p w:rsidR="007B2AEC" w:rsidRPr="007B2AEC" w:rsidRDefault="007B2AEC" w:rsidP="000044DC">
      <w:pPr>
        <w:widowControl/>
        <w:spacing w:line="360" w:lineRule="auto"/>
        <w:ind w:firstLine="1440"/>
        <w:rPr>
          <w:sz w:val="26"/>
          <w:szCs w:val="26"/>
        </w:rPr>
      </w:pPr>
    </w:p>
    <w:p w:rsidR="007B2AEC" w:rsidRPr="007B2AEC" w:rsidRDefault="007B2AEC" w:rsidP="000044DC">
      <w:pPr>
        <w:widowControl/>
        <w:ind w:left="1440" w:right="1440"/>
        <w:rPr>
          <w:sz w:val="26"/>
          <w:szCs w:val="26"/>
        </w:rPr>
      </w:pPr>
      <w:r w:rsidRPr="007B2AEC">
        <w:rPr>
          <w:sz w:val="26"/>
          <w:szCs w:val="26"/>
        </w:rPr>
        <w:t>(b) Each exception must be numbered and identify the finding of fact or conclusion of law to which exception is taken and cite relevant pages of the decision.  Supporting reasons for the exceptions shall follow each specific exception.</w:t>
      </w:r>
    </w:p>
    <w:p w:rsidR="007B2AEC" w:rsidRPr="007B2AEC" w:rsidRDefault="007B2AEC" w:rsidP="000044DC">
      <w:pPr>
        <w:widowControl/>
        <w:spacing w:line="360" w:lineRule="auto"/>
        <w:ind w:left="1440" w:right="1440"/>
        <w:rPr>
          <w:sz w:val="26"/>
          <w:szCs w:val="26"/>
        </w:rPr>
      </w:pPr>
    </w:p>
    <w:p w:rsidR="007B2AEC" w:rsidRPr="007B2AEC" w:rsidRDefault="007B2AEC" w:rsidP="000044DC">
      <w:pPr>
        <w:widowControl/>
        <w:spacing w:line="360" w:lineRule="auto"/>
        <w:contextualSpacing/>
        <w:rPr>
          <w:color w:val="000000"/>
          <w:sz w:val="26"/>
          <w:szCs w:val="26"/>
          <w:u w:val="single"/>
        </w:rPr>
      </w:pPr>
      <w:r w:rsidRPr="007B2AEC">
        <w:rPr>
          <w:sz w:val="26"/>
          <w:szCs w:val="26"/>
        </w:rPr>
        <w:t xml:space="preserve">We recognize, however, that the Complainant is appearing </w:t>
      </w:r>
      <w:r w:rsidRPr="007B2AEC">
        <w:rPr>
          <w:i/>
          <w:sz w:val="26"/>
          <w:szCs w:val="26"/>
        </w:rPr>
        <w:t>pro se</w:t>
      </w:r>
      <w:r w:rsidRPr="007B2AEC">
        <w:rPr>
          <w:sz w:val="26"/>
          <w:szCs w:val="26"/>
        </w:rPr>
        <w:t xml:space="preserve"> in this proceeding.  Traditionally, we have been hesitant to rule unfavorably against </w:t>
      </w:r>
      <w:r w:rsidRPr="007B2AEC">
        <w:rPr>
          <w:bCs/>
          <w:i/>
          <w:sz w:val="26"/>
          <w:szCs w:val="26"/>
        </w:rPr>
        <w:t>pro se</w:t>
      </w:r>
      <w:r w:rsidRPr="007B2AEC">
        <w:rPr>
          <w:bCs/>
          <w:sz w:val="26"/>
          <w:szCs w:val="26"/>
        </w:rPr>
        <w:t xml:space="preserve"> litigants</w:t>
      </w:r>
      <w:r w:rsidRPr="007B2AEC">
        <w:rPr>
          <w:sz w:val="26"/>
          <w:szCs w:val="26"/>
        </w:rPr>
        <w:t xml:space="preserve"> based on technical grounds. </w:t>
      </w:r>
      <w:r w:rsidRPr="006E69B0">
        <w:rPr>
          <w:i/>
          <w:sz w:val="26"/>
          <w:szCs w:val="26"/>
        </w:rPr>
        <w:t>See</w:t>
      </w:r>
      <w:r w:rsidRPr="007B2AEC">
        <w:rPr>
          <w:sz w:val="26"/>
          <w:szCs w:val="26"/>
        </w:rPr>
        <w:t xml:space="preserve">, </w:t>
      </w:r>
      <w:r w:rsidRPr="007B2AEC">
        <w:rPr>
          <w:i/>
          <w:sz w:val="26"/>
          <w:szCs w:val="26"/>
        </w:rPr>
        <w:t>e.g.</w:t>
      </w:r>
      <w:r w:rsidRPr="007B2AEC">
        <w:rPr>
          <w:sz w:val="26"/>
          <w:szCs w:val="26"/>
        </w:rPr>
        <w:t xml:space="preserve">, </w:t>
      </w:r>
      <w:r w:rsidRPr="007B2AEC">
        <w:rPr>
          <w:i/>
          <w:sz w:val="26"/>
          <w:szCs w:val="26"/>
        </w:rPr>
        <w:t>DeStefano v. Peoples Natural Gas Company</w:t>
      </w:r>
      <w:r w:rsidRPr="007B2AEC">
        <w:rPr>
          <w:sz w:val="26"/>
          <w:szCs w:val="26"/>
        </w:rPr>
        <w:t xml:space="preserve">, 56 Pa. P.U.C. 489 (1982); </w:t>
      </w:r>
      <w:r w:rsidRPr="007B2AEC">
        <w:rPr>
          <w:i/>
          <w:sz w:val="26"/>
          <w:szCs w:val="26"/>
        </w:rPr>
        <w:t>Halpern v. The Bell Telephone Company of Pennsylvania</w:t>
      </w:r>
      <w:r w:rsidRPr="007B2AEC">
        <w:rPr>
          <w:sz w:val="26"/>
          <w:szCs w:val="26"/>
        </w:rPr>
        <w:t>, Docket No.</w:t>
      </w:r>
      <w:r w:rsidR="00F91282">
        <w:rPr>
          <w:sz w:val="26"/>
          <w:szCs w:val="26"/>
        </w:rPr>
        <w:t xml:space="preserve"> C</w:t>
      </w:r>
      <w:r w:rsidR="00F91282">
        <w:rPr>
          <w:sz w:val="26"/>
          <w:szCs w:val="26"/>
        </w:rPr>
        <w:noBreakHyphen/>
      </w:r>
      <w:r w:rsidRPr="007B2AEC">
        <w:rPr>
          <w:sz w:val="26"/>
          <w:szCs w:val="26"/>
        </w:rPr>
        <w:t xml:space="preserve">00923950 (Order entered October 19, 1992); </w:t>
      </w:r>
      <w:r w:rsidRPr="007B2AEC">
        <w:rPr>
          <w:i/>
          <w:sz w:val="26"/>
          <w:szCs w:val="26"/>
        </w:rPr>
        <w:t>William Schleicherinder v. The Bell Telephone Company of Pennsylvania</w:t>
      </w:r>
      <w:r w:rsidRPr="007B2AEC">
        <w:rPr>
          <w:sz w:val="26"/>
          <w:szCs w:val="26"/>
        </w:rPr>
        <w:t>, Docket No. F-00161252 (Order entered March 26, 1993).  In the interest of securing the just, speedy and inexpensive determination of this proceeding, we will consider the merits of the Complainant's Exceptions.  52 Pa. Code § 1.2(a).</w:t>
      </w:r>
    </w:p>
    <w:p w:rsidR="007B2AEC" w:rsidRDefault="007B2AEC" w:rsidP="000044DC">
      <w:pPr>
        <w:widowControl/>
        <w:spacing w:line="360" w:lineRule="auto"/>
        <w:contextualSpacing/>
        <w:rPr>
          <w:sz w:val="26"/>
          <w:szCs w:val="26"/>
        </w:rPr>
      </w:pPr>
    </w:p>
    <w:p w:rsidR="00C17154" w:rsidRDefault="007B2AEC" w:rsidP="000044DC">
      <w:pPr>
        <w:widowControl/>
        <w:spacing w:line="360" w:lineRule="auto"/>
        <w:contextualSpacing/>
        <w:rPr>
          <w:sz w:val="26"/>
          <w:szCs w:val="26"/>
        </w:rPr>
      </w:pPr>
      <w:r>
        <w:rPr>
          <w:sz w:val="26"/>
          <w:szCs w:val="26"/>
        </w:rPr>
        <w:tab/>
      </w:r>
      <w:r>
        <w:rPr>
          <w:sz w:val="26"/>
          <w:szCs w:val="26"/>
        </w:rPr>
        <w:tab/>
        <w:t xml:space="preserve">In her </w:t>
      </w:r>
      <w:r w:rsidR="00C17154">
        <w:rPr>
          <w:sz w:val="26"/>
          <w:szCs w:val="26"/>
        </w:rPr>
        <w:t>Exception</w:t>
      </w:r>
      <w:r>
        <w:rPr>
          <w:sz w:val="26"/>
          <w:szCs w:val="26"/>
        </w:rPr>
        <w:t>s, the Complainant states that she does not agr</w:t>
      </w:r>
      <w:r w:rsidR="00F91282">
        <w:rPr>
          <w:sz w:val="26"/>
          <w:szCs w:val="26"/>
        </w:rPr>
        <w:t xml:space="preserve">ee with the ALJ’s decision and </w:t>
      </w:r>
      <w:r>
        <w:rPr>
          <w:sz w:val="26"/>
          <w:szCs w:val="26"/>
        </w:rPr>
        <w:t>alleges</w:t>
      </w:r>
      <w:r w:rsidR="00C17154">
        <w:rPr>
          <w:sz w:val="26"/>
          <w:szCs w:val="26"/>
        </w:rPr>
        <w:t xml:space="preserve"> that she had asked PECO to change out her meter for years </w:t>
      </w:r>
      <w:r w:rsidR="00C17154">
        <w:rPr>
          <w:sz w:val="26"/>
          <w:szCs w:val="26"/>
        </w:rPr>
        <w:lastRenderedPageBreak/>
        <w:t xml:space="preserve">and the </w:t>
      </w:r>
      <w:r w:rsidR="00A67F69">
        <w:rPr>
          <w:sz w:val="26"/>
          <w:szCs w:val="26"/>
        </w:rPr>
        <w:t xml:space="preserve">Respondent </w:t>
      </w:r>
      <w:r w:rsidR="00C17154">
        <w:rPr>
          <w:sz w:val="26"/>
          <w:szCs w:val="26"/>
        </w:rPr>
        <w:t>only did this one or two days before the hearin</w:t>
      </w:r>
      <w:r>
        <w:rPr>
          <w:sz w:val="26"/>
          <w:szCs w:val="26"/>
        </w:rPr>
        <w:t>g.  She additionally alleges</w:t>
      </w:r>
      <w:r w:rsidR="00C17154">
        <w:rPr>
          <w:sz w:val="26"/>
          <w:szCs w:val="26"/>
        </w:rPr>
        <w:t xml:space="preserve"> that she either does not use</w:t>
      </w:r>
      <w:r w:rsidR="00764650">
        <w:rPr>
          <w:sz w:val="26"/>
          <w:szCs w:val="26"/>
        </w:rPr>
        <w:t>,</w:t>
      </w:r>
      <w:r w:rsidR="00C17154">
        <w:rPr>
          <w:sz w:val="26"/>
          <w:szCs w:val="26"/>
        </w:rPr>
        <w:t xml:space="preserve"> or does not have</w:t>
      </w:r>
      <w:r w:rsidR="00764650">
        <w:rPr>
          <w:sz w:val="26"/>
          <w:szCs w:val="26"/>
        </w:rPr>
        <w:t>,</w:t>
      </w:r>
      <w:r w:rsidR="00C17154">
        <w:rPr>
          <w:sz w:val="26"/>
          <w:szCs w:val="26"/>
        </w:rPr>
        <w:t xml:space="preserve"> the appliances PECO said were at the service address.  Specifically, she avers that she has not used space heaters for over a year and he</w:t>
      </w:r>
      <w:r w:rsidR="003B39E2">
        <w:rPr>
          <w:sz w:val="26"/>
          <w:szCs w:val="26"/>
        </w:rPr>
        <w:t xml:space="preserve">r bill is still extremely high.  </w:t>
      </w:r>
      <w:r w:rsidR="0099433E">
        <w:rPr>
          <w:sz w:val="26"/>
          <w:szCs w:val="26"/>
        </w:rPr>
        <w:t xml:space="preserve">Exc. at 1. </w:t>
      </w:r>
    </w:p>
    <w:p w:rsidR="003B39E2" w:rsidRDefault="003B39E2" w:rsidP="000044DC">
      <w:pPr>
        <w:widowControl/>
        <w:spacing w:line="360" w:lineRule="auto"/>
        <w:contextualSpacing/>
        <w:rPr>
          <w:sz w:val="26"/>
          <w:szCs w:val="26"/>
        </w:rPr>
      </w:pPr>
    </w:p>
    <w:p w:rsidR="003B39E2" w:rsidRDefault="003B39E2" w:rsidP="000044DC">
      <w:pPr>
        <w:widowControl/>
        <w:spacing w:line="360" w:lineRule="auto"/>
        <w:contextualSpacing/>
        <w:rPr>
          <w:sz w:val="26"/>
          <w:szCs w:val="26"/>
        </w:rPr>
      </w:pPr>
      <w:r>
        <w:rPr>
          <w:sz w:val="26"/>
          <w:szCs w:val="26"/>
        </w:rPr>
        <w:tab/>
      </w:r>
      <w:r>
        <w:rPr>
          <w:sz w:val="26"/>
          <w:szCs w:val="26"/>
        </w:rPr>
        <w:tab/>
        <w:t>In its Replies, PECO</w:t>
      </w:r>
      <w:r w:rsidR="0099433E">
        <w:rPr>
          <w:sz w:val="26"/>
          <w:szCs w:val="26"/>
        </w:rPr>
        <w:t xml:space="preserve"> </w:t>
      </w:r>
      <w:r w:rsidR="007B2AEC">
        <w:rPr>
          <w:sz w:val="26"/>
          <w:szCs w:val="26"/>
        </w:rPr>
        <w:t>contends</w:t>
      </w:r>
      <w:r w:rsidR="009A507C">
        <w:rPr>
          <w:sz w:val="26"/>
          <w:szCs w:val="26"/>
        </w:rPr>
        <w:t xml:space="preserve"> that the Complainant</w:t>
      </w:r>
      <w:r w:rsidR="007B2AEC">
        <w:rPr>
          <w:sz w:val="26"/>
          <w:szCs w:val="26"/>
        </w:rPr>
        <w:t xml:space="preserve"> has</w:t>
      </w:r>
      <w:r w:rsidR="009A507C">
        <w:rPr>
          <w:sz w:val="26"/>
          <w:szCs w:val="26"/>
        </w:rPr>
        <w:t xml:space="preserve"> failed to meet her burden of proof.  The </w:t>
      </w:r>
      <w:r w:rsidR="00A67F69">
        <w:rPr>
          <w:sz w:val="26"/>
          <w:szCs w:val="26"/>
        </w:rPr>
        <w:t xml:space="preserve">Respondent </w:t>
      </w:r>
      <w:r w:rsidR="009A507C">
        <w:rPr>
          <w:sz w:val="26"/>
          <w:szCs w:val="26"/>
        </w:rPr>
        <w:t>argues that she did not present any evidence of incorrect billing and that her high balance is caused by non-payment of her bills over several years.  Further, PECO argues that</w:t>
      </w:r>
      <w:r w:rsidR="000E47D1">
        <w:rPr>
          <w:sz w:val="26"/>
          <w:szCs w:val="26"/>
        </w:rPr>
        <w:t xml:space="preserve"> the record demonstrates that the </w:t>
      </w:r>
      <w:r w:rsidR="00A67F69">
        <w:rPr>
          <w:sz w:val="26"/>
          <w:szCs w:val="26"/>
        </w:rPr>
        <w:t>Respondent</w:t>
      </w:r>
      <w:r w:rsidR="000E47D1">
        <w:rPr>
          <w:sz w:val="26"/>
          <w:szCs w:val="26"/>
        </w:rPr>
        <w:t xml:space="preserve"> addressed the Complainant’s high bill and meter concerns through two field visits</w:t>
      </w:r>
      <w:r w:rsidR="00764650">
        <w:rPr>
          <w:sz w:val="26"/>
          <w:szCs w:val="26"/>
        </w:rPr>
        <w:t>.  Finally, the Respondent contends</w:t>
      </w:r>
      <w:r w:rsidR="000E47D1">
        <w:rPr>
          <w:sz w:val="26"/>
          <w:szCs w:val="26"/>
        </w:rPr>
        <w:t xml:space="preserve"> that the Complainant supplemen</w:t>
      </w:r>
      <w:r w:rsidR="007B2AEC">
        <w:rPr>
          <w:sz w:val="26"/>
          <w:szCs w:val="26"/>
        </w:rPr>
        <w:t>ts her heat with electric heaters</w:t>
      </w:r>
      <w:r w:rsidR="004D62DB">
        <w:rPr>
          <w:sz w:val="26"/>
          <w:szCs w:val="26"/>
        </w:rPr>
        <w:t xml:space="preserve"> causing high consumption.  </w:t>
      </w:r>
      <w:r w:rsidR="00120341">
        <w:rPr>
          <w:sz w:val="26"/>
          <w:szCs w:val="26"/>
        </w:rPr>
        <w:t>R.</w:t>
      </w:r>
      <w:r w:rsidR="004261A1">
        <w:rPr>
          <w:sz w:val="26"/>
          <w:szCs w:val="26"/>
        </w:rPr>
        <w:t> </w:t>
      </w:r>
      <w:r w:rsidR="00120341">
        <w:rPr>
          <w:sz w:val="26"/>
          <w:szCs w:val="26"/>
        </w:rPr>
        <w:t xml:space="preserve">Exc. at 4-6. </w:t>
      </w:r>
    </w:p>
    <w:p w:rsidR="002738C4" w:rsidRDefault="002738C4" w:rsidP="000044DC">
      <w:pPr>
        <w:widowControl/>
        <w:spacing w:line="360" w:lineRule="auto"/>
        <w:contextualSpacing/>
        <w:rPr>
          <w:sz w:val="26"/>
          <w:szCs w:val="26"/>
        </w:rPr>
      </w:pPr>
    </w:p>
    <w:p w:rsidR="00A27F75" w:rsidRDefault="00A27F75" w:rsidP="000044DC">
      <w:pPr>
        <w:widowControl/>
        <w:spacing w:line="360" w:lineRule="auto"/>
        <w:contextualSpacing/>
        <w:rPr>
          <w:sz w:val="26"/>
          <w:szCs w:val="26"/>
        </w:rPr>
      </w:pPr>
      <w:r>
        <w:rPr>
          <w:b/>
          <w:sz w:val="26"/>
          <w:szCs w:val="26"/>
        </w:rPr>
        <w:t>Disposition</w:t>
      </w:r>
    </w:p>
    <w:p w:rsidR="00A27F75" w:rsidRDefault="00A27F75" w:rsidP="000044DC">
      <w:pPr>
        <w:widowControl/>
        <w:spacing w:line="360" w:lineRule="auto"/>
        <w:contextualSpacing/>
        <w:rPr>
          <w:sz w:val="26"/>
          <w:szCs w:val="26"/>
        </w:rPr>
      </w:pPr>
    </w:p>
    <w:p w:rsidR="002738C4" w:rsidRDefault="002738C4" w:rsidP="000044DC">
      <w:pPr>
        <w:widowControl/>
        <w:spacing w:line="360" w:lineRule="auto"/>
        <w:contextualSpacing/>
        <w:rPr>
          <w:sz w:val="26"/>
          <w:szCs w:val="26"/>
        </w:rPr>
      </w:pPr>
      <w:r>
        <w:rPr>
          <w:sz w:val="26"/>
          <w:szCs w:val="26"/>
        </w:rPr>
        <w:tab/>
      </w:r>
      <w:r>
        <w:rPr>
          <w:sz w:val="26"/>
          <w:szCs w:val="26"/>
        </w:rPr>
        <w:tab/>
      </w:r>
      <w:r w:rsidR="004032E2">
        <w:rPr>
          <w:sz w:val="26"/>
          <w:szCs w:val="26"/>
        </w:rPr>
        <w:t>The Complainant’s first Exception avers that PECO only gave her a new meter one or two days before the hearing even though she had been asking f</w:t>
      </w:r>
      <w:r w:rsidR="00100FE7">
        <w:rPr>
          <w:sz w:val="26"/>
          <w:szCs w:val="26"/>
        </w:rPr>
        <w:t>or a new meter</w:t>
      </w:r>
      <w:r w:rsidR="00484CFE">
        <w:rPr>
          <w:sz w:val="26"/>
          <w:szCs w:val="26"/>
        </w:rPr>
        <w:t xml:space="preserve"> for years.  We find </w:t>
      </w:r>
      <w:r w:rsidR="004032E2">
        <w:rPr>
          <w:sz w:val="26"/>
          <w:szCs w:val="26"/>
        </w:rPr>
        <w:t>no support for this</w:t>
      </w:r>
      <w:r w:rsidR="00120341">
        <w:rPr>
          <w:sz w:val="26"/>
          <w:szCs w:val="26"/>
        </w:rPr>
        <w:t xml:space="preserve"> contention and will deny</w:t>
      </w:r>
      <w:r w:rsidR="004032E2">
        <w:rPr>
          <w:sz w:val="26"/>
          <w:szCs w:val="26"/>
        </w:rPr>
        <w:t xml:space="preserve"> this Exception.  The record </w:t>
      </w:r>
      <w:r w:rsidR="00A65A39">
        <w:rPr>
          <w:sz w:val="26"/>
          <w:szCs w:val="26"/>
        </w:rPr>
        <w:t>evidences</w:t>
      </w:r>
      <w:r w:rsidR="004032E2">
        <w:rPr>
          <w:sz w:val="26"/>
          <w:szCs w:val="26"/>
        </w:rPr>
        <w:t xml:space="preserve"> that the Complainant’</w:t>
      </w:r>
      <w:r w:rsidR="00A65A39">
        <w:rPr>
          <w:sz w:val="26"/>
          <w:szCs w:val="26"/>
        </w:rPr>
        <w:t>s meter was removed, tested and</w:t>
      </w:r>
      <w:r w:rsidR="004032E2">
        <w:rPr>
          <w:sz w:val="26"/>
          <w:szCs w:val="26"/>
        </w:rPr>
        <w:t xml:space="preserve"> replaced</w:t>
      </w:r>
      <w:r w:rsidR="00A65A39">
        <w:rPr>
          <w:sz w:val="26"/>
          <w:szCs w:val="26"/>
        </w:rPr>
        <w:t xml:space="preserve"> in April 2013</w:t>
      </w:r>
      <w:r w:rsidR="00A27F75">
        <w:rPr>
          <w:sz w:val="26"/>
          <w:szCs w:val="26"/>
        </w:rPr>
        <w:t>,</w:t>
      </w:r>
      <w:r w:rsidR="00A65A39">
        <w:rPr>
          <w:sz w:val="26"/>
          <w:szCs w:val="26"/>
        </w:rPr>
        <w:t xml:space="preserve"> as part of the high bill investigation initiated in </w:t>
      </w:r>
      <w:r w:rsidR="00C95C7A">
        <w:rPr>
          <w:sz w:val="26"/>
          <w:szCs w:val="26"/>
        </w:rPr>
        <w:t xml:space="preserve">February 2013.  Tr. at 78-79.  </w:t>
      </w:r>
      <w:r w:rsidR="00A65A39">
        <w:rPr>
          <w:sz w:val="26"/>
          <w:szCs w:val="26"/>
        </w:rPr>
        <w:t>Subsequently, on September 19, 2013, the Complainant’s meter was replaced as part of PECO’s previo</w:t>
      </w:r>
      <w:r w:rsidR="00E41192">
        <w:rPr>
          <w:sz w:val="26"/>
          <w:szCs w:val="26"/>
        </w:rPr>
        <w:t>usly scheduled deployment of smart</w:t>
      </w:r>
      <w:r w:rsidR="00A65A39">
        <w:rPr>
          <w:sz w:val="26"/>
          <w:szCs w:val="26"/>
        </w:rPr>
        <w:t xml:space="preserve"> meters to replace all older models of meters in the </w:t>
      </w:r>
      <w:r w:rsidR="00A67F69">
        <w:rPr>
          <w:sz w:val="26"/>
          <w:szCs w:val="26"/>
        </w:rPr>
        <w:t>Respondent</w:t>
      </w:r>
      <w:r w:rsidR="00A65A39">
        <w:rPr>
          <w:sz w:val="26"/>
          <w:szCs w:val="26"/>
        </w:rPr>
        <w:t>’s service territory.  This replacement was not part of any high bill investigation.  Tr. at 85.  The record does not contain any evidence</w:t>
      </w:r>
      <w:r w:rsidR="00484CFE">
        <w:rPr>
          <w:sz w:val="26"/>
          <w:szCs w:val="26"/>
        </w:rPr>
        <w:t>, nor any assertion,</w:t>
      </w:r>
      <w:r w:rsidR="00A65A39">
        <w:rPr>
          <w:sz w:val="26"/>
          <w:szCs w:val="26"/>
        </w:rPr>
        <w:t xml:space="preserve"> of the meter being replaced any time after September 19, 2013.  The hearing in this matter was held on October 31, 2013, well over a month after PECO installed the AMI meter.</w:t>
      </w:r>
      <w:r w:rsidR="00AF30C0">
        <w:rPr>
          <w:sz w:val="26"/>
          <w:szCs w:val="26"/>
        </w:rPr>
        <w:t xml:space="preserve"> </w:t>
      </w:r>
    </w:p>
    <w:p w:rsidR="00AF30C0" w:rsidRDefault="00AF30C0" w:rsidP="000044DC">
      <w:pPr>
        <w:widowControl/>
        <w:spacing w:line="360" w:lineRule="auto"/>
        <w:contextualSpacing/>
        <w:rPr>
          <w:sz w:val="26"/>
          <w:szCs w:val="26"/>
        </w:rPr>
      </w:pPr>
    </w:p>
    <w:p w:rsidR="00AF30C0" w:rsidRDefault="00AF30C0" w:rsidP="000044DC">
      <w:pPr>
        <w:widowControl/>
        <w:spacing w:line="360" w:lineRule="auto"/>
        <w:contextualSpacing/>
        <w:rPr>
          <w:sz w:val="26"/>
          <w:szCs w:val="26"/>
        </w:rPr>
      </w:pPr>
      <w:r>
        <w:rPr>
          <w:sz w:val="26"/>
          <w:szCs w:val="26"/>
        </w:rPr>
        <w:lastRenderedPageBreak/>
        <w:tab/>
      </w:r>
      <w:r>
        <w:rPr>
          <w:sz w:val="26"/>
          <w:szCs w:val="26"/>
        </w:rPr>
        <w:tab/>
      </w:r>
      <w:r w:rsidR="00CC0229">
        <w:rPr>
          <w:sz w:val="26"/>
          <w:szCs w:val="26"/>
        </w:rPr>
        <w:t>The Complainant’s second Exception contends that her bill is still extremely high and argues that she does not use all the electric appliances PECO represented were at her residence.  We agree with the ALJ that the Complainant was correctly billed and that she was capable of using the amount of electricity for which she was billed.</w:t>
      </w:r>
    </w:p>
    <w:p w:rsidR="00CC0229" w:rsidRDefault="00CC0229" w:rsidP="000044DC">
      <w:pPr>
        <w:widowControl/>
        <w:spacing w:line="360" w:lineRule="auto"/>
        <w:contextualSpacing/>
        <w:rPr>
          <w:sz w:val="26"/>
          <w:szCs w:val="26"/>
        </w:rPr>
      </w:pPr>
    </w:p>
    <w:p w:rsidR="00D57AD4" w:rsidRPr="00D57AD4" w:rsidRDefault="00CC0229" w:rsidP="000044DC">
      <w:pPr>
        <w:widowControl/>
        <w:spacing w:line="360" w:lineRule="auto"/>
        <w:contextualSpacing/>
        <w:rPr>
          <w:sz w:val="26"/>
          <w:szCs w:val="26"/>
        </w:rPr>
      </w:pPr>
      <w:r>
        <w:rPr>
          <w:sz w:val="26"/>
          <w:szCs w:val="26"/>
        </w:rPr>
        <w:tab/>
      </w:r>
      <w:r>
        <w:rPr>
          <w:sz w:val="26"/>
          <w:szCs w:val="26"/>
        </w:rPr>
        <w:tab/>
      </w:r>
      <w:r w:rsidR="00D57AD4" w:rsidRPr="00D57AD4">
        <w:rPr>
          <w:sz w:val="26"/>
          <w:szCs w:val="26"/>
        </w:rPr>
        <w:t xml:space="preserve">When resolving a billing dispute, the Commission has determined that a complainant may establish a </w:t>
      </w:r>
      <w:r w:rsidR="00D57AD4" w:rsidRPr="00D57AD4">
        <w:rPr>
          <w:i/>
          <w:sz w:val="26"/>
          <w:szCs w:val="26"/>
        </w:rPr>
        <w:t>prima facie</w:t>
      </w:r>
      <w:r w:rsidR="00D57AD4" w:rsidRPr="00D57AD4">
        <w:rPr>
          <w:sz w:val="26"/>
          <w:szCs w:val="26"/>
        </w:rPr>
        <w:t xml:space="preserve"> case by showing that the disputed bill was abnormally high when compared to prior usage patterns and that her or his pattern of usage had not changed.  In addition, the billing history of the Complainant, a change in the number of household occupants residing at the service address, the Complainant’s potential for the utility’s commodity usage, and any other relevant facts or circumstances may be considered.  Evidence of an accurate meter is not conclusive evidence that the disputed bill is correct.  </w:t>
      </w:r>
      <w:r w:rsidR="00D57AD4" w:rsidRPr="00D57AD4">
        <w:rPr>
          <w:i/>
          <w:sz w:val="26"/>
          <w:szCs w:val="26"/>
        </w:rPr>
        <w:t>Waldron v. Philadelphia Electric Co.</w:t>
      </w:r>
      <w:r w:rsidR="00D57AD4" w:rsidRPr="00D57AD4">
        <w:rPr>
          <w:sz w:val="26"/>
          <w:szCs w:val="26"/>
        </w:rPr>
        <w:t>, 54 Pa. P</w:t>
      </w:r>
      <w:r w:rsidR="009D664B">
        <w:rPr>
          <w:sz w:val="26"/>
          <w:szCs w:val="26"/>
        </w:rPr>
        <w:t>.</w:t>
      </w:r>
      <w:r w:rsidR="00D57AD4" w:rsidRPr="00D57AD4">
        <w:rPr>
          <w:sz w:val="26"/>
          <w:szCs w:val="26"/>
        </w:rPr>
        <w:t>U</w:t>
      </w:r>
      <w:r w:rsidR="009D664B">
        <w:rPr>
          <w:sz w:val="26"/>
          <w:szCs w:val="26"/>
        </w:rPr>
        <w:t>.</w:t>
      </w:r>
      <w:r w:rsidR="00D57AD4" w:rsidRPr="00D57AD4">
        <w:rPr>
          <w:sz w:val="26"/>
          <w:szCs w:val="26"/>
        </w:rPr>
        <w:t>C</w:t>
      </w:r>
      <w:r w:rsidR="009D664B">
        <w:rPr>
          <w:sz w:val="26"/>
          <w:szCs w:val="26"/>
        </w:rPr>
        <w:t>.</w:t>
      </w:r>
      <w:r w:rsidR="00D57AD4" w:rsidRPr="00D57AD4">
        <w:rPr>
          <w:sz w:val="26"/>
          <w:szCs w:val="26"/>
        </w:rPr>
        <w:t xml:space="preserve"> 98 (1980).  Evidence of a meter test demonstrating that a meter is accurate can be overcome by circumstantial evidence that otherwise indicates that a bill is too high.  </w:t>
      </w:r>
      <w:r w:rsidR="00D57AD4" w:rsidRPr="00D57AD4">
        <w:rPr>
          <w:i/>
          <w:sz w:val="26"/>
          <w:szCs w:val="26"/>
        </w:rPr>
        <w:t>Bennett v. Peoples Natural Gas Co.,</w:t>
      </w:r>
      <w:r w:rsidR="00D57AD4" w:rsidRPr="00D57AD4">
        <w:rPr>
          <w:sz w:val="26"/>
          <w:szCs w:val="26"/>
        </w:rPr>
        <w:t xml:space="preserve"> Docket No. C-2009-2122979 (Order entered October 13, 2010).  </w:t>
      </w:r>
    </w:p>
    <w:p w:rsidR="00D57AD4" w:rsidRPr="00D57AD4" w:rsidRDefault="00D57AD4" w:rsidP="000044DC">
      <w:pPr>
        <w:widowControl/>
        <w:spacing w:line="360" w:lineRule="auto"/>
        <w:contextualSpacing/>
        <w:rPr>
          <w:sz w:val="26"/>
          <w:szCs w:val="26"/>
        </w:rPr>
      </w:pPr>
    </w:p>
    <w:p w:rsidR="00D57AD4" w:rsidRDefault="00D57AD4" w:rsidP="000044DC">
      <w:pPr>
        <w:widowControl/>
        <w:spacing w:line="360" w:lineRule="auto"/>
        <w:contextualSpacing/>
        <w:rPr>
          <w:sz w:val="26"/>
          <w:szCs w:val="26"/>
        </w:rPr>
      </w:pPr>
      <w:r w:rsidRPr="00D57AD4">
        <w:rPr>
          <w:sz w:val="26"/>
          <w:szCs w:val="26"/>
        </w:rPr>
        <w:tab/>
      </w:r>
      <w:r w:rsidRPr="00D57AD4">
        <w:rPr>
          <w:sz w:val="26"/>
          <w:szCs w:val="26"/>
        </w:rPr>
        <w:tab/>
        <w:t xml:space="preserve">In </w:t>
      </w:r>
      <w:r w:rsidRPr="00D57AD4">
        <w:rPr>
          <w:i/>
          <w:sz w:val="26"/>
          <w:szCs w:val="26"/>
        </w:rPr>
        <w:t>Waldron</w:t>
      </w:r>
      <w:r w:rsidRPr="00D57AD4">
        <w:rPr>
          <w:sz w:val="26"/>
          <w:szCs w:val="26"/>
        </w:rPr>
        <w:t xml:space="preserve">, the Commission found that the record did not contain sufficient evidence on which to base a decision and remanded the case to the Administrative Law Judge.  In so doing, the Commission indicated that the utility could successfully rebut the Complainant’s </w:t>
      </w:r>
      <w:r w:rsidRPr="00D57AD4">
        <w:rPr>
          <w:i/>
          <w:sz w:val="26"/>
          <w:szCs w:val="26"/>
        </w:rPr>
        <w:t>prima facie</w:t>
      </w:r>
      <w:r w:rsidRPr="00D57AD4">
        <w:rPr>
          <w:sz w:val="26"/>
          <w:szCs w:val="26"/>
        </w:rPr>
        <w:t xml:space="preserve"> case by presenting evidence of, </w:t>
      </w:r>
      <w:r w:rsidRPr="00D57AD4">
        <w:rPr>
          <w:i/>
          <w:sz w:val="26"/>
          <w:szCs w:val="26"/>
        </w:rPr>
        <w:t>inter alia</w:t>
      </w:r>
      <w:r w:rsidRPr="00D57AD4">
        <w:rPr>
          <w:sz w:val="26"/>
          <w:szCs w:val="26"/>
        </w:rPr>
        <w:t>, a lack of possibility of error in reading the meters</w:t>
      </w:r>
      <w:r w:rsidR="001558AD">
        <w:rPr>
          <w:sz w:val="26"/>
          <w:szCs w:val="26"/>
        </w:rPr>
        <w:t xml:space="preserve"> or evidence of defective wiring</w:t>
      </w:r>
      <w:r w:rsidRPr="00D57AD4">
        <w:rPr>
          <w:sz w:val="26"/>
          <w:szCs w:val="26"/>
        </w:rPr>
        <w:t xml:space="preserve"> and by eliminating several possible major causes of excessive or abnormal usages.  </w:t>
      </w:r>
      <w:r w:rsidRPr="00D57AD4">
        <w:rPr>
          <w:i/>
          <w:sz w:val="26"/>
          <w:szCs w:val="26"/>
        </w:rPr>
        <w:t>Waldron</w:t>
      </w:r>
      <w:r w:rsidRPr="00D57AD4">
        <w:rPr>
          <w:sz w:val="26"/>
          <w:szCs w:val="26"/>
        </w:rPr>
        <w:t xml:space="preserve"> at 8. </w:t>
      </w:r>
      <w:r>
        <w:rPr>
          <w:sz w:val="26"/>
          <w:szCs w:val="26"/>
        </w:rPr>
        <w:t xml:space="preserve"> </w:t>
      </w:r>
    </w:p>
    <w:p w:rsidR="007A0AA5" w:rsidRDefault="007A0AA5" w:rsidP="000044DC">
      <w:pPr>
        <w:widowControl/>
        <w:spacing w:line="360" w:lineRule="auto"/>
        <w:contextualSpacing/>
        <w:rPr>
          <w:sz w:val="26"/>
          <w:szCs w:val="26"/>
        </w:rPr>
      </w:pPr>
    </w:p>
    <w:p w:rsidR="00006F35" w:rsidRDefault="007A0AA5" w:rsidP="00E44BA7">
      <w:pPr>
        <w:widowControl/>
        <w:spacing w:line="360" w:lineRule="auto"/>
        <w:contextualSpacing/>
        <w:rPr>
          <w:sz w:val="26"/>
          <w:szCs w:val="26"/>
        </w:rPr>
      </w:pPr>
      <w:r>
        <w:rPr>
          <w:sz w:val="26"/>
          <w:szCs w:val="26"/>
        </w:rPr>
        <w:tab/>
      </w:r>
      <w:r>
        <w:rPr>
          <w:sz w:val="26"/>
          <w:szCs w:val="26"/>
        </w:rPr>
        <w:tab/>
        <w:t>Here, the Complainant testified that her bills were too high and that her meter was broken.  She did not produce any circumstant</w:t>
      </w:r>
      <w:r w:rsidR="00CB5C78">
        <w:rPr>
          <w:sz w:val="26"/>
          <w:szCs w:val="26"/>
        </w:rPr>
        <w:t>ial evidence to demonstrate that</w:t>
      </w:r>
      <w:r>
        <w:rPr>
          <w:sz w:val="26"/>
          <w:szCs w:val="26"/>
        </w:rPr>
        <w:t xml:space="preserve"> she could not have used the amount of electricity for which she was billed.  In contrast, </w:t>
      </w:r>
      <w:r>
        <w:rPr>
          <w:sz w:val="26"/>
          <w:szCs w:val="26"/>
        </w:rPr>
        <w:lastRenderedPageBreak/>
        <w:t>PECO presented evidence of a high b</w:t>
      </w:r>
      <w:r w:rsidR="00CB5C78">
        <w:rPr>
          <w:sz w:val="26"/>
          <w:szCs w:val="26"/>
        </w:rPr>
        <w:t>ill investigation detailing</w:t>
      </w:r>
      <w:r>
        <w:rPr>
          <w:sz w:val="26"/>
          <w:szCs w:val="26"/>
        </w:rPr>
        <w:t xml:space="preserve"> </w:t>
      </w:r>
      <w:r w:rsidR="00532F1B">
        <w:rPr>
          <w:sz w:val="26"/>
          <w:szCs w:val="26"/>
        </w:rPr>
        <w:t>the number and type of</w:t>
      </w:r>
      <w:r>
        <w:rPr>
          <w:sz w:val="26"/>
          <w:szCs w:val="26"/>
        </w:rPr>
        <w:t xml:space="preserve"> electric appliances </w:t>
      </w:r>
      <w:r w:rsidR="00CB5C78">
        <w:rPr>
          <w:sz w:val="26"/>
          <w:szCs w:val="26"/>
        </w:rPr>
        <w:t>found at the service address as well as</w:t>
      </w:r>
      <w:r>
        <w:rPr>
          <w:sz w:val="26"/>
          <w:szCs w:val="26"/>
        </w:rPr>
        <w:t xml:space="preserve"> </w:t>
      </w:r>
      <w:r w:rsidR="00CA7530">
        <w:rPr>
          <w:sz w:val="26"/>
          <w:szCs w:val="26"/>
        </w:rPr>
        <w:t>evidence of</w:t>
      </w:r>
      <w:r w:rsidR="00D23AAD">
        <w:rPr>
          <w:sz w:val="26"/>
          <w:szCs w:val="26"/>
        </w:rPr>
        <w:t xml:space="preserve"> an accurate meter test.</w:t>
      </w:r>
      <w:r>
        <w:rPr>
          <w:sz w:val="26"/>
          <w:szCs w:val="26"/>
        </w:rPr>
        <w:t xml:space="preserve"> </w:t>
      </w:r>
      <w:r w:rsidR="00532F1B">
        <w:rPr>
          <w:sz w:val="26"/>
          <w:szCs w:val="26"/>
        </w:rPr>
        <w:t xml:space="preserve"> Although evidence of an accurate meter is not conclusive, PECO also presented </w:t>
      </w:r>
      <w:r w:rsidR="003E6304">
        <w:rPr>
          <w:sz w:val="26"/>
          <w:szCs w:val="26"/>
        </w:rPr>
        <w:t>evidence</w:t>
      </w:r>
      <w:r w:rsidR="00532F1B">
        <w:rPr>
          <w:sz w:val="26"/>
          <w:szCs w:val="26"/>
        </w:rPr>
        <w:t xml:space="preserve"> that n</w:t>
      </w:r>
      <w:r w:rsidR="00E44BA7">
        <w:rPr>
          <w:sz w:val="26"/>
          <w:szCs w:val="26"/>
        </w:rPr>
        <w:t>o foreign load existed and that</w:t>
      </w:r>
      <w:r w:rsidR="00532F1B">
        <w:rPr>
          <w:sz w:val="26"/>
          <w:szCs w:val="26"/>
        </w:rPr>
        <w:t xml:space="preserve"> there was no meter mix up at the service address.  Significantly, PECO demonstrated that the Complainant’s actual usage was below her potential usage.  The Complainant has failed to meet her burde</w:t>
      </w:r>
      <w:r w:rsidR="00D23AAD">
        <w:rPr>
          <w:sz w:val="26"/>
          <w:szCs w:val="26"/>
        </w:rPr>
        <w:t>n of proof and her testimony</w:t>
      </w:r>
      <w:r w:rsidR="00532F1B">
        <w:rPr>
          <w:sz w:val="26"/>
          <w:szCs w:val="26"/>
        </w:rPr>
        <w:t xml:space="preserve"> was successfully rebutted</w:t>
      </w:r>
      <w:r w:rsidR="00CB5C78">
        <w:rPr>
          <w:sz w:val="26"/>
          <w:szCs w:val="26"/>
        </w:rPr>
        <w:t xml:space="preserve"> by the Respondent.  T</w:t>
      </w:r>
      <w:r w:rsidR="00532F1B">
        <w:rPr>
          <w:sz w:val="26"/>
          <w:szCs w:val="26"/>
        </w:rPr>
        <w:t xml:space="preserve">his Exception is denied. </w:t>
      </w:r>
    </w:p>
    <w:p w:rsidR="00E44BA7" w:rsidRPr="00E44BA7" w:rsidRDefault="00E44BA7" w:rsidP="00E44BA7">
      <w:pPr>
        <w:widowControl/>
        <w:spacing w:line="360" w:lineRule="auto"/>
        <w:contextualSpacing/>
        <w:rPr>
          <w:sz w:val="26"/>
          <w:szCs w:val="26"/>
        </w:rPr>
      </w:pPr>
    </w:p>
    <w:p w:rsidR="00CA43A5" w:rsidRPr="00CA43A5" w:rsidRDefault="00CA43A5" w:rsidP="000044DC">
      <w:pPr>
        <w:widowControl/>
        <w:spacing w:line="360" w:lineRule="auto"/>
        <w:jc w:val="center"/>
        <w:rPr>
          <w:b/>
          <w:sz w:val="26"/>
          <w:szCs w:val="26"/>
        </w:rPr>
      </w:pPr>
      <w:r w:rsidRPr="00CA43A5">
        <w:rPr>
          <w:b/>
          <w:sz w:val="26"/>
          <w:szCs w:val="26"/>
        </w:rPr>
        <w:t>Conclusion</w:t>
      </w:r>
    </w:p>
    <w:p w:rsidR="00CA43A5" w:rsidRPr="00CA43A5" w:rsidRDefault="00CA43A5" w:rsidP="000044DC">
      <w:pPr>
        <w:widowControl/>
        <w:spacing w:line="360" w:lineRule="auto"/>
        <w:ind w:firstLine="1440"/>
        <w:rPr>
          <w:sz w:val="26"/>
          <w:szCs w:val="26"/>
        </w:rPr>
      </w:pPr>
    </w:p>
    <w:p w:rsidR="00CA43A5" w:rsidRPr="00CA43A5" w:rsidRDefault="0013006D" w:rsidP="000044DC">
      <w:pPr>
        <w:widowControl/>
        <w:spacing w:line="360" w:lineRule="auto"/>
        <w:ind w:firstLine="1440"/>
        <w:rPr>
          <w:sz w:val="26"/>
          <w:szCs w:val="26"/>
        </w:rPr>
      </w:pPr>
      <w:r w:rsidRPr="0013006D">
        <w:rPr>
          <w:sz w:val="26"/>
          <w:szCs w:val="26"/>
        </w:rPr>
        <w:t>Based upon the foregoing discussion, we shall deny the Complainant’s Exceptions and adopt the Initial Decision</w:t>
      </w:r>
      <w:r w:rsidR="00CA43A5" w:rsidRPr="00CA43A5">
        <w:rPr>
          <w:sz w:val="26"/>
          <w:szCs w:val="26"/>
        </w:rPr>
        <w:t xml:space="preserve">; </w:t>
      </w:r>
      <w:r w:rsidR="00CA43A5" w:rsidRPr="00CA43A5">
        <w:rPr>
          <w:b/>
          <w:sz w:val="26"/>
          <w:szCs w:val="26"/>
        </w:rPr>
        <w:t>THEREFORE,</w:t>
      </w:r>
      <w:r w:rsidR="00CA43A5" w:rsidRPr="00CA43A5">
        <w:rPr>
          <w:sz w:val="26"/>
          <w:szCs w:val="26"/>
        </w:rPr>
        <w:t xml:space="preserve"> </w:t>
      </w:r>
    </w:p>
    <w:p w:rsidR="00CA43A5" w:rsidRPr="00CA43A5" w:rsidRDefault="00CA43A5" w:rsidP="000044DC">
      <w:pPr>
        <w:widowControl/>
        <w:rPr>
          <w:sz w:val="26"/>
          <w:szCs w:val="26"/>
        </w:rPr>
      </w:pPr>
    </w:p>
    <w:p w:rsidR="00CA43A5" w:rsidRPr="00CA43A5" w:rsidRDefault="00CA43A5" w:rsidP="006E69B0">
      <w:pPr>
        <w:widowControl/>
        <w:spacing w:line="360" w:lineRule="auto"/>
        <w:ind w:firstLine="1440"/>
        <w:rPr>
          <w:b/>
          <w:sz w:val="26"/>
          <w:szCs w:val="26"/>
        </w:rPr>
      </w:pPr>
      <w:r w:rsidRPr="00CA43A5">
        <w:rPr>
          <w:b/>
          <w:sz w:val="26"/>
          <w:szCs w:val="26"/>
        </w:rPr>
        <w:t>IT IS ORDERED:</w:t>
      </w:r>
    </w:p>
    <w:p w:rsidR="00CA43A5" w:rsidRPr="00CA43A5" w:rsidRDefault="00CA43A5" w:rsidP="000044DC">
      <w:pPr>
        <w:widowControl/>
        <w:rPr>
          <w:sz w:val="26"/>
          <w:szCs w:val="26"/>
        </w:rPr>
      </w:pPr>
    </w:p>
    <w:p w:rsidR="009155F7" w:rsidRDefault="009155F7" w:rsidP="000044DC">
      <w:pPr>
        <w:widowControl/>
        <w:numPr>
          <w:ilvl w:val="0"/>
          <w:numId w:val="1"/>
        </w:numPr>
        <w:tabs>
          <w:tab w:val="clear" w:pos="2160"/>
          <w:tab w:val="num" w:pos="0"/>
        </w:tabs>
        <w:spacing w:line="360" w:lineRule="auto"/>
        <w:ind w:left="0" w:firstLine="1440"/>
        <w:rPr>
          <w:sz w:val="26"/>
          <w:szCs w:val="26"/>
        </w:rPr>
      </w:pPr>
      <w:r>
        <w:rPr>
          <w:sz w:val="26"/>
          <w:szCs w:val="26"/>
        </w:rPr>
        <w:t xml:space="preserve">That the </w:t>
      </w:r>
      <w:r w:rsidR="0013006D">
        <w:rPr>
          <w:sz w:val="26"/>
          <w:szCs w:val="26"/>
        </w:rPr>
        <w:t>Exceptions of Sherry Dixon</w:t>
      </w:r>
      <w:r w:rsidR="00676FEA">
        <w:rPr>
          <w:sz w:val="26"/>
          <w:szCs w:val="26"/>
        </w:rPr>
        <w:t>,</w:t>
      </w:r>
      <w:r w:rsidR="0013006D">
        <w:rPr>
          <w:sz w:val="26"/>
          <w:szCs w:val="26"/>
        </w:rPr>
        <w:t xml:space="preserve"> filed on</w:t>
      </w:r>
      <w:r w:rsidR="0013006D" w:rsidRPr="0013006D">
        <w:rPr>
          <w:color w:val="000000"/>
          <w:sz w:val="26"/>
        </w:rPr>
        <w:t xml:space="preserve"> </w:t>
      </w:r>
      <w:r w:rsidR="0013006D" w:rsidRPr="0013006D">
        <w:rPr>
          <w:sz w:val="26"/>
          <w:szCs w:val="26"/>
        </w:rPr>
        <w:t>February 24, 2014</w:t>
      </w:r>
      <w:r w:rsidR="0013006D">
        <w:rPr>
          <w:sz w:val="26"/>
          <w:szCs w:val="26"/>
        </w:rPr>
        <w:t>, are denied</w:t>
      </w:r>
      <w:r w:rsidR="003F51F4">
        <w:rPr>
          <w:sz w:val="26"/>
          <w:szCs w:val="26"/>
        </w:rPr>
        <w:t xml:space="preserve">, consistent with this Opinion </w:t>
      </w:r>
      <w:r w:rsidR="00B80C43">
        <w:rPr>
          <w:sz w:val="26"/>
          <w:szCs w:val="26"/>
        </w:rPr>
        <w:t>and Order</w:t>
      </w:r>
      <w:r>
        <w:rPr>
          <w:sz w:val="26"/>
          <w:szCs w:val="26"/>
        </w:rPr>
        <w:t>.</w:t>
      </w:r>
    </w:p>
    <w:p w:rsidR="003F51F4" w:rsidRDefault="003F51F4" w:rsidP="000044DC">
      <w:pPr>
        <w:widowControl/>
        <w:spacing w:line="360" w:lineRule="auto"/>
        <w:ind w:left="1440"/>
        <w:rPr>
          <w:sz w:val="26"/>
          <w:szCs w:val="26"/>
        </w:rPr>
      </w:pPr>
    </w:p>
    <w:p w:rsidR="0013006D" w:rsidRDefault="0013006D" w:rsidP="000044DC">
      <w:pPr>
        <w:widowControl/>
        <w:numPr>
          <w:ilvl w:val="0"/>
          <w:numId w:val="1"/>
        </w:numPr>
        <w:tabs>
          <w:tab w:val="clear" w:pos="2160"/>
          <w:tab w:val="num" w:pos="0"/>
        </w:tabs>
        <w:spacing w:line="360" w:lineRule="auto"/>
        <w:ind w:left="0" w:firstLine="1440"/>
        <w:rPr>
          <w:sz w:val="26"/>
          <w:szCs w:val="26"/>
        </w:rPr>
      </w:pPr>
      <w:r w:rsidRPr="0013006D">
        <w:rPr>
          <w:sz w:val="26"/>
          <w:szCs w:val="26"/>
        </w:rPr>
        <w:t>That the Initial Decision of Administrat</w:t>
      </w:r>
      <w:r>
        <w:rPr>
          <w:sz w:val="26"/>
          <w:szCs w:val="26"/>
        </w:rPr>
        <w:t xml:space="preserve">ive Law </w:t>
      </w:r>
      <w:r w:rsidR="00676FEA">
        <w:rPr>
          <w:sz w:val="26"/>
          <w:szCs w:val="26"/>
        </w:rPr>
        <w:t xml:space="preserve">Judge </w:t>
      </w:r>
      <w:r>
        <w:rPr>
          <w:sz w:val="26"/>
          <w:szCs w:val="26"/>
        </w:rPr>
        <w:t>David A. Salapa</w:t>
      </w:r>
      <w:r w:rsidRPr="0013006D">
        <w:rPr>
          <w:sz w:val="26"/>
          <w:szCs w:val="26"/>
        </w:rPr>
        <w:t>, issued on November 26, 2013, is adopted, consistent with this Opinion and Order.</w:t>
      </w:r>
    </w:p>
    <w:p w:rsidR="0013006D" w:rsidRDefault="0013006D" w:rsidP="000044DC">
      <w:pPr>
        <w:pStyle w:val="ListParagraph"/>
        <w:widowControl/>
        <w:rPr>
          <w:sz w:val="26"/>
          <w:szCs w:val="26"/>
        </w:rPr>
      </w:pPr>
    </w:p>
    <w:p w:rsidR="0013006D" w:rsidRPr="0013006D" w:rsidRDefault="0013006D" w:rsidP="000044DC">
      <w:pPr>
        <w:widowControl/>
        <w:numPr>
          <w:ilvl w:val="0"/>
          <w:numId w:val="1"/>
        </w:numPr>
        <w:tabs>
          <w:tab w:val="clear" w:pos="2160"/>
          <w:tab w:val="num" w:pos="0"/>
        </w:tabs>
        <w:spacing w:line="360" w:lineRule="auto"/>
        <w:ind w:left="0" w:firstLine="1440"/>
        <w:rPr>
          <w:sz w:val="26"/>
          <w:szCs w:val="26"/>
        </w:rPr>
      </w:pPr>
      <w:r w:rsidRPr="0013006D">
        <w:rPr>
          <w:sz w:val="26"/>
          <w:szCs w:val="26"/>
        </w:rPr>
        <w:t>That the Formal C</w:t>
      </w:r>
      <w:r>
        <w:rPr>
          <w:sz w:val="26"/>
          <w:szCs w:val="26"/>
        </w:rPr>
        <w:t>omplaint filed by Sherry Dixon</w:t>
      </w:r>
      <w:r w:rsidRPr="0013006D">
        <w:rPr>
          <w:sz w:val="26"/>
          <w:szCs w:val="26"/>
        </w:rPr>
        <w:t xml:space="preserve"> on March 15, 2013,</w:t>
      </w:r>
      <w:r>
        <w:rPr>
          <w:sz w:val="26"/>
          <w:szCs w:val="26"/>
        </w:rPr>
        <w:t xml:space="preserve"> against PECO Energy Company</w:t>
      </w:r>
      <w:r w:rsidRPr="0013006D">
        <w:rPr>
          <w:sz w:val="26"/>
          <w:szCs w:val="26"/>
        </w:rPr>
        <w:t>, is dismissed</w:t>
      </w:r>
      <w:r w:rsidR="004261A1">
        <w:rPr>
          <w:sz w:val="26"/>
          <w:szCs w:val="26"/>
        </w:rPr>
        <w:t>,</w:t>
      </w:r>
      <w:r w:rsidRPr="0013006D">
        <w:rPr>
          <w:sz w:val="26"/>
          <w:szCs w:val="26"/>
        </w:rPr>
        <w:t xml:space="preserve"> consistent with this Opinion and Order.</w:t>
      </w:r>
    </w:p>
    <w:p w:rsidR="0013006D" w:rsidRPr="0013006D" w:rsidRDefault="0013006D" w:rsidP="000044DC">
      <w:pPr>
        <w:widowControl/>
        <w:spacing w:after="200" w:line="276" w:lineRule="auto"/>
        <w:rPr>
          <w:sz w:val="26"/>
          <w:szCs w:val="26"/>
        </w:rPr>
      </w:pPr>
    </w:p>
    <w:p w:rsidR="00E75E1C" w:rsidRDefault="00E75E1C">
      <w:pPr>
        <w:widowControl/>
        <w:spacing w:after="200" w:line="276" w:lineRule="auto"/>
        <w:rPr>
          <w:sz w:val="26"/>
          <w:szCs w:val="26"/>
        </w:rPr>
      </w:pPr>
      <w:r>
        <w:rPr>
          <w:sz w:val="26"/>
          <w:szCs w:val="26"/>
        </w:rPr>
        <w:br w:type="page"/>
      </w:r>
    </w:p>
    <w:p w:rsidR="0013006D" w:rsidRPr="0013006D" w:rsidRDefault="0013006D" w:rsidP="000044DC">
      <w:pPr>
        <w:widowControl/>
        <w:numPr>
          <w:ilvl w:val="0"/>
          <w:numId w:val="1"/>
        </w:numPr>
        <w:tabs>
          <w:tab w:val="clear" w:pos="2160"/>
          <w:tab w:val="num" w:pos="0"/>
        </w:tabs>
        <w:spacing w:line="360" w:lineRule="auto"/>
        <w:ind w:left="0" w:firstLine="1440"/>
        <w:rPr>
          <w:sz w:val="26"/>
          <w:szCs w:val="26"/>
        </w:rPr>
      </w:pPr>
      <w:r w:rsidRPr="0013006D">
        <w:rPr>
          <w:sz w:val="26"/>
          <w:szCs w:val="26"/>
        </w:rPr>
        <w:lastRenderedPageBreak/>
        <w:t>That the proceeding docketed at</w:t>
      </w:r>
      <w:r w:rsidR="00DF657D" w:rsidRPr="00DF657D">
        <w:rPr>
          <w:sz w:val="26"/>
          <w:szCs w:val="26"/>
        </w:rPr>
        <w:t xml:space="preserve"> F-2013-2353645</w:t>
      </w:r>
      <w:r w:rsidRPr="0013006D">
        <w:rPr>
          <w:sz w:val="26"/>
          <w:szCs w:val="26"/>
        </w:rPr>
        <w:t>, be marked closed.</w:t>
      </w:r>
    </w:p>
    <w:p w:rsidR="00CA43A5" w:rsidRPr="00CA43A5" w:rsidRDefault="00CA43A5" w:rsidP="006E69B0">
      <w:pPr>
        <w:widowControl/>
        <w:spacing w:line="360" w:lineRule="auto"/>
        <w:rPr>
          <w:sz w:val="26"/>
          <w:szCs w:val="26"/>
        </w:rPr>
      </w:pPr>
    </w:p>
    <w:p w:rsidR="00CA43A5" w:rsidRPr="00CA43A5" w:rsidRDefault="002375CB" w:rsidP="000044DC">
      <w:pPr>
        <w:widowControl/>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3E56AD03" wp14:editId="1E38343E">
            <wp:simplePos x="0" y="0"/>
            <wp:positionH relativeFrom="column">
              <wp:posOffset>3073400</wp:posOffset>
            </wp:positionH>
            <wp:positionV relativeFrom="paragraph">
              <wp:posOffset>78105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A43A5" w:rsidRPr="00CA43A5">
        <w:rPr>
          <w:b/>
          <w:sz w:val="26"/>
          <w:szCs w:val="26"/>
        </w:rPr>
        <w:t>BY THE COMMISSION,</w:t>
      </w:r>
    </w:p>
    <w:p w:rsidR="00CA43A5" w:rsidRPr="00CA43A5" w:rsidRDefault="00CA43A5" w:rsidP="000044DC">
      <w:pPr>
        <w:widowControl/>
        <w:tabs>
          <w:tab w:val="left" w:pos="-720"/>
        </w:tabs>
        <w:rPr>
          <w:sz w:val="26"/>
          <w:szCs w:val="26"/>
        </w:rPr>
      </w:pPr>
    </w:p>
    <w:p w:rsidR="00CA43A5" w:rsidRPr="00CA43A5" w:rsidRDefault="00CA43A5" w:rsidP="000044DC">
      <w:pPr>
        <w:widowControl/>
        <w:tabs>
          <w:tab w:val="left" w:pos="-720"/>
        </w:tabs>
        <w:rPr>
          <w:sz w:val="26"/>
          <w:szCs w:val="26"/>
        </w:rPr>
      </w:pPr>
    </w:p>
    <w:p w:rsidR="00CA43A5" w:rsidRPr="00CA43A5" w:rsidRDefault="00CA43A5" w:rsidP="000044DC">
      <w:pPr>
        <w:widowControl/>
        <w:tabs>
          <w:tab w:val="left" w:pos="-720"/>
        </w:tabs>
        <w:rPr>
          <w:sz w:val="26"/>
          <w:szCs w:val="26"/>
        </w:rPr>
      </w:pPr>
    </w:p>
    <w:p w:rsidR="00CA43A5" w:rsidRPr="00CA43A5" w:rsidRDefault="00564565" w:rsidP="000044DC">
      <w:pPr>
        <w:widowControl/>
        <w:tabs>
          <w:tab w:val="left" w:pos="-720"/>
        </w:tabs>
        <w:ind w:firstLine="5040"/>
        <w:rPr>
          <w:b/>
          <w:sz w:val="26"/>
          <w:szCs w:val="26"/>
        </w:rPr>
      </w:pPr>
      <w:r>
        <w:rPr>
          <w:sz w:val="26"/>
          <w:szCs w:val="26"/>
        </w:rPr>
        <w:t>Rosemary Chiavetta</w:t>
      </w:r>
    </w:p>
    <w:p w:rsidR="00CA43A5" w:rsidRPr="00CA43A5" w:rsidRDefault="00CA43A5" w:rsidP="000044DC">
      <w:pPr>
        <w:widowControl/>
        <w:tabs>
          <w:tab w:val="left" w:pos="-720"/>
        </w:tabs>
        <w:ind w:firstLine="5040"/>
        <w:rPr>
          <w:sz w:val="26"/>
          <w:szCs w:val="26"/>
        </w:rPr>
      </w:pPr>
      <w:r w:rsidRPr="00CA43A5">
        <w:rPr>
          <w:sz w:val="26"/>
          <w:szCs w:val="26"/>
        </w:rPr>
        <w:t>Secretary</w:t>
      </w:r>
    </w:p>
    <w:p w:rsidR="00CA43A5" w:rsidRPr="00CA43A5" w:rsidRDefault="00CA43A5" w:rsidP="000044DC">
      <w:pPr>
        <w:widowControl/>
        <w:tabs>
          <w:tab w:val="left" w:pos="-720"/>
        </w:tabs>
        <w:rPr>
          <w:sz w:val="26"/>
          <w:szCs w:val="26"/>
        </w:rPr>
      </w:pPr>
    </w:p>
    <w:p w:rsidR="00CA43A5" w:rsidRPr="00CA43A5" w:rsidRDefault="00CA43A5" w:rsidP="000044DC">
      <w:pPr>
        <w:widowControl/>
        <w:tabs>
          <w:tab w:val="left" w:pos="-720"/>
        </w:tabs>
        <w:rPr>
          <w:sz w:val="26"/>
          <w:szCs w:val="26"/>
        </w:rPr>
      </w:pPr>
      <w:r w:rsidRPr="00CA43A5">
        <w:rPr>
          <w:sz w:val="26"/>
          <w:szCs w:val="26"/>
        </w:rPr>
        <w:t>(SEAL)</w:t>
      </w:r>
    </w:p>
    <w:p w:rsidR="00CA43A5" w:rsidRPr="00CA43A5" w:rsidRDefault="00CA43A5" w:rsidP="000044DC">
      <w:pPr>
        <w:widowControl/>
        <w:tabs>
          <w:tab w:val="left" w:pos="-720"/>
        </w:tabs>
        <w:rPr>
          <w:sz w:val="26"/>
          <w:szCs w:val="26"/>
        </w:rPr>
      </w:pPr>
    </w:p>
    <w:p w:rsidR="00CA43A5" w:rsidRPr="00CA43A5" w:rsidRDefault="009868C0" w:rsidP="000044DC">
      <w:pPr>
        <w:widowControl/>
        <w:tabs>
          <w:tab w:val="left" w:pos="-720"/>
        </w:tabs>
        <w:rPr>
          <w:sz w:val="26"/>
          <w:szCs w:val="26"/>
        </w:rPr>
      </w:pPr>
      <w:r>
        <w:rPr>
          <w:sz w:val="26"/>
          <w:szCs w:val="26"/>
        </w:rPr>
        <w:t>ORDER ADOPTED: April 3, 2013</w:t>
      </w:r>
    </w:p>
    <w:p w:rsidR="00857172" w:rsidRDefault="00857172" w:rsidP="000044DC">
      <w:pPr>
        <w:widowControl/>
        <w:tabs>
          <w:tab w:val="left" w:pos="-720"/>
        </w:tabs>
        <w:rPr>
          <w:sz w:val="26"/>
          <w:szCs w:val="26"/>
        </w:rPr>
      </w:pPr>
    </w:p>
    <w:p w:rsidR="00CA43A5" w:rsidRPr="00CA43A5" w:rsidRDefault="00CA43A5" w:rsidP="000044DC">
      <w:pPr>
        <w:widowControl/>
        <w:tabs>
          <w:tab w:val="left" w:pos="-720"/>
        </w:tabs>
        <w:rPr>
          <w:sz w:val="26"/>
          <w:szCs w:val="26"/>
        </w:rPr>
      </w:pPr>
      <w:r w:rsidRPr="00CA43A5">
        <w:rPr>
          <w:sz w:val="26"/>
          <w:szCs w:val="26"/>
        </w:rPr>
        <w:t xml:space="preserve">ORDER ENTERED:  </w:t>
      </w:r>
      <w:r w:rsidR="002375CB">
        <w:rPr>
          <w:sz w:val="26"/>
          <w:szCs w:val="26"/>
        </w:rPr>
        <w:t>April 3, 2014</w:t>
      </w:r>
    </w:p>
    <w:p w:rsidR="00344804" w:rsidRPr="00CA43A5" w:rsidRDefault="00344804" w:rsidP="000044DC">
      <w:pPr>
        <w:widowControl/>
        <w:ind w:right="360"/>
        <w:rPr>
          <w:sz w:val="26"/>
          <w:szCs w:val="26"/>
        </w:rPr>
      </w:pPr>
    </w:p>
    <w:sectPr w:rsidR="00344804" w:rsidRPr="00CA43A5" w:rsidSect="00FA522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E67" w:rsidRDefault="00F17E67" w:rsidP="00F32174">
      <w:r>
        <w:separator/>
      </w:r>
    </w:p>
  </w:endnote>
  <w:endnote w:type="continuationSeparator" w:id="0">
    <w:p w:rsidR="00F17E67" w:rsidRDefault="00F17E67" w:rsidP="00F3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107753"/>
      <w:docPartObj>
        <w:docPartGallery w:val="Page Numbers (Bottom of Page)"/>
        <w:docPartUnique/>
      </w:docPartObj>
    </w:sdtPr>
    <w:sdtEndPr>
      <w:rPr>
        <w:noProof/>
        <w:sz w:val="26"/>
        <w:szCs w:val="26"/>
      </w:rPr>
    </w:sdtEndPr>
    <w:sdtContent>
      <w:p w:rsidR="00FA522D" w:rsidRPr="00F91282" w:rsidRDefault="00FA522D">
        <w:pPr>
          <w:pStyle w:val="Footer"/>
          <w:jc w:val="center"/>
          <w:rPr>
            <w:sz w:val="26"/>
            <w:szCs w:val="26"/>
          </w:rPr>
        </w:pPr>
        <w:r w:rsidRPr="00F91282">
          <w:rPr>
            <w:sz w:val="26"/>
            <w:szCs w:val="26"/>
          </w:rPr>
          <w:fldChar w:fldCharType="begin"/>
        </w:r>
        <w:r w:rsidRPr="00F91282">
          <w:rPr>
            <w:sz w:val="26"/>
            <w:szCs w:val="26"/>
          </w:rPr>
          <w:instrText xml:space="preserve"> PAGE   \* MERGEFORMAT </w:instrText>
        </w:r>
        <w:r w:rsidRPr="00F91282">
          <w:rPr>
            <w:sz w:val="26"/>
            <w:szCs w:val="26"/>
          </w:rPr>
          <w:fldChar w:fldCharType="separate"/>
        </w:r>
        <w:r w:rsidR="002375CB">
          <w:rPr>
            <w:noProof/>
            <w:sz w:val="26"/>
            <w:szCs w:val="26"/>
          </w:rPr>
          <w:t>10</w:t>
        </w:r>
        <w:r w:rsidRPr="00F91282">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E67" w:rsidRDefault="00F17E67" w:rsidP="00F32174">
      <w:r>
        <w:separator/>
      </w:r>
    </w:p>
  </w:footnote>
  <w:footnote w:type="continuationSeparator" w:id="0">
    <w:p w:rsidR="00F17E67" w:rsidRDefault="00F17E67" w:rsidP="00F32174">
      <w:r>
        <w:continuationSeparator/>
      </w:r>
    </w:p>
  </w:footnote>
  <w:footnote w:id="1">
    <w:p w:rsidR="00535906" w:rsidRPr="006E69B0" w:rsidRDefault="00535906">
      <w:pPr>
        <w:pStyle w:val="FootnoteText"/>
        <w:rPr>
          <w:sz w:val="26"/>
          <w:szCs w:val="26"/>
        </w:rPr>
      </w:pPr>
      <w:r w:rsidRPr="006E69B0">
        <w:rPr>
          <w:sz w:val="26"/>
          <w:szCs w:val="26"/>
        </w:rPr>
        <w:tab/>
      </w:r>
      <w:r w:rsidRPr="006E69B0">
        <w:rPr>
          <w:rStyle w:val="FootnoteReference"/>
          <w:sz w:val="26"/>
          <w:szCs w:val="26"/>
        </w:rPr>
        <w:footnoteRef/>
      </w:r>
      <w:r w:rsidRPr="006E69B0">
        <w:rPr>
          <w:sz w:val="26"/>
          <w:szCs w:val="26"/>
        </w:rPr>
        <w:t xml:space="preserve"> </w:t>
      </w:r>
      <w:r w:rsidRPr="006E69B0">
        <w:rPr>
          <w:sz w:val="26"/>
          <w:szCs w:val="26"/>
        </w:rPr>
        <w:tab/>
        <w:t>The unusual procedural history of this case is described in detail</w:t>
      </w:r>
      <w:r w:rsidR="000704EB">
        <w:rPr>
          <w:sz w:val="26"/>
          <w:szCs w:val="26"/>
        </w:rPr>
        <w:t>,</w:t>
      </w:r>
      <w:r w:rsidRPr="006E69B0">
        <w:rPr>
          <w:sz w:val="26"/>
          <w:szCs w:val="26"/>
        </w:rPr>
        <w:t xml:space="preserve"> </w:t>
      </w:r>
      <w:r w:rsidRPr="006E69B0">
        <w:rPr>
          <w:i/>
          <w:sz w:val="26"/>
          <w:szCs w:val="26"/>
        </w:rPr>
        <w:t>infra</w:t>
      </w:r>
      <w:r w:rsidRPr="006E69B0">
        <w:rPr>
          <w:sz w:val="26"/>
          <w:szCs w:val="26"/>
        </w:rPr>
        <w:t>.</w:t>
      </w:r>
    </w:p>
  </w:footnote>
  <w:footnote w:id="2">
    <w:p w:rsidR="00F32174" w:rsidRPr="00F32174" w:rsidRDefault="00F32174">
      <w:pPr>
        <w:pStyle w:val="FootnoteText"/>
        <w:rPr>
          <w:sz w:val="26"/>
          <w:szCs w:val="26"/>
        </w:rPr>
      </w:pPr>
      <w:r>
        <w:tab/>
      </w:r>
      <w:r w:rsidRPr="00F32174">
        <w:rPr>
          <w:rStyle w:val="FootnoteReference"/>
          <w:sz w:val="26"/>
          <w:szCs w:val="26"/>
        </w:rPr>
        <w:footnoteRef/>
      </w:r>
      <w:r w:rsidRPr="00F32174">
        <w:rPr>
          <w:sz w:val="26"/>
          <w:szCs w:val="26"/>
        </w:rPr>
        <w:t xml:space="preserve"> </w:t>
      </w:r>
      <w:r w:rsidRPr="00F32174">
        <w:rPr>
          <w:sz w:val="26"/>
          <w:szCs w:val="26"/>
        </w:rPr>
        <w:tab/>
        <w:t>The C</w:t>
      </w:r>
      <w:r w:rsidR="0099257C">
        <w:rPr>
          <w:sz w:val="26"/>
          <w:szCs w:val="26"/>
        </w:rPr>
        <w:t>omplaint is a</w:t>
      </w:r>
      <w:r w:rsidR="00DB48B1">
        <w:rPr>
          <w:sz w:val="26"/>
          <w:szCs w:val="26"/>
        </w:rPr>
        <w:t xml:space="preserve"> timely</w:t>
      </w:r>
      <w:r w:rsidRPr="00F32174">
        <w:rPr>
          <w:sz w:val="26"/>
          <w:szCs w:val="26"/>
        </w:rPr>
        <w:t xml:space="preserve"> appeal of the Commission’s Bu</w:t>
      </w:r>
      <w:r>
        <w:rPr>
          <w:sz w:val="26"/>
          <w:szCs w:val="26"/>
        </w:rPr>
        <w:t xml:space="preserve">reau of Consumer Services </w:t>
      </w:r>
      <w:r w:rsidRPr="00F32174">
        <w:rPr>
          <w:sz w:val="26"/>
          <w:szCs w:val="26"/>
        </w:rPr>
        <w:t>decision, dated February 13, 2013, at BCS No. 3035014</w:t>
      </w:r>
      <w:r w:rsidR="00F623E0">
        <w:rPr>
          <w:sz w:val="26"/>
          <w:szCs w:val="26"/>
        </w:rPr>
        <w:t>.</w:t>
      </w:r>
    </w:p>
  </w:footnote>
  <w:footnote w:id="3">
    <w:p w:rsidR="009A507C" w:rsidRPr="009A507C" w:rsidRDefault="009A507C">
      <w:pPr>
        <w:pStyle w:val="FootnoteText"/>
        <w:rPr>
          <w:sz w:val="26"/>
          <w:szCs w:val="26"/>
        </w:rPr>
      </w:pPr>
      <w:r>
        <w:tab/>
      </w:r>
      <w:r w:rsidRPr="009A507C">
        <w:rPr>
          <w:rStyle w:val="FootnoteReference"/>
          <w:sz w:val="26"/>
          <w:szCs w:val="26"/>
        </w:rPr>
        <w:footnoteRef/>
      </w:r>
      <w:r w:rsidRPr="009A507C">
        <w:rPr>
          <w:sz w:val="26"/>
          <w:szCs w:val="26"/>
        </w:rPr>
        <w:t xml:space="preserve"> </w:t>
      </w:r>
      <w:r w:rsidRPr="009A507C">
        <w:rPr>
          <w:sz w:val="26"/>
          <w:szCs w:val="26"/>
        </w:rPr>
        <w:tab/>
        <w:t>The ALJ also found that the Complainant was not eligible for a payment arrangement because all of her arrearages were accrued under CAP rates and could not be the subject of a payment arrangement under 66 Pa.</w:t>
      </w:r>
      <w:r w:rsidR="0033344B">
        <w:rPr>
          <w:sz w:val="26"/>
          <w:szCs w:val="26"/>
        </w:rPr>
        <w:t xml:space="preserve"> </w:t>
      </w:r>
      <w:r w:rsidR="00F91282">
        <w:rPr>
          <w:sz w:val="26"/>
          <w:szCs w:val="26"/>
        </w:rPr>
        <w:t xml:space="preserve">C.S. § 1405(c).  I.D. at 18. </w:t>
      </w:r>
      <w:r w:rsidR="0033344B">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44DC"/>
    <w:rsid w:val="00006685"/>
    <w:rsid w:val="00006F35"/>
    <w:rsid w:val="00016D57"/>
    <w:rsid w:val="00017852"/>
    <w:rsid w:val="00021E46"/>
    <w:rsid w:val="00022B74"/>
    <w:rsid w:val="0002524C"/>
    <w:rsid w:val="00025F3F"/>
    <w:rsid w:val="00026CD2"/>
    <w:rsid w:val="00040A8E"/>
    <w:rsid w:val="00040AEA"/>
    <w:rsid w:val="00047874"/>
    <w:rsid w:val="00047F4A"/>
    <w:rsid w:val="000523D1"/>
    <w:rsid w:val="00052B8F"/>
    <w:rsid w:val="00054612"/>
    <w:rsid w:val="0005572E"/>
    <w:rsid w:val="00056286"/>
    <w:rsid w:val="000612FD"/>
    <w:rsid w:val="000642AA"/>
    <w:rsid w:val="000649EC"/>
    <w:rsid w:val="0006687A"/>
    <w:rsid w:val="00066EE5"/>
    <w:rsid w:val="00067260"/>
    <w:rsid w:val="000704EB"/>
    <w:rsid w:val="00072808"/>
    <w:rsid w:val="00076F35"/>
    <w:rsid w:val="00084573"/>
    <w:rsid w:val="00084AF9"/>
    <w:rsid w:val="000918D4"/>
    <w:rsid w:val="00093164"/>
    <w:rsid w:val="0009612D"/>
    <w:rsid w:val="00097504"/>
    <w:rsid w:val="000A365D"/>
    <w:rsid w:val="000B216D"/>
    <w:rsid w:val="000B2755"/>
    <w:rsid w:val="000B4EAE"/>
    <w:rsid w:val="000B5238"/>
    <w:rsid w:val="000B607A"/>
    <w:rsid w:val="000B6B15"/>
    <w:rsid w:val="000C2AE3"/>
    <w:rsid w:val="000C709A"/>
    <w:rsid w:val="000D43F4"/>
    <w:rsid w:val="000E0EEF"/>
    <w:rsid w:val="000E47D1"/>
    <w:rsid w:val="000F179E"/>
    <w:rsid w:val="000F4307"/>
    <w:rsid w:val="00100FE7"/>
    <w:rsid w:val="0010158F"/>
    <w:rsid w:val="00101F51"/>
    <w:rsid w:val="001026CA"/>
    <w:rsid w:val="00104D9B"/>
    <w:rsid w:val="00106AD6"/>
    <w:rsid w:val="001108DE"/>
    <w:rsid w:val="00117CB2"/>
    <w:rsid w:val="00120341"/>
    <w:rsid w:val="00120B39"/>
    <w:rsid w:val="001238E5"/>
    <w:rsid w:val="00123A2E"/>
    <w:rsid w:val="00124071"/>
    <w:rsid w:val="001267D4"/>
    <w:rsid w:val="0013006D"/>
    <w:rsid w:val="00135972"/>
    <w:rsid w:val="001360FC"/>
    <w:rsid w:val="00141CB1"/>
    <w:rsid w:val="001439B6"/>
    <w:rsid w:val="001447A0"/>
    <w:rsid w:val="0014497F"/>
    <w:rsid w:val="00146DDD"/>
    <w:rsid w:val="00146E58"/>
    <w:rsid w:val="00147145"/>
    <w:rsid w:val="00150096"/>
    <w:rsid w:val="001508E4"/>
    <w:rsid w:val="0015380A"/>
    <w:rsid w:val="00154CB6"/>
    <w:rsid w:val="001558AD"/>
    <w:rsid w:val="00160F98"/>
    <w:rsid w:val="00164DA4"/>
    <w:rsid w:val="00166298"/>
    <w:rsid w:val="001663C8"/>
    <w:rsid w:val="00174D3D"/>
    <w:rsid w:val="00182478"/>
    <w:rsid w:val="00186A97"/>
    <w:rsid w:val="0019530E"/>
    <w:rsid w:val="00195F2E"/>
    <w:rsid w:val="001B1DB4"/>
    <w:rsid w:val="001C4978"/>
    <w:rsid w:val="001D0ED2"/>
    <w:rsid w:val="001E0B61"/>
    <w:rsid w:val="001E1276"/>
    <w:rsid w:val="001F285E"/>
    <w:rsid w:val="001F6FFF"/>
    <w:rsid w:val="00202524"/>
    <w:rsid w:val="00210736"/>
    <w:rsid w:val="00210F81"/>
    <w:rsid w:val="00211622"/>
    <w:rsid w:val="00214B3E"/>
    <w:rsid w:val="0022698E"/>
    <w:rsid w:val="00227912"/>
    <w:rsid w:val="002311EE"/>
    <w:rsid w:val="002370F5"/>
    <w:rsid w:val="002375CB"/>
    <w:rsid w:val="00240ACA"/>
    <w:rsid w:val="00240D7B"/>
    <w:rsid w:val="00241299"/>
    <w:rsid w:val="00255462"/>
    <w:rsid w:val="00260957"/>
    <w:rsid w:val="00264646"/>
    <w:rsid w:val="0027232D"/>
    <w:rsid w:val="002738C4"/>
    <w:rsid w:val="00274D0F"/>
    <w:rsid w:val="00277500"/>
    <w:rsid w:val="00281A5F"/>
    <w:rsid w:val="00291F68"/>
    <w:rsid w:val="002A060A"/>
    <w:rsid w:val="002A4450"/>
    <w:rsid w:val="002A6750"/>
    <w:rsid w:val="002B2296"/>
    <w:rsid w:val="002B4407"/>
    <w:rsid w:val="002B67B7"/>
    <w:rsid w:val="002C0429"/>
    <w:rsid w:val="002C19E4"/>
    <w:rsid w:val="002C6CC4"/>
    <w:rsid w:val="002D13C4"/>
    <w:rsid w:val="002D275E"/>
    <w:rsid w:val="002D6357"/>
    <w:rsid w:val="002D7584"/>
    <w:rsid w:val="002E3026"/>
    <w:rsid w:val="002E3F06"/>
    <w:rsid w:val="002E64F7"/>
    <w:rsid w:val="002E6FFA"/>
    <w:rsid w:val="002E7F8F"/>
    <w:rsid w:val="002F3F04"/>
    <w:rsid w:val="002F41BA"/>
    <w:rsid w:val="003018AA"/>
    <w:rsid w:val="0030295D"/>
    <w:rsid w:val="00303B99"/>
    <w:rsid w:val="0030714F"/>
    <w:rsid w:val="003073E2"/>
    <w:rsid w:val="00307DDF"/>
    <w:rsid w:val="00314A43"/>
    <w:rsid w:val="00322040"/>
    <w:rsid w:val="003240B8"/>
    <w:rsid w:val="00325422"/>
    <w:rsid w:val="0033344B"/>
    <w:rsid w:val="00333FDA"/>
    <w:rsid w:val="003340DE"/>
    <w:rsid w:val="00340D19"/>
    <w:rsid w:val="00344804"/>
    <w:rsid w:val="003518C8"/>
    <w:rsid w:val="003533B5"/>
    <w:rsid w:val="00356511"/>
    <w:rsid w:val="003622CA"/>
    <w:rsid w:val="00363030"/>
    <w:rsid w:val="0036462C"/>
    <w:rsid w:val="00364A42"/>
    <w:rsid w:val="003755FB"/>
    <w:rsid w:val="0037577C"/>
    <w:rsid w:val="00385502"/>
    <w:rsid w:val="00391A43"/>
    <w:rsid w:val="003B0611"/>
    <w:rsid w:val="003B39E2"/>
    <w:rsid w:val="003B42D9"/>
    <w:rsid w:val="003C3140"/>
    <w:rsid w:val="003C3E02"/>
    <w:rsid w:val="003C3FE8"/>
    <w:rsid w:val="003C73F9"/>
    <w:rsid w:val="003D5F07"/>
    <w:rsid w:val="003D6AB5"/>
    <w:rsid w:val="003E3FF5"/>
    <w:rsid w:val="003E5354"/>
    <w:rsid w:val="003E6304"/>
    <w:rsid w:val="003F51F4"/>
    <w:rsid w:val="003F52C6"/>
    <w:rsid w:val="003F558E"/>
    <w:rsid w:val="00400738"/>
    <w:rsid w:val="004032E2"/>
    <w:rsid w:val="00403D6E"/>
    <w:rsid w:val="00407AC0"/>
    <w:rsid w:val="00412E30"/>
    <w:rsid w:val="004170AF"/>
    <w:rsid w:val="004261A1"/>
    <w:rsid w:val="00432BB7"/>
    <w:rsid w:val="004331E9"/>
    <w:rsid w:val="00433E8D"/>
    <w:rsid w:val="0043592C"/>
    <w:rsid w:val="004411B9"/>
    <w:rsid w:val="00441207"/>
    <w:rsid w:val="004422CA"/>
    <w:rsid w:val="00443807"/>
    <w:rsid w:val="004462F7"/>
    <w:rsid w:val="0046019D"/>
    <w:rsid w:val="00464536"/>
    <w:rsid w:val="0046514E"/>
    <w:rsid w:val="0046623C"/>
    <w:rsid w:val="00467739"/>
    <w:rsid w:val="00470D0C"/>
    <w:rsid w:val="00474E22"/>
    <w:rsid w:val="0047608F"/>
    <w:rsid w:val="00476554"/>
    <w:rsid w:val="00476CF1"/>
    <w:rsid w:val="004813D4"/>
    <w:rsid w:val="00481D42"/>
    <w:rsid w:val="00484CFE"/>
    <w:rsid w:val="00491D91"/>
    <w:rsid w:val="0049375E"/>
    <w:rsid w:val="0049580C"/>
    <w:rsid w:val="0049768F"/>
    <w:rsid w:val="004A04E5"/>
    <w:rsid w:val="004A1495"/>
    <w:rsid w:val="004A2165"/>
    <w:rsid w:val="004A5F74"/>
    <w:rsid w:val="004A60B1"/>
    <w:rsid w:val="004B1052"/>
    <w:rsid w:val="004B6B14"/>
    <w:rsid w:val="004C2678"/>
    <w:rsid w:val="004D62DB"/>
    <w:rsid w:val="004E47EC"/>
    <w:rsid w:val="004E514F"/>
    <w:rsid w:val="004E737F"/>
    <w:rsid w:val="004F03DE"/>
    <w:rsid w:val="004F22DA"/>
    <w:rsid w:val="00501FDC"/>
    <w:rsid w:val="00502165"/>
    <w:rsid w:val="00504834"/>
    <w:rsid w:val="00504C7A"/>
    <w:rsid w:val="00505AEE"/>
    <w:rsid w:val="0050632E"/>
    <w:rsid w:val="0050752D"/>
    <w:rsid w:val="00511EF3"/>
    <w:rsid w:val="00514507"/>
    <w:rsid w:val="00521350"/>
    <w:rsid w:val="005245C6"/>
    <w:rsid w:val="00532F1B"/>
    <w:rsid w:val="005351B9"/>
    <w:rsid w:val="00535906"/>
    <w:rsid w:val="00536011"/>
    <w:rsid w:val="0054336B"/>
    <w:rsid w:val="00550B79"/>
    <w:rsid w:val="0055150B"/>
    <w:rsid w:val="005532F9"/>
    <w:rsid w:val="0055440B"/>
    <w:rsid w:val="0055708D"/>
    <w:rsid w:val="005574C6"/>
    <w:rsid w:val="00561CA6"/>
    <w:rsid w:val="00564565"/>
    <w:rsid w:val="005647BE"/>
    <w:rsid w:val="00566299"/>
    <w:rsid w:val="0056700C"/>
    <w:rsid w:val="005725F6"/>
    <w:rsid w:val="00575559"/>
    <w:rsid w:val="00577B8A"/>
    <w:rsid w:val="00586817"/>
    <w:rsid w:val="00586D92"/>
    <w:rsid w:val="00587507"/>
    <w:rsid w:val="00596A0B"/>
    <w:rsid w:val="00596E05"/>
    <w:rsid w:val="00596F85"/>
    <w:rsid w:val="005970FA"/>
    <w:rsid w:val="005A0176"/>
    <w:rsid w:val="005A088E"/>
    <w:rsid w:val="005A2298"/>
    <w:rsid w:val="005A28C1"/>
    <w:rsid w:val="005A72FC"/>
    <w:rsid w:val="005B0388"/>
    <w:rsid w:val="005B109A"/>
    <w:rsid w:val="005B47A8"/>
    <w:rsid w:val="005C2FD5"/>
    <w:rsid w:val="005C5378"/>
    <w:rsid w:val="005D2AB9"/>
    <w:rsid w:val="005D34E2"/>
    <w:rsid w:val="005D496E"/>
    <w:rsid w:val="005D7C20"/>
    <w:rsid w:val="005E6960"/>
    <w:rsid w:val="005E7EB8"/>
    <w:rsid w:val="005F18D6"/>
    <w:rsid w:val="00603024"/>
    <w:rsid w:val="006116E3"/>
    <w:rsid w:val="00624400"/>
    <w:rsid w:val="00624E51"/>
    <w:rsid w:val="00626162"/>
    <w:rsid w:val="00626F14"/>
    <w:rsid w:val="00634719"/>
    <w:rsid w:val="006503E8"/>
    <w:rsid w:val="00654A4A"/>
    <w:rsid w:val="006550A1"/>
    <w:rsid w:val="0065545A"/>
    <w:rsid w:val="006661CF"/>
    <w:rsid w:val="00670BFD"/>
    <w:rsid w:val="00671E4C"/>
    <w:rsid w:val="00674295"/>
    <w:rsid w:val="00676FEA"/>
    <w:rsid w:val="006818A8"/>
    <w:rsid w:val="00681A51"/>
    <w:rsid w:val="00682469"/>
    <w:rsid w:val="00683D97"/>
    <w:rsid w:val="00684FCA"/>
    <w:rsid w:val="00686B5C"/>
    <w:rsid w:val="00693DA2"/>
    <w:rsid w:val="006951A9"/>
    <w:rsid w:val="00696997"/>
    <w:rsid w:val="006A758C"/>
    <w:rsid w:val="006C1EEC"/>
    <w:rsid w:val="006C3FEA"/>
    <w:rsid w:val="006C69E7"/>
    <w:rsid w:val="006D10AE"/>
    <w:rsid w:val="006D29F2"/>
    <w:rsid w:val="006D7CA2"/>
    <w:rsid w:val="006E065B"/>
    <w:rsid w:val="006E09D3"/>
    <w:rsid w:val="006E1E6C"/>
    <w:rsid w:val="006E5505"/>
    <w:rsid w:val="006E69B0"/>
    <w:rsid w:val="006F240A"/>
    <w:rsid w:val="006F2FB3"/>
    <w:rsid w:val="006F531B"/>
    <w:rsid w:val="006F62BC"/>
    <w:rsid w:val="00702493"/>
    <w:rsid w:val="00714F3B"/>
    <w:rsid w:val="00715F1D"/>
    <w:rsid w:val="007166F7"/>
    <w:rsid w:val="00716AEF"/>
    <w:rsid w:val="00717076"/>
    <w:rsid w:val="00717296"/>
    <w:rsid w:val="00727370"/>
    <w:rsid w:val="00731444"/>
    <w:rsid w:val="00732AB3"/>
    <w:rsid w:val="00735D9E"/>
    <w:rsid w:val="0074109C"/>
    <w:rsid w:val="00742335"/>
    <w:rsid w:val="00742842"/>
    <w:rsid w:val="00747E07"/>
    <w:rsid w:val="00753376"/>
    <w:rsid w:val="007543B0"/>
    <w:rsid w:val="007568A9"/>
    <w:rsid w:val="00761514"/>
    <w:rsid w:val="00763CE7"/>
    <w:rsid w:val="00764650"/>
    <w:rsid w:val="00772177"/>
    <w:rsid w:val="00775C65"/>
    <w:rsid w:val="0077639A"/>
    <w:rsid w:val="0078100C"/>
    <w:rsid w:val="0078157F"/>
    <w:rsid w:val="00786F48"/>
    <w:rsid w:val="0078772C"/>
    <w:rsid w:val="007878E4"/>
    <w:rsid w:val="00790F51"/>
    <w:rsid w:val="007963BD"/>
    <w:rsid w:val="007A0505"/>
    <w:rsid w:val="007A0AA5"/>
    <w:rsid w:val="007A4783"/>
    <w:rsid w:val="007A5191"/>
    <w:rsid w:val="007B0500"/>
    <w:rsid w:val="007B111B"/>
    <w:rsid w:val="007B2AEC"/>
    <w:rsid w:val="007B3AE8"/>
    <w:rsid w:val="007B4418"/>
    <w:rsid w:val="007B5F62"/>
    <w:rsid w:val="007B66B3"/>
    <w:rsid w:val="007B7077"/>
    <w:rsid w:val="007C3003"/>
    <w:rsid w:val="007C6B60"/>
    <w:rsid w:val="007C6F85"/>
    <w:rsid w:val="007D3AA0"/>
    <w:rsid w:val="007D3FE2"/>
    <w:rsid w:val="007D5690"/>
    <w:rsid w:val="007D69FA"/>
    <w:rsid w:val="007E03C5"/>
    <w:rsid w:val="007E1600"/>
    <w:rsid w:val="007F7270"/>
    <w:rsid w:val="00802E4F"/>
    <w:rsid w:val="00804BE4"/>
    <w:rsid w:val="00810603"/>
    <w:rsid w:val="00814283"/>
    <w:rsid w:val="00817030"/>
    <w:rsid w:val="00820209"/>
    <w:rsid w:val="00820F35"/>
    <w:rsid w:val="00820FEC"/>
    <w:rsid w:val="0082393D"/>
    <w:rsid w:val="00831768"/>
    <w:rsid w:val="0083324D"/>
    <w:rsid w:val="00841733"/>
    <w:rsid w:val="00844D38"/>
    <w:rsid w:val="00844D85"/>
    <w:rsid w:val="008524BE"/>
    <w:rsid w:val="00853BC2"/>
    <w:rsid w:val="00854278"/>
    <w:rsid w:val="00856063"/>
    <w:rsid w:val="00857172"/>
    <w:rsid w:val="0086236A"/>
    <w:rsid w:val="00865F6B"/>
    <w:rsid w:val="0087035A"/>
    <w:rsid w:val="0087347D"/>
    <w:rsid w:val="00882DAD"/>
    <w:rsid w:val="00885263"/>
    <w:rsid w:val="00892DA5"/>
    <w:rsid w:val="008949B1"/>
    <w:rsid w:val="0089713E"/>
    <w:rsid w:val="008A10F3"/>
    <w:rsid w:val="008A5C0F"/>
    <w:rsid w:val="008B1596"/>
    <w:rsid w:val="008C053E"/>
    <w:rsid w:val="008C09C4"/>
    <w:rsid w:val="008C1F44"/>
    <w:rsid w:val="008C646F"/>
    <w:rsid w:val="008E3E4B"/>
    <w:rsid w:val="008E42B1"/>
    <w:rsid w:val="008E4EF9"/>
    <w:rsid w:val="008E6DFC"/>
    <w:rsid w:val="008E7710"/>
    <w:rsid w:val="008F54C3"/>
    <w:rsid w:val="00900D4D"/>
    <w:rsid w:val="00903F34"/>
    <w:rsid w:val="00905C0A"/>
    <w:rsid w:val="009122F8"/>
    <w:rsid w:val="00915520"/>
    <w:rsid w:val="009155F7"/>
    <w:rsid w:val="00916B6F"/>
    <w:rsid w:val="00921131"/>
    <w:rsid w:val="009247F5"/>
    <w:rsid w:val="00926AB2"/>
    <w:rsid w:val="009407FE"/>
    <w:rsid w:val="00942436"/>
    <w:rsid w:val="00957603"/>
    <w:rsid w:val="00957A1D"/>
    <w:rsid w:val="00957BC0"/>
    <w:rsid w:val="0096487B"/>
    <w:rsid w:val="00974F15"/>
    <w:rsid w:val="009757D1"/>
    <w:rsid w:val="00980754"/>
    <w:rsid w:val="00981535"/>
    <w:rsid w:val="009825C8"/>
    <w:rsid w:val="0098409F"/>
    <w:rsid w:val="00985537"/>
    <w:rsid w:val="009868C0"/>
    <w:rsid w:val="00991698"/>
    <w:rsid w:val="00991C17"/>
    <w:rsid w:val="0099257C"/>
    <w:rsid w:val="00992D1E"/>
    <w:rsid w:val="0099433E"/>
    <w:rsid w:val="00997EB2"/>
    <w:rsid w:val="009A0557"/>
    <w:rsid w:val="009A06F5"/>
    <w:rsid w:val="009A0788"/>
    <w:rsid w:val="009A0E92"/>
    <w:rsid w:val="009A17EC"/>
    <w:rsid w:val="009A507C"/>
    <w:rsid w:val="009B03DF"/>
    <w:rsid w:val="009B6AF0"/>
    <w:rsid w:val="009B7BFC"/>
    <w:rsid w:val="009C292D"/>
    <w:rsid w:val="009C5F0C"/>
    <w:rsid w:val="009C67C0"/>
    <w:rsid w:val="009D1035"/>
    <w:rsid w:val="009D13D0"/>
    <w:rsid w:val="009D2068"/>
    <w:rsid w:val="009D664B"/>
    <w:rsid w:val="009D7D33"/>
    <w:rsid w:val="009E3FDD"/>
    <w:rsid w:val="009E4DD4"/>
    <w:rsid w:val="009E4E3F"/>
    <w:rsid w:val="009E698B"/>
    <w:rsid w:val="009F1547"/>
    <w:rsid w:val="009F4ABA"/>
    <w:rsid w:val="00A066AE"/>
    <w:rsid w:val="00A10DD9"/>
    <w:rsid w:val="00A12C6B"/>
    <w:rsid w:val="00A14117"/>
    <w:rsid w:val="00A149FA"/>
    <w:rsid w:val="00A17DF0"/>
    <w:rsid w:val="00A20F78"/>
    <w:rsid w:val="00A218F1"/>
    <w:rsid w:val="00A27DEE"/>
    <w:rsid w:val="00A27F75"/>
    <w:rsid w:val="00A31B93"/>
    <w:rsid w:val="00A375EF"/>
    <w:rsid w:val="00A528C2"/>
    <w:rsid w:val="00A52C3D"/>
    <w:rsid w:val="00A54AFD"/>
    <w:rsid w:val="00A54E69"/>
    <w:rsid w:val="00A61B06"/>
    <w:rsid w:val="00A62113"/>
    <w:rsid w:val="00A65A39"/>
    <w:rsid w:val="00A6759C"/>
    <w:rsid w:val="00A67923"/>
    <w:rsid w:val="00A67F69"/>
    <w:rsid w:val="00A713ED"/>
    <w:rsid w:val="00A714B8"/>
    <w:rsid w:val="00A74901"/>
    <w:rsid w:val="00A75733"/>
    <w:rsid w:val="00A76308"/>
    <w:rsid w:val="00A77C08"/>
    <w:rsid w:val="00A81527"/>
    <w:rsid w:val="00A82058"/>
    <w:rsid w:val="00A839F2"/>
    <w:rsid w:val="00A84AE7"/>
    <w:rsid w:val="00A869B0"/>
    <w:rsid w:val="00A9289F"/>
    <w:rsid w:val="00A92C1D"/>
    <w:rsid w:val="00AA0C77"/>
    <w:rsid w:val="00AA1D27"/>
    <w:rsid w:val="00AA204C"/>
    <w:rsid w:val="00AA2D57"/>
    <w:rsid w:val="00AA3941"/>
    <w:rsid w:val="00AA56D0"/>
    <w:rsid w:val="00AB0C9F"/>
    <w:rsid w:val="00AB143A"/>
    <w:rsid w:val="00AB2FC9"/>
    <w:rsid w:val="00AB41CD"/>
    <w:rsid w:val="00AC003C"/>
    <w:rsid w:val="00AC0103"/>
    <w:rsid w:val="00AC1404"/>
    <w:rsid w:val="00AC34B6"/>
    <w:rsid w:val="00AC6B91"/>
    <w:rsid w:val="00AD039F"/>
    <w:rsid w:val="00AD3902"/>
    <w:rsid w:val="00AD6010"/>
    <w:rsid w:val="00AE33FF"/>
    <w:rsid w:val="00AF06D5"/>
    <w:rsid w:val="00AF09DD"/>
    <w:rsid w:val="00AF30C0"/>
    <w:rsid w:val="00AF3E05"/>
    <w:rsid w:val="00B02655"/>
    <w:rsid w:val="00B05102"/>
    <w:rsid w:val="00B1059B"/>
    <w:rsid w:val="00B16A34"/>
    <w:rsid w:val="00B1701E"/>
    <w:rsid w:val="00B25453"/>
    <w:rsid w:val="00B31B9C"/>
    <w:rsid w:val="00B34D6C"/>
    <w:rsid w:val="00B53B3B"/>
    <w:rsid w:val="00B5544F"/>
    <w:rsid w:val="00B55E5D"/>
    <w:rsid w:val="00B60A36"/>
    <w:rsid w:val="00B66867"/>
    <w:rsid w:val="00B66994"/>
    <w:rsid w:val="00B71AFB"/>
    <w:rsid w:val="00B71F3A"/>
    <w:rsid w:val="00B73C97"/>
    <w:rsid w:val="00B76340"/>
    <w:rsid w:val="00B80C43"/>
    <w:rsid w:val="00B90AE7"/>
    <w:rsid w:val="00B94786"/>
    <w:rsid w:val="00BA78B6"/>
    <w:rsid w:val="00BB083F"/>
    <w:rsid w:val="00BB26AD"/>
    <w:rsid w:val="00BB79BD"/>
    <w:rsid w:val="00BC3E0D"/>
    <w:rsid w:val="00BC7208"/>
    <w:rsid w:val="00BD0B48"/>
    <w:rsid w:val="00BD2A0A"/>
    <w:rsid w:val="00BD5D0F"/>
    <w:rsid w:val="00BD7C68"/>
    <w:rsid w:val="00BE1CBC"/>
    <w:rsid w:val="00BE29DC"/>
    <w:rsid w:val="00BF5C31"/>
    <w:rsid w:val="00BF697A"/>
    <w:rsid w:val="00BF6ADB"/>
    <w:rsid w:val="00BF7C46"/>
    <w:rsid w:val="00C03776"/>
    <w:rsid w:val="00C13821"/>
    <w:rsid w:val="00C14051"/>
    <w:rsid w:val="00C15F73"/>
    <w:rsid w:val="00C17154"/>
    <w:rsid w:val="00C2037B"/>
    <w:rsid w:val="00C22FF7"/>
    <w:rsid w:val="00C27F76"/>
    <w:rsid w:val="00C30DA4"/>
    <w:rsid w:val="00C4080C"/>
    <w:rsid w:val="00C44719"/>
    <w:rsid w:val="00C50108"/>
    <w:rsid w:val="00C553B2"/>
    <w:rsid w:val="00C6572C"/>
    <w:rsid w:val="00C70CFF"/>
    <w:rsid w:val="00C75655"/>
    <w:rsid w:val="00C837C3"/>
    <w:rsid w:val="00C84497"/>
    <w:rsid w:val="00C868F6"/>
    <w:rsid w:val="00C9137C"/>
    <w:rsid w:val="00C91644"/>
    <w:rsid w:val="00C91665"/>
    <w:rsid w:val="00C95C7A"/>
    <w:rsid w:val="00C9663B"/>
    <w:rsid w:val="00CA43A5"/>
    <w:rsid w:val="00CA7530"/>
    <w:rsid w:val="00CA7C0B"/>
    <w:rsid w:val="00CB5C78"/>
    <w:rsid w:val="00CB6E2B"/>
    <w:rsid w:val="00CB6FF7"/>
    <w:rsid w:val="00CB7302"/>
    <w:rsid w:val="00CC0229"/>
    <w:rsid w:val="00CC1E9F"/>
    <w:rsid w:val="00CC5896"/>
    <w:rsid w:val="00CE0C35"/>
    <w:rsid w:val="00CE3810"/>
    <w:rsid w:val="00CE52B4"/>
    <w:rsid w:val="00CE5DCD"/>
    <w:rsid w:val="00CE701C"/>
    <w:rsid w:val="00CE7599"/>
    <w:rsid w:val="00CF414A"/>
    <w:rsid w:val="00CF4FF0"/>
    <w:rsid w:val="00CF5B47"/>
    <w:rsid w:val="00D104F9"/>
    <w:rsid w:val="00D14323"/>
    <w:rsid w:val="00D16008"/>
    <w:rsid w:val="00D166D4"/>
    <w:rsid w:val="00D23AAD"/>
    <w:rsid w:val="00D30254"/>
    <w:rsid w:val="00D33768"/>
    <w:rsid w:val="00D33D87"/>
    <w:rsid w:val="00D35077"/>
    <w:rsid w:val="00D35A6E"/>
    <w:rsid w:val="00D408A8"/>
    <w:rsid w:val="00D46DAE"/>
    <w:rsid w:val="00D51C8F"/>
    <w:rsid w:val="00D5204B"/>
    <w:rsid w:val="00D54C10"/>
    <w:rsid w:val="00D55191"/>
    <w:rsid w:val="00D55CD0"/>
    <w:rsid w:val="00D57544"/>
    <w:rsid w:val="00D57973"/>
    <w:rsid w:val="00D57AD4"/>
    <w:rsid w:val="00D60CE2"/>
    <w:rsid w:val="00D612EC"/>
    <w:rsid w:val="00D6153E"/>
    <w:rsid w:val="00D623C4"/>
    <w:rsid w:val="00D722DF"/>
    <w:rsid w:val="00D767B5"/>
    <w:rsid w:val="00D84675"/>
    <w:rsid w:val="00D8526A"/>
    <w:rsid w:val="00D86252"/>
    <w:rsid w:val="00D903B9"/>
    <w:rsid w:val="00D917F3"/>
    <w:rsid w:val="00D97BAA"/>
    <w:rsid w:val="00DA3AF3"/>
    <w:rsid w:val="00DA5455"/>
    <w:rsid w:val="00DA5C2B"/>
    <w:rsid w:val="00DB48B1"/>
    <w:rsid w:val="00DB5EFB"/>
    <w:rsid w:val="00DB6EF1"/>
    <w:rsid w:val="00DC19BB"/>
    <w:rsid w:val="00DC6404"/>
    <w:rsid w:val="00DD7FDF"/>
    <w:rsid w:val="00DE1703"/>
    <w:rsid w:val="00DE25AC"/>
    <w:rsid w:val="00DF568D"/>
    <w:rsid w:val="00DF657D"/>
    <w:rsid w:val="00E00CCB"/>
    <w:rsid w:val="00E042C7"/>
    <w:rsid w:val="00E0781A"/>
    <w:rsid w:val="00E11475"/>
    <w:rsid w:val="00E13593"/>
    <w:rsid w:val="00E175A7"/>
    <w:rsid w:val="00E20168"/>
    <w:rsid w:val="00E20740"/>
    <w:rsid w:val="00E20E92"/>
    <w:rsid w:val="00E245DA"/>
    <w:rsid w:val="00E24645"/>
    <w:rsid w:val="00E31BCB"/>
    <w:rsid w:val="00E32963"/>
    <w:rsid w:val="00E337BC"/>
    <w:rsid w:val="00E350CD"/>
    <w:rsid w:val="00E36BD4"/>
    <w:rsid w:val="00E372A9"/>
    <w:rsid w:val="00E4001B"/>
    <w:rsid w:val="00E41192"/>
    <w:rsid w:val="00E44BA7"/>
    <w:rsid w:val="00E51FDE"/>
    <w:rsid w:val="00E534B2"/>
    <w:rsid w:val="00E5525E"/>
    <w:rsid w:val="00E56B66"/>
    <w:rsid w:val="00E579AF"/>
    <w:rsid w:val="00E705B7"/>
    <w:rsid w:val="00E7086E"/>
    <w:rsid w:val="00E70C9D"/>
    <w:rsid w:val="00E70ECC"/>
    <w:rsid w:val="00E71A89"/>
    <w:rsid w:val="00E75E1C"/>
    <w:rsid w:val="00E77197"/>
    <w:rsid w:val="00E8003F"/>
    <w:rsid w:val="00E81B1A"/>
    <w:rsid w:val="00E84FB3"/>
    <w:rsid w:val="00E87037"/>
    <w:rsid w:val="00EA0F03"/>
    <w:rsid w:val="00EA1EF9"/>
    <w:rsid w:val="00EA2CA0"/>
    <w:rsid w:val="00EA7237"/>
    <w:rsid w:val="00EB055B"/>
    <w:rsid w:val="00EB112A"/>
    <w:rsid w:val="00EB1983"/>
    <w:rsid w:val="00EC1212"/>
    <w:rsid w:val="00EC1D3D"/>
    <w:rsid w:val="00EC3331"/>
    <w:rsid w:val="00EC677E"/>
    <w:rsid w:val="00EC7E67"/>
    <w:rsid w:val="00ED5B5C"/>
    <w:rsid w:val="00ED70BD"/>
    <w:rsid w:val="00EE0B3E"/>
    <w:rsid w:val="00EE37BB"/>
    <w:rsid w:val="00EF08EC"/>
    <w:rsid w:val="00EF4099"/>
    <w:rsid w:val="00EF6BDC"/>
    <w:rsid w:val="00F01C4C"/>
    <w:rsid w:val="00F02786"/>
    <w:rsid w:val="00F0434F"/>
    <w:rsid w:val="00F0670F"/>
    <w:rsid w:val="00F07FA6"/>
    <w:rsid w:val="00F11BB3"/>
    <w:rsid w:val="00F13036"/>
    <w:rsid w:val="00F15804"/>
    <w:rsid w:val="00F17E67"/>
    <w:rsid w:val="00F21D1A"/>
    <w:rsid w:val="00F22865"/>
    <w:rsid w:val="00F24D75"/>
    <w:rsid w:val="00F261E3"/>
    <w:rsid w:val="00F32174"/>
    <w:rsid w:val="00F34B2F"/>
    <w:rsid w:val="00F34F33"/>
    <w:rsid w:val="00F36D1F"/>
    <w:rsid w:val="00F3769E"/>
    <w:rsid w:val="00F40F06"/>
    <w:rsid w:val="00F42669"/>
    <w:rsid w:val="00F4749B"/>
    <w:rsid w:val="00F514FB"/>
    <w:rsid w:val="00F56CE9"/>
    <w:rsid w:val="00F57E57"/>
    <w:rsid w:val="00F61151"/>
    <w:rsid w:val="00F623E0"/>
    <w:rsid w:val="00F64ECE"/>
    <w:rsid w:val="00F67B6E"/>
    <w:rsid w:val="00F77765"/>
    <w:rsid w:val="00F77EC3"/>
    <w:rsid w:val="00F85E98"/>
    <w:rsid w:val="00F91282"/>
    <w:rsid w:val="00FA522D"/>
    <w:rsid w:val="00FA7C8B"/>
    <w:rsid w:val="00FB0249"/>
    <w:rsid w:val="00FB793A"/>
    <w:rsid w:val="00FC5915"/>
    <w:rsid w:val="00FC5D6D"/>
    <w:rsid w:val="00FD6657"/>
    <w:rsid w:val="00FE6FA5"/>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32174"/>
  </w:style>
  <w:style w:type="character" w:customStyle="1" w:styleId="FootnoteTextChar">
    <w:name w:val="Footnote Text Char"/>
    <w:basedOn w:val="DefaultParagraphFont"/>
    <w:link w:val="FootnoteText"/>
    <w:uiPriority w:val="99"/>
    <w:semiHidden/>
    <w:rsid w:val="00F3217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A522D"/>
    <w:pPr>
      <w:tabs>
        <w:tab w:val="center" w:pos="4680"/>
        <w:tab w:val="right" w:pos="9360"/>
      </w:tabs>
    </w:pPr>
  </w:style>
  <w:style w:type="character" w:customStyle="1" w:styleId="HeaderChar">
    <w:name w:val="Header Char"/>
    <w:basedOn w:val="DefaultParagraphFont"/>
    <w:link w:val="Header"/>
    <w:uiPriority w:val="99"/>
    <w:rsid w:val="00FA522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A522D"/>
    <w:pPr>
      <w:tabs>
        <w:tab w:val="center" w:pos="4680"/>
        <w:tab w:val="right" w:pos="9360"/>
      </w:tabs>
    </w:pPr>
  </w:style>
  <w:style w:type="character" w:customStyle="1" w:styleId="FooterChar">
    <w:name w:val="Footer Char"/>
    <w:basedOn w:val="DefaultParagraphFont"/>
    <w:link w:val="Footer"/>
    <w:uiPriority w:val="99"/>
    <w:rsid w:val="00FA522D"/>
    <w:rPr>
      <w:rFonts w:ascii="Times New Roman" w:eastAsia="Times New Roman" w:hAnsi="Times New Roman" w:cs="Times New Roman"/>
      <w:sz w:val="20"/>
      <w:szCs w:val="20"/>
    </w:rPr>
  </w:style>
  <w:style w:type="paragraph" w:styleId="ListParagraph">
    <w:name w:val="List Paragraph"/>
    <w:basedOn w:val="Normal"/>
    <w:uiPriority w:val="34"/>
    <w:qFormat/>
    <w:rsid w:val="0013006D"/>
    <w:pPr>
      <w:ind w:left="720"/>
      <w:contextualSpacing/>
    </w:pPr>
  </w:style>
  <w:style w:type="character" w:styleId="CommentReference">
    <w:name w:val="annotation reference"/>
    <w:basedOn w:val="DefaultParagraphFont"/>
    <w:uiPriority w:val="99"/>
    <w:semiHidden/>
    <w:unhideWhenUsed/>
    <w:rsid w:val="004261A1"/>
    <w:rPr>
      <w:sz w:val="16"/>
      <w:szCs w:val="16"/>
    </w:rPr>
  </w:style>
  <w:style w:type="paragraph" w:styleId="CommentText">
    <w:name w:val="annotation text"/>
    <w:basedOn w:val="Normal"/>
    <w:link w:val="CommentTextChar"/>
    <w:uiPriority w:val="99"/>
    <w:semiHidden/>
    <w:unhideWhenUsed/>
    <w:rsid w:val="004261A1"/>
  </w:style>
  <w:style w:type="character" w:customStyle="1" w:styleId="CommentTextChar">
    <w:name w:val="Comment Text Char"/>
    <w:basedOn w:val="DefaultParagraphFont"/>
    <w:link w:val="CommentText"/>
    <w:uiPriority w:val="99"/>
    <w:semiHidden/>
    <w:rsid w:val="004261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61A1"/>
    <w:rPr>
      <w:b/>
      <w:bCs/>
    </w:rPr>
  </w:style>
  <w:style w:type="character" w:customStyle="1" w:styleId="CommentSubjectChar">
    <w:name w:val="Comment Subject Char"/>
    <w:basedOn w:val="CommentTextChar"/>
    <w:link w:val="CommentSubject"/>
    <w:uiPriority w:val="99"/>
    <w:semiHidden/>
    <w:rsid w:val="004261A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32174"/>
  </w:style>
  <w:style w:type="character" w:customStyle="1" w:styleId="FootnoteTextChar">
    <w:name w:val="Footnote Text Char"/>
    <w:basedOn w:val="DefaultParagraphFont"/>
    <w:link w:val="FootnoteText"/>
    <w:uiPriority w:val="99"/>
    <w:semiHidden/>
    <w:rsid w:val="00F3217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A522D"/>
    <w:pPr>
      <w:tabs>
        <w:tab w:val="center" w:pos="4680"/>
        <w:tab w:val="right" w:pos="9360"/>
      </w:tabs>
    </w:pPr>
  </w:style>
  <w:style w:type="character" w:customStyle="1" w:styleId="HeaderChar">
    <w:name w:val="Header Char"/>
    <w:basedOn w:val="DefaultParagraphFont"/>
    <w:link w:val="Header"/>
    <w:uiPriority w:val="99"/>
    <w:rsid w:val="00FA522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A522D"/>
    <w:pPr>
      <w:tabs>
        <w:tab w:val="center" w:pos="4680"/>
        <w:tab w:val="right" w:pos="9360"/>
      </w:tabs>
    </w:pPr>
  </w:style>
  <w:style w:type="character" w:customStyle="1" w:styleId="FooterChar">
    <w:name w:val="Footer Char"/>
    <w:basedOn w:val="DefaultParagraphFont"/>
    <w:link w:val="Footer"/>
    <w:uiPriority w:val="99"/>
    <w:rsid w:val="00FA522D"/>
    <w:rPr>
      <w:rFonts w:ascii="Times New Roman" w:eastAsia="Times New Roman" w:hAnsi="Times New Roman" w:cs="Times New Roman"/>
      <w:sz w:val="20"/>
      <w:szCs w:val="20"/>
    </w:rPr>
  </w:style>
  <w:style w:type="paragraph" w:styleId="ListParagraph">
    <w:name w:val="List Paragraph"/>
    <w:basedOn w:val="Normal"/>
    <w:uiPriority w:val="34"/>
    <w:qFormat/>
    <w:rsid w:val="0013006D"/>
    <w:pPr>
      <w:ind w:left="720"/>
      <w:contextualSpacing/>
    </w:pPr>
  </w:style>
  <w:style w:type="character" w:styleId="CommentReference">
    <w:name w:val="annotation reference"/>
    <w:basedOn w:val="DefaultParagraphFont"/>
    <w:uiPriority w:val="99"/>
    <w:semiHidden/>
    <w:unhideWhenUsed/>
    <w:rsid w:val="004261A1"/>
    <w:rPr>
      <w:sz w:val="16"/>
      <w:szCs w:val="16"/>
    </w:rPr>
  </w:style>
  <w:style w:type="paragraph" w:styleId="CommentText">
    <w:name w:val="annotation text"/>
    <w:basedOn w:val="Normal"/>
    <w:link w:val="CommentTextChar"/>
    <w:uiPriority w:val="99"/>
    <w:semiHidden/>
    <w:unhideWhenUsed/>
    <w:rsid w:val="004261A1"/>
  </w:style>
  <w:style w:type="character" w:customStyle="1" w:styleId="CommentTextChar">
    <w:name w:val="Comment Text Char"/>
    <w:basedOn w:val="DefaultParagraphFont"/>
    <w:link w:val="CommentText"/>
    <w:uiPriority w:val="99"/>
    <w:semiHidden/>
    <w:rsid w:val="004261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61A1"/>
    <w:rPr>
      <w:b/>
      <w:bCs/>
    </w:rPr>
  </w:style>
  <w:style w:type="character" w:customStyle="1" w:styleId="CommentSubjectChar">
    <w:name w:val="Comment Subject Char"/>
    <w:basedOn w:val="CommentTextChar"/>
    <w:link w:val="CommentSubject"/>
    <w:uiPriority w:val="99"/>
    <w:semiHidden/>
    <w:rsid w:val="004261A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56DAC-B429-4FBA-8176-317ADFAA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2251</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Farner, Joyce</cp:lastModifiedBy>
  <cp:revision>8</cp:revision>
  <cp:lastPrinted>2014-04-03T12:13:00Z</cp:lastPrinted>
  <dcterms:created xsi:type="dcterms:W3CDTF">2014-03-24T19:03:00Z</dcterms:created>
  <dcterms:modified xsi:type="dcterms:W3CDTF">2014-04-03T12:13:00Z</dcterms:modified>
</cp:coreProperties>
</file>