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413E9D" w:rsidTr="00D353B7">
        <w:tc>
          <w:tcPr>
            <w:tcW w:w="4878" w:type="dxa"/>
          </w:tcPr>
          <w:p w:rsidR="00F514FB" w:rsidRPr="00A8734C" w:rsidRDefault="00F514FB" w:rsidP="004D1313">
            <w:pPr>
              <w:widowControl/>
              <w:rPr>
                <w:sz w:val="26"/>
                <w:szCs w:val="26"/>
              </w:rPr>
            </w:pPr>
          </w:p>
        </w:tc>
        <w:tc>
          <w:tcPr>
            <w:tcW w:w="4608" w:type="dxa"/>
          </w:tcPr>
          <w:p w:rsidR="00F514FB" w:rsidRPr="00413E9D" w:rsidRDefault="00DD5D3F" w:rsidP="004D1313">
            <w:pPr>
              <w:widowControl/>
              <w:jc w:val="right"/>
              <w:rPr>
                <w:sz w:val="26"/>
                <w:szCs w:val="26"/>
              </w:rPr>
            </w:pPr>
            <w:r w:rsidRPr="00413E9D">
              <w:rPr>
                <w:sz w:val="26"/>
                <w:szCs w:val="26"/>
              </w:rPr>
              <w:t xml:space="preserve">Public Meeting held </w:t>
            </w:r>
            <w:r w:rsidR="00413E9D" w:rsidRPr="00413E9D">
              <w:rPr>
                <w:sz w:val="26"/>
                <w:szCs w:val="26"/>
              </w:rPr>
              <w:t>April 3</w:t>
            </w:r>
            <w:r w:rsidR="000E6A73" w:rsidRPr="00413E9D">
              <w:rPr>
                <w:sz w:val="26"/>
                <w:szCs w:val="26"/>
              </w:rPr>
              <w:t>, 2014</w:t>
            </w:r>
          </w:p>
          <w:p w:rsidR="00F514FB" w:rsidRPr="00413E9D" w:rsidRDefault="00F514FB" w:rsidP="004D1313">
            <w:pPr>
              <w:widowControl/>
              <w:jc w:val="right"/>
              <w:rPr>
                <w:sz w:val="26"/>
                <w:szCs w:val="26"/>
              </w:rPr>
            </w:pPr>
          </w:p>
          <w:p w:rsidR="00F514FB" w:rsidRPr="00413E9D" w:rsidRDefault="00F514FB" w:rsidP="004D1313">
            <w:pPr>
              <w:widowControl/>
              <w:jc w:val="right"/>
              <w:rPr>
                <w:sz w:val="26"/>
                <w:szCs w:val="26"/>
              </w:rPr>
            </w:pPr>
          </w:p>
        </w:tc>
      </w:tr>
      <w:tr w:rsidR="00F514FB" w:rsidRPr="00413E9D" w:rsidTr="00D353B7">
        <w:tc>
          <w:tcPr>
            <w:tcW w:w="4878" w:type="dxa"/>
          </w:tcPr>
          <w:p w:rsidR="00F514FB" w:rsidRPr="00413E9D" w:rsidRDefault="00F514FB" w:rsidP="004D1313">
            <w:pPr>
              <w:widowControl/>
              <w:rPr>
                <w:sz w:val="26"/>
                <w:szCs w:val="26"/>
              </w:rPr>
            </w:pPr>
            <w:r w:rsidRPr="00413E9D">
              <w:rPr>
                <w:sz w:val="26"/>
                <w:szCs w:val="26"/>
              </w:rPr>
              <w:t>Commissioners Present:</w:t>
            </w:r>
          </w:p>
          <w:p w:rsidR="00F514FB" w:rsidRPr="00413E9D" w:rsidRDefault="00F514FB" w:rsidP="004D1313">
            <w:pPr>
              <w:widowControl/>
              <w:rPr>
                <w:sz w:val="26"/>
                <w:szCs w:val="26"/>
              </w:rPr>
            </w:pPr>
          </w:p>
          <w:p w:rsidR="00F514FB" w:rsidRPr="00413E9D" w:rsidRDefault="00F514FB" w:rsidP="004D1313">
            <w:pPr>
              <w:widowControl/>
              <w:tabs>
                <w:tab w:val="left" w:pos="705"/>
              </w:tabs>
              <w:ind w:firstLine="720"/>
              <w:rPr>
                <w:sz w:val="26"/>
                <w:szCs w:val="26"/>
              </w:rPr>
            </w:pPr>
            <w:r w:rsidRPr="00413E9D">
              <w:rPr>
                <w:sz w:val="26"/>
                <w:szCs w:val="26"/>
              </w:rPr>
              <w:t>Robert F. Powelson, Chairman</w:t>
            </w:r>
          </w:p>
          <w:p w:rsidR="00F514FB" w:rsidRPr="00413E9D" w:rsidRDefault="00F514FB" w:rsidP="004D1313">
            <w:pPr>
              <w:widowControl/>
              <w:tabs>
                <w:tab w:val="left" w:pos="705"/>
              </w:tabs>
              <w:ind w:firstLine="720"/>
              <w:rPr>
                <w:sz w:val="26"/>
                <w:szCs w:val="26"/>
              </w:rPr>
            </w:pPr>
            <w:r w:rsidRPr="00413E9D">
              <w:rPr>
                <w:sz w:val="26"/>
                <w:szCs w:val="26"/>
              </w:rPr>
              <w:t>John F. Coleman, Jr., Vice Chairman</w:t>
            </w:r>
          </w:p>
          <w:p w:rsidR="00F514FB" w:rsidRPr="00413E9D" w:rsidRDefault="00F514FB" w:rsidP="004D1313">
            <w:pPr>
              <w:widowControl/>
              <w:tabs>
                <w:tab w:val="left" w:pos="705"/>
              </w:tabs>
              <w:ind w:firstLine="720"/>
              <w:rPr>
                <w:sz w:val="26"/>
                <w:szCs w:val="26"/>
              </w:rPr>
            </w:pPr>
            <w:r w:rsidRPr="00413E9D">
              <w:rPr>
                <w:sz w:val="26"/>
                <w:szCs w:val="26"/>
              </w:rPr>
              <w:t>James H. Cawley</w:t>
            </w:r>
          </w:p>
          <w:p w:rsidR="00F514FB" w:rsidRPr="00413E9D" w:rsidRDefault="00F514FB" w:rsidP="004D1313">
            <w:pPr>
              <w:widowControl/>
              <w:tabs>
                <w:tab w:val="left" w:pos="705"/>
              </w:tabs>
              <w:ind w:firstLine="720"/>
              <w:rPr>
                <w:sz w:val="26"/>
                <w:szCs w:val="26"/>
              </w:rPr>
            </w:pPr>
            <w:r w:rsidRPr="00413E9D">
              <w:rPr>
                <w:sz w:val="26"/>
                <w:szCs w:val="26"/>
              </w:rPr>
              <w:t>Pamela A. Witmer</w:t>
            </w:r>
          </w:p>
          <w:p w:rsidR="0028500A" w:rsidRPr="00413E9D" w:rsidRDefault="0028500A" w:rsidP="004D1313">
            <w:pPr>
              <w:widowControl/>
              <w:tabs>
                <w:tab w:val="left" w:pos="705"/>
              </w:tabs>
              <w:ind w:firstLine="720"/>
              <w:rPr>
                <w:sz w:val="26"/>
                <w:szCs w:val="26"/>
              </w:rPr>
            </w:pPr>
            <w:r w:rsidRPr="00413E9D">
              <w:rPr>
                <w:sz w:val="26"/>
                <w:szCs w:val="26"/>
              </w:rPr>
              <w:t>Gladys M. Brown</w:t>
            </w:r>
          </w:p>
          <w:p w:rsidR="00F514FB" w:rsidRPr="00413E9D" w:rsidRDefault="00F514FB" w:rsidP="004D1313">
            <w:pPr>
              <w:widowControl/>
              <w:rPr>
                <w:sz w:val="26"/>
                <w:szCs w:val="26"/>
              </w:rPr>
            </w:pPr>
          </w:p>
          <w:p w:rsidR="00F514FB" w:rsidRPr="00413E9D" w:rsidRDefault="00F514FB" w:rsidP="004D1313">
            <w:pPr>
              <w:widowControl/>
              <w:rPr>
                <w:sz w:val="26"/>
                <w:szCs w:val="26"/>
              </w:rPr>
            </w:pPr>
          </w:p>
        </w:tc>
        <w:tc>
          <w:tcPr>
            <w:tcW w:w="4608" w:type="dxa"/>
          </w:tcPr>
          <w:p w:rsidR="00F514FB" w:rsidRPr="00413E9D" w:rsidRDefault="00F514FB" w:rsidP="004D1313">
            <w:pPr>
              <w:widowControl/>
              <w:jc w:val="right"/>
              <w:rPr>
                <w:sz w:val="26"/>
                <w:szCs w:val="26"/>
              </w:rPr>
            </w:pPr>
          </w:p>
          <w:p w:rsidR="00F514FB" w:rsidRPr="00413E9D" w:rsidRDefault="00F514FB" w:rsidP="004D1313">
            <w:pPr>
              <w:widowControl/>
              <w:jc w:val="right"/>
              <w:rPr>
                <w:sz w:val="26"/>
                <w:szCs w:val="26"/>
              </w:rPr>
            </w:pPr>
          </w:p>
        </w:tc>
      </w:tr>
      <w:tr w:rsidR="00F514FB" w:rsidRPr="00413E9D" w:rsidTr="00D353B7">
        <w:tc>
          <w:tcPr>
            <w:tcW w:w="4878" w:type="dxa"/>
          </w:tcPr>
          <w:p w:rsidR="00F514FB" w:rsidRPr="00413E9D" w:rsidRDefault="00413E9D" w:rsidP="004D1313">
            <w:pPr>
              <w:widowControl/>
              <w:rPr>
                <w:sz w:val="26"/>
                <w:szCs w:val="26"/>
              </w:rPr>
            </w:pPr>
            <w:r w:rsidRPr="00413E9D">
              <w:rPr>
                <w:sz w:val="26"/>
                <w:szCs w:val="26"/>
              </w:rPr>
              <w:t>Eunice Burch</w:t>
            </w:r>
          </w:p>
          <w:p w:rsidR="00F514FB" w:rsidRPr="00413E9D" w:rsidRDefault="00F514FB" w:rsidP="004D1313">
            <w:pPr>
              <w:widowControl/>
              <w:rPr>
                <w:sz w:val="26"/>
                <w:szCs w:val="26"/>
              </w:rPr>
            </w:pPr>
          </w:p>
        </w:tc>
        <w:tc>
          <w:tcPr>
            <w:tcW w:w="4608" w:type="dxa"/>
          </w:tcPr>
          <w:p w:rsidR="00F514FB" w:rsidRPr="00413E9D" w:rsidRDefault="00413E9D" w:rsidP="004D1313">
            <w:pPr>
              <w:widowControl/>
              <w:jc w:val="right"/>
              <w:rPr>
                <w:sz w:val="26"/>
                <w:szCs w:val="26"/>
              </w:rPr>
            </w:pPr>
            <w:r w:rsidRPr="00413E9D">
              <w:rPr>
                <w:sz w:val="26"/>
                <w:szCs w:val="26"/>
              </w:rPr>
              <w:t>F-2012-2328890</w:t>
            </w:r>
          </w:p>
        </w:tc>
      </w:tr>
      <w:tr w:rsidR="00F514FB" w:rsidRPr="00413E9D" w:rsidTr="00D353B7">
        <w:tc>
          <w:tcPr>
            <w:tcW w:w="4878" w:type="dxa"/>
          </w:tcPr>
          <w:p w:rsidR="00F514FB" w:rsidRPr="00413E9D" w:rsidRDefault="00F514FB" w:rsidP="004D1313">
            <w:pPr>
              <w:widowControl/>
              <w:ind w:firstLine="900"/>
              <w:rPr>
                <w:sz w:val="26"/>
                <w:szCs w:val="26"/>
              </w:rPr>
            </w:pPr>
            <w:r w:rsidRPr="00413E9D">
              <w:rPr>
                <w:sz w:val="26"/>
                <w:szCs w:val="26"/>
              </w:rPr>
              <w:t>v.</w:t>
            </w:r>
          </w:p>
          <w:p w:rsidR="00F514FB" w:rsidRPr="00413E9D" w:rsidRDefault="00F514FB" w:rsidP="004D1313">
            <w:pPr>
              <w:widowControl/>
              <w:ind w:firstLine="1440"/>
              <w:rPr>
                <w:sz w:val="26"/>
                <w:szCs w:val="26"/>
              </w:rPr>
            </w:pPr>
          </w:p>
        </w:tc>
        <w:tc>
          <w:tcPr>
            <w:tcW w:w="4608" w:type="dxa"/>
          </w:tcPr>
          <w:p w:rsidR="00F514FB" w:rsidRPr="00413E9D" w:rsidRDefault="00F514FB" w:rsidP="004D1313">
            <w:pPr>
              <w:widowControl/>
              <w:rPr>
                <w:sz w:val="26"/>
                <w:szCs w:val="26"/>
              </w:rPr>
            </w:pPr>
          </w:p>
        </w:tc>
      </w:tr>
      <w:tr w:rsidR="00F514FB" w:rsidRPr="00413E9D" w:rsidTr="00D353B7">
        <w:tc>
          <w:tcPr>
            <w:tcW w:w="4878" w:type="dxa"/>
          </w:tcPr>
          <w:p w:rsidR="00F514FB" w:rsidRPr="00413E9D" w:rsidRDefault="00413E9D" w:rsidP="004D1313">
            <w:pPr>
              <w:widowControl/>
              <w:rPr>
                <w:sz w:val="26"/>
                <w:szCs w:val="26"/>
              </w:rPr>
            </w:pPr>
            <w:r w:rsidRPr="00413E9D">
              <w:rPr>
                <w:sz w:val="26"/>
                <w:szCs w:val="26"/>
              </w:rPr>
              <w:t>PECO Energy Company</w:t>
            </w:r>
          </w:p>
        </w:tc>
        <w:tc>
          <w:tcPr>
            <w:tcW w:w="4608" w:type="dxa"/>
          </w:tcPr>
          <w:p w:rsidR="00F514FB" w:rsidRPr="00413E9D" w:rsidRDefault="00F514FB" w:rsidP="004D1313">
            <w:pPr>
              <w:widowControl/>
              <w:rPr>
                <w:sz w:val="26"/>
                <w:szCs w:val="26"/>
              </w:rPr>
            </w:pPr>
          </w:p>
        </w:tc>
      </w:tr>
    </w:tbl>
    <w:p w:rsidR="00F514FB" w:rsidRPr="00413E9D" w:rsidRDefault="00F514FB" w:rsidP="004D1313">
      <w:pPr>
        <w:widowControl/>
        <w:rPr>
          <w:sz w:val="26"/>
          <w:szCs w:val="26"/>
        </w:rPr>
      </w:pPr>
    </w:p>
    <w:p w:rsidR="00F514FB" w:rsidRPr="00413E9D" w:rsidRDefault="00F514FB" w:rsidP="004D1313">
      <w:pPr>
        <w:widowControl/>
        <w:rPr>
          <w:sz w:val="26"/>
          <w:szCs w:val="26"/>
        </w:rPr>
      </w:pPr>
    </w:p>
    <w:p w:rsidR="00F514FB" w:rsidRPr="00413E9D" w:rsidRDefault="00F514FB" w:rsidP="004D1313">
      <w:pPr>
        <w:widowControl/>
        <w:jc w:val="center"/>
        <w:rPr>
          <w:b/>
          <w:sz w:val="26"/>
          <w:szCs w:val="26"/>
        </w:rPr>
      </w:pPr>
      <w:r w:rsidRPr="00413E9D">
        <w:rPr>
          <w:b/>
          <w:sz w:val="26"/>
          <w:szCs w:val="26"/>
        </w:rPr>
        <w:t xml:space="preserve">OPINION </w:t>
      </w:r>
      <w:smartTag w:uri="urn:schemas-microsoft-com:office:smarttags" w:element="stockticker">
        <w:r w:rsidRPr="00413E9D">
          <w:rPr>
            <w:b/>
            <w:sz w:val="26"/>
            <w:szCs w:val="26"/>
          </w:rPr>
          <w:t>AND</w:t>
        </w:r>
      </w:smartTag>
      <w:r w:rsidRPr="00413E9D">
        <w:rPr>
          <w:b/>
          <w:sz w:val="26"/>
          <w:szCs w:val="26"/>
        </w:rPr>
        <w:t xml:space="preserve"> ORDER</w:t>
      </w:r>
    </w:p>
    <w:p w:rsidR="00F514FB" w:rsidRPr="00413E9D" w:rsidRDefault="00F514FB" w:rsidP="004D1313">
      <w:pPr>
        <w:widowControl/>
        <w:jc w:val="center"/>
        <w:rPr>
          <w:b/>
          <w:sz w:val="26"/>
          <w:szCs w:val="26"/>
        </w:rPr>
      </w:pPr>
    </w:p>
    <w:p w:rsidR="00F514FB" w:rsidRPr="00413E9D" w:rsidRDefault="00F514FB" w:rsidP="004D1313">
      <w:pPr>
        <w:widowControl/>
        <w:jc w:val="center"/>
        <w:rPr>
          <w:b/>
          <w:sz w:val="26"/>
          <w:szCs w:val="26"/>
        </w:rPr>
      </w:pPr>
    </w:p>
    <w:p w:rsidR="00F514FB" w:rsidRPr="00413E9D" w:rsidRDefault="00F514FB" w:rsidP="004D1313">
      <w:pPr>
        <w:widowControl/>
        <w:rPr>
          <w:b/>
          <w:sz w:val="26"/>
          <w:szCs w:val="26"/>
        </w:rPr>
      </w:pPr>
      <w:r w:rsidRPr="00413E9D">
        <w:rPr>
          <w:b/>
          <w:sz w:val="26"/>
          <w:szCs w:val="26"/>
        </w:rPr>
        <w:t>BY THE COMMISSION:</w:t>
      </w:r>
    </w:p>
    <w:p w:rsidR="00F514FB" w:rsidRPr="00413E9D" w:rsidRDefault="00F514FB" w:rsidP="004D1313">
      <w:pPr>
        <w:widowControl/>
        <w:rPr>
          <w:sz w:val="26"/>
          <w:szCs w:val="26"/>
        </w:rPr>
      </w:pPr>
    </w:p>
    <w:p w:rsidR="00F514FB" w:rsidRPr="00413E9D" w:rsidRDefault="00F514FB" w:rsidP="004D1313">
      <w:pPr>
        <w:widowControl/>
        <w:rPr>
          <w:sz w:val="26"/>
          <w:szCs w:val="26"/>
        </w:rPr>
      </w:pPr>
    </w:p>
    <w:p w:rsidR="00CA43A5" w:rsidRPr="00936D0E" w:rsidRDefault="00CA43A5" w:rsidP="004D1313">
      <w:pPr>
        <w:widowControl/>
        <w:spacing w:line="360" w:lineRule="auto"/>
        <w:ind w:firstLine="1440"/>
        <w:rPr>
          <w:sz w:val="26"/>
          <w:szCs w:val="26"/>
        </w:rPr>
      </w:pPr>
      <w:r w:rsidRPr="00382B40">
        <w:rPr>
          <w:sz w:val="26"/>
          <w:szCs w:val="26"/>
        </w:rPr>
        <w:t xml:space="preserve">Before the Pennsylvania Public Utility Commission (Commission) for consideration and disposition </w:t>
      </w:r>
      <w:r w:rsidR="00671E4C" w:rsidRPr="00382B40">
        <w:rPr>
          <w:color w:val="000000"/>
          <w:sz w:val="26"/>
        </w:rPr>
        <w:t xml:space="preserve">are the Exceptions </w:t>
      </w:r>
      <w:r w:rsidR="00A16587" w:rsidRPr="00382B40">
        <w:rPr>
          <w:color w:val="000000"/>
          <w:sz w:val="26"/>
        </w:rPr>
        <w:t xml:space="preserve">of </w:t>
      </w:r>
      <w:r w:rsidR="003A5AF1" w:rsidRPr="00382B40">
        <w:rPr>
          <w:color w:val="000000"/>
          <w:sz w:val="26"/>
        </w:rPr>
        <w:t>Eunice Burch</w:t>
      </w:r>
      <w:r w:rsidR="00A16587" w:rsidRPr="00382B40">
        <w:rPr>
          <w:color w:val="000000"/>
          <w:sz w:val="26"/>
        </w:rPr>
        <w:t xml:space="preserve"> </w:t>
      </w:r>
      <w:r w:rsidR="00671E4C" w:rsidRPr="00382B40">
        <w:rPr>
          <w:color w:val="000000"/>
          <w:sz w:val="26"/>
        </w:rPr>
        <w:t>(</w:t>
      </w:r>
      <w:r w:rsidR="00EF4058" w:rsidRPr="00382B40">
        <w:rPr>
          <w:color w:val="000000"/>
          <w:sz w:val="26"/>
        </w:rPr>
        <w:t>C</w:t>
      </w:r>
      <w:r w:rsidR="00FE733C" w:rsidRPr="00382B40">
        <w:rPr>
          <w:color w:val="000000"/>
          <w:sz w:val="26"/>
        </w:rPr>
        <w:t>o</w:t>
      </w:r>
      <w:r w:rsidR="00382B40" w:rsidRPr="00382B40">
        <w:rPr>
          <w:color w:val="000000"/>
          <w:sz w:val="26"/>
        </w:rPr>
        <w:t>mplainant) filed on November 6</w:t>
      </w:r>
      <w:r w:rsidR="00BD7025" w:rsidRPr="00936D0E">
        <w:rPr>
          <w:color w:val="000000"/>
          <w:sz w:val="26"/>
        </w:rPr>
        <w:t>, 2013</w:t>
      </w:r>
      <w:r w:rsidR="00671E4C" w:rsidRPr="00936D0E">
        <w:rPr>
          <w:color w:val="000000"/>
          <w:sz w:val="26"/>
        </w:rPr>
        <w:t>,</w:t>
      </w:r>
      <w:r w:rsidR="007526AB" w:rsidRPr="00936D0E">
        <w:rPr>
          <w:color w:val="000000"/>
          <w:sz w:val="26"/>
        </w:rPr>
        <w:t xml:space="preserve"> to the Initial Decision </w:t>
      </w:r>
      <w:r w:rsidR="0085046A" w:rsidRPr="00936D0E">
        <w:rPr>
          <w:color w:val="000000"/>
          <w:sz w:val="26"/>
        </w:rPr>
        <w:t>of Administrative Law J</w:t>
      </w:r>
      <w:r w:rsidR="00982B12" w:rsidRPr="00936D0E">
        <w:rPr>
          <w:color w:val="000000"/>
          <w:sz w:val="26"/>
        </w:rPr>
        <w:t>udge (ALJ) Marta Guhl</w:t>
      </w:r>
      <w:r w:rsidR="00671E4C" w:rsidRPr="00936D0E">
        <w:rPr>
          <w:color w:val="000000"/>
          <w:sz w:val="26"/>
        </w:rPr>
        <w:t>, w</w:t>
      </w:r>
      <w:r w:rsidR="00346C47" w:rsidRPr="00936D0E">
        <w:rPr>
          <w:color w:val="000000"/>
          <w:sz w:val="26"/>
        </w:rPr>
        <w:t xml:space="preserve">hich was issued on </w:t>
      </w:r>
      <w:r w:rsidR="00382B40" w:rsidRPr="00936D0E">
        <w:rPr>
          <w:color w:val="000000"/>
          <w:sz w:val="26"/>
        </w:rPr>
        <w:t>October 8</w:t>
      </w:r>
      <w:r w:rsidR="00BD7025" w:rsidRPr="00936D0E">
        <w:rPr>
          <w:color w:val="000000"/>
          <w:sz w:val="26"/>
        </w:rPr>
        <w:t>, 2013</w:t>
      </w:r>
      <w:r w:rsidR="00671E4C" w:rsidRPr="00936D0E">
        <w:rPr>
          <w:color w:val="000000"/>
          <w:sz w:val="26"/>
        </w:rPr>
        <w:t>, in</w:t>
      </w:r>
      <w:r w:rsidR="0035728C" w:rsidRPr="00936D0E">
        <w:rPr>
          <w:color w:val="000000"/>
          <w:sz w:val="26"/>
        </w:rPr>
        <w:t xml:space="preserve"> the above-captioned proceeding</w:t>
      </w:r>
      <w:r w:rsidR="00671E4C" w:rsidRPr="00936D0E">
        <w:rPr>
          <w:color w:val="000000"/>
          <w:sz w:val="26"/>
        </w:rPr>
        <w:t xml:space="preserve">.  </w:t>
      </w:r>
      <w:r w:rsidR="00A053F6">
        <w:rPr>
          <w:color w:val="000000"/>
          <w:sz w:val="26"/>
        </w:rPr>
        <w:t>Replies to the Complainant’s</w:t>
      </w:r>
      <w:r w:rsidR="002C79B8">
        <w:rPr>
          <w:color w:val="000000"/>
          <w:sz w:val="26"/>
        </w:rPr>
        <w:t xml:space="preserve"> Exceptions</w:t>
      </w:r>
      <w:r w:rsidR="00271FC3" w:rsidRPr="00936D0E">
        <w:rPr>
          <w:color w:val="000000"/>
          <w:sz w:val="26"/>
        </w:rPr>
        <w:t xml:space="preserve"> were</w:t>
      </w:r>
      <w:r w:rsidR="00382B40" w:rsidRPr="00936D0E">
        <w:rPr>
          <w:color w:val="000000"/>
          <w:sz w:val="26"/>
        </w:rPr>
        <w:t xml:space="preserve"> filed by PECO Energy Company (PECO or the Company) on October 30</w:t>
      </w:r>
      <w:r w:rsidR="00271FC3" w:rsidRPr="00936D0E">
        <w:rPr>
          <w:color w:val="000000"/>
          <w:sz w:val="26"/>
        </w:rPr>
        <w:t xml:space="preserve">, 2013.  </w:t>
      </w:r>
      <w:r w:rsidRPr="00936D0E">
        <w:rPr>
          <w:sz w:val="26"/>
          <w:szCs w:val="26"/>
        </w:rPr>
        <w:t>For the reason</w:t>
      </w:r>
      <w:r w:rsidR="002E5E87" w:rsidRPr="00936D0E">
        <w:rPr>
          <w:sz w:val="26"/>
          <w:szCs w:val="26"/>
        </w:rPr>
        <w:t>s stated below, we will deny the Complainant’s Exceptions</w:t>
      </w:r>
      <w:r w:rsidR="00A15050" w:rsidRPr="00936D0E">
        <w:rPr>
          <w:sz w:val="26"/>
          <w:szCs w:val="26"/>
        </w:rPr>
        <w:t xml:space="preserve"> </w:t>
      </w:r>
      <w:r w:rsidR="00C47D00" w:rsidRPr="00936D0E">
        <w:rPr>
          <w:sz w:val="26"/>
          <w:szCs w:val="26"/>
        </w:rPr>
        <w:t xml:space="preserve">and </w:t>
      </w:r>
      <w:r w:rsidR="00361146" w:rsidRPr="00936D0E">
        <w:rPr>
          <w:sz w:val="26"/>
          <w:szCs w:val="26"/>
        </w:rPr>
        <w:t>adopt</w:t>
      </w:r>
      <w:r w:rsidR="00A15050" w:rsidRPr="00936D0E">
        <w:rPr>
          <w:sz w:val="26"/>
          <w:szCs w:val="26"/>
        </w:rPr>
        <w:t xml:space="preserve"> </w:t>
      </w:r>
      <w:r w:rsidR="0040377C" w:rsidRPr="00936D0E">
        <w:rPr>
          <w:sz w:val="26"/>
          <w:szCs w:val="26"/>
        </w:rPr>
        <w:t>the ALJ’s Initial Decision.</w:t>
      </w:r>
      <w:r w:rsidR="00A15050" w:rsidRPr="00936D0E">
        <w:rPr>
          <w:sz w:val="26"/>
          <w:szCs w:val="26"/>
        </w:rPr>
        <w:t xml:space="preserve"> </w:t>
      </w:r>
    </w:p>
    <w:p w:rsidR="00CA43A5" w:rsidRPr="00936D0E" w:rsidRDefault="00CA43A5" w:rsidP="004D1313">
      <w:pPr>
        <w:widowControl/>
        <w:spacing w:line="360" w:lineRule="auto"/>
        <w:rPr>
          <w:sz w:val="26"/>
          <w:szCs w:val="26"/>
        </w:rPr>
      </w:pPr>
    </w:p>
    <w:p w:rsidR="000A0142" w:rsidRPr="00B60A8B" w:rsidRDefault="000A0142" w:rsidP="004D1313">
      <w:pPr>
        <w:keepNext/>
        <w:widowControl/>
        <w:spacing w:line="360" w:lineRule="auto"/>
        <w:jc w:val="center"/>
        <w:rPr>
          <w:b/>
          <w:sz w:val="26"/>
          <w:szCs w:val="26"/>
        </w:rPr>
      </w:pPr>
      <w:bookmarkStart w:id="0" w:name="OLE_LINK1"/>
      <w:bookmarkStart w:id="1" w:name="OLE_LINK2"/>
      <w:r w:rsidRPr="00B60A8B">
        <w:rPr>
          <w:b/>
          <w:sz w:val="26"/>
          <w:szCs w:val="26"/>
        </w:rPr>
        <w:lastRenderedPageBreak/>
        <w:t>History of the Proceeding</w:t>
      </w:r>
    </w:p>
    <w:p w:rsidR="000A0142" w:rsidRPr="00B60A8B" w:rsidRDefault="000A0142" w:rsidP="004D1313">
      <w:pPr>
        <w:keepNext/>
        <w:widowControl/>
        <w:rPr>
          <w:b/>
          <w:sz w:val="26"/>
          <w:szCs w:val="26"/>
          <w:u w:val="single"/>
        </w:rPr>
      </w:pPr>
    </w:p>
    <w:p w:rsidR="00230A11" w:rsidRPr="00F84E2D" w:rsidRDefault="008433D2" w:rsidP="000609F5">
      <w:pPr>
        <w:widowControl/>
        <w:spacing w:line="360" w:lineRule="auto"/>
        <w:rPr>
          <w:sz w:val="26"/>
          <w:szCs w:val="26"/>
        </w:rPr>
      </w:pPr>
      <w:r w:rsidRPr="00B60A8B">
        <w:rPr>
          <w:sz w:val="26"/>
          <w:szCs w:val="26"/>
        </w:rPr>
        <w:tab/>
      </w:r>
      <w:r w:rsidRPr="00B60A8B">
        <w:rPr>
          <w:sz w:val="26"/>
          <w:szCs w:val="26"/>
        </w:rPr>
        <w:tab/>
      </w:r>
      <w:r w:rsidR="00B60A8B" w:rsidRPr="00B60A8B">
        <w:rPr>
          <w:sz w:val="26"/>
          <w:szCs w:val="26"/>
        </w:rPr>
        <w:t>On October 5</w:t>
      </w:r>
      <w:r w:rsidR="00984616" w:rsidRPr="00B60A8B">
        <w:rPr>
          <w:sz w:val="26"/>
          <w:szCs w:val="26"/>
        </w:rPr>
        <w:t>, 201</w:t>
      </w:r>
      <w:r w:rsidR="000609F5" w:rsidRPr="00B60A8B">
        <w:rPr>
          <w:sz w:val="26"/>
          <w:szCs w:val="26"/>
        </w:rPr>
        <w:t>2</w:t>
      </w:r>
      <w:r w:rsidR="007C17D3" w:rsidRPr="00B60A8B">
        <w:rPr>
          <w:sz w:val="26"/>
          <w:szCs w:val="26"/>
        </w:rPr>
        <w:t>, the Complainant fil</w:t>
      </w:r>
      <w:r w:rsidR="00F73B5B" w:rsidRPr="00B60A8B">
        <w:rPr>
          <w:sz w:val="26"/>
          <w:szCs w:val="26"/>
        </w:rPr>
        <w:t>ed a Formal Complaint (Complaint</w:t>
      </w:r>
      <w:r w:rsidR="007C17D3" w:rsidRPr="00B60A8B">
        <w:rPr>
          <w:sz w:val="26"/>
          <w:szCs w:val="26"/>
        </w:rPr>
        <w:t>)</w:t>
      </w:r>
      <w:r w:rsidR="00000CE2" w:rsidRPr="00B60A8B">
        <w:rPr>
          <w:sz w:val="26"/>
          <w:szCs w:val="26"/>
        </w:rPr>
        <w:t xml:space="preserve"> aga</w:t>
      </w:r>
      <w:r w:rsidR="00B60A8B" w:rsidRPr="00B60A8B">
        <w:rPr>
          <w:sz w:val="26"/>
          <w:szCs w:val="26"/>
        </w:rPr>
        <w:t>inst PECO</w:t>
      </w:r>
      <w:r w:rsidR="00D56D07">
        <w:rPr>
          <w:sz w:val="26"/>
          <w:szCs w:val="26"/>
        </w:rPr>
        <w:t xml:space="preserve">, </w:t>
      </w:r>
      <w:r w:rsidR="005461BC" w:rsidRPr="00B60A8B">
        <w:rPr>
          <w:sz w:val="26"/>
          <w:szCs w:val="26"/>
        </w:rPr>
        <w:t xml:space="preserve">in which </w:t>
      </w:r>
      <w:r w:rsidR="00230A11">
        <w:rPr>
          <w:sz w:val="26"/>
          <w:szCs w:val="26"/>
        </w:rPr>
        <w:t xml:space="preserve">she </w:t>
      </w:r>
      <w:r w:rsidR="00341F2F">
        <w:rPr>
          <w:sz w:val="26"/>
          <w:szCs w:val="26"/>
        </w:rPr>
        <w:t>alleged</w:t>
      </w:r>
      <w:r w:rsidR="00230A11">
        <w:rPr>
          <w:sz w:val="26"/>
          <w:szCs w:val="26"/>
        </w:rPr>
        <w:t xml:space="preserve"> that her household is being imprope</w:t>
      </w:r>
      <w:r w:rsidR="00126E93">
        <w:rPr>
          <w:sz w:val="26"/>
          <w:szCs w:val="26"/>
        </w:rPr>
        <w:t>rly billed for electric service under PECO’s Customer Assistance Program (CAP).</w:t>
      </w:r>
      <w:r w:rsidR="00D56D07" w:rsidRPr="00B60A8B">
        <w:rPr>
          <w:rStyle w:val="FootnoteReference"/>
          <w:sz w:val="26"/>
          <w:szCs w:val="26"/>
        </w:rPr>
        <w:footnoteReference w:id="1"/>
      </w:r>
      <w:r w:rsidR="00817C6C">
        <w:rPr>
          <w:sz w:val="26"/>
          <w:szCs w:val="26"/>
        </w:rPr>
        <w:t xml:space="preserve">  The Complainant asserted</w:t>
      </w:r>
      <w:r w:rsidR="00661153">
        <w:rPr>
          <w:sz w:val="26"/>
          <w:szCs w:val="26"/>
        </w:rPr>
        <w:t xml:space="preserve"> that</w:t>
      </w:r>
      <w:r w:rsidR="00B01CEC" w:rsidRPr="00B01CEC">
        <w:rPr>
          <w:sz w:val="26"/>
          <w:szCs w:val="26"/>
        </w:rPr>
        <w:t xml:space="preserve"> </w:t>
      </w:r>
      <w:r w:rsidR="00B01CEC">
        <w:rPr>
          <w:sz w:val="26"/>
          <w:szCs w:val="26"/>
        </w:rPr>
        <w:t xml:space="preserve">PECO </w:t>
      </w:r>
      <w:r w:rsidR="00333A25">
        <w:rPr>
          <w:sz w:val="26"/>
          <w:szCs w:val="26"/>
        </w:rPr>
        <w:t xml:space="preserve">is not </w:t>
      </w:r>
      <w:r w:rsidR="00B01CEC">
        <w:rPr>
          <w:sz w:val="26"/>
          <w:szCs w:val="26"/>
        </w:rPr>
        <w:t xml:space="preserve">billing her according to her household monthly income, as required by CAP guidelines, and that </w:t>
      </w:r>
      <w:r w:rsidR="00661153">
        <w:rPr>
          <w:sz w:val="26"/>
          <w:szCs w:val="26"/>
        </w:rPr>
        <w:t>her monthly</w:t>
      </w:r>
      <w:r w:rsidR="00341F2F">
        <w:rPr>
          <w:sz w:val="26"/>
          <w:szCs w:val="26"/>
        </w:rPr>
        <w:t xml:space="preserve"> bills have continued to rise</w:t>
      </w:r>
      <w:r w:rsidR="00B01CEC">
        <w:rPr>
          <w:sz w:val="26"/>
          <w:szCs w:val="26"/>
        </w:rPr>
        <w:t>, even after her household income decreased.</w:t>
      </w:r>
      <w:r w:rsidR="001F4CEE">
        <w:rPr>
          <w:sz w:val="26"/>
          <w:szCs w:val="26"/>
        </w:rPr>
        <w:t xml:space="preserve">  </w:t>
      </w:r>
      <w:r w:rsidR="00606176">
        <w:rPr>
          <w:sz w:val="26"/>
          <w:szCs w:val="26"/>
        </w:rPr>
        <w:t xml:space="preserve">Complaint at 8.  </w:t>
      </w:r>
      <w:r w:rsidR="001F4CEE">
        <w:rPr>
          <w:sz w:val="26"/>
          <w:szCs w:val="26"/>
        </w:rPr>
        <w:t xml:space="preserve">The Complainant argued that the </w:t>
      </w:r>
      <w:r w:rsidR="00230A11">
        <w:rPr>
          <w:sz w:val="26"/>
          <w:szCs w:val="26"/>
        </w:rPr>
        <w:t>amounts PECO is billing her exceed what she is able to pay, which defeats the purpose of the CAP program and results in the possibility of</w:t>
      </w:r>
      <w:r w:rsidR="001F4CEE">
        <w:rPr>
          <w:sz w:val="26"/>
          <w:szCs w:val="26"/>
        </w:rPr>
        <w:t xml:space="preserve"> her</w:t>
      </w:r>
      <w:r w:rsidR="00230A11">
        <w:rPr>
          <w:sz w:val="26"/>
          <w:szCs w:val="26"/>
        </w:rPr>
        <w:t xml:space="preserve"> electric service being terminated.</w:t>
      </w:r>
      <w:r w:rsidR="008B6206">
        <w:rPr>
          <w:sz w:val="26"/>
          <w:szCs w:val="26"/>
        </w:rPr>
        <w:t xml:space="preserve">  </w:t>
      </w:r>
      <w:r w:rsidR="00606176" w:rsidRPr="00606176">
        <w:rPr>
          <w:i/>
          <w:sz w:val="26"/>
          <w:szCs w:val="26"/>
        </w:rPr>
        <w:t>Id</w:t>
      </w:r>
      <w:r w:rsidR="00606176">
        <w:rPr>
          <w:sz w:val="26"/>
          <w:szCs w:val="26"/>
        </w:rPr>
        <w:t xml:space="preserve">. at 9.  </w:t>
      </w:r>
      <w:r w:rsidR="008B6206">
        <w:rPr>
          <w:sz w:val="26"/>
          <w:szCs w:val="26"/>
        </w:rPr>
        <w:t>As relief, the Complainant requested</w:t>
      </w:r>
      <w:r w:rsidR="00A71906">
        <w:rPr>
          <w:sz w:val="26"/>
          <w:szCs w:val="26"/>
        </w:rPr>
        <w:t>:</w:t>
      </w:r>
      <w:r w:rsidR="00DE7FAE">
        <w:rPr>
          <w:sz w:val="26"/>
          <w:szCs w:val="26"/>
        </w:rPr>
        <w:t xml:space="preserve"> </w:t>
      </w:r>
      <w:r w:rsidR="008B6206">
        <w:rPr>
          <w:sz w:val="26"/>
          <w:szCs w:val="26"/>
        </w:rPr>
        <w:t xml:space="preserve"> </w:t>
      </w:r>
      <w:r w:rsidR="00333A25">
        <w:rPr>
          <w:sz w:val="26"/>
          <w:szCs w:val="26"/>
        </w:rPr>
        <w:t xml:space="preserve">(1) </w:t>
      </w:r>
      <w:r w:rsidR="008B6206">
        <w:rPr>
          <w:sz w:val="26"/>
          <w:szCs w:val="26"/>
        </w:rPr>
        <w:t>that PECO be required to inform her of her monthly CAP billing amoun</w:t>
      </w:r>
      <w:r w:rsidR="00333A25">
        <w:rPr>
          <w:sz w:val="26"/>
          <w:szCs w:val="26"/>
        </w:rPr>
        <w:t>t based on her household income; (2)</w:t>
      </w:r>
      <w:r w:rsidR="008B6206">
        <w:rPr>
          <w:sz w:val="26"/>
          <w:szCs w:val="26"/>
        </w:rPr>
        <w:t xml:space="preserve"> that PECO reimburse her for amounts billed that were not in lin</w:t>
      </w:r>
      <w:r w:rsidR="00333A25">
        <w:rPr>
          <w:sz w:val="26"/>
          <w:szCs w:val="26"/>
        </w:rPr>
        <w:t xml:space="preserve">e with her household income; and (3) </w:t>
      </w:r>
      <w:r w:rsidR="008B6206" w:rsidRPr="00F84E2D">
        <w:rPr>
          <w:sz w:val="26"/>
          <w:szCs w:val="26"/>
        </w:rPr>
        <w:t>that PECO refrain from terminating her electric service.</w:t>
      </w:r>
      <w:r w:rsidR="00606176" w:rsidRPr="00F84E2D">
        <w:rPr>
          <w:sz w:val="26"/>
          <w:szCs w:val="26"/>
        </w:rPr>
        <w:t xml:space="preserve">  </w:t>
      </w:r>
      <w:r w:rsidR="00606176" w:rsidRPr="00F84E2D">
        <w:rPr>
          <w:i/>
          <w:sz w:val="26"/>
          <w:szCs w:val="26"/>
        </w:rPr>
        <w:t>Id</w:t>
      </w:r>
      <w:r w:rsidR="00606176" w:rsidRPr="00F84E2D">
        <w:rPr>
          <w:sz w:val="26"/>
          <w:szCs w:val="26"/>
        </w:rPr>
        <w:t>. at 5.</w:t>
      </w:r>
    </w:p>
    <w:p w:rsidR="00000CE2" w:rsidRPr="00F84E2D" w:rsidRDefault="00000CE2" w:rsidP="008E0179">
      <w:pPr>
        <w:widowControl/>
        <w:spacing w:line="360" w:lineRule="auto"/>
        <w:rPr>
          <w:sz w:val="26"/>
          <w:szCs w:val="26"/>
        </w:rPr>
      </w:pPr>
    </w:p>
    <w:p w:rsidR="00E073AC" w:rsidRDefault="003A3D1C" w:rsidP="008E0179">
      <w:pPr>
        <w:widowControl/>
        <w:spacing w:line="360" w:lineRule="auto"/>
        <w:rPr>
          <w:sz w:val="26"/>
          <w:szCs w:val="26"/>
        </w:rPr>
      </w:pPr>
      <w:r w:rsidRPr="00F84E2D">
        <w:rPr>
          <w:sz w:val="26"/>
          <w:szCs w:val="26"/>
        </w:rPr>
        <w:tab/>
      </w:r>
      <w:r w:rsidRPr="00F84E2D">
        <w:rPr>
          <w:sz w:val="26"/>
          <w:szCs w:val="26"/>
        </w:rPr>
        <w:tab/>
      </w:r>
      <w:r w:rsidR="00F84E2D" w:rsidRPr="00F84E2D">
        <w:rPr>
          <w:sz w:val="26"/>
          <w:szCs w:val="26"/>
        </w:rPr>
        <w:t>On October 23</w:t>
      </w:r>
      <w:r w:rsidRPr="00F84E2D">
        <w:rPr>
          <w:sz w:val="26"/>
          <w:szCs w:val="26"/>
        </w:rPr>
        <w:t xml:space="preserve">, </w:t>
      </w:r>
      <w:r w:rsidR="00F84E2D" w:rsidRPr="00F84E2D">
        <w:rPr>
          <w:sz w:val="26"/>
          <w:szCs w:val="26"/>
        </w:rPr>
        <w:t>2012, PECO</w:t>
      </w:r>
      <w:r w:rsidR="002A1164" w:rsidRPr="00F84E2D">
        <w:rPr>
          <w:sz w:val="26"/>
          <w:szCs w:val="26"/>
        </w:rPr>
        <w:t xml:space="preserve"> filed an Answer</w:t>
      </w:r>
      <w:r w:rsidR="00F84E2D" w:rsidRPr="00F84E2D">
        <w:rPr>
          <w:sz w:val="26"/>
          <w:szCs w:val="26"/>
        </w:rPr>
        <w:t xml:space="preserve"> and New Matter (Answer), endorsed with a Notice to Plead,</w:t>
      </w:r>
      <w:r w:rsidR="00E82B77" w:rsidRPr="00F84E2D">
        <w:rPr>
          <w:sz w:val="26"/>
          <w:szCs w:val="26"/>
        </w:rPr>
        <w:t xml:space="preserve"> in which it </w:t>
      </w:r>
      <w:r w:rsidR="00F84E2D" w:rsidRPr="00F84E2D">
        <w:rPr>
          <w:sz w:val="26"/>
          <w:szCs w:val="26"/>
        </w:rPr>
        <w:t>denied the material allegations of the Complaint.</w:t>
      </w:r>
      <w:r w:rsidR="00A14E09">
        <w:rPr>
          <w:sz w:val="26"/>
          <w:szCs w:val="26"/>
        </w:rPr>
        <w:t xml:space="preserve">  PECO stated</w:t>
      </w:r>
      <w:r w:rsidR="008D429B">
        <w:rPr>
          <w:sz w:val="26"/>
          <w:szCs w:val="26"/>
        </w:rPr>
        <w:t xml:space="preserve"> that the</w:t>
      </w:r>
      <w:r w:rsidR="00A14E09">
        <w:rPr>
          <w:sz w:val="26"/>
          <w:szCs w:val="26"/>
        </w:rPr>
        <w:t xml:space="preserve"> account for electric service at the Complainant’s residence was established by the Complainant’s grandson, Marcus Judon, on August 24, 2010, and that the account was enrolled in CAP under Tier E on February 3, 2011.  Answer at 3.</w:t>
      </w:r>
      <w:r w:rsidR="00907110">
        <w:rPr>
          <w:sz w:val="26"/>
          <w:szCs w:val="26"/>
        </w:rPr>
        <w:t xml:space="preserve">  PECO asserted that the account</w:t>
      </w:r>
      <w:r w:rsidR="008B3ACF">
        <w:rPr>
          <w:sz w:val="26"/>
          <w:szCs w:val="26"/>
        </w:rPr>
        <w:t xml:space="preserve"> has been billed </w:t>
      </w:r>
      <w:r w:rsidR="00A71906">
        <w:rPr>
          <w:sz w:val="26"/>
          <w:szCs w:val="26"/>
        </w:rPr>
        <w:t xml:space="preserve">properly </w:t>
      </w:r>
      <w:r w:rsidR="008B3ACF">
        <w:rPr>
          <w:sz w:val="26"/>
          <w:szCs w:val="26"/>
        </w:rPr>
        <w:t>under the Company’s budg</w:t>
      </w:r>
      <w:r w:rsidR="00907110">
        <w:rPr>
          <w:sz w:val="26"/>
          <w:szCs w:val="26"/>
        </w:rPr>
        <w:t>et billing program, and that the</w:t>
      </w:r>
      <w:r w:rsidR="008D429B">
        <w:rPr>
          <w:sz w:val="26"/>
          <w:szCs w:val="26"/>
        </w:rPr>
        <w:t xml:space="preserve"> CAP rate was adjusted</w:t>
      </w:r>
      <w:r w:rsidR="00A71906">
        <w:rPr>
          <w:sz w:val="26"/>
          <w:szCs w:val="26"/>
        </w:rPr>
        <w:t xml:space="preserve"> properly</w:t>
      </w:r>
      <w:r w:rsidR="008D429B">
        <w:rPr>
          <w:sz w:val="26"/>
          <w:szCs w:val="26"/>
        </w:rPr>
        <w:t xml:space="preserve"> from Tier E to Tier D</w:t>
      </w:r>
      <w:r w:rsidR="008B3ACF">
        <w:rPr>
          <w:sz w:val="26"/>
          <w:szCs w:val="26"/>
        </w:rPr>
        <w:t xml:space="preserve"> on April 26, 2012,</w:t>
      </w:r>
      <w:r w:rsidR="008D429B">
        <w:rPr>
          <w:sz w:val="26"/>
          <w:szCs w:val="26"/>
        </w:rPr>
        <w:t xml:space="preserve"> after receiving verification of a decrease in monthly income for the Complainant’s h</w:t>
      </w:r>
      <w:r w:rsidR="00907110">
        <w:rPr>
          <w:sz w:val="26"/>
          <w:szCs w:val="26"/>
        </w:rPr>
        <w:t xml:space="preserve">ousehold.  </w:t>
      </w:r>
      <w:r w:rsidR="00907110" w:rsidRPr="00907110">
        <w:rPr>
          <w:i/>
          <w:sz w:val="26"/>
          <w:szCs w:val="26"/>
        </w:rPr>
        <w:t>Id</w:t>
      </w:r>
      <w:r w:rsidR="00907110">
        <w:rPr>
          <w:sz w:val="26"/>
          <w:szCs w:val="26"/>
        </w:rPr>
        <w:t>.</w:t>
      </w:r>
      <w:r w:rsidR="008B3ACF">
        <w:rPr>
          <w:sz w:val="26"/>
          <w:szCs w:val="26"/>
        </w:rPr>
        <w:t xml:space="preserve"> at 3,</w:t>
      </w:r>
      <w:r w:rsidR="008D4689">
        <w:rPr>
          <w:sz w:val="26"/>
          <w:szCs w:val="26"/>
        </w:rPr>
        <w:t xml:space="preserve"> 5</w:t>
      </w:r>
      <w:r w:rsidR="008B3ACF">
        <w:rPr>
          <w:sz w:val="26"/>
          <w:szCs w:val="26"/>
        </w:rPr>
        <w:t>-7.  PECO contended that, while the Complainant is receiving a larger billing discount under CAP Tier D, her household usage</w:t>
      </w:r>
      <w:r w:rsidR="00907110">
        <w:rPr>
          <w:sz w:val="26"/>
          <w:szCs w:val="26"/>
        </w:rPr>
        <w:t xml:space="preserve"> also</w:t>
      </w:r>
      <w:r w:rsidR="008B3ACF">
        <w:rPr>
          <w:sz w:val="26"/>
          <w:szCs w:val="26"/>
        </w:rPr>
        <w:t xml:space="preserve"> increased significantly, resulting</w:t>
      </w:r>
      <w:r w:rsidR="00D10EEF">
        <w:rPr>
          <w:sz w:val="26"/>
          <w:szCs w:val="26"/>
        </w:rPr>
        <w:t xml:space="preserve"> in a higher budget billing amount</w:t>
      </w:r>
      <w:r w:rsidR="008B3ACF">
        <w:rPr>
          <w:sz w:val="26"/>
          <w:szCs w:val="26"/>
        </w:rPr>
        <w:t xml:space="preserve">.  </w:t>
      </w:r>
      <w:r w:rsidR="008B3ACF" w:rsidRPr="008B3ACF">
        <w:rPr>
          <w:i/>
          <w:sz w:val="26"/>
          <w:szCs w:val="26"/>
        </w:rPr>
        <w:t>Id</w:t>
      </w:r>
      <w:r w:rsidR="008B3ACF">
        <w:rPr>
          <w:sz w:val="26"/>
          <w:szCs w:val="26"/>
        </w:rPr>
        <w:t>. at 6.</w:t>
      </w:r>
    </w:p>
    <w:p w:rsidR="00907110" w:rsidRDefault="00907110" w:rsidP="008E0179">
      <w:pPr>
        <w:widowControl/>
        <w:spacing w:line="360" w:lineRule="auto"/>
        <w:rPr>
          <w:sz w:val="26"/>
          <w:szCs w:val="26"/>
        </w:rPr>
      </w:pPr>
      <w:r>
        <w:rPr>
          <w:sz w:val="26"/>
          <w:szCs w:val="26"/>
        </w:rPr>
        <w:lastRenderedPageBreak/>
        <w:tab/>
      </w:r>
      <w:r>
        <w:rPr>
          <w:sz w:val="26"/>
          <w:szCs w:val="26"/>
        </w:rPr>
        <w:tab/>
        <w:t xml:space="preserve">PECO also stated that the Complainant’s grandson was given two Company-issued payment agreements on March 16 and April 26, 2012, respectively, </w:t>
      </w:r>
      <w:r w:rsidR="00852505">
        <w:rPr>
          <w:sz w:val="26"/>
          <w:szCs w:val="26"/>
        </w:rPr>
        <w:t xml:space="preserve">and he defaulted on </w:t>
      </w:r>
      <w:r>
        <w:rPr>
          <w:sz w:val="26"/>
          <w:szCs w:val="26"/>
        </w:rPr>
        <w:t xml:space="preserve">both of </w:t>
      </w:r>
      <w:r w:rsidR="00852505">
        <w:rPr>
          <w:sz w:val="26"/>
          <w:szCs w:val="26"/>
        </w:rPr>
        <w:t xml:space="preserve">them.  </w:t>
      </w:r>
      <w:r w:rsidR="001D5EFC">
        <w:rPr>
          <w:sz w:val="26"/>
          <w:szCs w:val="26"/>
        </w:rPr>
        <w:t>In addition, PECO stated that the Complainant’s grandson was gr</w:t>
      </w:r>
      <w:r w:rsidR="00327B64">
        <w:rPr>
          <w:sz w:val="26"/>
          <w:szCs w:val="26"/>
        </w:rPr>
        <w:t>anted a payment agreement</w:t>
      </w:r>
      <w:r w:rsidR="001D5EFC">
        <w:rPr>
          <w:sz w:val="26"/>
          <w:szCs w:val="26"/>
        </w:rPr>
        <w:t xml:space="preserve"> by the Commission’s Bureau of Consumer Services (BCS) at Case No. 2782041, but that agreement was cancelled when the grandson enrolled in CAP.  </w:t>
      </w:r>
      <w:r w:rsidR="001D5EFC" w:rsidRPr="00A674DE">
        <w:rPr>
          <w:i/>
          <w:sz w:val="26"/>
          <w:szCs w:val="26"/>
        </w:rPr>
        <w:t>Id</w:t>
      </w:r>
      <w:r w:rsidR="001D5EFC">
        <w:rPr>
          <w:sz w:val="26"/>
          <w:szCs w:val="26"/>
        </w:rPr>
        <w:t xml:space="preserve">. at 3-4.  PECO contended that </w:t>
      </w:r>
      <w:r w:rsidR="00A674DE">
        <w:rPr>
          <w:sz w:val="26"/>
          <w:szCs w:val="26"/>
        </w:rPr>
        <w:t>the Complainant’s current balance is comprised entirely of CAP arrears, and thus, the Complainant is not entitled to a Commission-o</w:t>
      </w:r>
      <w:r w:rsidR="00327B64">
        <w:rPr>
          <w:sz w:val="26"/>
          <w:szCs w:val="26"/>
        </w:rPr>
        <w:t>rdered payment agreement on the</w:t>
      </w:r>
      <w:r w:rsidR="00A674DE">
        <w:rPr>
          <w:sz w:val="26"/>
          <w:szCs w:val="26"/>
        </w:rPr>
        <w:t xml:space="preserve"> balance, pursuant to 66 Pa. C. S. § 1405(c).  </w:t>
      </w:r>
      <w:r w:rsidR="00A674DE" w:rsidRPr="00A674DE">
        <w:rPr>
          <w:i/>
          <w:sz w:val="26"/>
          <w:szCs w:val="26"/>
        </w:rPr>
        <w:t>Id</w:t>
      </w:r>
      <w:r w:rsidR="00A674DE">
        <w:rPr>
          <w:sz w:val="26"/>
          <w:szCs w:val="26"/>
        </w:rPr>
        <w:t>. at 5, 7.</w:t>
      </w:r>
    </w:p>
    <w:p w:rsidR="005C67DE" w:rsidRDefault="005C67DE" w:rsidP="008E0179">
      <w:pPr>
        <w:widowControl/>
        <w:spacing w:line="360" w:lineRule="auto"/>
        <w:rPr>
          <w:sz w:val="26"/>
          <w:szCs w:val="26"/>
        </w:rPr>
      </w:pPr>
    </w:p>
    <w:p w:rsidR="005C67DE" w:rsidRPr="00F84E2D" w:rsidRDefault="005C67DE" w:rsidP="008E0179">
      <w:pPr>
        <w:widowControl/>
        <w:spacing w:line="360" w:lineRule="auto"/>
        <w:rPr>
          <w:sz w:val="26"/>
          <w:szCs w:val="26"/>
        </w:rPr>
      </w:pPr>
      <w:r>
        <w:rPr>
          <w:sz w:val="26"/>
          <w:szCs w:val="26"/>
        </w:rPr>
        <w:tab/>
      </w:r>
      <w:r>
        <w:rPr>
          <w:sz w:val="26"/>
          <w:szCs w:val="26"/>
        </w:rPr>
        <w:tab/>
        <w:t xml:space="preserve">On February 28, 2013, </w:t>
      </w:r>
      <w:r w:rsidR="00E41737">
        <w:rPr>
          <w:sz w:val="26"/>
          <w:szCs w:val="26"/>
        </w:rPr>
        <w:t xml:space="preserve">PECO filed a Certificate of Satisfaction, </w:t>
      </w:r>
      <w:r w:rsidR="00A71906">
        <w:rPr>
          <w:sz w:val="26"/>
          <w:szCs w:val="26"/>
        </w:rPr>
        <w:t>in which it stated</w:t>
      </w:r>
      <w:r w:rsidR="00E41737">
        <w:rPr>
          <w:sz w:val="26"/>
          <w:szCs w:val="26"/>
        </w:rPr>
        <w:t xml:space="preserve"> that the issues raised in the Complaint had been satisfied, and </w:t>
      </w:r>
      <w:r w:rsidR="00A71906">
        <w:rPr>
          <w:sz w:val="26"/>
          <w:szCs w:val="26"/>
        </w:rPr>
        <w:t xml:space="preserve">indicated </w:t>
      </w:r>
      <w:r w:rsidR="00E41737">
        <w:rPr>
          <w:sz w:val="26"/>
          <w:szCs w:val="26"/>
        </w:rPr>
        <w:t>that, unless the Complainant filed an objection to the Certificate of Satisfaction within ten days of</w:t>
      </w:r>
      <w:r w:rsidR="00D2714A">
        <w:rPr>
          <w:sz w:val="26"/>
          <w:szCs w:val="26"/>
        </w:rPr>
        <w:t xml:space="preserve"> the date it was filed</w:t>
      </w:r>
      <w:r w:rsidR="00E41737">
        <w:rPr>
          <w:sz w:val="26"/>
          <w:szCs w:val="26"/>
        </w:rPr>
        <w:t xml:space="preserve">, the Complaint would be withdrawn and the file on this matter would be closed.  On March 12, 2013, </w:t>
      </w:r>
      <w:r w:rsidR="00835595">
        <w:rPr>
          <w:sz w:val="26"/>
          <w:szCs w:val="26"/>
        </w:rPr>
        <w:t>the Complainant filed a letter objecting to the Certificate of Satisfaction, stating that her dispute had not, in fact, been resolved.</w:t>
      </w:r>
    </w:p>
    <w:p w:rsidR="003E0BCF" w:rsidRPr="00F84E2D" w:rsidRDefault="003E0BCF" w:rsidP="008E0179">
      <w:pPr>
        <w:widowControl/>
        <w:spacing w:line="360" w:lineRule="auto"/>
        <w:rPr>
          <w:sz w:val="26"/>
          <w:szCs w:val="26"/>
        </w:rPr>
      </w:pPr>
    </w:p>
    <w:p w:rsidR="00C47438" w:rsidRPr="00360B65" w:rsidRDefault="00EE3556" w:rsidP="008E0179">
      <w:pPr>
        <w:widowControl/>
        <w:spacing w:line="360" w:lineRule="auto"/>
        <w:rPr>
          <w:sz w:val="26"/>
          <w:szCs w:val="26"/>
        </w:rPr>
      </w:pPr>
      <w:r w:rsidRPr="00982B12">
        <w:rPr>
          <w:sz w:val="26"/>
          <w:szCs w:val="26"/>
        </w:rPr>
        <w:tab/>
      </w:r>
      <w:r w:rsidRPr="00982B12">
        <w:rPr>
          <w:sz w:val="26"/>
          <w:szCs w:val="26"/>
        </w:rPr>
        <w:tab/>
      </w:r>
      <w:r w:rsidR="00982B12" w:rsidRPr="00982B12">
        <w:rPr>
          <w:sz w:val="26"/>
          <w:szCs w:val="26"/>
        </w:rPr>
        <w:t>On May 8</w:t>
      </w:r>
      <w:r w:rsidR="003508D7" w:rsidRPr="00982B12">
        <w:rPr>
          <w:sz w:val="26"/>
          <w:szCs w:val="26"/>
        </w:rPr>
        <w:t>, 2013, an evidentiary hearing was convened</w:t>
      </w:r>
      <w:r w:rsidR="00982B12" w:rsidRPr="00982B12">
        <w:rPr>
          <w:sz w:val="26"/>
          <w:szCs w:val="26"/>
        </w:rPr>
        <w:t xml:space="preserve"> before ALJ Guhl</w:t>
      </w:r>
      <w:r w:rsidR="003508D7" w:rsidRPr="00982B12">
        <w:rPr>
          <w:sz w:val="26"/>
          <w:szCs w:val="26"/>
        </w:rPr>
        <w:t xml:space="preserve">.  The Complainant appeared </w:t>
      </w:r>
      <w:r w:rsidR="003508D7" w:rsidRPr="00982B12">
        <w:rPr>
          <w:i/>
          <w:sz w:val="26"/>
          <w:szCs w:val="26"/>
        </w:rPr>
        <w:t>pro se,</w:t>
      </w:r>
      <w:r w:rsidR="00982B12" w:rsidRPr="00982B12">
        <w:rPr>
          <w:sz w:val="26"/>
          <w:szCs w:val="26"/>
        </w:rPr>
        <w:t xml:space="preserve"> testified on her</w:t>
      </w:r>
      <w:r w:rsidR="003508D7" w:rsidRPr="00982B12">
        <w:rPr>
          <w:sz w:val="26"/>
          <w:szCs w:val="26"/>
        </w:rPr>
        <w:t xml:space="preserve"> </w:t>
      </w:r>
      <w:r w:rsidR="000A0104" w:rsidRPr="00982B12">
        <w:rPr>
          <w:sz w:val="26"/>
          <w:szCs w:val="26"/>
        </w:rPr>
        <w:t xml:space="preserve">own behalf, </w:t>
      </w:r>
      <w:r w:rsidR="00982B12" w:rsidRPr="00982B12">
        <w:rPr>
          <w:sz w:val="26"/>
          <w:szCs w:val="26"/>
        </w:rPr>
        <w:t>and introduced seven exhibits, all of which were admitted into the record.</w:t>
      </w:r>
      <w:r w:rsidR="003508D7" w:rsidRPr="00982B12">
        <w:rPr>
          <w:sz w:val="26"/>
          <w:szCs w:val="26"/>
        </w:rPr>
        <w:t xml:space="preserve">  </w:t>
      </w:r>
      <w:r w:rsidR="00982B12" w:rsidRPr="00982B12">
        <w:rPr>
          <w:sz w:val="26"/>
          <w:szCs w:val="26"/>
        </w:rPr>
        <w:t>PECO</w:t>
      </w:r>
      <w:r w:rsidR="00D2714A">
        <w:rPr>
          <w:sz w:val="26"/>
          <w:szCs w:val="26"/>
        </w:rPr>
        <w:t xml:space="preserve"> was represented by counsel</w:t>
      </w:r>
      <w:r w:rsidR="00982B12" w:rsidRPr="00982B12">
        <w:rPr>
          <w:sz w:val="26"/>
          <w:szCs w:val="26"/>
        </w:rPr>
        <w:t xml:space="preserve"> </w:t>
      </w:r>
      <w:r w:rsidR="00080A8B">
        <w:rPr>
          <w:sz w:val="26"/>
          <w:szCs w:val="26"/>
        </w:rPr>
        <w:t xml:space="preserve">and </w:t>
      </w:r>
      <w:r w:rsidR="00982B12" w:rsidRPr="00982B12">
        <w:rPr>
          <w:sz w:val="26"/>
          <w:szCs w:val="26"/>
        </w:rPr>
        <w:t>presented the testimony of two</w:t>
      </w:r>
      <w:r w:rsidR="000A0104" w:rsidRPr="00982B12">
        <w:rPr>
          <w:sz w:val="26"/>
          <w:szCs w:val="26"/>
        </w:rPr>
        <w:t xml:space="preserve"> witness</w:t>
      </w:r>
      <w:r w:rsidR="00982B12" w:rsidRPr="00982B12">
        <w:rPr>
          <w:sz w:val="26"/>
          <w:szCs w:val="26"/>
        </w:rPr>
        <w:t>es</w:t>
      </w:r>
      <w:r w:rsidR="003508D7" w:rsidRPr="00982B12">
        <w:rPr>
          <w:sz w:val="26"/>
          <w:szCs w:val="26"/>
        </w:rPr>
        <w:t>,</w:t>
      </w:r>
      <w:r w:rsidR="000A0104" w:rsidRPr="00982B12">
        <w:rPr>
          <w:sz w:val="26"/>
          <w:szCs w:val="26"/>
        </w:rPr>
        <w:t xml:space="preserve"> </w:t>
      </w:r>
      <w:r w:rsidR="00080A8B">
        <w:rPr>
          <w:sz w:val="26"/>
          <w:szCs w:val="26"/>
        </w:rPr>
        <w:t xml:space="preserve">Richard Conway and Thomas Lerro.  PECO also </w:t>
      </w:r>
      <w:r w:rsidR="00982B12" w:rsidRPr="00982B12">
        <w:rPr>
          <w:sz w:val="26"/>
          <w:szCs w:val="26"/>
        </w:rPr>
        <w:t>introduced nine</w:t>
      </w:r>
      <w:r w:rsidR="000A0104" w:rsidRPr="00982B12">
        <w:rPr>
          <w:sz w:val="26"/>
          <w:szCs w:val="26"/>
        </w:rPr>
        <w:t xml:space="preserve"> exhibits, all</w:t>
      </w:r>
      <w:r w:rsidR="003508D7" w:rsidRPr="00982B12">
        <w:rPr>
          <w:sz w:val="26"/>
          <w:szCs w:val="26"/>
        </w:rPr>
        <w:t xml:space="preserve"> of which were </w:t>
      </w:r>
      <w:r w:rsidR="003508D7" w:rsidRPr="00360B65">
        <w:rPr>
          <w:sz w:val="26"/>
          <w:szCs w:val="26"/>
        </w:rPr>
        <w:t>admitted into the record.  The heari</w:t>
      </w:r>
      <w:r w:rsidR="00C47438" w:rsidRPr="00360B65">
        <w:rPr>
          <w:sz w:val="26"/>
          <w:szCs w:val="26"/>
        </w:rPr>
        <w:t>ng gener</w:t>
      </w:r>
      <w:r w:rsidR="00982B12" w:rsidRPr="00360B65">
        <w:rPr>
          <w:sz w:val="26"/>
          <w:szCs w:val="26"/>
        </w:rPr>
        <w:t>ated a transcript of 107</w:t>
      </w:r>
      <w:r w:rsidR="00C47438" w:rsidRPr="00360B65">
        <w:rPr>
          <w:sz w:val="26"/>
          <w:szCs w:val="26"/>
        </w:rPr>
        <w:t xml:space="preserve"> pages.</w:t>
      </w:r>
    </w:p>
    <w:p w:rsidR="005D3B15" w:rsidRPr="00360B65" w:rsidRDefault="005D3B15" w:rsidP="008E0179">
      <w:pPr>
        <w:widowControl/>
        <w:spacing w:line="360" w:lineRule="auto"/>
        <w:rPr>
          <w:sz w:val="26"/>
          <w:szCs w:val="26"/>
        </w:rPr>
      </w:pPr>
    </w:p>
    <w:p w:rsidR="004B5366" w:rsidRDefault="0085246F" w:rsidP="008E0179">
      <w:pPr>
        <w:widowControl/>
        <w:spacing w:line="360" w:lineRule="auto"/>
        <w:rPr>
          <w:color w:val="000000"/>
          <w:sz w:val="26"/>
        </w:rPr>
      </w:pPr>
      <w:r w:rsidRPr="00360B65">
        <w:rPr>
          <w:sz w:val="26"/>
          <w:szCs w:val="26"/>
        </w:rPr>
        <w:tab/>
      </w:r>
      <w:r w:rsidRPr="00360B65">
        <w:rPr>
          <w:sz w:val="26"/>
          <w:szCs w:val="26"/>
        </w:rPr>
        <w:tab/>
      </w:r>
      <w:r w:rsidR="00D020B8" w:rsidRPr="00360B65">
        <w:rPr>
          <w:sz w:val="26"/>
          <w:szCs w:val="26"/>
        </w:rPr>
        <w:t xml:space="preserve">On </w:t>
      </w:r>
      <w:r w:rsidR="00360B65" w:rsidRPr="00360B65">
        <w:rPr>
          <w:color w:val="000000"/>
          <w:sz w:val="26"/>
        </w:rPr>
        <w:t>October 8</w:t>
      </w:r>
      <w:r w:rsidR="00D020B8" w:rsidRPr="00360B65">
        <w:rPr>
          <w:color w:val="000000"/>
          <w:sz w:val="26"/>
        </w:rPr>
        <w:t xml:space="preserve">, 2013, the Commission </w:t>
      </w:r>
      <w:r w:rsidR="00D020B8" w:rsidRPr="00C95698">
        <w:rPr>
          <w:color w:val="000000"/>
          <w:sz w:val="26"/>
        </w:rPr>
        <w:t xml:space="preserve">issued </w:t>
      </w:r>
      <w:r w:rsidR="004D2E50" w:rsidRPr="00C95698">
        <w:rPr>
          <w:color w:val="000000"/>
          <w:sz w:val="26"/>
        </w:rPr>
        <w:t>the Init</w:t>
      </w:r>
      <w:r w:rsidR="00360B65" w:rsidRPr="00C95698">
        <w:rPr>
          <w:color w:val="000000"/>
          <w:sz w:val="26"/>
        </w:rPr>
        <w:t>ial Decision of ALJ Guhl</w:t>
      </w:r>
      <w:r w:rsidR="00D020B8" w:rsidRPr="00C95698">
        <w:rPr>
          <w:color w:val="000000"/>
          <w:sz w:val="26"/>
        </w:rPr>
        <w:t>, which dis</w:t>
      </w:r>
      <w:r w:rsidR="00360B65" w:rsidRPr="00C95698">
        <w:rPr>
          <w:color w:val="000000"/>
          <w:sz w:val="26"/>
        </w:rPr>
        <w:t>missed the Complaint.  I.D. at 14</w:t>
      </w:r>
      <w:r w:rsidR="004B5366">
        <w:rPr>
          <w:color w:val="000000"/>
          <w:sz w:val="26"/>
        </w:rPr>
        <w:t>.</w:t>
      </w:r>
    </w:p>
    <w:p w:rsidR="004B5366" w:rsidRDefault="004B5366" w:rsidP="008E0179">
      <w:pPr>
        <w:widowControl/>
        <w:spacing w:line="360" w:lineRule="auto"/>
        <w:rPr>
          <w:color w:val="000000"/>
          <w:sz w:val="26"/>
        </w:rPr>
      </w:pPr>
    </w:p>
    <w:p w:rsidR="00C74608" w:rsidRDefault="004B5366" w:rsidP="008E0179">
      <w:pPr>
        <w:widowControl/>
        <w:spacing w:line="360" w:lineRule="auto"/>
        <w:rPr>
          <w:color w:val="000000"/>
          <w:sz w:val="26"/>
        </w:rPr>
      </w:pPr>
      <w:r>
        <w:rPr>
          <w:color w:val="000000"/>
          <w:sz w:val="26"/>
        </w:rPr>
        <w:tab/>
      </w:r>
      <w:r>
        <w:rPr>
          <w:color w:val="000000"/>
          <w:sz w:val="26"/>
        </w:rPr>
        <w:tab/>
      </w:r>
      <w:r w:rsidR="00C95698" w:rsidRPr="00C95698">
        <w:rPr>
          <w:color w:val="000000"/>
          <w:sz w:val="26"/>
        </w:rPr>
        <w:t>On October 24</w:t>
      </w:r>
      <w:r w:rsidR="00FA2F63" w:rsidRPr="00C95698">
        <w:rPr>
          <w:color w:val="000000"/>
          <w:sz w:val="26"/>
        </w:rPr>
        <w:t>, 2013</w:t>
      </w:r>
      <w:r w:rsidR="002A635B" w:rsidRPr="00C95698">
        <w:rPr>
          <w:color w:val="000000"/>
          <w:sz w:val="26"/>
        </w:rPr>
        <w:t>,</w:t>
      </w:r>
      <w:r w:rsidR="00D020B8" w:rsidRPr="00C95698">
        <w:rPr>
          <w:color w:val="000000"/>
          <w:sz w:val="26"/>
        </w:rPr>
        <w:t xml:space="preserve"> the Complainant filed</w:t>
      </w:r>
      <w:r w:rsidR="00C95698">
        <w:rPr>
          <w:color w:val="000000"/>
          <w:sz w:val="26"/>
        </w:rPr>
        <w:t xml:space="preserve"> a lette</w:t>
      </w:r>
      <w:r>
        <w:rPr>
          <w:color w:val="000000"/>
          <w:sz w:val="26"/>
        </w:rPr>
        <w:t>r with the Commission in which she expressed concern</w:t>
      </w:r>
      <w:r w:rsidR="00C95698">
        <w:rPr>
          <w:color w:val="000000"/>
          <w:sz w:val="26"/>
        </w:rPr>
        <w:t xml:space="preserve"> that she had not yet received the</w:t>
      </w:r>
      <w:r>
        <w:rPr>
          <w:color w:val="000000"/>
          <w:sz w:val="26"/>
        </w:rPr>
        <w:t xml:space="preserve"> ALJ’s</w:t>
      </w:r>
      <w:r w:rsidR="00C95698">
        <w:rPr>
          <w:color w:val="000000"/>
          <w:sz w:val="26"/>
        </w:rPr>
        <w:t xml:space="preserve"> Initial Decision</w:t>
      </w:r>
      <w:r w:rsidR="00E21FA5">
        <w:rPr>
          <w:color w:val="000000"/>
          <w:sz w:val="26"/>
        </w:rPr>
        <w:t xml:space="preserve"> </w:t>
      </w:r>
      <w:r w:rsidR="00E21FA5">
        <w:rPr>
          <w:color w:val="000000"/>
          <w:sz w:val="26"/>
        </w:rPr>
        <w:lastRenderedPageBreak/>
        <w:t>on</w:t>
      </w:r>
      <w:r>
        <w:rPr>
          <w:color w:val="000000"/>
          <w:sz w:val="26"/>
        </w:rPr>
        <w:t xml:space="preserve"> her Complaint.  The Complainant’s letter also included a summary of her position on the Complaint.</w:t>
      </w:r>
      <w:r w:rsidR="00DB165A">
        <w:rPr>
          <w:color w:val="000000"/>
          <w:sz w:val="26"/>
        </w:rPr>
        <w:t xml:space="preserve">  However, the Commission’s Secretary’s Bureau characterized the Complainant’s letter as Exceptions, and returned the letter to the Complainant for failure to include an original signature.  By Secretarial Letter dated October 25, 2013, the Secretary’s Bureau advised the Complainant to sign and d</w:t>
      </w:r>
      <w:r w:rsidR="003B220B">
        <w:rPr>
          <w:color w:val="000000"/>
          <w:sz w:val="26"/>
        </w:rPr>
        <w:t xml:space="preserve">ate her Exceptions, provide a Certificate of Service indicating service of the Exceptions on all parties of record, and return the Exceptions to the Commission within ten days of the date of the October 25, 2013 </w:t>
      </w:r>
      <w:r w:rsidR="00C74608">
        <w:rPr>
          <w:color w:val="000000"/>
          <w:sz w:val="26"/>
        </w:rPr>
        <w:t xml:space="preserve">Secretarial </w:t>
      </w:r>
      <w:r w:rsidR="003B220B">
        <w:rPr>
          <w:color w:val="000000"/>
          <w:sz w:val="26"/>
        </w:rPr>
        <w:t>Letter.</w:t>
      </w:r>
    </w:p>
    <w:p w:rsidR="00C74608" w:rsidRDefault="00C74608" w:rsidP="008E0179">
      <w:pPr>
        <w:widowControl/>
        <w:spacing w:line="360" w:lineRule="auto"/>
        <w:rPr>
          <w:color w:val="000000"/>
          <w:sz w:val="26"/>
        </w:rPr>
      </w:pPr>
    </w:p>
    <w:p w:rsidR="00264E86" w:rsidRPr="00C95698" w:rsidRDefault="00C74608" w:rsidP="008E0179">
      <w:pPr>
        <w:widowControl/>
        <w:spacing w:line="360" w:lineRule="auto"/>
        <w:rPr>
          <w:color w:val="000000"/>
          <w:sz w:val="26"/>
        </w:rPr>
      </w:pPr>
      <w:r>
        <w:rPr>
          <w:color w:val="000000"/>
          <w:sz w:val="26"/>
        </w:rPr>
        <w:tab/>
      </w:r>
      <w:r>
        <w:rPr>
          <w:color w:val="000000"/>
          <w:sz w:val="26"/>
        </w:rPr>
        <w:tab/>
      </w:r>
      <w:r w:rsidR="00DB165A">
        <w:rPr>
          <w:color w:val="000000"/>
          <w:sz w:val="26"/>
        </w:rPr>
        <w:t xml:space="preserve">On </w:t>
      </w:r>
      <w:r w:rsidR="007564F6">
        <w:rPr>
          <w:color w:val="000000"/>
          <w:sz w:val="26"/>
        </w:rPr>
        <w:t>October 30, 2013, PECO filed a response to the Complainant’s October</w:t>
      </w:r>
      <w:r w:rsidR="009F2542">
        <w:rPr>
          <w:color w:val="000000"/>
          <w:sz w:val="26"/>
        </w:rPr>
        <w:t> </w:t>
      </w:r>
      <w:r w:rsidR="007564F6">
        <w:rPr>
          <w:color w:val="000000"/>
          <w:sz w:val="26"/>
        </w:rPr>
        <w:t>24, 2013 letter, which res</w:t>
      </w:r>
      <w:r w:rsidR="000973A2">
        <w:rPr>
          <w:color w:val="000000"/>
          <w:sz w:val="26"/>
        </w:rPr>
        <w:t>ponse was styled as PECO’s Replies to the Complainant’s</w:t>
      </w:r>
      <w:r w:rsidR="007564F6">
        <w:rPr>
          <w:color w:val="000000"/>
          <w:sz w:val="26"/>
        </w:rPr>
        <w:t xml:space="preserve"> Exceptions.</w:t>
      </w:r>
      <w:r w:rsidR="000922E7">
        <w:rPr>
          <w:color w:val="000000"/>
          <w:sz w:val="26"/>
        </w:rPr>
        <w:t xml:space="preserve">  </w:t>
      </w:r>
      <w:r w:rsidR="00264E86">
        <w:rPr>
          <w:color w:val="000000"/>
          <w:sz w:val="26"/>
        </w:rPr>
        <w:t>On November 6, 2013, the Complainant filed her Exceptions to the ALJ’s Initial Decision.</w:t>
      </w:r>
      <w:r w:rsidR="007E6838">
        <w:rPr>
          <w:color w:val="000000"/>
          <w:sz w:val="26"/>
        </w:rPr>
        <w:t xml:space="preserve">  </w:t>
      </w:r>
      <w:r w:rsidR="000922E7">
        <w:rPr>
          <w:color w:val="000000"/>
          <w:sz w:val="26"/>
        </w:rPr>
        <w:t>On February 4, 2014, the Complainant filed an additional letter expressing dissatisfaction that a final Commission decision on her Complaint had not yet been entered.  The Complainant’s letter also included additional arguments in support of her Complaint.</w:t>
      </w:r>
    </w:p>
    <w:p w:rsidR="00D020B8" w:rsidRPr="006D4BE9" w:rsidRDefault="00D020B8" w:rsidP="008E0179">
      <w:pPr>
        <w:widowControl/>
        <w:spacing w:line="360" w:lineRule="auto"/>
        <w:rPr>
          <w:color w:val="000000"/>
          <w:sz w:val="26"/>
          <w:highlight w:val="green"/>
        </w:rPr>
      </w:pPr>
    </w:p>
    <w:bookmarkEnd w:id="0"/>
    <w:bookmarkEnd w:id="1"/>
    <w:p w:rsidR="00B17635" w:rsidRDefault="00CA43A5" w:rsidP="009F2542">
      <w:pPr>
        <w:keepNext/>
        <w:keepLines/>
        <w:widowControl/>
        <w:spacing w:line="360" w:lineRule="auto"/>
        <w:jc w:val="center"/>
        <w:rPr>
          <w:b/>
          <w:sz w:val="26"/>
          <w:szCs w:val="26"/>
        </w:rPr>
      </w:pPr>
      <w:r w:rsidRPr="00D55ACD">
        <w:rPr>
          <w:b/>
          <w:sz w:val="26"/>
          <w:szCs w:val="26"/>
        </w:rPr>
        <w:t>Discussion</w:t>
      </w:r>
    </w:p>
    <w:p w:rsidR="009F2542" w:rsidRPr="00D55ACD" w:rsidRDefault="009F2542" w:rsidP="009F2542">
      <w:pPr>
        <w:keepNext/>
        <w:keepLines/>
        <w:widowControl/>
        <w:spacing w:line="360" w:lineRule="auto"/>
        <w:jc w:val="center"/>
        <w:rPr>
          <w:sz w:val="26"/>
          <w:szCs w:val="26"/>
        </w:rPr>
      </w:pPr>
    </w:p>
    <w:p w:rsidR="00CB244C" w:rsidRPr="00B17635" w:rsidRDefault="00CB244C" w:rsidP="008E0179">
      <w:pPr>
        <w:keepNext/>
        <w:keepLines/>
        <w:widowControl/>
        <w:rPr>
          <w:b/>
          <w:sz w:val="26"/>
          <w:szCs w:val="26"/>
        </w:rPr>
      </w:pPr>
      <w:r w:rsidRPr="00B17635">
        <w:rPr>
          <w:b/>
          <w:sz w:val="26"/>
          <w:szCs w:val="26"/>
        </w:rPr>
        <w:t>Legal Standards</w:t>
      </w:r>
    </w:p>
    <w:p w:rsidR="00CB244C" w:rsidRPr="00B17635" w:rsidRDefault="00CB244C" w:rsidP="008E0179">
      <w:pPr>
        <w:keepNext/>
        <w:keepLines/>
        <w:widowControl/>
        <w:spacing w:line="360" w:lineRule="auto"/>
        <w:rPr>
          <w:sz w:val="26"/>
          <w:szCs w:val="26"/>
        </w:rPr>
      </w:pPr>
    </w:p>
    <w:p w:rsidR="00CB244C" w:rsidRPr="001A1400" w:rsidRDefault="00CB244C" w:rsidP="004D1313">
      <w:pPr>
        <w:widowControl/>
        <w:spacing w:line="360" w:lineRule="auto"/>
        <w:ind w:firstLine="1440"/>
        <w:rPr>
          <w:sz w:val="26"/>
          <w:szCs w:val="26"/>
        </w:rPr>
      </w:pPr>
      <w:r w:rsidRPr="001A1400">
        <w:rPr>
          <w:sz w:val="26"/>
          <w:szCs w:val="26"/>
        </w:rPr>
        <w:t>As the proponent of a rule or order, the Complainant in this proceeding bears the burden of proof pursuant to Section 332(a) of the</w:t>
      </w:r>
      <w:r w:rsidR="005746E9">
        <w:rPr>
          <w:sz w:val="26"/>
          <w:szCs w:val="26"/>
        </w:rPr>
        <w:t xml:space="preserve"> Public Utility</w:t>
      </w:r>
      <w:r w:rsidRPr="001A1400">
        <w:rPr>
          <w:sz w:val="26"/>
          <w:szCs w:val="26"/>
        </w:rPr>
        <w:t xml:space="preserve"> Code</w:t>
      </w:r>
      <w:r w:rsidR="005746E9">
        <w:rPr>
          <w:sz w:val="26"/>
          <w:szCs w:val="26"/>
        </w:rPr>
        <w:t xml:space="preserve"> (Code)</w:t>
      </w:r>
      <w:r w:rsidR="00C76AF3" w:rsidRPr="001A1400">
        <w:rPr>
          <w:sz w:val="26"/>
          <w:szCs w:val="26"/>
        </w:rPr>
        <w:t xml:space="preserve">, </w:t>
      </w:r>
      <w:r w:rsidRPr="001A1400">
        <w:rPr>
          <w:sz w:val="26"/>
          <w:szCs w:val="26"/>
        </w:rPr>
        <w:t>66 Pa. C.S. § 332(a).  To establish a sufficient case and satisfy the burden of proof, the Complaina</w:t>
      </w:r>
      <w:r w:rsidR="00A02D14" w:rsidRPr="001A1400">
        <w:rPr>
          <w:sz w:val="26"/>
          <w:szCs w:val="26"/>
        </w:rPr>
        <w:t>nt must show that</w:t>
      </w:r>
      <w:r w:rsidR="00E1494A" w:rsidRPr="001A1400">
        <w:rPr>
          <w:sz w:val="26"/>
          <w:szCs w:val="26"/>
        </w:rPr>
        <w:t xml:space="preserve"> P</w:t>
      </w:r>
      <w:r w:rsidR="000F551B">
        <w:rPr>
          <w:sz w:val="26"/>
          <w:szCs w:val="26"/>
        </w:rPr>
        <w:t>ECO</w:t>
      </w:r>
      <w:r w:rsidR="00DF102A" w:rsidRPr="001A1400">
        <w:rPr>
          <w:sz w:val="26"/>
          <w:szCs w:val="26"/>
        </w:rPr>
        <w:t xml:space="preserve"> is</w:t>
      </w:r>
      <w:r w:rsidRPr="001A1400">
        <w:rPr>
          <w:sz w:val="26"/>
          <w:szCs w:val="26"/>
        </w:rPr>
        <w:t xml:space="preserve"> responsible or accountable for the problem described in the Complaint.  </w:t>
      </w:r>
      <w:r w:rsidRPr="001A1400">
        <w:rPr>
          <w:i/>
          <w:sz w:val="26"/>
          <w:szCs w:val="26"/>
        </w:rPr>
        <w:t>Patterson v. The Bell Telephone Company of Pennsylvania</w:t>
      </w:r>
      <w:r w:rsidRPr="001A1400">
        <w:rPr>
          <w:sz w:val="26"/>
          <w:szCs w:val="26"/>
        </w:rPr>
        <w:t xml:space="preserve">, 72 Pa. P.U.C. 196 (1990).  Such a showing must be by a preponderance of the evidence.  </w:t>
      </w:r>
      <w:r w:rsidRPr="001A1400">
        <w:rPr>
          <w:i/>
          <w:iCs/>
          <w:sz w:val="26"/>
          <w:szCs w:val="26"/>
        </w:rPr>
        <w:t>Samuel J. Lansberry, Inc. v. Pa. PUC</w:t>
      </w:r>
      <w:r w:rsidRPr="001A1400">
        <w:rPr>
          <w:sz w:val="26"/>
          <w:szCs w:val="26"/>
        </w:rPr>
        <w:t xml:space="preserve">, 578 A.2d 600 (Pa. Cmwlth. 1990), </w:t>
      </w:r>
      <w:r w:rsidRPr="001A1400">
        <w:rPr>
          <w:i/>
          <w:sz w:val="26"/>
          <w:szCs w:val="26"/>
        </w:rPr>
        <w:t>alloc. denied,</w:t>
      </w:r>
      <w:r w:rsidRPr="001A1400">
        <w:rPr>
          <w:sz w:val="26"/>
          <w:szCs w:val="26"/>
        </w:rPr>
        <w:t xml:space="preserve"> 529 Pa. 654, 602 A.2d 863 (1992).  That is, the Complainant’s evidence must be more </w:t>
      </w:r>
      <w:r w:rsidRPr="001A1400">
        <w:rPr>
          <w:sz w:val="26"/>
          <w:szCs w:val="26"/>
        </w:rPr>
        <w:lastRenderedPageBreak/>
        <w:t xml:space="preserve">convincing, by even the smallest amount, than </w:t>
      </w:r>
      <w:r w:rsidR="00C76AF3" w:rsidRPr="001A1400">
        <w:rPr>
          <w:sz w:val="26"/>
          <w:szCs w:val="26"/>
        </w:rPr>
        <w:t>that presented by</w:t>
      </w:r>
      <w:r w:rsidR="00E1494A" w:rsidRPr="001A1400">
        <w:rPr>
          <w:sz w:val="26"/>
          <w:szCs w:val="26"/>
        </w:rPr>
        <w:t xml:space="preserve"> P</w:t>
      </w:r>
      <w:r w:rsidR="000F551B">
        <w:rPr>
          <w:sz w:val="26"/>
          <w:szCs w:val="26"/>
        </w:rPr>
        <w:t>ECO</w:t>
      </w:r>
      <w:r w:rsidRPr="001A1400">
        <w:rPr>
          <w:sz w:val="26"/>
          <w:szCs w:val="26"/>
        </w:rPr>
        <w:t xml:space="preserve">.  </w:t>
      </w:r>
      <w:r w:rsidRPr="001A1400">
        <w:rPr>
          <w:i/>
          <w:sz w:val="26"/>
          <w:szCs w:val="26"/>
        </w:rPr>
        <w:t>Se-Ling Hosiery, Inc. v. Margulies</w:t>
      </w:r>
      <w:r w:rsidRPr="001A1400">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1A1400">
        <w:rPr>
          <w:i/>
          <w:sz w:val="26"/>
          <w:szCs w:val="26"/>
        </w:rPr>
        <w:t xml:space="preserve">Norfolk &amp; Western Ry. Co. v. Pa. PUC, </w:t>
      </w:r>
      <w:r w:rsidRPr="001A1400">
        <w:rPr>
          <w:sz w:val="26"/>
          <w:szCs w:val="26"/>
        </w:rPr>
        <w:t>489 Pa. 109, 413 A.2d 1037 (1980).</w:t>
      </w:r>
    </w:p>
    <w:p w:rsidR="00BA3351" w:rsidRPr="001A1400" w:rsidRDefault="00BA3351" w:rsidP="004D1313">
      <w:pPr>
        <w:widowControl/>
        <w:spacing w:line="360" w:lineRule="auto"/>
        <w:ind w:firstLine="1440"/>
        <w:rPr>
          <w:sz w:val="26"/>
          <w:szCs w:val="26"/>
        </w:rPr>
      </w:pPr>
    </w:p>
    <w:p w:rsidR="00CB244C" w:rsidRPr="001A1400" w:rsidRDefault="00A02D14" w:rsidP="004D1313">
      <w:pPr>
        <w:widowControl/>
        <w:spacing w:line="360" w:lineRule="auto"/>
        <w:ind w:firstLine="1440"/>
        <w:rPr>
          <w:rStyle w:val="Hyperlink"/>
          <w:rFonts w:ascii="Times New (W1)" w:hAnsi="Times New (W1)"/>
          <w:iCs/>
          <w:color w:val="auto"/>
          <w:sz w:val="26"/>
          <w:u w:val="none"/>
        </w:rPr>
      </w:pPr>
      <w:r w:rsidRPr="001A1400">
        <w:rPr>
          <w:sz w:val="26"/>
        </w:rPr>
        <w:t>Upon the presentation by the C</w:t>
      </w:r>
      <w:r w:rsidR="00CB244C" w:rsidRPr="001A1400">
        <w:rPr>
          <w:sz w:val="26"/>
        </w:rPr>
        <w:t xml:space="preserve">omplainant of evidence sufficient to initially satisfy the burden of proof, the burden of going forward with the evidence to rebut the evidence of the </w:t>
      </w:r>
      <w:r w:rsidR="002A5EB0" w:rsidRPr="001A1400">
        <w:rPr>
          <w:sz w:val="26"/>
        </w:rPr>
        <w:t>Complainant</w:t>
      </w:r>
      <w:r w:rsidR="004B3F02" w:rsidRPr="001A1400">
        <w:rPr>
          <w:sz w:val="26"/>
        </w:rPr>
        <w:t xml:space="preserve"> shifts to P</w:t>
      </w:r>
      <w:r w:rsidR="000F551B">
        <w:rPr>
          <w:sz w:val="26"/>
        </w:rPr>
        <w:t>ECO</w:t>
      </w:r>
      <w:r w:rsidR="00CB244C" w:rsidRPr="001A1400">
        <w:rPr>
          <w:sz w:val="26"/>
        </w:rPr>
        <w:t xml:space="preserve">. </w:t>
      </w:r>
      <w:r w:rsidR="001D3751" w:rsidRPr="001A1400">
        <w:rPr>
          <w:sz w:val="26"/>
        </w:rPr>
        <w:t xml:space="preserve"> </w:t>
      </w:r>
      <w:r w:rsidR="00CB244C" w:rsidRPr="001A1400">
        <w:rPr>
          <w:sz w:val="26"/>
        </w:rPr>
        <w:t xml:space="preserve">If the evidence presented by </w:t>
      </w:r>
      <w:r w:rsidR="004B3F02" w:rsidRPr="001A1400">
        <w:rPr>
          <w:sz w:val="26"/>
        </w:rPr>
        <w:t>P</w:t>
      </w:r>
      <w:r w:rsidR="000F551B">
        <w:rPr>
          <w:sz w:val="26"/>
        </w:rPr>
        <w:t>ECO</w:t>
      </w:r>
      <w:r w:rsidR="005A72DB" w:rsidRPr="001A1400">
        <w:rPr>
          <w:sz w:val="26"/>
        </w:rPr>
        <w:t xml:space="preserve"> is of co</w:t>
      </w:r>
      <w:r w:rsidR="005A72DB" w:rsidRPr="001A1400">
        <w:rPr>
          <w:sz w:val="26"/>
        </w:rPr>
        <w:noBreakHyphen/>
      </w:r>
      <w:r w:rsidR="00CB244C" w:rsidRPr="001A1400">
        <w:rPr>
          <w:sz w:val="26"/>
        </w:rPr>
        <w:t>equal value or “weight,” the burden of pro</w:t>
      </w:r>
      <w:r w:rsidRPr="001A1400">
        <w:rPr>
          <w:sz w:val="26"/>
        </w:rPr>
        <w:t xml:space="preserve">of has not been satisfied. </w:t>
      </w:r>
      <w:r w:rsidR="00A77AC1" w:rsidRPr="001A1400">
        <w:rPr>
          <w:sz w:val="26"/>
        </w:rPr>
        <w:t xml:space="preserve"> </w:t>
      </w:r>
      <w:r w:rsidRPr="001A1400">
        <w:rPr>
          <w:sz w:val="26"/>
        </w:rPr>
        <w:t>The C</w:t>
      </w:r>
      <w:r w:rsidR="00CB244C" w:rsidRPr="001A1400">
        <w:rPr>
          <w:sz w:val="26"/>
        </w:rPr>
        <w:t>omplainant now has to provide some additional evidence</w:t>
      </w:r>
      <w:r w:rsidR="006A1AFD" w:rsidRPr="001A1400">
        <w:rPr>
          <w:sz w:val="26"/>
        </w:rPr>
        <w:t xml:space="preserve"> </w:t>
      </w:r>
      <w:r w:rsidR="009151EE" w:rsidRPr="001A1400">
        <w:rPr>
          <w:sz w:val="26"/>
        </w:rPr>
        <w:t xml:space="preserve">to </w:t>
      </w:r>
      <w:r w:rsidR="004B3F02" w:rsidRPr="001A1400">
        <w:rPr>
          <w:sz w:val="26"/>
        </w:rPr>
        <w:t>rebut that of PGW</w:t>
      </w:r>
      <w:r w:rsidR="00CB244C" w:rsidRPr="001A1400">
        <w:rPr>
          <w:sz w:val="26"/>
        </w:rPr>
        <w:t xml:space="preserve">. </w:t>
      </w:r>
      <w:r w:rsidR="00CB244C" w:rsidRPr="001A1400">
        <w:rPr>
          <w:iCs/>
          <w:sz w:val="26"/>
        </w:rPr>
        <w:t xml:space="preserve"> </w:t>
      </w:r>
      <w:hyperlink r:id="rId9" w:history="1">
        <w:r w:rsidR="00CB244C" w:rsidRPr="001A1400">
          <w:rPr>
            <w:rStyle w:val="Hyperlink"/>
            <w:rFonts w:ascii="Times New (W1)" w:hAnsi="Times New (W1)"/>
            <w:i/>
            <w:iCs/>
            <w:color w:val="auto"/>
            <w:sz w:val="26"/>
            <w:u w:val="none"/>
          </w:rPr>
          <w:t>Burleson v. Pa. PUC,</w:t>
        </w:r>
        <w:r w:rsidR="00CB244C" w:rsidRPr="001A1400">
          <w:rPr>
            <w:rStyle w:val="Hyperlink"/>
            <w:rFonts w:ascii="Times New (W1)" w:hAnsi="Times New (W1)"/>
            <w:iCs/>
            <w:color w:val="auto"/>
            <w:sz w:val="26"/>
            <w:u w:val="none"/>
          </w:rPr>
          <w:t xml:space="preserve"> 443 A.2d 1373 (Pa. Cmwlth. 1982), </w:t>
        </w:r>
        <w:r w:rsidR="00CB244C" w:rsidRPr="001A1400">
          <w:rPr>
            <w:rStyle w:val="Hyperlink"/>
            <w:rFonts w:ascii="Times New (W1)" w:hAnsi="Times New (W1)"/>
            <w:i/>
            <w:iCs/>
            <w:color w:val="auto"/>
            <w:sz w:val="26"/>
            <w:u w:val="none"/>
          </w:rPr>
          <w:t>aff’d,</w:t>
        </w:r>
        <w:r w:rsidR="00CB244C" w:rsidRPr="001A1400">
          <w:rPr>
            <w:rStyle w:val="Hyperlink"/>
            <w:rFonts w:ascii="Times New (W1)" w:hAnsi="Times New (W1)"/>
            <w:iCs/>
            <w:color w:val="auto"/>
            <w:sz w:val="26"/>
            <w:u w:val="none"/>
          </w:rPr>
          <w:t xml:space="preserve"> 501 Pa. 433, 461 A.2d 1234 (1983).</w:t>
        </w:r>
      </w:hyperlink>
    </w:p>
    <w:p w:rsidR="004B3F02" w:rsidRPr="001A1400" w:rsidRDefault="004B3F02" w:rsidP="004D1313">
      <w:pPr>
        <w:widowControl/>
        <w:spacing w:line="360" w:lineRule="auto"/>
        <w:ind w:firstLine="1440"/>
        <w:rPr>
          <w:rFonts w:ascii="Times New (W1)" w:hAnsi="Times New (W1)"/>
          <w:i/>
          <w:sz w:val="26"/>
        </w:rPr>
      </w:pPr>
    </w:p>
    <w:p w:rsidR="002B748C" w:rsidRPr="001A1400" w:rsidRDefault="00CB244C" w:rsidP="004D1313">
      <w:pPr>
        <w:widowControl/>
        <w:spacing w:line="360" w:lineRule="auto"/>
        <w:ind w:firstLine="1440"/>
        <w:rPr>
          <w:sz w:val="26"/>
        </w:rPr>
      </w:pPr>
      <w:r w:rsidRPr="001A1400">
        <w:rPr>
          <w:sz w:val="26"/>
        </w:rPr>
        <w:t xml:space="preserve">While the burden of going forward with the evidence may </w:t>
      </w:r>
      <w:r w:rsidRPr="001A1400">
        <w:rPr>
          <w:rStyle w:val="term1"/>
          <w:b w:val="0"/>
          <w:bCs w:val="0"/>
          <w:sz w:val="26"/>
        </w:rPr>
        <w:t>shift</w:t>
      </w:r>
      <w:r w:rsidRPr="001A1400">
        <w:rPr>
          <w:sz w:val="26"/>
        </w:rPr>
        <w:t xml:space="preserve"> back and forth during a proceeding, the </w:t>
      </w:r>
      <w:r w:rsidRPr="001A1400">
        <w:rPr>
          <w:rStyle w:val="term1"/>
          <w:b w:val="0"/>
          <w:bCs w:val="0"/>
          <w:sz w:val="26"/>
        </w:rPr>
        <w:t>burden of proof</w:t>
      </w:r>
      <w:r w:rsidRPr="001A1400">
        <w:rPr>
          <w:sz w:val="26"/>
        </w:rPr>
        <w:t xml:space="preserve"> never </w:t>
      </w:r>
      <w:r w:rsidRPr="001A1400">
        <w:rPr>
          <w:rStyle w:val="term1"/>
          <w:b w:val="0"/>
          <w:bCs w:val="0"/>
          <w:sz w:val="26"/>
        </w:rPr>
        <w:t xml:space="preserve">shifts. </w:t>
      </w:r>
      <w:r w:rsidR="00366549" w:rsidRPr="001A1400">
        <w:rPr>
          <w:rStyle w:val="term1"/>
          <w:b w:val="0"/>
          <w:bCs w:val="0"/>
          <w:sz w:val="26"/>
        </w:rPr>
        <w:t xml:space="preserve"> </w:t>
      </w:r>
      <w:r w:rsidRPr="001A1400">
        <w:rPr>
          <w:rStyle w:val="term1"/>
          <w:b w:val="0"/>
          <w:bCs w:val="0"/>
          <w:sz w:val="26"/>
        </w:rPr>
        <w:t>The burden of proof</w:t>
      </w:r>
      <w:r w:rsidRPr="001A1400">
        <w:rPr>
          <w:sz w:val="26"/>
        </w:rPr>
        <w:t xml:space="preserve"> always remains on the party seeking affirmative relief from the Commission.  </w:t>
      </w:r>
      <w:r w:rsidRPr="001A1400">
        <w:rPr>
          <w:i/>
          <w:sz w:val="26"/>
        </w:rPr>
        <w:t xml:space="preserve">Milkie v. Pa. PUC, </w:t>
      </w:r>
      <w:r w:rsidRPr="001A1400">
        <w:rPr>
          <w:sz w:val="26"/>
        </w:rPr>
        <w:t>768 A.2d 1217 (Pa. Cmwlth. 2001).</w:t>
      </w:r>
    </w:p>
    <w:p w:rsidR="00CB244C" w:rsidRPr="001A1400" w:rsidRDefault="00CB244C" w:rsidP="004D1313">
      <w:pPr>
        <w:widowControl/>
        <w:spacing w:line="360" w:lineRule="auto"/>
        <w:rPr>
          <w:sz w:val="26"/>
          <w:szCs w:val="26"/>
        </w:rPr>
      </w:pPr>
    </w:p>
    <w:p w:rsidR="00F138C2" w:rsidRPr="00936D0E" w:rsidRDefault="00F138C2" w:rsidP="00F138C2">
      <w:pPr>
        <w:widowControl/>
        <w:spacing w:line="360" w:lineRule="auto"/>
        <w:ind w:firstLine="1440"/>
        <w:rPr>
          <w:sz w:val="26"/>
        </w:rPr>
      </w:pPr>
      <w:r w:rsidRPr="00936D0E">
        <w:rPr>
          <w:sz w:val="26"/>
          <w:szCs w:val="26"/>
        </w:rPr>
        <w:t xml:space="preserve">The burden of proof for “high bill” complaints has been explained in </w:t>
      </w:r>
      <w:r w:rsidRPr="00936D0E">
        <w:rPr>
          <w:i/>
          <w:sz w:val="26"/>
          <w:szCs w:val="26"/>
        </w:rPr>
        <w:t>Waldron v. Philadelphia Electric Company</w:t>
      </w:r>
      <w:r w:rsidRPr="00936D0E">
        <w:rPr>
          <w:sz w:val="26"/>
          <w:szCs w:val="26"/>
        </w:rPr>
        <w:t xml:space="preserve">, 54 Pa. P.U.C. 98 (1980), and its progeny.  </w:t>
      </w:r>
      <w:r w:rsidRPr="00936D0E">
        <w:rPr>
          <w:sz w:val="26"/>
        </w:rPr>
        <w:t xml:space="preserve">In </w:t>
      </w:r>
      <w:r w:rsidRPr="00936D0E">
        <w:rPr>
          <w:i/>
          <w:sz w:val="26"/>
          <w:szCs w:val="26"/>
        </w:rPr>
        <w:t>Waldron</w:t>
      </w:r>
      <w:r w:rsidRPr="00936D0E">
        <w:rPr>
          <w:sz w:val="26"/>
        </w:rPr>
        <w:t xml:space="preserve">, the Commission adopted the Michigan Public Service Commission’s (PSC’s) policy annunciated in </w:t>
      </w:r>
      <w:r w:rsidRPr="00936D0E">
        <w:rPr>
          <w:i/>
          <w:sz w:val="26"/>
        </w:rPr>
        <w:t>Hallifax v. O &amp; A Electric Co-Op</w:t>
      </w:r>
      <w:r w:rsidRPr="00936D0E">
        <w:rPr>
          <w:sz w:val="26"/>
        </w:rPr>
        <w:t>, Case No. U-5825 (May 7, 1979), which stated that,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936D0E" w:rsidDel="000555B3">
        <w:rPr>
          <w:rFonts w:eastAsiaTheme="minorEastAsia"/>
          <w:sz w:val="26"/>
          <w:vertAlign w:val="superscript"/>
        </w:rPr>
        <w:t xml:space="preserve"> </w:t>
      </w:r>
      <w:r w:rsidRPr="00936D0E">
        <w:rPr>
          <w:sz w:val="26"/>
        </w:rPr>
        <w:t xml:space="preserve">  </w:t>
      </w:r>
      <w:r w:rsidRPr="00936D0E">
        <w:rPr>
          <w:i/>
          <w:sz w:val="26"/>
        </w:rPr>
        <w:t>Waldron</w:t>
      </w:r>
      <w:r w:rsidRPr="00936D0E">
        <w:rPr>
          <w:sz w:val="26"/>
        </w:rPr>
        <w:t xml:space="preserve"> at 100.</w:t>
      </w:r>
    </w:p>
    <w:p w:rsidR="00F138C2" w:rsidRPr="00936D0E" w:rsidRDefault="00F138C2" w:rsidP="00F138C2">
      <w:pPr>
        <w:widowControl/>
        <w:spacing w:after="200" w:line="276" w:lineRule="auto"/>
        <w:rPr>
          <w:sz w:val="26"/>
        </w:rPr>
      </w:pPr>
    </w:p>
    <w:p w:rsidR="00F138C2" w:rsidRPr="00936D0E" w:rsidRDefault="00F138C2" w:rsidP="00F138C2">
      <w:pPr>
        <w:keepNext/>
        <w:widowControl/>
        <w:spacing w:line="360" w:lineRule="auto"/>
        <w:ind w:firstLine="1440"/>
        <w:rPr>
          <w:sz w:val="26"/>
        </w:rPr>
      </w:pPr>
      <w:r w:rsidRPr="00936D0E">
        <w:rPr>
          <w:sz w:val="26"/>
        </w:rPr>
        <w:lastRenderedPageBreak/>
        <w:t xml:space="preserve">The Commission recently explained the burden of proof set forth in </w:t>
      </w:r>
      <w:r w:rsidRPr="00936D0E">
        <w:rPr>
          <w:i/>
          <w:sz w:val="26"/>
        </w:rPr>
        <w:t>Waldron</w:t>
      </w:r>
      <w:r w:rsidRPr="00936D0E">
        <w:rPr>
          <w:sz w:val="26"/>
        </w:rPr>
        <w:t xml:space="preserve"> as follows:  </w:t>
      </w:r>
    </w:p>
    <w:p w:rsidR="00F138C2" w:rsidRPr="00936D0E" w:rsidRDefault="00F138C2" w:rsidP="00F138C2">
      <w:pPr>
        <w:keepNext/>
        <w:widowControl/>
        <w:spacing w:line="360" w:lineRule="auto"/>
        <w:ind w:firstLine="1440"/>
        <w:rPr>
          <w:sz w:val="26"/>
        </w:rPr>
      </w:pPr>
    </w:p>
    <w:p w:rsidR="00F138C2" w:rsidRPr="00936D0E" w:rsidRDefault="00F138C2" w:rsidP="00F138C2">
      <w:pPr>
        <w:keepNext/>
        <w:widowControl/>
        <w:ind w:left="1440" w:right="1440"/>
        <w:rPr>
          <w:rFonts w:cs="Arial"/>
          <w:sz w:val="26"/>
          <w:szCs w:val="26"/>
        </w:rPr>
      </w:pPr>
      <w:r w:rsidRPr="00936D0E">
        <w:rPr>
          <w:sz w:val="26"/>
        </w:rPr>
        <w:t xml:space="preserve">[T]he </w:t>
      </w:r>
      <w:r w:rsidRPr="00936D0E">
        <w:rPr>
          <w:i/>
          <w:sz w:val="26"/>
        </w:rPr>
        <w:t xml:space="preserve">Waldron </w:t>
      </w:r>
      <w:r w:rsidRPr="00936D0E">
        <w:rPr>
          <w:sz w:val="26"/>
        </w:rPr>
        <w:t xml:space="preserve">Rule allows a complainant to establish a </w:t>
      </w:r>
      <w:r w:rsidRPr="00936D0E">
        <w:rPr>
          <w:i/>
          <w:sz w:val="26"/>
        </w:rPr>
        <w:t xml:space="preserve">prima facie </w:t>
      </w:r>
      <w:r w:rsidRPr="00936D0E">
        <w:rPr>
          <w:sz w:val="26"/>
        </w:rPr>
        <w:t xml:space="preserve">case in a “high bill” complaint by showing that the disputed bill is abnormally high when compared to prior usage patterns and his or her pattern of usage has not changed </w:t>
      </w:r>
      <w:r w:rsidRPr="00936D0E">
        <w:rPr>
          <w:i/>
          <w:sz w:val="26"/>
        </w:rPr>
        <w:t>or</w:t>
      </w:r>
      <w:r w:rsidRPr="00936D0E">
        <w:rPr>
          <w:sz w:val="26"/>
        </w:rPr>
        <w:t> </w:t>
      </w:r>
      <w:r w:rsidRPr="00936D0E">
        <w:rPr>
          <w:i/>
          <w:sz w:val="26"/>
        </w:rPr>
        <w:t>by providing other relevant evidence showing that the disputed bill is unreasonably high</w:t>
      </w:r>
      <w:r w:rsidRPr="00936D0E">
        <w:rPr>
          <w:sz w:val="26"/>
        </w:rPr>
        <w:t>.  In evaluating a “high bill” complaint,</w:t>
      </w:r>
      <w:r w:rsidRPr="00936D0E">
        <w:rPr>
          <w:rFonts w:cs="Arial"/>
          <w:sz w:val="26"/>
          <w:szCs w:val="26"/>
        </w:rPr>
        <w:t xml:space="preserve"> the Commission may consider such evidence as “the billing history of the account, any change in usage patterns (such as a change in the number of occupants residing in the household or potential energy utilization), </w:t>
      </w:r>
      <w:r w:rsidRPr="00936D0E">
        <w:rPr>
          <w:rFonts w:cs="Arial"/>
          <w:i/>
          <w:sz w:val="26"/>
          <w:szCs w:val="26"/>
        </w:rPr>
        <w:t>and</w:t>
      </w:r>
      <w:r w:rsidRPr="00936D0E">
        <w:rPr>
          <w:rFonts w:cs="Arial"/>
          <w:b/>
          <w:i/>
          <w:sz w:val="26"/>
          <w:szCs w:val="26"/>
        </w:rPr>
        <w:t xml:space="preserve"> </w:t>
      </w:r>
      <w:r w:rsidRPr="00936D0E">
        <w:rPr>
          <w:rFonts w:cs="Arial"/>
          <w:i/>
          <w:sz w:val="26"/>
          <w:szCs w:val="26"/>
        </w:rPr>
        <w:t>any other relevant facts or circumstances that come to light during the proceeding</w:t>
      </w:r>
      <w:r w:rsidRPr="00936D0E">
        <w:rPr>
          <w:rFonts w:cs="Arial"/>
          <w:sz w:val="26"/>
          <w:szCs w:val="26"/>
        </w:rPr>
        <w:t>.”</w:t>
      </w:r>
    </w:p>
    <w:p w:rsidR="00F138C2" w:rsidRPr="00936D0E" w:rsidRDefault="00F138C2" w:rsidP="00F138C2">
      <w:pPr>
        <w:widowControl/>
        <w:spacing w:line="360" w:lineRule="auto"/>
        <w:ind w:left="1440" w:right="1440"/>
        <w:rPr>
          <w:rFonts w:cs="Arial"/>
          <w:sz w:val="26"/>
          <w:szCs w:val="26"/>
        </w:rPr>
      </w:pPr>
    </w:p>
    <w:p w:rsidR="00F138C2" w:rsidRPr="00936D0E" w:rsidRDefault="00F138C2" w:rsidP="007A6BDA">
      <w:pPr>
        <w:widowControl/>
        <w:spacing w:line="360" w:lineRule="auto"/>
        <w:rPr>
          <w:sz w:val="26"/>
          <w:szCs w:val="26"/>
        </w:rPr>
      </w:pPr>
      <w:r w:rsidRPr="00936D0E">
        <w:rPr>
          <w:i/>
          <w:sz w:val="26"/>
          <w:szCs w:val="26"/>
        </w:rPr>
        <w:t>Thomas v. PECO Energy Company</w:t>
      </w:r>
      <w:r w:rsidRPr="00936D0E">
        <w:rPr>
          <w:sz w:val="26"/>
          <w:szCs w:val="26"/>
        </w:rPr>
        <w:t xml:space="preserve">, Docket No. C-2010-2187197 (Order entered November 15, 2011) at 5, quoting </w:t>
      </w:r>
      <w:r w:rsidRPr="00936D0E">
        <w:rPr>
          <w:i/>
          <w:sz w:val="26"/>
          <w:szCs w:val="26"/>
        </w:rPr>
        <w:t>Bennett v.</w:t>
      </w:r>
      <w:r w:rsidR="003A3B84">
        <w:rPr>
          <w:i/>
          <w:sz w:val="26"/>
          <w:szCs w:val="26"/>
        </w:rPr>
        <w:t xml:space="preserve"> </w:t>
      </w:r>
      <w:r w:rsidRPr="00936D0E">
        <w:rPr>
          <w:i/>
          <w:sz w:val="26"/>
          <w:szCs w:val="26"/>
        </w:rPr>
        <w:t xml:space="preserve"> The Peoples Natural Gas Company</w:t>
      </w:r>
      <w:r w:rsidRPr="00936D0E">
        <w:rPr>
          <w:sz w:val="26"/>
          <w:szCs w:val="26"/>
        </w:rPr>
        <w:t>, Docket No. C-2009-2122979 (Order entered October 13, 2010).</w:t>
      </w:r>
    </w:p>
    <w:p w:rsidR="00F138C2" w:rsidRPr="00936D0E" w:rsidRDefault="00F138C2" w:rsidP="004D1313">
      <w:pPr>
        <w:widowControl/>
        <w:spacing w:line="360" w:lineRule="auto"/>
        <w:rPr>
          <w:sz w:val="26"/>
          <w:szCs w:val="26"/>
        </w:rPr>
      </w:pPr>
    </w:p>
    <w:p w:rsidR="00CA43A5" w:rsidRPr="0084272C" w:rsidRDefault="001A1400" w:rsidP="004D1313">
      <w:pPr>
        <w:widowControl/>
        <w:spacing w:line="360" w:lineRule="auto"/>
        <w:ind w:firstLine="1440"/>
        <w:rPr>
          <w:sz w:val="26"/>
          <w:szCs w:val="26"/>
        </w:rPr>
      </w:pPr>
      <w:r w:rsidRPr="00936D0E">
        <w:rPr>
          <w:sz w:val="26"/>
          <w:szCs w:val="26"/>
        </w:rPr>
        <w:t>ALJ Guhl</w:t>
      </w:r>
      <w:r w:rsidR="0084272C" w:rsidRPr="00936D0E">
        <w:rPr>
          <w:sz w:val="26"/>
          <w:szCs w:val="26"/>
        </w:rPr>
        <w:t xml:space="preserve"> made twenty-seven</w:t>
      </w:r>
      <w:r w:rsidR="00CA43A5" w:rsidRPr="0084272C">
        <w:rPr>
          <w:sz w:val="26"/>
          <w:szCs w:val="26"/>
        </w:rPr>
        <w:t xml:space="preserve"> Find</w:t>
      </w:r>
      <w:r w:rsidR="00961671" w:rsidRPr="0084272C">
        <w:rPr>
          <w:sz w:val="26"/>
          <w:szCs w:val="26"/>
        </w:rPr>
        <w:t>ings of Fact and</w:t>
      </w:r>
      <w:r w:rsidR="0084272C" w:rsidRPr="0084272C">
        <w:rPr>
          <w:sz w:val="26"/>
          <w:szCs w:val="26"/>
        </w:rPr>
        <w:t xml:space="preserve"> reached six</w:t>
      </w:r>
      <w:r w:rsidR="00CA43A5" w:rsidRPr="0084272C">
        <w:rPr>
          <w:sz w:val="26"/>
          <w:szCs w:val="26"/>
        </w:rPr>
        <w:t xml:space="preserve"> Conclusions of Law.  </w:t>
      </w:r>
      <w:r w:rsidR="0084272C" w:rsidRPr="0084272C">
        <w:rPr>
          <w:sz w:val="26"/>
          <w:szCs w:val="26"/>
        </w:rPr>
        <w:t>I.D. at 4</w:t>
      </w:r>
      <w:r w:rsidR="00BD271D" w:rsidRPr="0084272C">
        <w:rPr>
          <w:sz w:val="26"/>
          <w:szCs w:val="26"/>
        </w:rPr>
        <w:t>-</w:t>
      </w:r>
      <w:r w:rsidR="0084272C" w:rsidRPr="0084272C">
        <w:rPr>
          <w:sz w:val="26"/>
          <w:szCs w:val="26"/>
        </w:rPr>
        <w:t>7, 13-14</w:t>
      </w:r>
      <w:r w:rsidR="00961671" w:rsidRPr="0084272C">
        <w:rPr>
          <w:sz w:val="26"/>
          <w:szCs w:val="26"/>
        </w:rPr>
        <w:t xml:space="preserve">.  </w:t>
      </w:r>
      <w:r w:rsidR="00CA43A5" w:rsidRPr="0084272C">
        <w:rPr>
          <w:sz w:val="26"/>
          <w:szCs w:val="26"/>
        </w:rPr>
        <w:t>The Findings of Fact and Conclusions of Law are incorporated herein by reference and are adopted without comment unless they are either expressly or by necessary implication rejected or modified by this Opinion and Order.</w:t>
      </w:r>
    </w:p>
    <w:p w:rsidR="00CA43A5" w:rsidRPr="0084272C" w:rsidRDefault="00CA43A5" w:rsidP="004D1313">
      <w:pPr>
        <w:widowControl/>
        <w:spacing w:line="360" w:lineRule="auto"/>
        <w:rPr>
          <w:sz w:val="26"/>
          <w:szCs w:val="26"/>
        </w:rPr>
      </w:pPr>
    </w:p>
    <w:p w:rsidR="00006F35" w:rsidRPr="0084272C" w:rsidRDefault="00006F35" w:rsidP="004D1313">
      <w:pPr>
        <w:widowControl/>
        <w:spacing w:line="360" w:lineRule="auto"/>
        <w:ind w:firstLine="1440"/>
        <w:rPr>
          <w:sz w:val="26"/>
          <w:szCs w:val="26"/>
        </w:rPr>
      </w:pPr>
      <w:r w:rsidRPr="0084272C">
        <w:rPr>
          <w:sz w:val="26"/>
          <w:szCs w:val="26"/>
        </w:rPr>
        <w:t>Before addressing the Exceptions, we note that any issue or Exception that we do not specifically delineate shall be deemed to have been duly considered and denie</w:t>
      </w:r>
      <w:r w:rsidR="00B6715A" w:rsidRPr="0084272C">
        <w:rPr>
          <w:sz w:val="26"/>
          <w:szCs w:val="26"/>
        </w:rPr>
        <w:t>d without further discussion.  It is well settled that t</w:t>
      </w:r>
      <w:r w:rsidRPr="0084272C">
        <w:rPr>
          <w:sz w:val="26"/>
          <w:szCs w:val="26"/>
        </w:rPr>
        <w:t>he Commission is not required to consider expressly or at length each contention or argument raised by the parties</w:t>
      </w:r>
      <w:r w:rsidR="002A6750" w:rsidRPr="0084272C">
        <w:rPr>
          <w:sz w:val="26"/>
          <w:szCs w:val="26"/>
        </w:rPr>
        <w:t xml:space="preserve">.  </w:t>
      </w:r>
      <w:hyperlink r:id="rId10" w:history="1">
        <w:r w:rsidR="009F1A08" w:rsidRPr="0084272C">
          <w:rPr>
            <w:rStyle w:val="Emphasis"/>
            <w:sz w:val="26"/>
            <w:szCs w:val="26"/>
          </w:rPr>
          <w:t>Consolidated Ra</w:t>
        </w:r>
        <w:r w:rsidR="009F1A08" w:rsidRPr="0084272C">
          <w:rPr>
            <w:rStyle w:val="Emphasis"/>
            <w:color w:val="000000"/>
            <w:sz w:val="26"/>
            <w:szCs w:val="26"/>
          </w:rPr>
          <w:t>il Corp. v. Pa. </w:t>
        </w:r>
        <w:r w:rsidR="002A6750" w:rsidRPr="0084272C">
          <w:rPr>
            <w:rStyle w:val="Emphasis"/>
            <w:color w:val="000000"/>
            <w:sz w:val="26"/>
            <w:szCs w:val="26"/>
          </w:rPr>
          <w:t xml:space="preserve">PUC, </w:t>
        </w:r>
        <w:r w:rsidR="002A6750" w:rsidRPr="0084272C">
          <w:rPr>
            <w:rStyle w:val="Hyperlink"/>
            <w:color w:val="000000"/>
            <w:sz w:val="26"/>
            <w:szCs w:val="26"/>
            <w:u w:val="none"/>
          </w:rPr>
          <w:t>625 A.2d 741 (Pa. Cmwlth. 1993);</w:t>
        </w:r>
      </w:hyperlink>
      <w:r w:rsidR="002A6750" w:rsidRPr="0084272C">
        <w:rPr>
          <w:color w:val="000000"/>
          <w:sz w:val="26"/>
          <w:szCs w:val="26"/>
        </w:rPr>
        <w:t xml:space="preserve"> </w:t>
      </w:r>
      <w:r w:rsidR="002A6750" w:rsidRPr="0084272C">
        <w:rPr>
          <w:i/>
          <w:color w:val="000000"/>
          <w:sz w:val="26"/>
          <w:szCs w:val="26"/>
        </w:rPr>
        <w:t xml:space="preserve">also </w:t>
      </w:r>
      <w:r w:rsidR="002A6750" w:rsidRPr="0084272C">
        <w:rPr>
          <w:rStyle w:val="Emphasis"/>
          <w:color w:val="000000"/>
          <w:sz w:val="26"/>
          <w:szCs w:val="26"/>
        </w:rPr>
        <w:t xml:space="preserve">see, generally, </w:t>
      </w:r>
      <w:hyperlink r:id="rId11" w:history="1">
        <w:r w:rsidR="002A6750" w:rsidRPr="0084272C">
          <w:rPr>
            <w:rStyle w:val="Emphasis"/>
            <w:color w:val="000000"/>
            <w:sz w:val="26"/>
            <w:szCs w:val="26"/>
          </w:rPr>
          <w:t>University of Pennsylvania v. Pa. PUC</w:t>
        </w:r>
        <w:r w:rsidR="002A6750" w:rsidRPr="0084272C">
          <w:rPr>
            <w:rStyle w:val="Hyperlink"/>
            <w:color w:val="000000"/>
            <w:sz w:val="26"/>
            <w:szCs w:val="26"/>
            <w:u w:val="none"/>
          </w:rPr>
          <w:t>, 485 A.2d 1217 (Pa. Cmwlth. 1984).</w:t>
        </w:r>
      </w:hyperlink>
      <w:r w:rsidR="00214B3E" w:rsidRPr="0084272C">
        <w:rPr>
          <w:sz w:val="26"/>
          <w:szCs w:val="26"/>
        </w:rPr>
        <w:t xml:space="preserve"> </w:t>
      </w:r>
    </w:p>
    <w:p w:rsidR="00D16AC3" w:rsidRPr="006D4BE9" w:rsidRDefault="00D16AC3" w:rsidP="00C83083">
      <w:pPr>
        <w:widowControl/>
        <w:spacing w:line="360" w:lineRule="auto"/>
        <w:rPr>
          <w:sz w:val="26"/>
          <w:szCs w:val="26"/>
          <w:highlight w:val="green"/>
        </w:rPr>
      </w:pPr>
    </w:p>
    <w:p w:rsidR="00006F35" w:rsidRPr="0088313D" w:rsidRDefault="00D7780F" w:rsidP="00C83083">
      <w:pPr>
        <w:keepNext/>
        <w:widowControl/>
        <w:spacing w:line="360" w:lineRule="auto"/>
        <w:rPr>
          <w:b/>
          <w:sz w:val="26"/>
          <w:szCs w:val="26"/>
        </w:rPr>
      </w:pPr>
      <w:r w:rsidRPr="0088313D">
        <w:rPr>
          <w:b/>
          <w:sz w:val="26"/>
          <w:szCs w:val="26"/>
        </w:rPr>
        <w:lastRenderedPageBreak/>
        <w:t>ALJ</w:t>
      </w:r>
      <w:r w:rsidR="00006F35" w:rsidRPr="0088313D">
        <w:rPr>
          <w:b/>
          <w:sz w:val="26"/>
          <w:szCs w:val="26"/>
        </w:rPr>
        <w:t xml:space="preserve">’s </w:t>
      </w:r>
      <w:r w:rsidR="00800499" w:rsidRPr="0088313D">
        <w:rPr>
          <w:b/>
          <w:sz w:val="26"/>
          <w:szCs w:val="26"/>
        </w:rPr>
        <w:t>Initial Decision</w:t>
      </w:r>
    </w:p>
    <w:p w:rsidR="00006F35" w:rsidRPr="0088313D" w:rsidRDefault="00006F35" w:rsidP="00C83083">
      <w:pPr>
        <w:keepNext/>
        <w:rPr>
          <w:sz w:val="26"/>
          <w:szCs w:val="26"/>
        </w:rPr>
      </w:pPr>
    </w:p>
    <w:p w:rsidR="004E2F87" w:rsidRDefault="00C83083" w:rsidP="0088313D">
      <w:pPr>
        <w:keepNext/>
        <w:widowControl/>
        <w:spacing w:line="360" w:lineRule="auto"/>
        <w:rPr>
          <w:sz w:val="26"/>
          <w:szCs w:val="26"/>
        </w:rPr>
      </w:pPr>
      <w:r w:rsidRPr="0088313D">
        <w:rPr>
          <w:sz w:val="26"/>
          <w:szCs w:val="26"/>
        </w:rPr>
        <w:tab/>
      </w:r>
      <w:r w:rsidRPr="0088313D">
        <w:rPr>
          <w:sz w:val="26"/>
          <w:szCs w:val="26"/>
        </w:rPr>
        <w:tab/>
      </w:r>
      <w:r w:rsidR="006708B0">
        <w:rPr>
          <w:sz w:val="26"/>
          <w:szCs w:val="26"/>
        </w:rPr>
        <w:t>In</w:t>
      </w:r>
      <w:r w:rsidR="00372D90">
        <w:rPr>
          <w:sz w:val="26"/>
          <w:szCs w:val="26"/>
        </w:rPr>
        <w:t xml:space="preserve"> her Initial Decision, ALJ Guhl determined that the Complainant did not mee</w:t>
      </w:r>
      <w:r w:rsidR="00066ADC">
        <w:rPr>
          <w:sz w:val="26"/>
          <w:szCs w:val="26"/>
        </w:rPr>
        <w:t>t her burden of proving that the</w:t>
      </w:r>
      <w:r w:rsidR="006708B0">
        <w:rPr>
          <w:sz w:val="26"/>
          <w:szCs w:val="26"/>
        </w:rPr>
        <w:t xml:space="preserve"> bills for electric service</w:t>
      </w:r>
      <w:r w:rsidR="00066ADC">
        <w:rPr>
          <w:sz w:val="26"/>
          <w:szCs w:val="26"/>
        </w:rPr>
        <w:t xml:space="preserve"> to her household</w:t>
      </w:r>
      <w:r w:rsidR="00372D90">
        <w:rPr>
          <w:sz w:val="26"/>
          <w:szCs w:val="26"/>
        </w:rPr>
        <w:t xml:space="preserve"> have been unreasonably high.</w:t>
      </w:r>
      <w:r w:rsidR="00502432">
        <w:rPr>
          <w:rStyle w:val="FootnoteReference"/>
          <w:sz w:val="26"/>
          <w:szCs w:val="26"/>
        </w:rPr>
        <w:footnoteReference w:id="2"/>
      </w:r>
      <w:r w:rsidR="00372D90">
        <w:rPr>
          <w:sz w:val="26"/>
          <w:szCs w:val="26"/>
        </w:rPr>
        <w:t xml:space="preserve">  T</w:t>
      </w:r>
      <w:r w:rsidR="007E5504">
        <w:rPr>
          <w:sz w:val="26"/>
          <w:szCs w:val="26"/>
        </w:rPr>
        <w:t>he ALJ noted that PECO had conducted an appliance analysis at the Complainant’s residence</w:t>
      </w:r>
      <w:r w:rsidR="00372D90">
        <w:rPr>
          <w:sz w:val="26"/>
          <w:szCs w:val="26"/>
        </w:rPr>
        <w:t>, which</w:t>
      </w:r>
      <w:r w:rsidR="007E5504">
        <w:rPr>
          <w:sz w:val="26"/>
          <w:szCs w:val="26"/>
        </w:rPr>
        <w:t xml:space="preserve"> indicated that the Complainant’s household had the potential to use the amount of electricity for which it had been charged.  I.D. at 12.</w:t>
      </w:r>
      <w:r w:rsidR="00CA5AB3">
        <w:rPr>
          <w:sz w:val="26"/>
          <w:szCs w:val="26"/>
        </w:rPr>
        <w:t xml:space="preserve">  In this regard, t</w:t>
      </w:r>
      <w:r w:rsidR="006708B0">
        <w:rPr>
          <w:sz w:val="26"/>
          <w:szCs w:val="26"/>
        </w:rPr>
        <w:t xml:space="preserve">he ALJ </w:t>
      </w:r>
      <w:r w:rsidR="004E2F87">
        <w:rPr>
          <w:sz w:val="26"/>
          <w:szCs w:val="26"/>
        </w:rPr>
        <w:t>presented the following table showing the Complainant’s electricity usage from September, 2010</w:t>
      </w:r>
      <w:r w:rsidR="00066ADC">
        <w:rPr>
          <w:sz w:val="26"/>
          <w:szCs w:val="26"/>
        </w:rPr>
        <w:t>,</w:t>
      </w:r>
      <w:r w:rsidR="004E2F87">
        <w:rPr>
          <w:sz w:val="26"/>
          <w:szCs w:val="26"/>
        </w:rPr>
        <w:t xml:space="preserve"> through December, 2012, as provided by PECO:</w:t>
      </w:r>
    </w:p>
    <w:p w:rsidR="004E2F87" w:rsidRDefault="004E2F87" w:rsidP="00CA5AB3">
      <w:pPr>
        <w:widowControl/>
        <w:spacing w:line="360" w:lineRule="auto"/>
        <w:rPr>
          <w:sz w:val="26"/>
          <w:szCs w:val="26"/>
        </w:rPr>
      </w:pP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76"/>
        <w:gridCol w:w="795"/>
        <w:gridCol w:w="1029"/>
      </w:tblGrid>
      <w:tr w:rsidR="004E2F87" w:rsidRPr="0022574A" w:rsidTr="00A517F5">
        <w:tc>
          <w:tcPr>
            <w:tcW w:w="0" w:type="auto"/>
          </w:tcPr>
          <w:p w:rsidR="004E2F87" w:rsidRPr="0022574A" w:rsidRDefault="004E2F87" w:rsidP="00A517F5">
            <w:pPr>
              <w:tabs>
                <w:tab w:val="left" w:pos="-2070"/>
                <w:tab w:val="left" w:pos="-1980"/>
              </w:tabs>
              <w:jc w:val="center"/>
              <w:rPr>
                <w:sz w:val="24"/>
                <w:szCs w:val="24"/>
              </w:rPr>
            </w:pPr>
            <w:r w:rsidRPr="0022574A">
              <w:rPr>
                <w:sz w:val="24"/>
                <w:szCs w:val="24"/>
              </w:rPr>
              <w:t>Month</w:t>
            </w:r>
          </w:p>
        </w:tc>
        <w:tc>
          <w:tcPr>
            <w:tcW w:w="2400" w:type="dxa"/>
            <w:gridSpan w:val="3"/>
          </w:tcPr>
          <w:p w:rsidR="004E2F87" w:rsidRPr="0022574A" w:rsidRDefault="004E2F87" w:rsidP="00A517F5">
            <w:pPr>
              <w:tabs>
                <w:tab w:val="left" w:pos="-2070"/>
                <w:tab w:val="left" w:pos="-1980"/>
              </w:tabs>
              <w:jc w:val="center"/>
              <w:rPr>
                <w:sz w:val="24"/>
                <w:szCs w:val="24"/>
              </w:rPr>
            </w:pPr>
            <w:r>
              <w:rPr>
                <w:sz w:val="24"/>
                <w:szCs w:val="24"/>
              </w:rPr>
              <w:t>Elec. (kW</w:t>
            </w:r>
            <w:r w:rsidRPr="0022574A">
              <w:rPr>
                <w:sz w:val="24"/>
                <w:szCs w:val="24"/>
              </w:rPr>
              <w:t>h)</w:t>
            </w:r>
          </w:p>
          <w:p w:rsidR="004E2F87" w:rsidRPr="0022574A" w:rsidRDefault="004E2F87" w:rsidP="00A517F5">
            <w:pPr>
              <w:tabs>
                <w:tab w:val="left" w:pos="-2070"/>
                <w:tab w:val="left" w:pos="-1980"/>
              </w:tabs>
              <w:rPr>
                <w:sz w:val="24"/>
                <w:szCs w:val="24"/>
              </w:rPr>
            </w:pPr>
            <w:r w:rsidRPr="0022574A">
              <w:rPr>
                <w:sz w:val="24"/>
                <w:szCs w:val="24"/>
              </w:rPr>
              <w:t>’</w:t>
            </w:r>
            <w:r>
              <w:rPr>
                <w:sz w:val="24"/>
                <w:szCs w:val="24"/>
              </w:rPr>
              <w:t>10</w:t>
            </w:r>
            <w:r w:rsidRPr="0022574A">
              <w:rPr>
                <w:sz w:val="24"/>
                <w:szCs w:val="24"/>
              </w:rPr>
              <w:t xml:space="preserve">      ’</w:t>
            </w:r>
            <w:r>
              <w:rPr>
                <w:sz w:val="24"/>
                <w:szCs w:val="24"/>
              </w:rPr>
              <w:t>11</w:t>
            </w:r>
            <w:r w:rsidRPr="0022574A">
              <w:rPr>
                <w:sz w:val="24"/>
                <w:szCs w:val="24"/>
              </w:rPr>
              <w:t xml:space="preserve">       ‘</w:t>
            </w:r>
            <w:r>
              <w:rPr>
                <w:sz w:val="24"/>
                <w:szCs w:val="24"/>
              </w:rPr>
              <w:t>12</w:t>
            </w:r>
          </w:p>
        </w:tc>
      </w:tr>
      <w:tr w:rsidR="004E2F87" w:rsidRPr="0022574A" w:rsidTr="00A517F5">
        <w:tc>
          <w:tcPr>
            <w:tcW w:w="0" w:type="auto"/>
          </w:tcPr>
          <w:p w:rsidR="004E2F87" w:rsidRPr="0022574A" w:rsidRDefault="004E2F87" w:rsidP="00A517F5">
            <w:pPr>
              <w:tabs>
                <w:tab w:val="left" w:pos="-2070"/>
                <w:tab w:val="left" w:pos="-1980"/>
              </w:tabs>
              <w:rPr>
                <w:sz w:val="24"/>
                <w:szCs w:val="24"/>
              </w:rPr>
            </w:pPr>
            <w:r w:rsidRPr="0022574A">
              <w:rPr>
                <w:sz w:val="24"/>
                <w:szCs w:val="24"/>
              </w:rPr>
              <w:t>01</w:t>
            </w:r>
          </w:p>
        </w:tc>
        <w:tc>
          <w:tcPr>
            <w:tcW w:w="0" w:type="auto"/>
          </w:tcPr>
          <w:p w:rsidR="004E2F87" w:rsidRPr="00B432E5" w:rsidRDefault="004E2F87" w:rsidP="00A517F5">
            <w:pPr>
              <w:tabs>
                <w:tab w:val="left" w:pos="-2070"/>
                <w:tab w:val="left" w:pos="-1980"/>
              </w:tabs>
              <w:rPr>
                <w:sz w:val="24"/>
                <w:szCs w:val="24"/>
              </w:rPr>
            </w:pPr>
            <w:r>
              <w:rPr>
                <w:sz w:val="24"/>
                <w:szCs w:val="24"/>
              </w:rPr>
              <w:t>n/a</w:t>
            </w:r>
          </w:p>
        </w:tc>
        <w:tc>
          <w:tcPr>
            <w:tcW w:w="795" w:type="dxa"/>
          </w:tcPr>
          <w:p w:rsidR="004E2F87" w:rsidRPr="0022574A" w:rsidRDefault="004E2F87" w:rsidP="00A517F5">
            <w:pPr>
              <w:tabs>
                <w:tab w:val="left" w:pos="-2070"/>
                <w:tab w:val="left" w:pos="-1980"/>
              </w:tabs>
              <w:rPr>
                <w:sz w:val="24"/>
                <w:szCs w:val="24"/>
              </w:rPr>
            </w:pPr>
            <w:r>
              <w:rPr>
                <w:sz w:val="24"/>
                <w:szCs w:val="24"/>
              </w:rPr>
              <w:t>522</w:t>
            </w:r>
          </w:p>
        </w:tc>
        <w:tc>
          <w:tcPr>
            <w:tcW w:w="1029" w:type="dxa"/>
          </w:tcPr>
          <w:p w:rsidR="004E2F87" w:rsidRPr="0022574A" w:rsidRDefault="004E2F87" w:rsidP="00A517F5">
            <w:pPr>
              <w:tabs>
                <w:tab w:val="left" w:pos="-2070"/>
                <w:tab w:val="left" w:pos="-1980"/>
              </w:tabs>
              <w:rPr>
                <w:sz w:val="24"/>
                <w:szCs w:val="24"/>
              </w:rPr>
            </w:pPr>
            <w:r>
              <w:rPr>
                <w:sz w:val="24"/>
                <w:szCs w:val="24"/>
              </w:rPr>
              <w:t>1581</w:t>
            </w:r>
          </w:p>
        </w:tc>
      </w:tr>
      <w:tr w:rsidR="004E2F87" w:rsidRPr="0022574A" w:rsidTr="00A517F5">
        <w:tc>
          <w:tcPr>
            <w:tcW w:w="0" w:type="auto"/>
          </w:tcPr>
          <w:p w:rsidR="004E2F87" w:rsidRPr="0022574A" w:rsidRDefault="004E2F87" w:rsidP="00A517F5">
            <w:pPr>
              <w:tabs>
                <w:tab w:val="left" w:pos="-2070"/>
                <w:tab w:val="left" w:pos="-1980"/>
              </w:tabs>
              <w:rPr>
                <w:sz w:val="24"/>
                <w:szCs w:val="24"/>
              </w:rPr>
            </w:pPr>
            <w:r w:rsidRPr="0022574A">
              <w:rPr>
                <w:sz w:val="24"/>
                <w:szCs w:val="24"/>
              </w:rPr>
              <w:t>02</w:t>
            </w:r>
          </w:p>
        </w:tc>
        <w:tc>
          <w:tcPr>
            <w:tcW w:w="0" w:type="auto"/>
          </w:tcPr>
          <w:p w:rsidR="004E2F87" w:rsidRPr="0022574A" w:rsidRDefault="004E2F87" w:rsidP="00A517F5">
            <w:pPr>
              <w:tabs>
                <w:tab w:val="left" w:pos="-2070"/>
                <w:tab w:val="left" w:pos="-1980"/>
              </w:tabs>
              <w:rPr>
                <w:sz w:val="24"/>
                <w:szCs w:val="24"/>
              </w:rPr>
            </w:pPr>
            <w:r>
              <w:rPr>
                <w:sz w:val="24"/>
                <w:szCs w:val="24"/>
              </w:rPr>
              <w:t>n/a</w:t>
            </w:r>
          </w:p>
        </w:tc>
        <w:tc>
          <w:tcPr>
            <w:tcW w:w="795" w:type="dxa"/>
          </w:tcPr>
          <w:p w:rsidR="004E2F87" w:rsidRPr="0022574A" w:rsidRDefault="004E2F87" w:rsidP="00A517F5">
            <w:pPr>
              <w:tabs>
                <w:tab w:val="left" w:pos="-2070"/>
                <w:tab w:val="left" w:pos="-1980"/>
              </w:tabs>
              <w:rPr>
                <w:sz w:val="24"/>
                <w:szCs w:val="24"/>
              </w:rPr>
            </w:pPr>
            <w:r>
              <w:rPr>
                <w:sz w:val="24"/>
                <w:szCs w:val="24"/>
              </w:rPr>
              <w:t>479</w:t>
            </w:r>
          </w:p>
        </w:tc>
        <w:tc>
          <w:tcPr>
            <w:tcW w:w="1029" w:type="dxa"/>
          </w:tcPr>
          <w:p w:rsidR="004E2F87" w:rsidRPr="0022574A" w:rsidRDefault="004E2F87" w:rsidP="00A517F5">
            <w:pPr>
              <w:tabs>
                <w:tab w:val="left" w:pos="-2070"/>
                <w:tab w:val="left" w:pos="-1980"/>
              </w:tabs>
              <w:rPr>
                <w:sz w:val="24"/>
                <w:szCs w:val="24"/>
              </w:rPr>
            </w:pPr>
            <w:r>
              <w:rPr>
                <w:sz w:val="24"/>
                <w:szCs w:val="24"/>
              </w:rPr>
              <w:t>850</w:t>
            </w:r>
          </w:p>
        </w:tc>
      </w:tr>
      <w:tr w:rsidR="004E2F87" w:rsidRPr="0022574A" w:rsidTr="00A517F5">
        <w:tc>
          <w:tcPr>
            <w:tcW w:w="0" w:type="auto"/>
          </w:tcPr>
          <w:p w:rsidR="004E2F87" w:rsidRPr="0022574A" w:rsidRDefault="004E2F87" w:rsidP="00A517F5">
            <w:pPr>
              <w:tabs>
                <w:tab w:val="left" w:pos="-2070"/>
                <w:tab w:val="left" w:pos="-1980"/>
              </w:tabs>
              <w:rPr>
                <w:sz w:val="24"/>
                <w:szCs w:val="24"/>
              </w:rPr>
            </w:pPr>
            <w:r w:rsidRPr="0022574A">
              <w:rPr>
                <w:sz w:val="24"/>
                <w:szCs w:val="24"/>
              </w:rPr>
              <w:t>03</w:t>
            </w:r>
          </w:p>
        </w:tc>
        <w:tc>
          <w:tcPr>
            <w:tcW w:w="0" w:type="auto"/>
          </w:tcPr>
          <w:p w:rsidR="004E2F87" w:rsidRPr="0022574A" w:rsidRDefault="004E2F87" w:rsidP="00A517F5">
            <w:pPr>
              <w:tabs>
                <w:tab w:val="left" w:pos="-2070"/>
                <w:tab w:val="left" w:pos="-1980"/>
              </w:tabs>
              <w:rPr>
                <w:sz w:val="24"/>
                <w:szCs w:val="24"/>
              </w:rPr>
            </w:pPr>
            <w:r>
              <w:rPr>
                <w:sz w:val="24"/>
                <w:szCs w:val="24"/>
              </w:rPr>
              <w:t>n/a</w:t>
            </w:r>
          </w:p>
        </w:tc>
        <w:tc>
          <w:tcPr>
            <w:tcW w:w="795" w:type="dxa"/>
          </w:tcPr>
          <w:p w:rsidR="004E2F87" w:rsidRPr="0022574A" w:rsidRDefault="004E2F87" w:rsidP="00A517F5">
            <w:pPr>
              <w:tabs>
                <w:tab w:val="left" w:pos="-2070"/>
                <w:tab w:val="left" w:pos="-1980"/>
              </w:tabs>
              <w:rPr>
                <w:sz w:val="24"/>
                <w:szCs w:val="24"/>
              </w:rPr>
            </w:pPr>
            <w:r>
              <w:rPr>
                <w:sz w:val="24"/>
                <w:szCs w:val="24"/>
              </w:rPr>
              <w:t>389</w:t>
            </w:r>
          </w:p>
        </w:tc>
        <w:tc>
          <w:tcPr>
            <w:tcW w:w="1029" w:type="dxa"/>
          </w:tcPr>
          <w:p w:rsidR="004E2F87" w:rsidRPr="0022574A" w:rsidRDefault="004E2F87" w:rsidP="00A517F5">
            <w:pPr>
              <w:tabs>
                <w:tab w:val="left" w:pos="-2070"/>
                <w:tab w:val="left" w:pos="-1980"/>
              </w:tabs>
              <w:rPr>
                <w:sz w:val="24"/>
                <w:szCs w:val="24"/>
              </w:rPr>
            </w:pPr>
            <w:r>
              <w:rPr>
                <w:sz w:val="24"/>
                <w:szCs w:val="24"/>
              </w:rPr>
              <w:t>960</w:t>
            </w:r>
          </w:p>
        </w:tc>
      </w:tr>
      <w:tr w:rsidR="004E2F87" w:rsidRPr="0022574A" w:rsidTr="00A517F5">
        <w:tc>
          <w:tcPr>
            <w:tcW w:w="0" w:type="auto"/>
          </w:tcPr>
          <w:p w:rsidR="004E2F87" w:rsidRPr="0022574A" w:rsidRDefault="004E2F87" w:rsidP="00A517F5">
            <w:pPr>
              <w:tabs>
                <w:tab w:val="left" w:pos="-2070"/>
                <w:tab w:val="left" w:pos="-1980"/>
              </w:tabs>
              <w:rPr>
                <w:sz w:val="24"/>
                <w:szCs w:val="24"/>
              </w:rPr>
            </w:pPr>
            <w:r w:rsidRPr="0022574A">
              <w:rPr>
                <w:sz w:val="24"/>
                <w:szCs w:val="24"/>
              </w:rPr>
              <w:t>04</w:t>
            </w:r>
          </w:p>
        </w:tc>
        <w:tc>
          <w:tcPr>
            <w:tcW w:w="0" w:type="auto"/>
          </w:tcPr>
          <w:p w:rsidR="004E2F87" w:rsidRPr="0022574A" w:rsidRDefault="004E2F87" w:rsidP="00A517F5">
            <w:pPr>
              <w:tabs>
                <w:tab w:val="left" w:pos="-2070"/>
                <w:tab w:val="left" w:pos="-1980"/>
              </w:tabs>
              <w:rPr>
                <w:sz w:val="24"/>
                <w:szCs w:val="24"/>
              </w:rPr>
            </w:pPr>
            <w:r>
              <w:rPr>
                <w:sz w:val="24"/>
                <w:szCs w:val="24"/>
              </w:rPr>
              <w:t>n/a</w:t>
            </w:r>
          </w:p>
        </w:tc>
        <w:tc>
          <w:tcPr>
            <w:tcW w:w="795" w:type="dxa"/>
          </w:tcPr>
          <w:p w:rsidR="004E2F87" w:rsidRPr="0022574A" w:rsidRDefault="004E2F87" w:rsidP="00A517F5">
            <w:pPr>
              <w:tabs>
                <w:tab w:val="left" w:pos="-2070"/>
                <w:tab w:val="left" w:pos="-1980"/>
              </w:tabs>
              <w:rPr>
                <w:sz w:val="24"/>
                <w:szCs w:val="24"/>
              </w:rPr>
            </w:pPr>
            <w:r>
              <w:rPr>
                <w:sz w:val="24"/>
                <w:szCs w:val="24"/>
              </w:rPr>
              <w:t>333</w:t>
            </w:r>
          </w:p>
        </w:tc>
        <w:tc>
          <w:tcPr>
            <w:tcW w:w="1029" w:type="dxa"/>
          </w:tcPr>
          <w:p w:rsidR="004E2F87" w:rsidRPr="0022574A" w:rsidRDefault="004E2F87" w:rsidP="00A517F5">
            <w:pPr>
              <w:tabs>
                <w:tab w:val="left" w:pos="-2070"/>
                <w:tab w:val="left" w:pos="-1980"/>
              </w:tabs>
              <w:rPr>
                <w:sz w:val="24"/>
                <w:szCs w:val="24"/>
              </w:rPr>
            </w:pPr>
            <w:r>
              <w:rPr>
                <w:sz w:val="24"/>
                <w:szCs w:val="24"/>
              </w:rPr>
              <w:t>892</w:t>
            </w:r>
          </w:p>
        </w:tc>
      </w:tr>
      <w:tr w:rsidR="004E2F87" w:rsidRPr="0022574A" w:rsidTr="00A517F5">
        <w:tc>
          <w:tcPr>
            <w:tcW w:w="0" w:type="auto"/>
          </w:tcPr>
          <w:p w:rsidR="004E2F87" w:rsidRPr="0022574A" w:rsidRDefault="004E2F87" w:rsidP="00A517F5">
            <w:pPr>
              <w:tabs>
                <w:tab w:val="left" w:pos="-2070"/>
                <w:tab w:val="left" w:pos="-1980"/>
              </w:tabs>
              <w:rPr>
                <w:sz w:val="24"/>
                <w:szCs w:val="24"/>
              </w:rPr>
            </w:pPr>
            <w:r w:rsidRPr="0022574A">
              <w:rPr>
                <w:sz w:val="24"/>
                <w:szCs w:val="24"/>
              </w:rPr>
              <w:t>05</w:t>
            </w:r>
          </w:p>
        </w:tc>
        <w:tc>
          <w:tcPr>
            <w:tcW w:w="0" w:type="auto"/>
          </w:tcPr>
          <w:p w:rsidR="004E2F87" w:rsidRPr="0022574A" w:rsidRDefault="004E2F87" w:rsidP="00A517F5">
            <w:pPr>
              <w:tabs>
                <w:tab w:val="left" w:pos="-2070"/>
                <w:tab w:val="left" w:pos="-1980"/>
              </w:tabs>
              <w:rPr>
                <w:sz w:val="24"/>
                <w:szCs w:val="24"/>
              </w:rPr>
            </w:pPr>
            <w:r>
              <w:rPr>
                <w:sz w:val="24"/>
                <w:szCs w:val="24"/>
              </w:rPr>
              <w:t>n/a</w:t>
            </w:r>
          </w:p>
        </w:tc>
        <w:tc>
          <w:tcPr>
            <w:tcW w:w="795" w:type="dxa"/>
          </w:tcPr>
          <w:p w:rsidR="004E2F87" w:rsidRPr="0022574A" w:rsidRDefault="004E2F87" w:rsidP="00A517F5">
            <w:pPr>
              <w:tabs>
                <w:tab w:val="left" w:pos="-2070"/>
                <w:tab w:val="left" w:pos="-1980"/>
              </w:tabs>
              <w:rPr>
                <w:sz w:val="24"/>
                <w:szCs w:val="24"/>
              </w:rPr>
            </w:pPr>
            <w:r>
              <w:rPr>
                <w:sz w:val="24"/>
                <w:szCs w:val="24"/>
              </w:rPr>
              <w:t>269</w:t>
            </w:r>
          </w:p>
        </w:tc>
        <w:tc>
          <w:tcPr>
            <w:tcW w:w="1029" w:type="dxa"/>
          </w:tcPr>
          <w:p w:rsidR="004E2F87" w:rsidRPr="0022574A" w:rsidRDefault="004E2F87" w:rsidP="00A517F5">
            <w:pPr>
              <w:tabs>
                <w:tab w:val="left" w:pos="-2070"/>
                <w:tab w:val="left" w:pos="-1980"/>
              </w:tabs>
              <w:rPr>
                <w:sz w:val="24"/>
                <w:szCs w:val="24"/>
              </w:rPr>
            </w:pPr>
            <w:r>
              <w:rPr>
                <w:sz w:val="24"/>
                <w:szCs w:val="24"/>
              </w:rPr>
              <w:t>735</w:t>
            </w:r>
          </w:p>
        </w:tc>
      </w:tr>
      <w:tr w:rsidR="004E2F87" w:rsidRPr="0022574A" w:rsidTr="00A517F5">
        <w:tc>
          <w:tcPr>
            <w:tcW w:w="0" w:type="auto"/>
          </w:tcPr>
          <w:p w:rsidR="004E2F87" w:rsidRPr="0022574A" w:rsidRDefault="004E2F87" w:rsidP="00A517F5">
            <w:pPr>
              <w:tabs>
                <w:tab w:val="left" w:pos="-2070"/>
                <w:tab w:val="left" w:pos="-1980"/>
              </w:tabs>
              <w:rPr>
                <w:sz w:val="24"/>
                <w:szCs w:val="24"/>
              </w:rPr>
            </w:pPr>
            <w:r w:rsidRPr="0022574A">
              <w:rPr>
                <w:sz w:val="24"/>
                <w:szCs w:val="24"/>
              </w:rPr>
              <w:t>06</w:t>
            </w:r>
          </w:p>
        </w:tc>
        <w:tc>
          <w:tcPr>
            <w:tcW w:w="0" w:type="auto"/>
          </w:tcPr>
          <w:p w:rsidR="004E2F87" w:rsidRPr="0022574A" w:rsidRDefault="004E2F87" w:rsidP="00A517F5">
            <w:pPr>
              <w:tabs>
                <w:tab w:val="left" w:pos="-2070"/>
                <w:tab w:val="left" w:pos="-1980"/>
              </w:tabs>
              <w:rPr>
                <w:sz w:val="24"/>
                <w:szCs w:val="24"/>
              </w:rPr>
            </w:pPr>
            <w:r>
              <w:rPr>
                <w:sz w:val="24"/>
                <w:szCs w:val="24"/>
              </w:rPr>
              <w:t>n/a</w:t>
            </w:r>
          </w:p>
        </w:tc>
        <w:tc>
          <w:tcPr>
            <w:tcW w:w="795" w:type="dxa"/>
          </w:tcPr>
          <w:p w:rsidR="004E2F87" w:rsidRPr="0022574A" w:rsidRDefault="004E2F87" w:rsidP="00A517F5">
            <w:pPr>
              <w:tabs>
                <w:tab w:val="left" w:pos="-2070"/>
                <w:tab w:val="left" w:pos="-1980"/>
              </w:tabs>
              <w:rPr>
                <w:sz w:val="24"/>
                <w:szCs w:val="24"/>
              </w:rPr>
            </w:pPr>
            <w:r>
              <w:rPr>
                <w:sz w:val="24"/>
                <w:szCs w:val="24"/>
              </w:rPr>
              <w:t>744</w:t>
            </w:r>
          </w:p>
        </w:tc>
        <w:tc>
          <w:tcPr>
            <w:tcW w:w="1029" w:type="dxa"/>
          </w:tcPr>
          <w:p w:rsidR="004E2F87" w:rsidRPr="0022574A" w:rsidRDefault="004E2F87" w:rsidP="00A517F5">
            <w:pPr>
              <w:tabs>
                <w:tab w:val="left" w:pos="-2070"/>
                <w:tab w:val="left" w:pos="-1980"/>
              </w:tabs>
              <w:rPr>
                <w:sz w:val="24"/>
                <w:szCs w:val="24"/>
              </w:rPr>
            </w:pPr>
            <w:r>
              <w:rPr>
                <w:sz w:val="24"/>
                <w:szCs w:val="24"/>
              </w:rPr>
              <w:t>737</w:t>
            </w:r>
          </w:p>
        </w:tc>
      </w:tr>
      <w:tr w:rsidR="004E2F87" w:rsidRPr="0022574A" w:rsidTr="00A517F5">
        <w:tc>
          <w:tcPr>
            <w:tcW w:w="0" w:type="auto"/>
          </w:tcPr>
          <w:p w:rsidR="004E2F87" w:rsidRPr="0022574A" w:rsidRDefault="004E2F87" w:rsidP="00A517F5">
            <w:pPr>
              <w:tabs>
                <w:tab w:val="left" w:pos="-2070"/>
                <w:tab w:val="left" w:pos="-1980"/>
              </w:tabs>
              <w:rPr>
                <w:sz w:val="24"/>
                <w:szCs w:val="24"/>
              </w:rPr>
            </w:pPr>
            <w:r w:rsidRPr="0022574A">
              <w:rPr>
                <w:sz w:val="24"/>
                <w:szCs w:val="24"/>
              </w:rPr>
              <w:t>07</w:t>
            </w:r>
          </w:p>
        </w:tc>
        <w:tc>
          <w:tcPr>
            <w:tcW w:w="0" w:type="auto"/>
          </w:tcPr>
          <w:p w:rsidR="004E2F87" w:rsidRPr="0022574A" w:rsidRDefault="004E2F87" w:rsidP="00A517F5">
            <w:pPr>
              <w:tabs>
                <w:tab w:val="left" w:pos="-2070"/>
                <w:tab w:val="left" w:pos="-1980"/>
              </w:tabs>
              <w:rPr>
                <w:sz w:val="24"/>
                <w:szCs w:val="24"/>
              </w:rPr>
            </w:pPr>
            <w:r>
              <w:rPr>
                <w:sz w:val="24"/>
                <w:szCs w:val="24"/>
              </w:rPr>
              <w:t>n/a</w:t>
            </w:r>
          </w:p>
        </w:tc>
        <w:tc>
          <w:tcPr>
            <w:tcW w:w="795" w:type="dxa"/>
          </w:tcPr>
          <w:p w:rsidR="004E2F87" w:rsidRPr="0022574A" w:rsidRDefault="004E2F87" w:rsidP="00A517F5">
            <w:pPr>
              <w:tabs>
                <w:tab w:val="left" w:pos="-2070"/>
                <w:tab w:val="left" w:pos="-1980"/>
              </w:tabs>
              <w:rPr>
                <w:sz w:val="24"/>
                <w:szCs w:val="24"/>
              </w:rPr>
            </w:pPr>
            <w:r>
              <w:rPr>
                <w:sz w:val="24"/>
                <w:szCs w:val="24"/>
              </w:rPr>
              <w:t>1020</w:t>
            </w:r>
          </w:p>
        </w:tc>
        <w:tc>
          <w:tcPr>
            <w:tcW w:w="1029" w:type="dxa"/>
          </w:tcPr>
          <w:p w:rsidR="004E2F87" w:rsidRPr="0022574A" w:rsidRDefault="004E2F87" w:rsidP="00A517F5">
            <w:pPr>
              <w:tabs>
                <w:tab w:val="left" w:pos="-2070"/>
                <w:tab w:val="left" w:pos="-1980"/>
              </w:tabs>
              <w:rPr>
                <w:sz w:val="24"/>
                <w:szCs w:val="24"/>
              </w:rPr>
            </w:pPr>
            <w:r>
              <w:rPr>
                <w:sz w:val="24"/>
                <w:szCs w:val="24"/>
              </w:rPr>
              <w:t>976</w:t>
            </w:r>
          </w:p>
        </w:tc>
      </w:tr>
      <w:tr w:rsidR="004E2F87" w:rsidRPr="0022574A" w:rsidTr="00A517F5">
        <w:tc>
          <w:tcPr>
            <w:tcW w:w="0" w:type="auto"/>
          </w:tcPr>
          <w:p w:rsidR="004E2F87" w:rsidRPr="0022574A" w:rsidRDefault="004E2F87" w:rsidP="00A517F5">
            <w:pPr>
              <w:tabs>
                <w:tab w:val="left" w:pos="-2070"/>
                <w:tab w:val="left" w:pos="-1980"/>
              </w:tabs>
              <w:rPr>
                <w:sz w:val="24"/>
                <w:szCs w:val="24"/>
              </w:rPr>
            </w:pPr>
            <w:r w:rsidRPr="0022574A">
              <w:rPr>
                <w:sz w:val="24"/>
                <w:szCs w:val="24"/>
              </w:rPr>
              <w:t>08</w:t>
            </w:r>
          </w:p>
        </w:tc>
        <w:tc>
          <w:tcPr>
            <w:tcW w:w="0" w:type="auto"/>
          </w:tcPr>
          <w:p w:rsidR="004E2F87" w:rsidRPr="0022574A" w:rsidRDefault="004E2F87" w:rsidP="00A517F5">
            <w:pPr>
              <w:tabs>
                <w:tab w:val="left" w:pos="-2070"/>
                <w:tab w:val="left" w:pos="-1980"/>
              </w:tabs>
              <w:rPr>
                <w:sz w:val="24"/>
                <w:szCs w:val="24"/>
              </w:rPr>
            </w:pPr>
            <w:r>
              <w:rPr>
                <w:sz w:val="24"/>
                <w:szCs w:val="24"/>
              </w:rPr>
              <w:t>n/a</w:t>
            </w:r>
          </w:p>
        </w:tc>
        <w:tc>
          <w:tcPr>
            <w:tcW w:w="795" w:type="dxa"/>
          </w:tcPr>
          <w:p w:rsidR="004E2F87" w:rsidRPr="0022574A" w:rsidRDefault="004E2F87" w:rsidP="00A517F5">
            <w:pPr>
              <w:tabs>
                <w:tab w:val="left" w:pos="-2070"/>
                <w:tab w:val="left" w:pos="-1980"/>
              </w:tabs>
              <w:rPr>
                <w:sz w:val="24"/>
                <w:szCs w:val="24"/>
              </w:rPr>
            </w:pPr>
            <w:r>
              <w:rPr>
                <w:sz w:val="24"/>
                <w:szCs w:val="24"/>
              </w:rPr>
              <w:t>693</w:t>
            </w:r>
          </w:p>
        </w:tc>
        <w:tc>
          <w:tcPr>
            <w:tcW w:w="1029" w:type="dxa"/>
          </w:tcPr>
          <w:p w:rsidR="004E2F87" w:rsidRPr="0022574A" w:rsidRDefault="004E2F87" w:rsidP="00A517F5">
            <w:pPr>
              <w:tabs>
                <w:tab w:val="left" w:pos="-2070"/>
                <w:tab w:val="left" w:pos="-1980"/>
              </w:tabs>
              <w:rPr>
                <w:sz w:val="24"/>
                <w:szCs w:val="24"/>
              </w:rPr>
            </w:pPr>
            <w:r>
              <w:rPr>
                <w:sz w:val="24"/>
                <w:szCs w:val="24"/>
              </w:rPr>
              <w:t>862</w:t>
            </w:r>
          </w:p>
        </w:tc>
      </w:tr>
      <w:tr w:rsidR="004E2F87" w:rsidRPr="0022574A" w:rsidTr="00A517F5">
        <w:tc>
          <w:tcPr>
            <w:tcW w:w="0" w:type="auto"/>
          </w:tcPr>
          <w:p w:rsidR="004E2F87" w:rsidRPr="0022574A" w:rsidRDefault="004E2F87" w:rsidP="00A517F5">
            <w:pPr>
              <w:tabs>
                <w:tab w:val="left" w:pos="-2070"/>
                <w:tab w:val="left" w:pos="-1980"/>
              </w:tabs>
              <w:rPr>
                <w:sz w:val="24"/>
                <w:szCs w:val="24"/>
              </w:rPr>
            </w:pPr>
            <w:r w:rsidRPr="0022574A">
              <w:rPr>
                <w:sz w:val="24"/>
                <w:szCs w:val="24"/>
              </w:rPr>
              <w:t>09</w:t>
            </w:r>
          </w:p>
        </w:tc>
        <w:tc>
          <w:tcPr>
            <w:tcW w:w="0" w:type="auto"/>
          </w:tcPr>
          <w:p w:rsidR="004E2F87" w:rsidRPr="0022574A" w:rsidRDefault="004E2F87" w:rsidP="00A517F5">
            <w:pPr>
              <w:tabs>
                <w:tab w:val="left" w:pos="-2070"/>
                <w:tab w:val="left" w:pos="-1980"/>
              </w:tabs>
              <w:rPr>
                <w:sz w:val="24"/>
                <w:szCs w:val="24"/>
              </w:rPr>
            </w:pPr>
            <w:r>
              <w:rPr>
                <w:sz w:val="24"/>
                <w:szCs w:val="24"/>
              </w:rPr>
              <w:t>286</w:t>
            </w:r>
          </w:p>
        </w:tc>
        <w:tc>
          <w:tcPr>
            <w:tcW w:w="795" w:type="dxa"/>
          </w:tcPr>
          <w:p w:rsidR="004E2F87" w:rsidRPr="0022574A" w:rsidRDefault="004E2F87" w:rsidP="00A517F5">
            <w:pPr>
              <w:tabs>
                <w:tab w:val="left" w:pos="-2070"/>
                <w:tab w:val="left" w:pos="-1980"/>
              </w:tabs>
              <w:rPr>
                <w:sz w:val="24"/>
                <w:szCs w:val="24"/>
              </w:rPr>
            </w:pPr>
            <w:r>
              <w:rPr>
                <w:sz w:val="24"/>
                <w:szCs w:val="24"/>
              </w:rPr>
              <w:t>565</w:t>
            </w:r>
          </w:p>
        </w:tc>
        <w:tc>
          <w:tcPr>
            <w:tcW w:w="1029" w:type="dxa"/>
          </w:tcPr>
          <w:p w:rsidR="004E2F87" w:rsidRPr="0022574A" w:rsidRDefault="004E2F87" w:rsidP="00A517F5">
            <w:pPr>
              <w:tabs>
                <w:tab w:val="left" w:pos="-2070"/>
                <w:tab w:val="left" w:pos="-1980"/>
              </w:tabs>
              <w:rPr>
                <w:sz w:val="24"/>
                <w:szCs w:val="24"/>
              </w:rPr>
            </w:pPr>
            <w:r>
              <w:rPr>
                <w:sz w:val="24"/>
                <w:szCs w:val="24"/>
              </w:rPr>
              <w:t>525</w:t>
            </w:r>
          </w:p>
        </w:tc>
      </w:tr>
      <w:tr w:rsidR="004E2F87" w:rsidRPr="0022574A" w:rsidTr="00A517F5">
        <w:tc>
          <w:tcPr>
            <w:tcW w:w="0" w:type="auto"/>
          </w:tcPr>
          <w:p w:rsidR="004E2F87" w:rsidRPr="0022574A" w:rsidRDefault="004E2F87" w:rsidP="00A517F5">
            <w:pPr>
              <w:tabs>
                <w:tab w:val="left" w:pos="-2070"/>
                <w:tab w:val="left" w:pos="-1980"/>
              </w:tabs>
              <w:rPr>
                <w:sz w:val="24"/>
                <w:szCs w:val="24"/>
              </w:rPr>
            </w:pPr>
            <w:r w:rsidRPr="0022574A">
              <w:rPr>
                <w:sz w:val="24"/>
                <w:szCs w:val="24"/>
              </w:rPr>
              <w:t>10</w:t>
            </w:r>
          </w:p>
        </w:tc>
        <w:tc>
          <w:tcPr>
            <w:tcW w:w="0" w:type="auto"/>
          </w:tcPr>
          <w:p w:rsidR="004E2F87" w:rsidRPr="0022574A" w:rsidRDefault="004E2F87" w:rsidP="00A517F5">
            <w:pPr>
              <w:tabs>
                <w:tab w:val="left" w:pos="-2070"/>
                <w:tab w:val="left" w:pos="-1980"/>
              </w:tabs>
              <w:rPr>
                <w:sz w:val="24"/>
                <w:szCs w:val="24"/>
              </w:rPr>
            </w:pPr>
            <w:r>
              <w:rPr>
                <w:sz w:val="24"/>
                <w:szCs w:val="24"/>
              </w:rPr>
              <w:t>453</w:t>
            </w:r>
          </w:p>
        </w:tc>
        <w:tc>
          <w:tcPr>
            <w:tcW w:w="795" w:type="dxa"/>
          </w:tcPr>
          <w:p w:rsidR="004E2F87" w:rsidRPr="0022574A" w:rsidRDefault="004E2F87" w:rsidP="00A517F5">
            <w:pPr>
              <w:tabs>
                <w:tab w:val="left" w:pos="-2070"/>
                <w:tab w:val="left" w:pos="-1980"/>
              </w:tabs>
              <w:rPr>
                <w:sz w:val="24"/>
                <w:szCs w:val="24"/>
              </w:rPr>
            </w:pPr>
            <w:r>
              <w:rPr>
                <w:sz w:val="24"/>
                <w:szCs w:val="24"/>
              </w:rPr>
              <w:t>396</w:t>
            </w:r>
          </w:p>
        </w:tc>
        <w:tc>
          <w:tcPr>
            <w:tcW w:w="1029" w:type="dxa"/>
          </w:tcPr>
          <w:p w:rsidR="004E2F87" w:rsidRPr="0022574A" w:rsidRDefault="004E2F87" w:rsidP="00A517F5">
            <w:pPr>
              <w:tabs>
                <w:tab w:val="left" w:pos="-2070"/>
                <w:tab w:val="left" w:pos="-1980"/>
              </w:tabs>
              <w:rPr>
                <w:sz w:val="24"/>
                <w:szCs w:val="24"/>
              </w:rPr>
            </w:pPr>
            <w:r>
              <w:rPr>
                <w:sz w:val="24"/>
                <w:szCs w:val="24"/>
              </w:rPr>
              <w:t>280</w:t>
            </w:r>
          </w:p>
        </w:tc>
      </w:tr>
      <w:tr w:rsidR="004E2F87" w:rsidRPr="0022574A" w:rsidTr="00A517F5">
        <w:tc>
          <w:tcPr>
            <w:tcW w:w="0" w:type="auto"/>
          </w:tcPr>
          <w:p w:rsidR="004E2F87" w:rsidRPr="0022574A" w:rsidRDefault="004E2F87" w:rsidP="00A517F5">
            <w:pPr>
              <w:tabs>
                <w:tab w:val="left" w:pos="-2070"/>
                <w:tab w:val="left" w:pos="-1980"/>
              </w:tabs>
              <w:rPr>
                <w:sz w:val="24"/>
                <w:szCs w:val="24"/>
              </w:rPr>
            </w:pPr>
            <w:r w:rsidRPr="0022574A">
              <w:rPr>
                <w:sz w:val="24"/>
                <w:szCs w:val="24"/>
              </w:rPr>
              <w:t>11</w:t>
            </w:r>
          </w:p>
        </w:tc>
        <w:tc>
          <w:tcPr>
            <w:tcW w:w="0" w:type="auto"/>
          </w:tcPr>
          <w:p w:rsidR="004E2F87" w:rsidRPr="0022574A" w:rsidRDefault="004E2F87" w:rsidP="00A517F5">
            <w:pPr>
              <w:tabs>
                <w:tab w:val="left" w:pos="-2070"/>
                <w:tab w:val="left" w:pos="-1980"/>
              </w:tabs>
              <w:rPr>
                <w:sz w:val="24"/>
                <w:szCs w:val="24"/>
              </w:rPr>
            </w:pPr>
            <w:r>
              <w:rPr>
                <w:sz w:val="24"/>
                <w:szCs w:val="24"/>
              </w:rPr>
              <w:t>444</w:t>
            </w:r>
          </w:p>
        </w:tc>
        <w:tc>
          <w:tcPr>
            <w:tcW w:w="795" w:type="dxa"/>
          </w:tcPr>
          <w:p w:rsidR="004E2F87" w:rsidRPr="0022574A" w:rsidRDefault="004E2F87" w:rsidP="00A517F5">
            <w:pPr>
              <w:tabs>
                <w:tab w:val="left" w:pos="-2070"/>
                <w:tab w:val="left" w:pos="-1980"/>
              </w:tabs>
              <w:rPr>
                <w:sz w:val="24"/>
                <w:szCs w:val="24"/>
              </w:rPr>
            </w:pPr>
            <w:r>
              <w:rPr>
                <w:sz w:val="24"/>
                <w:szCs w:val="24"/>
              </w:rPr>
              <w:t>1492</w:t>
            </w:r>
          </w:p>
        </w:tc>
        <w:tc>
          <w:tcPr>
            <w:tcW w:w="1029" w:type="dxa"/>
          </w:tcPr>
          <w:p w:rsidR="004E2F87" w:rsidRPr="0022574A" w:rsidRDefault="004E2F87" w:rsidP="00A517F5">
            <w:pPr>
              <w:tabs>
                <w:tab w:val="left" w:pos="-2070"/>
                <w:tab w:val="left" w:pos="-1980"/>
              </w:tabs>
              <w:rPr>
                <w:sz w:val="24"/>
                <w:szCs w:val="24"/>
              </w:rPr>
            </w:pPr>
            <w:r>
              <w:rPr>
                <w:sz w:val="24"/>
                <w:szCs w:val="24"/>
              </w:rPr>
              <w:t>726</w:t>
            </w:r>
          </w:p>
        </w:tc>
      </w:tr>
      <w:tr w:rsidR="004E2F87" w:rsidRPr="0022574A" w:rsidTr="00A517F5">
        <w:tc>
          <w:tcPr>
            <w:tcW w:w="0" w:type="auto"/>
          </w:tcPr>
          <w:p w:rsidR="004E2F87" w:rsidRPr="0022574A" w:rsidRDefault="004E2F87" w:rsidP="00A517F5">
            <w:pPr>
              <w:tabs>
                <w:tab w:val="left" w:pos="-2070"/>
                <w:tab w:val="left" w:pos="-1980"/>
              </w:tabs>
              <w:rPr>
                <w:sz w:val="24"/>
                <w:szCs w:val="24"/>
              </w:rPr>
            </w:pPr>
            <w:r w:rsidRPr="0022574A">
              <w:rPr>
                <w:sz w:val="24"/>
                <w:szCs w:val="24"/>
              </w:rPr>
              <w:t>12</w:t>
            </w:r>
          </w:p>
        </w:tc>
        <w:tc>
          <w:tcPr>
            <w:tcW w:w="0" w:type="auto"/>
          </w:tcPr>
          <w:p w:rsidR="004E2F87" w:rsidRPr="0022574A" w:rsidRDefault="004E2F87" w:rsidP="00A517F5">
            <w:pPr>
              <w:tabs>
                <w:tab w:val="left" w:pos="-2070"/>
                <w:tab w:val="left" w:pos="-1980"/>
              </w:tabs>
              <w:rPr>
                <w:sz w:val="24"/>
                <w:szCs w:val="24"/>
              </w:rPr>
            </w:pPr>
            <w:r>
              <w:rPr>
                <w:sz w:val="24"/>
                <w:szCs w:val="24"/>
              </w:rPr>
              <w:t>594</w:t>
            </w:r>
          </w:p>
        </w:tc>
        <w:tc>
          <w:tcPr>
            <w:tcW w:w="795" w:type="dxa"/>
          </w:tcPr>
          <w:p w:rsidR="004E2F87" w:rsidRPr="0022574A" w:rsidRDefault="004E2F87" w:rsidP="00A517F5">
            <w:pPr>
              <w:tabs>
                <w:tab w:val="left" w:pos="-2070"/>
                <w:tab w:val="left" w:pos="-1980"/>
              </w:tabs>
              <w:rPr>
                <w:sz w:val="24"/>
                <w:szCs w:val="24"/>
              </w:rPr>
            </w:pPr>
            <w:r>
              <w:rPr>
                <w:sz w:val="24"/>
                <w:szCs w:val="24"/>
              </w:rPr>
              <w:t>2104</w:t>
            </w:r>
          </w:p>
        </w:tc>
        <w:tc>
          <w:tcPr>
            <w:tcW w:w="1029" w:type="dxa"/>
          </w:tcPr>
          <w:p w:rsidR="004E2F87" w:rsidRPr="0022574A" w:rsidRDefault="004E2F87" w:rsidP="00A517F5">
            <w:pPr>
              <w:tabs>
                <w:tab w:val="left" w:pos="-2070"/>
                <w:tab w:val="left" w:pos="-1980"/>
              </w:tabs>
              <w:rPr>
                <w:sz w:val="24"/>
                <w:szCs w:val="24"/>
              </w:rPr>
            </w:pPr>
            <w:r>
              <w:rPr>
                <w:sz w:val="24"/>
                <w:szCs w:val="24"/>
              </w:rPr>
              <w:t>754</w:t>
            </w:r>
          </w:p>
        </w:tc>
      </w:tr>
    </w:tbl>
    <w:p w:rsidR="004E2F87" w:rsidRDefault="004E2F87" w:rsidP="00CA5AB3">
      <w:pPr>
        <w:widowControl/>
        <w:spacing w:line="360" w:lineRule="auto"/>
        <w:rPr>
          <w:sz w:val="26"/>
          <w:szCs w:val="26"/>
        </w:rPr>
      </w:pPr>
    </w:p>
    <w:p w:rsidR="005C6431" w:rsidRDefault="004E2F87" w:rsidP="00CA5AB3">
      <w:pPr>
        <w:widowControl/>
        <w:spacing w:line="360" w:lineRule="auto"/>
        <w:rPr>
          <w:sz w:val="26"/>
          <w:szCs w:val="26"/>
        </w:rPr>
      </w:pPr>
      <w:r>
        <w:rPr>
          <w:sz w:val="26"/>
          <w:szCs w:val="26"/>
        </w:rPr>
        <w:t xml:space="preserve">I.D. at 7, </w:t>
      </w:r>
      <w:r w:rsidR="00370A42">
        <w:rPr>
          <w:sz w:val="26"/>
          <w:szCs w:val="26"/>
        </w:rPr>
        <w:t>12, citing</w:t>
      </w:r>
      <w:r>
        <w:rPr>
          <w:sz w:val="26"/>
          <w:szCs w:val="26"/>
        </w:rPr>
        <w:t xml:space="preserve"> PECO Exh. 1.</w:t>
      </w:r>
      <w:r w:rsidR="009E46BF">
        <w:rPr>
          <w:sz w:val="26"/>
          <w:szCs w:val="26"/>
        </w:rPr>
        <w:t xml:space="preserve">  Based on this information, the ALJ found that</w:t>
      </w:r>
      <w:r>
        <w:rPr>
          <w:sz w:val="26"/>
          <w:szCs w:val="26"/>
        </w:rPr>
        <w:t xml:space="preserve"> the Complainant’s household energy usage was </w:t>
      </w:r>
      <w:r w:rsidR="00370A42">
        <w:rPr>
          <w:sz w:val="26"/>
          <w:szCs w:val="26"/>
        </w:rPr>
        <w:t>commensurate with what PECO had determined to be the potential</w:t>
      </w:r>
      <w:r w:rsidR="00066ADC">
        <w:rPr>
          <w:sz w:val="26"/>
          <w:szCs w:val="26"/>
        </w:rPr>
        <w:t xml:space="preserve"> monthly </w:t>
      </w:r>
      <w:r w:rsidR="00370A42">
        <w:rPr>
          <w:sz w:val="26"/>
          <w:szCs w:val="26"/>
        </w:rPr>
        <w:t xml:space="preserve">winter usage for the household, </w:t>
      </w:r>
      <w:r w:rsidR="00370A42" w:rsidRPr="007D2E1E">
        <w:rPr>
          <w:sz w:val="26"/>
          <w:szCs w:val="26"/>
        </w:rPr>
        <w:t>with the exception of the usage shown for November and December of 201</w:t>
      </w:r>
      <w:r w:rsidR="005E6D97">
        <w:rPr>
          <w:sz w:val="26"/>
          <w:szCs w:val="26"/>
        </w:rPr>
        <w:t>1</w:t>
      </w:r>
      <w:r w:rsidR="000205EA" w:rsidRPr="007D2E1E">
        <w:rPr>
          <w:sz w:val="26"/>
          <w:szCs w:val="26"/>
        </w:rPr>
        <w:t>,</w:t>
      </w:r>
      <w:r w:rsidR="000205EA">
        <w:rPr>
          <w:sz w:val="26"/>
          <w:szCs w:val="26"/>
        </w:rPr>
        <w:t xml:space="preserve"> which exceeded the estimated </w:t>
      </w:r>
      <w:r w:rsidR="000205EA">
        <w:rPr>
          <w:sz w:val="26"/>
          <w:szCs w:val="26"/>
        </w:rPr>
        <w:lastRenderedPageBreak/>
        <w:t>potential</w:t>
      </w:r>
      <w:r w:rsidR="00370A42">
        <w:rPr>
          <w:sz w:val="26"/>
          <w:szCs w:val="26"/>
        </w:rPr>
        <w:t>.  I.D. at 12, citing PECO Exh. 6.</w:t>
      </w:r>
      <w:r w:rsidR="00066ADC">
        <w:rPr>
          <w:rStyle w:val="FootnoteReference"/>
          <w:sz w:val="26"/>
          <w:szCs w:val="26"/>
        </w:rPr>
        <w:footnoteReference w:id="3"/>
      </w:r>
      <w:r w:rsidR="00862B94">
        <w:rPr>
          <w:sz w:val="26"/>
          <w:szCs w:val="26"/>
        </w:rPr>
        <w:t xml:space="preserve">  However, the ALJ stated that the excessive usage for these months may have bee</w:t>
      </w:r>
      <w:r w:rsidR="00A31563">
        <w:rPr>
          <w:sz w:val="26"/>
          <w:szCs w:val="26"/>
        </w:rPr>
        <w:t>n caused by the continuous use</w:t>
      </w:r>
      <w:r w:rsidR="00FB21FA">
        <w:rPr>
          <w:sz w:val="26"/>
          <w:szCs w:val="26"/>
        </w:rPr>
        <w:t xml:space="preserve"> of a space heater in </w:t>
      </w:r>
      <w:r w:rsidR="00862B94">
        <w:rPr>
          <w:sz w:val="26"/>
          <w:szCs w:val="26"/>
        </w:rPr>
        <w:t xml:space="preserve">the bathroom, as well as </w:t>
      </w:r>
      <w:r w:rsidR="00FB21FA">
        <w:rPr>
          <w:sz w:val="26"/>
          <w:szCs w:val="26"/>
        </w:rPr>
        <w:t xml:space="preserve">the </w:t>
      </w:r>
      <w:r w:rsidR="00862B94">
        <w:rPr>
          <w:sz w:val="26"/>
          <w:szCs w:val="26"/>
        </w:rPr>
        <w:t xml:space="preserve">use of </w:t>
      </w:r>
      <w:r w:rsidR="00A31563">
        <w:rPr>
          <w:sz w:val="26"/>
          <w:szCs w:val="26"/>
        </w:rPr>
        <w:t>air purifiers in the Compl</w:t>
      </w:r>
      <w:r w:rsidR="000A69B1">
        <w:rPr>
          <w:sz w:val="26"/>
          <w:szCs w:val="26"/>
        </w:rPr>
        <w:t>ainant’s residence.</w:t>
      </w:r>
      <w:r w:rsidR="00C36513">
        <w:rPr>
          <w:sz w:val="26"/>
          <w:szCs w:val="26"/>
        </w:rPr>
        <w:t xml:space="preserve">  In addition, the ALJ noted that the filter in the Complainant’s furnace was in need of replacement, which would cause the furnace blower to run continuously a</w:t>
      </w:r>
      <w:r w:rsidR="000A69B1">
        <w:rPr>
          <w:sz w:val="26"/>
          <w:szCs w:val="26"/>
        </w:rPr>
        <w:t>nd increase electricity usage.  I.D. at 12.</w:t>
      </w:r>
    </w:p>
    <w:p w:rsidR="007E5504" w:rsidRDefault="007E5504" w:rsidP="00CA5AB3">
      <w:pPr>
        <w:widowControl/>
        <w:spacing w:line="360" w:lineRule="auto"/>
        <w:rPr>
          <w:sz w:val="26"/>
          <w:szCs w:val="26"/>
        </w:rPr>
      </w:pPr>
    </w:p>
    <w:p w:rsidR="007E5504" w:rsidRPr="0088313D" w:rsidRDefault="007E5504" w:rsidP="00CA5AB3">
      <w:pPr>
        <w:widowControl/>
        <w:spacing w:line="360" w:lineRule="auto"/>
        <w:rPr>
          <w:sz w:val="26"/>
          <w:szCs w:val="26"/>
        </w:rPr>
      </w:pPr>
      <w:r>
        <w:rPr>
          <w:sz w:val="26"/>
          <w:szCs w:val="26"/>
        </w:rPr>
        <w:tab/>
      </w:r>
      <w:r>
        <w:rPr>
          <w:sz w:val="26"/>
          <w:szCs w:val="26"/>
        </w:rPr>
        <w:tab/>
        <w:t>The ALJ also found that PECO produced uncontradicted evidence that it verified that the electric meter at the Complainant’s residence was regis</w:t>
      </w:r>
      <w:r w:rsidR="00CA5AB3">
        <w:rPr>
          <w:sz w:val="26"/>
          <w:szCs w:val="26"/>
        </w:rPr>
        <w:t>tering accurately</w:t>
      </w:r>
      <w:r w:rsidR="007C385F">
        <w:rPr>
          <w:sz w:val="26"/>
          <w:szCs w:val="26"/>
        </w:rPr>
        <w:t xml:space="preserve">.  In addition, the ALJ </w:t>
      </w:r>
      <w:r>
        <w:rPr>
          <w:sz w:val="26"/>
          <w:szCs w:val="26"/>
        </w:rPr>
        <w:t>stated</w:t>
      </w:r>
      <w:r w:rsidR="007C385F">
        <w:rPr>
          <w:sz w:val="26"/>
          <w:szCs w:val="26"/>
        </w:rPr>
        <w:t xml:space="preserve"> that the evidence shows there was</w:t>
      </w:r>
      <w:r>
        <w:rPr>
          <w:sz w:val="26"/>
          <w:szCs w:val="26"/>
        </w:rPr>
        <w:t xml:space="preserve"> no change in occupancy in the Complainant’s household fr</w:t>
      </w:r>
      <w:r w:rsidR="007C385F">
        <w:rPr>
          <w:sz w:val="26"/>
          <w:szCs w:val="26"/>
        </w:rPr>
        <w:t xml:space="preserve">om August 2010 to the present.  </w:t>
      </w:r>
      <w:r>
        <w:rPr>
          <w:sz w:val="26"/>
          <w:szCs w:val="26"/>
        </w:rPr>
        <w:t xml:space="preserve">The ALJ </w:t>
      </w:r>
      <w:r w:rsidR="006108D0">
        <w:rPr>
          <w:sz w:val="26"/>
          <w:szCs w:val="26"/>
        </w:rPr>
        <w:t>determined</w:t>
      </w:r>
      <w:r>
        <w:rPr>
          <w:sz w:val="26"/>
          <w:szCs w:val="26"/>
        </w:rPr>
        <w:t xml:space="preserve"> that </w:t>
      </w:r>
      <w:r w:rsidR="007C385F">
        <w:rPr>
          <w:sz w:val="26"/>
          <w:szCs w:val="26"/>
        </w:rPr>
        <w:t xml:space="preserve">there was no other evidence presented by the Complainant that would be relevant to show that the household’s bills were unreasonably high.  </w:t>
      </w:r>
      <w:r w:rsidR="007C385F" w:rsidRPr="00AB008E">
        <w:rPr>
          <w:i/>
          <w:sz w:val="26"/>
          <w:szCs w:val="26"/>
        </w:rPr>
        <w:t>Id</w:t>
      </w:r>
      <w:r w:rsidR="007C385F">
        <w:rPr>
          <w:sz w:val="26"/>
          <w:szCs w:val="26"/>
        </w:rPr>
        <w:t>.</w:t>
      </w:r>
    </w:p>
    <w:p w:rsidR="004C516F" w:rsidRPr="0088313D" w:rsidRDefault="004C516F" w:rsidP="00CA5AB3">
      <w:pPr>
        <w:widowControl/>
        <w:spacing w:line="360" w:lineRule="auto"/>
        <w:rPr>
          <w:sz w:val="26"/>
          <w:szCs w:val="26"/>
        </w:rPr>
      </w:pPr>
    </w:p>
    <w:p w:rsidR="0088313D" w:rsidRPr="0088313D" w:rsidRDefault="0013266A" w:rsidP="00CA5AB3">
      <w:pPr>
        <w:widowControl/>
        <w:spacing w:line="360" w:lineRule="auto"/>
        <w:rPr>
          <w:sz w:val="26"/>
          <w:szCs w:val="26"/>
        </w:rPr>
      </w:pPr>
      <w:r>
        <w:rPr>
          <w:sz w:val="26"/>
          <w:szCs w:val="26"/>
        </w:rPr>
        <w:tab/>
      </w:r>
      <w:r>
        <w:rPr>
          <w:sz w:val="26"/>
          <w:szCs w:val="26"/>
        </w:rPr>
        <w:tab/>
      </w:r>
      <w:r w:rsidR="006108D0">
        <w:rPr>
          <w:sz w:val="26"/>
          <w:szCs w:val="26"/>
        </w:rPr>
        <w:t>T</w:t>
      </w:r>
      <w:r w:rsidR="00CA34D2">
        <w:rPr>
          <w:sz w:val="26"/>
          <w:szCs w:val="26"/>
        </w:rPr>
        <w:t>he ALJ</w:t>
      </w:r>
      <w:r w:rsidR="009E0C8D">
        <w:rPr>
          <w:sz w:val="26"/>
          <w:szCs w:val="26"/>
        </w:rPr>
        <w:t xml:space="preserve"> </w:t>
      </w:r>
      <w:r w:rsidR="006108D0">
        <w:rPr>
          <w:sz w:val="26"/>
          <w:szCs w:val="26"/>
        </w:rPr>
        <w:t xml:space="preserve">additionally </w:t>
      </w:r>
      <w:r w:rsidR="009E0C8D">
        <w:rPr>
          <w:sz w:val="26"/>
          <w:szCs w:val="26"/>
        </w:rPr>
        <w:t>found that</w:t>
      </w:r>
      <w:r w:rsidR="00A815B9">
        <w:rPr>
          <w:sz w:val="26"/>
          <w:szCs w:val="26"/>
        </w:rPr>
        <w:t xml:space="preserve"> </w:t>
      </w:r>
      <w:r>
        <w:rPr>
          <w:sz w:val="26"/>
          <w:szCs w:val="26"/>
        </w:rPr>
        <w:t>the Complainant’s bills for electric service were</w:t>
      </w:r>
      <w:r w:rsidR="009E0C8D">
        <w:rPr>
          <w:sz w:val="26"/>
          <w:szCs w:val="26"/>
        </w:rPr>
        <w:t xml:space="preserve"> not</w:t>
      </w:r>
      <w:r>
        <w:rPr>
          <w:sz w:val="26"/>
          <w:szCs w:val="26"/>
        </w:rPr>
        <w:t xml:space="preserve"> </w:t>
      </w:r>
      <w:r w:rsidR="009E0C8D">
        <w:rPr>
          <w:sz w:val="26"/>
          <w:szCs w:val="26"/>
        </w:rPr>
        <w:t>inc</w:t>
      </w:r>
      <w:r w:rsidR="00A815B9">
        <w:rPr>
          <w:sz w:val="26"/>
          <w:szCs w:val="26"/>
        </w:rPr>
        <w:t>onsistent with her</w:t>
      </w:r>
      <w:r w:rsidR="009E0C8D">
        <w:rPr>
          <w:sz w:val="26"/>
          <w:szCs w:val="26"/>
        </w:rPr>
        <w:t xml:space="preserve"> participation in </w:t>
      </w:r>
      <w:r w:rsidR="00A815B9">
        <w:rPr>
          <w:sz w:val="26"/>
          <w:szCs w:val="26"/>
        </w:rPr>
        <w:t xml:space="preserve">the </w:t>
      </w:r>
      <w:r w:rsidR="009E0C8D">
        <w:rPr>
          <w:sz w:val="26"/>
          <w:szCs w:val="26"/>
        </w:rPr>
        <w:t>CAP</w:t>
      </w:r>
      <w:r w:rsidR="00A815B9">
        <w:rPr>
          <w:sz w:val="26"/>
          <w:szCs w:val="26"/>
        </w:rPr>
        <w:t xml:space="preserve"> program</w:t>
      </w:r>
      <w:r w:rsidR="009E0C8D">
        <w:rPr>
          <w:sz w:val="26"/>
          <w:szCs w:val="26"/>
        </w:rPr>
        <w:t>.</w:t>
      </w:r>
      <w:r w:rsidR="00303885">
        <w:rPr>
          <w:sz w:val="26"/>
          <w:szCs w:val="26"/>
        </w:rPr>
        <w:t xml:space="preserve">  The ALJ determined that the Complainant’s concern in this regard appeared to stem from her confusion regarding the difference between the CAP program and budget billing.</w:t>
      </w:r>
      <w:r w:rsidR="00F56FB1">
        <w:rPr>
          <w:sz w:val="26"/>
          <w:szCs w:val="26"/>
        </w:rPr>
        <w:t xml:space="preserve"> </w:t>
      </w:r>
      <w:r w:rsidR="00303885">
        <w:rPr>
          <w:sz w:val="26"/>
          <w:szCs w:val="26"/>
        </w:rPr>
        <w:t xml:space="preserve"> The ALJ found that PECO’s witness provided credible testimony that, even under CAP, the Complainant’s</w:t>
      </w:r>
      <w:r w:rsidR="00236BAC">
        <w:rPr>
          <w:sz w:val="26"/>
          <w:szCs w:val="26"/>
        </w:rPr>
        <w:t xml:space="preserve"> household</w:t>
      </w:r>
      <w:r w:rsidR="00303885">
        <w:rPr>
          <w:sz w:val="26"/>
          <w:szCs w:val="26"/>
        </w:rPr>
        <w:t xml:space="preserve"> bill can still fluctuate</w:t>
      </w:r>
      <w:r w:rsidR="004922E1">
        <w:rPr>
          <w:sz w:val="26"/>
          <w:szCs w:val="26"/>
        </w:rPr>
        <w:t xml:space="preserve"> and increase based on </w:t>
      </w:r>
      <w:r w:rsidR="000D1CA8">
        <w:rPr>
          <w:sz w:val="26"/>
          <w:szCs w:val="26"/>
        </w:rPr>
        <w:t xml:space="preserve">increased </w:t>
      </w:r>
      <w:r w:rsidR="004922E1">
        <w:rPr>
          <w:sz w:val="26"/>
          <w:szCs w:val="26"/>
        </w:rPr>
        <w:t>usage, whic</w:t>
      </w:r>
      <w:r w:rsidR="00A815B9">
        <w:rPr>
          <w:sz w:val="26"/>
          <w:szCs w:val="26"/>
        </w:rPr>
        <w:t xml:space="preserve">h </w:t>
      </w:r>
      <w:r w:rsidR="000D1CA8">
        <w:rPr>
          <w:sz w:val="26"/>
          <w:szCs w:val="26"/>
        </w:rPr>
        <w:t xml:space="preserve">is what occurred </w:t>
      </w:r>
      <w:r w:rsidR="00A815B9">
        <w:rPr>
          <w:sz w:val="26"/>
          <w:szCs w:val="26"/>
        </w:rPr>
        <w:t>in the Complainant’s case</w:t>
      </w:r>
      <w:r w:rsidR="00F56FB1">
        <w:rPr>
          <w:sz w:val="26"/>
          <w:szCs w:val="26"/>
        </w:rPr>
        <w:t xml:space="preserve">. </w:t>
      </w:r>
      <w:r w:rsidR="00A815B9">
        <w:rPr>
          <w:sz w:val="26"/>
          <w:szCs w:val="26"/>
        </w:rPr>
        <w:t xml:space="preserve"> T</w:t>
      </w:r>
      <w:r w:rsidR="0088625F">
        <w:rPr>
          <w:sz w:val="26"/>
          <w:szCs w:val="26"/>
        </w:rPr>
        <w:t xml:space="preserve">he ALJ </w:t>
      </w:r>
      <w:r w:rsidR="00236BAC">
        <w:rPr>
          <w:sz w:val="26"/>
          <w:szCs w:val="26"/>
        </w:rPr>
        <w:t xml:space="preserve">noted that </w:t>
      </w:r>
      <w:r w:rsidR="00CA34D2">
        <w:rPr>
          <w:sz w:val="26"/>
          <w:szCs w:val="26"/>
        </w:rPr>
        <w:t>PECO</w:t>
      </w:r>
      <w:r w:rsidR="00A815B9">
        <w:rPr>
          <w:sz w:val="26"/>
          <w:szCs w:val="26"/>
        </w:rPr>
        <w:t xml:space="preserve"> did</w:t>
      </w:r>
      <w:r w:rsidR="00CA34D2">
        <w:rPr>
          <w:sz w:val="26"/>
          <w:szCs w:val="26"/>
        </w:rPr>
        <w:t xml:space="preserve"> </w:t>
      </w:r>
      <w:r w:rsidR="00D57302">
        <w:rPr>
          <w:sz w:val="26"/>
          <w:szCs w:val="26"/>
        </w:rPr>
        <w:t xml:space="preserve">provide a credit to the Complainant’s </w:t>
      </w:r>
      <w:r w:rsidR="00F1340F">
        <w:rPr>
          <w:sz w:val="26"/>
          <w:szCs w:val="26"/>
        </w:rPr>
        <w:t>account in the amount of $330.25</w:t>
      </w:r>
      <w:r w:rsidR="00D61B6A">
        <w:rPr>
          <w:sz w:val="26"/>
          <w:szCs w:val="26"/>
        </w:rPr>
        <w:t>.  This credit was provided</w:t>
      </w:r>
      <w:r w:rsidR="00F1340F">
        <w:rPr>
          <w:sz w:val="26"/>
          <w:szCs w:val="26"/>
        </w:rPr>
        <w:t xml:space="preserve"> in response to the Complainant’s </w:t>
      </w:r>
      <w:r w:rsidR="00D61B6A">
        <w:rPr>
          <w:sz w:val="26"/>
          <w:szCs w:val="26"/>
        </w:rPr>
        <w:t>assertion, made in her Complaint, that she provided proof that her household income decreased in May 2011, entitling her to a CAP Tier D discount at that time, rather than in April 2012, when PECO originally recertified the account from Tier E to Tier D.</w:t>
      </w:r>
      <w:r w:rsidR="006108D0">
        <w:rPr>
          <w:sz w:val="26"/>
          <w:szCs w:val="26"/>
        </w:rPr>
        <w:t xml:space="preserve">  </w:t>
      </w:r>
      <w:r w:rsidR="003B0517">
        <w:rPr>
          <w:sz w:val="26"/>
          <w:szCs w:val="26"/>
        </w:rPr>
        <w:t xml:space="preserve">The ALJ found that PECO properly applied the higher </w:t>
      </w:r>
      <w:r w:rsidR="003B0517">
        <w:rPr>
          <w:sz w:val="26"/>
          <w:szCs w:val="26"/>
        </w:rPr>
        <w:lastRenderedPageBreak/>
        <w:t>Tier D discount retroactively from April 26, 2011</w:t>
      </w:r>
      <w:r w:rsidR="000D1CA8">
        <w:rPr>
          <w:sz w:val="26"/>
          <w:szCs w:val="26"/>
        </w:rPr>
        <w:t>,</w:t>
      </w:r>
      <w:r w:rsidR="003B0517">
        <w:rPr>
          <w:sz w:val="26"/>
          <w:szCs w:val="26"/>
        </w:rPr>
        <w:t xml:space="preserve"> to March 2</w:t>
      </w:r>
      <w:r w:rsidR="0049166E">
        <w:rPr>
          <w:sz w:val="26"/>
          <w:szCs w:val="26"/>
        </w:rPr>
        <w:t>7, 2012, and</w:t>
      </w:r>
      <w:r w:rsidR="003B0517">
        <w:rPr>
          <w:sz w:val="26"/>
          <w:szCs w:val="26"/>
        </w:rPr>
        <w:t xml:space="preserve"> that the Complainant’s household was not entitled to any other credits.  </w:t>
      </w:r>
      <w:r w:rsidR="003B0517" w:rsidRPr="003B0517">
        <w:rPr>
          <w:i/>
          <w:sz w:val="26"/>
          <w:szCs w:val="26"/>
        </w:rPr>
        <w:t>Id</w:t>
      </w:r>
      <w:r w:rsidR="003B0517">
        <w:rPr>
          <w:sz w:val="26"/>
          <w:szCs w:val="26"/>
        </w:rPr>
        <w:t>.</w:t>
      </w:r>
      <w:r w:rsidR="00806FFB">
        <w:rPr>
          <w:sz w:val="26"/>
          <w:szCs w:val="26"/>
        </w:rPr>
        <w:t xml:space="preserve"> at 13.  </w:t>
      </w:r>
    </w:p>
    <w:p w:rsidR="0088313D" w:rsidRDefault="0088313D" w:rsidP="00CA5AB3">
      <w:pPr>
        <w:widowControl/>
        <w:spacing w:line="360" w:lineRule="auto"/>
        <w:rPr>
          <w:sz w:val="26"/>
          <w:szCs w:val="26"/>
        </w:rPr>
      </w:pPr>
    </w:p>
    <w:p w:rsidR="002B5B80" w:rsidRPr="0088313D" w:rsidRDefault="002B5B80" w:rsidP="00CA5AB3">
      <w:pPr>
        <w:widowControl/>
        <w:spacing w:line="360" w:lineRule="auto"/>
        <w:rPr>
          <w:sz w:val="26"/>
          <w:szCs w:val="26"/>
        </w:rPr>
      </w:pPr>
      <w:r>
        <w:rPr>
          <w:sz w:val="26"/>
          <w:szCs w:val="26"/>
        </w:rPr>
        <w:tab/>
      </w:r>
      <w:r>
        <w:rPr>
          <w:sz w:val="26"/>
          <w:szCs w:val="26"/>
        </w:rPr>
        <w:tab/>
        <w:t xml:space="preserve">The ALJ concluded that the evidence presented by PECO on the issue of overbilling was persuasive.  The ALJ </w:t>
      </w:r>
      <w:r w:rsidR="006108D0">
        <w:rPr>
          <w:sz w:val="26"/>
          <w:szCs w:val="26"/>
        </w:rPr>
        <w:t xml:space="preserve">noted </w:t>
      </w:r>
      <w:r>
        <w:rPr>
          <w:sz w:val="26"/>
          <w:szCs w:val="26"/>
        </w:rPr>
        <w:t>that, while the Complainant did show that there was an issue regarding the proper CAP Tier under which her household should be classified, PECO resolved that iss</w:t>
      </w:r>
      <w:r w:rsidR="00186D7E">
        <w:rPr>
          <w:sz w:val="26"/>
          <w:szCs w:val="26"/>
        </w:rPr>
        <w:t>ue by applying the credit to her</w:t>
      </w:r>
      <w:r>
        <w:rPr>
          <w:sz w:val="26"/>
          <w:szCs w:val="26"/>
        </w:rPr>
        <w:t xml:space="preserve"> account.  Apart from that issue, the ALJ found that the Complainant did not sustain her burden of proof to establish a case of overbilling, and</w:t>
      </w:r>
      <w:r w:rsidR="00886C15">
        <w:rPr>
          <w:sz w:val="26"/>
          <w:szCs w:val="26"/>
        </w:rPr>
        <w:t xml:space="preserve"> determined</w:t>
      </w:r>
      <w:r>
        <w:rPr>
          <w:sz w:val="26"/>
          <w:szCs w:val="26"/>
        </w:rPr>
        <w:t xml:space="preserve"> that her Complaint must be dismissed.  </w:t>
      </w:r>
      <w:r w:rsidRPr="002B5B80">
        <w:rPr>
          <w:i/>
          <w:sz w:val="26"/>
          <w:szCs w:val="26"/>
        </w:rPr>
        <w:t>Id</w:t>
      </w:r>
      <w:r>
        <w:rPr>
          <w:sz w:val="26"/>
          <w:szCs w:val="26"/>
        </w:rPr>
        <w:t>.</w:t>
      </w:r>
    </w:p>
    <w:p w:rsidR="0088313D" w:rsidRDefault="0088313D" w:rsidP="00CA5AB3">
      <w:pPr>
        <w:widowControl/>
        <w:spacing w:line="360" w:lineRule="auto"/>
        <w:rPr>
          <w:sz w:val="26"/>
          <w:szCs w:val="26"/>
        </w:rPr>
      </w:pPr>
    </w:p>
    <w:p w:rsidR="00886C15" w:rsidRDefault="00886C15" w:rsidP="00CA5AB3">
      <w:pPr>
        <w:widowControl/>
        <w:spacing w:line="360" w:lineRule="auto"/>
        <w:rPr>
          <w:sz w:val="26"/>
          <w:szCs w:val="26"/>
        </w:rPr>
      </w:pPr>
      <w:r>
        <w:rPr>
          <w:sz w:val="26"/>
          <w:szCs w:val="26"/>
        </w:rPr>
        <w:tab/>
      </w:r>
      <w:r>
        <w:rPr>
          <w:sz w:val="26"/>
          <w:szCs w:val="26"/>
        </w:rPr>
        <w:tab/>
      </w:r>
      <w:r w:rsidR="00546D1F">
        <w:rPr>
          <w:sz w:val="26"/>
          <w:szCs w:val="26"/>
        </w:rPr>
        <w:t>With regard to the question of whether the Complainant may be entitled to a payment agreement in this case, t</w:t>
      </w:r>
      <w:r w:rsidR="00676234">
        <w:rPr>
          <w:sz w:val="26"/>
          <w:szCs w:val="26"/>
        </w:rPr>
        <w:t xml:space="preserve">he ALJ </w:t>
      </w:r>
      <w:r w:rsidR="00F94C4E">
        <w:rPr>
          <w:sz w:val="26"/>
          <w:szCs w:val="26"/>
        </w:rPr>
        <w:t>found</w:t>
      </w:r>
      <w:r w:rsidR="00637A81">
        <w:rPr>
          <w:sz w:val="26"/>
          <w:szCs w:val="26"/>
        </w:rPr>
        <w:t xml:space="preserve"> that the outstanding balance on the account </w:t>
      </w:r>
      <w:r w:rsidR="00C854A6">
        <w:rPr>
          <w:sz w:val="26"/>
          <w:szCs w:val="26"/>
        </w:rPr>
        <w:t>for</w:t>
      </w:r>
      <w:r w:rsidR="00637A81">
        <w:rPr>
          <w:sz w:val="26"/>
          <w:szCs w:val="26"/>
        </w:rPr>
        <w:t xml:space="preserve"> the Complainant’s household was $267.75</w:t>
      </w:r>
      <w:r w:rsidR="00C854A6">
        <w:rPr>
          <w:sz w:val="26"/>
          <w:szCs w:val="26"/>
        </w:rPr>
        <w:t xml:space="preserve">, and that the entire amount of this balance represented CAP arrears.  </w:t>
      </w:r>
      <w:r w:rsidR="00C854A6" w:rsidRPr="00C854A6">
        <w:rPr>
          <w:i/>
          <w:sz w:val="26"/>
          <w:szCs w:val="26"/>
        </w:rPr>
        <w:t>Id</w:t>
      </w:r>
      <w:r w:rsidR="00C854A6">
        <w:rPr>
          <w:sz w:val="26"/>
          <w:szCs w:val="26"/>
        </w:rPr>
        <w:t xml:space="preserve">. at 5, 9.  The ALJ noted that, pursuant </w:t>
      </w:r>
      <w:r w:rsidR="005746E9">
        <w:rPr>
          <w:sz w:val="26"/>
          <w:szCs w:val="26"/>
        </w:rPr>
        <w:t>to Section 1405(c) of the Code, CAP rates cannot be the subject of payment agreements negotiated or approve</w:t>
      </w:r>
      <w:r w:rsidR="00616785">
        <w:rPr>
          <w:sz w:val="26"/>
          <w:szCs w:val="26"/>
        </w:rPr>
        <w:t>d</w:t>
      </w:r>
      <w:r w:rsidR="005746E9">
        <w:rPr>
          <w:sz w:val="26"/>
          <w:szCs w:val="26"/>
        </w:rPr>
        <w:t xml:space="preserve"> </w:t>
      </w:r>
      <w:r w:rsidR="005E590A">
        <w:rPr>
          <w:sz w:val="26"/>
          <w:szCs w:val="26"/>
        </w:rPr>
        <w:t xml:space="preserve">by the Commission.  </w:t>
      </w:r>
      <w:r w:rsidR="005E590A" w:rsidRPr="005E590A">
        <w:rPr>
          <w:i/>
          <w:sz w:val="26"/>
          <w:szCs w:val="26"/>
        </w:rPr>
        <w:t>Id</w:t>
      </w:r>
      <w:r w:rsidR="005E590A">
        <w:rPr>
          <w:sz w:val="26"/>
          <w:szCs w:val="26"/>
        </w:rPr>
        <w:t>. at 9, citing</w:t>
      </w:r>
      <w:r w:rsidR="005E590A" w:rsidRPr="005E590A">
        <w:rPr>
          <w:sz w:val="26"/>
          <w:szCs w:val="26"/>
        </w:rPr>
        <w:t xml:space="preserve"> </w:t>
      </w:r>
      <w:r w:rsidR="005E590A">
        <w:rPr>
          <w:sz w:val="26"/>
          <w:szCs w:val="26"/>
        </w:rPr>
        <w:t>66 Pa. C.S. § 1405(c).</w:t>
      </w:r>
      <w:r w:rsidR="005746E9">
        <w:rPr>
          <w:sz w:val="26"/>
          <w:szCs w:val="26"/>
        </w:rPr>
        <w:t xml:space="preserve"> </w:t>
      </w:r>
      <w:r w:rsidR="005E590A">
        <w:rPr>
          <w:sz w:val="26"/>
          <w:szCs w:val="26"/>
        </w:rPr>
        <w:t xml:space="preserve"> </w:t>
      </w:r>
      <w:r w:rsidR="00C854A6">
        <w:rPr>
          <w:sz w:val="26"/>
          <w:szCs w:val="26"/>
        </w:rPr>
        <w:t>Accordingly, the ALJ concluded that</w:t>
      </w:r>
      <w:r w:rsidR="005E590A">
        <w:rPr>
          <w:sz w:val="26"/>
          <w:szCs w:val="26"/>
        </w:rPr>
        <w:t xml:space="preserve"> </w:t>
      </w:r>
      <w:r w:rsidR="00C854A6">
        <w:rPr>
          <w:sz w:val="26"/>
          <w:szCs w:val="26"/>
        </w:rPr>
        <w:t xml:space="preserve">the Commission cannot grant the </w:t>
      </w:r>
      <w:r w:rsidR="005E590A">
        <w:rPr>
          <w:sz w:val="26"/>
          <w:szCs w:val="26"/>
        </w:rPr>
        <w:t xml:space="preserve">Complainant a payment agreement on her outstanding balance in this case.  </w:t>
      </w:r>
      <w:r w:rsidR="005E590A" w:rsidRPr="005E590A">
        <w:rPr>
          <w:i/>
          <w:sz w:val="26"/>
          <w:szCs w:val="26"/>
        </w:rPr>
        <w:t>Id</w:t>
      </w:r>
      <w:r w:rsidR="005E590A">
        <w:rPr>
          <w:sz w:val="26"/>
          <w:szCs w:val="26"/>
        </w:rPr>
        <w:t>. at 9.</w:t>
      </w:r>
    </w:p>
    <w:p w:rsidR="002B5B80" w:rsidRPr="0088313D" w:rsidRDefault="002B5B80" w:rsidP="00CA5AB3">
      <w:pPr>
        <w:widowControl/>
        <w:spacing w:line="360" w:lineRule="auto"/>
        <w:rPr>
          <w:sz w:val="26"/>
          <w:szCs w:val="26"/>
        </w:rPr>
      </w:pPr>
    </w:p>
    <w:p w:rsidR="00006F35" w:rsidRPr="0088313D" w:rsidRDefault="00456B54" w:rsidP="004D1313">
      <w:pPr>
        <w:keepNext/>
        <w:widowControl/>
        <w:spacing w:line="360" w:lineRule="auto"/>
        <w:rPr>
          <w:b/>
          <w:sz w:val="26"/>
          <w:szCs w:val="26"/>
        </w:rPr>
      </w:pPr>
      <w:r>
        <w:rPr>
          <w:b/>
          <w:sz w:val="26"/>
          <w:szCs w:val="26"/>
        </w:rPr>
        <w:t xml:space="preserve">Timeliness of </w:t>
      </w:r>
      <w:r w:rsidR="00555F40" w:rsidRPr="0088313D">
        <w:rPr>
          <w:b/>
          <w:sz w:val="26"/>
          <w:szCs w:val="26"/>
        </w:rPr>
        <w:t>Exceptions</w:t>
      </w:r>
      <w:r>
        <w:rPr>
          <w:b/>
          <w:sz w:val="26"/>
          <w:szCs w:val="26"/>
        </w:rPr>
        <w:t xml:space="preserve"> and PECO’s Response</w:t>
      </w:r>
    </w:p>
    <w:p w:rsidR="00B9551C" w:rsidRPr="0088313D" w:rsidRDefault="00B9551C" w:rsidP="004D1313">
      <w:pPr>
        <w:keepNext/>
        <w:widowControl/>
        <w:spacing w:line="360" w:lineRule="auto"/>
        <w:rPr>
          <w:sz w:val="26"/>
          <w:szCs w:val="26"/>
        </w:rPr>
      </w:pPr>
    </w:p>
    <w:p w:rsidR="00BA7136" w:rsidRPr="00C313CB" w:rsidRDefault="00456B54" w:rsidP="00076514">
      <w:pPr>
        <w:keepNext/>
        <w:widowControl/>
        <w:spacing w:line="360" w:lineRule="auto"/>
        <w:ind w:firstLine="1440"/>
        <w:rPr>
          <w:sz w:val="26"/>
          <w:szCs w:val="26"/>
        </w:rPr>
      </w:pPr>
      <w:r>
        <w:rPr>
          <w:sz w:val="26"/>
          <w:szCs w:val="26"/>
        </w:rPr>
        <w:t>Before addressing the Parties’ positions as set forth in the Exceptions and Replies</w:t>
      </w:r>
      <w:r w:rsidR="00D86FE2">
        <w:rPr>
          <w:sz w:val="26"/>
          <w:szCs w:val="26"/>
        </w:rPr>
        <w:t xml:space="preserve">, we will address the </w:t>
      </w:r>
      <w:r w:rsidR="00FC6209">
        <w:rPr>
          <w:sz w:val="26"/>
          <w:szCs w:val="26"/>
        </w:rPr>
        <w:t xml:space="preserve">timeliness </w:t>
      </w:r>
      <w:r w:rsidR="0011535C">
        <w:rPr>
          <w:sz w:val="26"/>
          <w:szCs w:val="26"/>
        </w:rPr>
        <w:t xml:space="preserve">of the Complainant’s Exceptions, as well as PECO’s response to the Complainant’s filings.  </w:t>
      </w:r>
      <w:r w:rsidR="00BA7136">
        <w:rPr>
          <w:sz w:val="26"/>
          <w:szCs w:val="26"/>
        </w:rPr>
        <w:t>As noted above, the Complainant filed her Exceptions on November 6, 2013, nine days beyond the twenty-day time period specified in Section 5.533(a) of the Commission’s Regulations</w:t>
      </w:r>
      <w:r w:rsidR="0011535C">
        <w:rPr>
          <w:sz w:val="26"/>
          <w:szCs w:val="26"/>
        </w:rPr>
        <w:t>, 52 Pa. Code § 5.533(a),</w:t>
      </w:r>
      <w:r w:rsidR="00BA7136">
        <w:rPr>
          <w:sz w:val="26"/>
          <w:szCs w:val="26"/>
        </w:rPr>
        <w:t xml:space="preserve"> regardi</w:t>
      </w:r>
      <w:r w:rsidR="00F56FB1">
        <w:rPr>
          <w:sz w:val="26"/>
          <w:szCs w:val="26"/>
        </w:rPr>
        <w:t xml:space="preserve">ng the filing of Exceptions.  </w:t>
      </w:r>
      <w:r w:rsidR="00BA7136">
        <w:rPr>
          <w:sz w:val="26"/>
          <w:szCs w:val="26"/>
        </w:rPr>
        <w:t xml:space="preserve">However, in her October 24, 2013 letter, the Complainant indicated that she had not yet received the Initial Decision, which was issued on October 8, 2013.  In addition, the Complainant asserted in her Exceptions that </w:t>
      </w:r>
      <w:r w:rsidR="00BA7136">
        <w:rPr>
          <w:sz w:val="26"/>
          <w:szCs w:val="26"/>
        </w:rPr>
        <w:lastRenderedPageBreak/>
        <w:t xml:space="preserve">she did not receive the Initial Decision until October 28, 2013.  Exc. at 1.  It is unclear why the Complainant may not have received the Initial Decision in a timely manner.  However, there is nothing in the case file in this proceeding to indicate precisely when the Complainant received a copy of the Initial Decision, or to otherwise refute her assertion in this regard.  Moreover, as noted above, the October 25, 2013 Secretarial Letter gave the Complainant an additional ten days from the date of that letter in which to file her Exceptions.  </w:t>
      </w:r>
      <w:r w:rsidR="003C6A69">
        <w:rPr>
          <w:sz w:val="26"/>
          <w:szCs w:val="26"/>
        </w:rPr>
        <w:t>Therefore, although the Complainant’s Exceptions were filed two days beyond the date permitted by the October 25, 2013 Secretarial Letter, w</w:t>
      </w:r>
      <w:r w:rsidR="00BA7136">
        <w:rPr>
          <w:sz w:val="26"/>
          <w:szCs w:val="26"/>
        </w:rPr>
        <w:t xml:space="preserve">e will </w:t>
      </w:r>
      <w:r w:rsidR="0011535C">
        <w:rPr>
          <w:sz w:val="26"/>
          <w:szCs w:val="26"/>
        </w:rPr>
        <w:t>consider the Complainant’s Exceptions</w:t>
      </w:r>
      <w:r w:rsidR="00BA7136" w:rsidRPr="00397918">
        <w:rPr>
          <w:sz w:val="26"/>
          <w:szCs w:val="26"/>
        </w:rPr>
        <w:t xml:space="preserve"> pursuant to Sec</w:t>
      </w:r>
      <w:r w:rsidR="00BA7136">
        <w:rPr>
          <w:sz w:val="26"/>
          <w:szCs w:val="26"/>
        </w:rPr>
        <w:t>tion 1.2(a) of our Regulations,</w:t>
      </w:r>
      <w:r w:rsidR="00BA7136" w:rsidRPr="00397918">
        <w:rPr>
          <w:sz w:val="26"/>
          <w:szCs w:val="26"/>
        </w:rPr>
        <w:t xml:space="preserve"> in order to secure a just, speedy, and inexpensive determination in this proceeding.  52 Pa. Code § 1.2(a)</w:t>
      </w:r>
      <w:r w:rsidR="00BA7136">
        <w:rPr>
          <w:sz w:val="26"/>
          <w:szCs w:val="26"/>
        </w:rPr>
        <w:t>.</w:t>
      </w:r>
      <w:r w:rsidR="00BA7136">
        <w:rPr>
          <w:rStyle w:val="FootnoteReference"/>
          <w:sz w:val="26"/>
          <w:szCs w:val="26"/>
        </w:rPr>
        <w:footnoteReference w:id="4"/>
      </w:r>
      <w:r w:rsidR="00BA7136" w:rsidRPr="00C313CB">
        <w:rPr>
          <w:sz w:val="26"/>
          <w:szCs w:val="26"/>
        </w:rPr>
        <w:t xml:space="preserve"> </w:t>
      </w:r>
    </w:p>
    <w:p w:rsidR="00BA7136" w:rsidRPr="00397918" w:rsidRDefault="00BA7136" w:rsidP="00BA7136">
      <w:pPr>
        <w:keepNext/>
        <w:widowControl/>
        <w:spacing w:line="360" w:lineRule="auto"/>
        <w:rPr>
          <w:sz w:val="26"/>
          <w:szCs w:val="26"/>
        </w:rPr>
      </w:pPr>
    </w:p>
    <w:p w:rsidR="00BA7136" w:rsidRDefault="00F56FB1" w:rsidP="00BA7136">
      <w:pPr>
        <w:keepNext/>
        <w:keepLines/>
        <w:widowControl/>
        <w:spacing w:line="360" w:lineRule="auto"/>
        <w:rPr>
          <w:sz w:val="26"/>
          <w:szCs w:val="26"/>
        </w:rPr>
      </w:pPr>
      <w:r>
        <w:rPr>
          <w:sz w:val="26"/>
          <w:szCs w:val="26"/>
        </w:rPr>
        <w:tab/>
      </w:r>
      <w:r>
        <w:rPr>
          <w:sz w:val="26"/>
          <w:szCs w:val="26"/>
        </w:rPr>
        <w:tab/>
      </w:r>
      <w:r w:rsidR="0011535C">
        <w:rPr>
          <w:sz w:val="26"/>
          <w:szCs w:val="26"/>
        </w:rPr>
        <w:t xml:space="preserve">In response to the Complainant’s October 24, 2013 filing, </w:t>
      </w:r>
      <w:r w:rsidR="00BA7136">
        <w:rPr>
          <w:sz w:val="26"/>
          <w:szCs w:val="26"/>
        </w:rPr>
        <w:t xml:space="preserve">PECO filed </w:t>
      </w:r>
      <w:r w:rsidR="000973A2">
        <w:rPr>
          <w:sz w:val="26"/>
          <w:szCs w:val="26"/>
        </w:rPr>
        <w:t>Replies to</w:t>
      </w:r>
      <w:r w:rsidR="00BA7136">
        <w:rPr>
          <w:sz w:val="26"/>
          <w:szCs w:val="26"/>
        </w:rPr>
        <w:t xml:space="preserve"> Exceptions on October 30, 2013</w:t>
      </w:r>
      <w:r w:rsidR="0011535C">
        <w:rPr>
          <w:sz w:val="26"/>
          <w:szCs w:val="26"/>
        </w:rPr>
        <w:t>,</w:t>
      </w:r>
      <w:r w:rsidR="00BA7136">
        <w:rPr>
          <w:sz w:val="26"/>
          <w:szCs w:val="26"/>
        </w:rPr>
        <w:t xml:space="preserve"> </w:t>
      </w:r>
      <w:r w:rsidR="0011535C">
        <w:rPr>
          <w:sz w:val="26"/>
          <w:szCs w:val="26"/>
        </w:rPr>
        <w:t xml:space="preserve">under the apparent </w:t>
      </w:r>
      <w:r w:rsidR="00BA7136">
        <w:rPr>
          <w:sz w:val="26"/>
          <w:szCs w:val="26"/>
        </w:rPr>
        <w:t>assumption that the Complainant’s letter represented her Exceptions to the Initial Decision.  PECO filed no Replies to the Complainant’s November 6, 2013</w:t>
      </w:r>
      <w:r w:rsidR="00872172">
        <w:rPr>
          <w:sz w:val="26"/>
          <w:szCs w:val="26"/>
        </w:rPr>
        <w:t xml:space="preserve"> filing</w:t>
      </w:r>
      <w:r w:rsidR="00BA7136">
        <w:rPr>
          <w:sz w:val="26"/>
          <w:szCs w:val="26"/>
        </w:rPr>
        <w:t>.  However, we note that the Complainant provided a Certificate of Service with her November 6, 2013 Exceptions, indicating that she had served her Exceptions on PECO.  Accordingly, we find that PECO was properly served with the Complainant’s November 6, 2013 Exceptions, and</w:t>
      </w:r>
      <w:r w:rsidR="00872172">
        <w:rPr>
          <w:sz w:val="26"/>
          <w:szCs w:val="26"/>
        </w:rPr>
        <w:t xml:space="preserve"> as such, we believe </w:t>
      </w:r>
      <w:r w:rsidR="00C64200">
        <w:rPr>
          <w:sz w:val="26"/>
          <w:szCs w:val="26"/>
        </w:rPr>
        <w:t>that our consideration</w:t>
      </w:r>
      <w:r w:rsidR="00BA7136">
        <w:rPr>
          <w:sz w:val="26"/>
          <w:szCs w:val="26"/>
        </w:rPr>
        <w:t xml:space="preserve"> of</w:t>
      </w:r>
      <w:r w:rsidR="00C64200">
        <w:rPr>
          <w:sz w:val="26"/>
          <w:szCs w:val="26"/>
        </w:rPr>
        <w:t xml:space="preserve"> the Exceptions </w:t>
      </w:r>
      <w:r w:rsidR="00BA7136">
        <w:rPr>
          <w:sz w:val="26"/>
          <w:szCs w:val="26"/>
        </w:rPr>
        <w:t>does not affect the substantive rights of PECO in this proceeding.</w:t>
      </w:r>
    </w:p>
    <w:p w:rsidR="00BA7136" w:rsidRDefault="00BA7136" w:rsidP="00BA7136">
      <w:pPr>
        <w:keepNext/>
        <w:keepLines/>
        <w:widowControl/>
        <w:spacing w:line="360" w:lineRule="auto"/>
        <w:rPr>
          <w:sz w:val="26"/>
          <w:szCs w:val="26"/>
        </w:rPr>
      </w:pPr>
      <w:r>
        <w:rPr>
          <w:sz w:val="26"/>
          <w:szCs w:val="26"/>
        </w:rPr>
        <w:lastRenderedPageBreak/>
        <w:tab/>
      </w:r>
      <w:r>
        <w:rPr>
          <w:sz w:val="26"/>
          <w:szCs w:val="26"/>
        </w:rPr>
        <w:tab/>
      </w:r>
      <w:r w:rsidR="00D94136">
        <w:rPr>
          <w:sz w:val="26"/>
          <w:szCs w:val="26"/>
        </w:rPr>
        <w:t xml:space="preserve">We additionally note that, while </w:t>
      </w:r>
      <w:r>
        <w:rPr>
          <w:sz w:val="26"/>
          <w:szCs w:val="26"/>
        </w:rPr>
        <w:t>PECO did not file Replies to the Complainant’s November 6, 2013 Exceptions, we will consider its O</w:t>
      </w:r>
      <w:r w:rsidR="000973A2">
        <w:rPr>
          <w:sz w:val="26"/>
          <w:szCs w:val="26"/>
        </w:rPr>
        <w:t>ctober 30, 2013 Replies</w:t>
      </w:r>
      <w:r>
        <w:rPr>
          <w:sz w:val="26"/>
          <w:szCs w:val="26"/>
        </w:rPr>
        <w:t xml:space="preserve"> to be generally responsive to the November 6, 2013 Exceptions.  We believe this to be appropriate in light of the fact that PECO chose not to explicitly respond to the November 6</w:t>
      </w:r>
      <w:r w:rsidR="00893665">
        <w:rPr>
          <w:sz w:val="26"/>
          <w:szCs w:val="26"/>
        </w:rPr>
        <w:t>, 2013</w:t>
      </w:r>
      <w:r>
        <w:rPr>
          <w:sz w:val="26"/>
          <w:szCs w:val="26"/>
        </w:rPr>
        <w:t xml:space="preserve"> Exceptions, and because the Complainant’s position, as set forth in her Exceptions and discussed more fully below, is substantially the same as the position summarized in her October 24, 2013 letter, </w:t>
      </w:r>
      <w:r w:rsidR="000973A2">
        <w:rPr>
          <w:sz w:val="26"/>
          <w:szCs w:val="26"/>
        </w:rPr>
        <w:t>to which PECO’s Replies</w:t>
      </w:r>
      <w:r>
        <w:rPr>
          <w:sz w:val="26"/>
          <w:szCs w:val="26"/>
        </w:rPr>
        <w:t xml:space="preserve"> relate.</w:t>
      </w:r>
    </w:p>
    <w:p w:rsidR="00BA7136" w:rsidRDefault="00BA7136" w:rsidP="00BA7136">
      <w:pPr>
        <w:keepNext/>
        <w:keepLines/>
        <w:widowControl/>
        <w:spacing w:line="360" w:lineRule="auto"/>
        <w:rPr>
          <w:sz w:val="26"/>
          <w:szCs w:val="26"/>
        </w:rPr>
      </w:pPr>
    </w:p>
    <w:p w:rsidR="00456B54" w:rsidRPr="00456B54" w:rsidRDefault="00456B54" w:rsidP="00BA7136">
      <w:pPr>
        <w:keepNext/>
        <w:keepLines/>
        <w:widowControl/>
        <w:spacing w:line="360" w:lineRule="auto"/>
        <w:rPr>
          <w:b/>
          <w:sz w:val="26"/>
          <w:szCs w:val="26"/>
        </w:rPr>
      </w:pPr>
      <w:r w:rsidRPr="00456B54">
        <w:rPr>
          <w:b/>
          <w:sz w:val="26"/>
          <w:szCs w:val="26"/>
        </w:rPr>
        <w:t>Exceptions</w:t>
      </w:r>
      <w:r w:rsidR="004E42DA">
        <w:rPr>
          <w:b/>
          <w:sz w:val="26"/>
          <w:szCs w:val="26"/>
        </w:rPr>
        <w:t xml:space="preserve"> and Replies</w:t>
      </w:r>
    </w:p>
    <w:p w:rsidR="00456B54" w:rsidRPr="00D55ACD" w:rsidRDefault="00456B54" w:rsidP="00BA7136">
      <w:pPr>
        <w:keepNext/>
        <w:keepLines/>
        <w:widowControl/>
        <w:spacing w:line="360" w:lineRule="auto"/>
        <w:rPr>
          <w:sz w:val="26"/>
          <w:szCs w:val="26"/>
        </w:rPr>
      </w:pPr>
    </w:p>
    <w:p w:rsidR="00F72B0D" w:rsidRDefault="000973A2" w:rsidP="004D1313">
      <w:pPr>
        <w:widowControl/>
        <w:spacing w:line="360" w:lineRule="auto"/>
        <w:rPr>
          <w:sz w:val="26"/>
          <w:szCs w:val="26"/>
        </w:rPr>
      </w:pPr>
      <w:r>
        <w:rPr>
          <w:sz w:val="26"/>
          <w:szCs w:val="26"/>
        </w:rPr>
        <w:tab/>
      </w:r>
      <w:r>
        <w:rPr>
          <w:sz w:val="26"/>
          <w:szCs w:val="26"/>
        </w:rPr>
        <w:tab/>
      </w:r>
      <w:r w:rsidR="0088313D" w:rsidRPr="0088313D">
        <w:rPr>
          <w:sz w:val="26"/>
          <w:szCs w:val="26"/>
        </w:rPr>
        <w:t>In her</w:t>
      </w:r>
      <w:r w:rsidR="00513441" w:rsidRPr="0088313D">
        <w:rPr>
          <w:sz w:val="26"/>
          <w:szCs w:val="26"/>
        </w:rPr>
        <w:t xml:space="preserve"> Exceptions, the Complainant </w:t>
      </w:r>
      <w:r w:rsidR="00D36B48">
        <w:rPr>
          <w:sz w:val="26"/>
          <w:szCs w:val="26"/>
        </w:rPr>
        <w:t xml:space="preserve">contends that the ALJ erred in determining that the arrears on her household account are CAP arrears, because PECO’s bill clearly </w:t>
      </w:r>
      <w:r w:rsidR="00986130">
        <w:rPr>
          <w:sz w:val="26"/>
          <w:szCs w:val="26"/>
        </w:rPr>
        <w:t>states that the account is billed pursuant to</w:t>
      </w:r>
      <w:r w:rsidR="00D36B48">
        <w:rPr>
          <w:sz w:val="26"/>
          <w:szCs w:val="26"/>
        </w:rPr>
        <w:t xml:space="preserve"> “</w:t>
      </w:r>
      <w:r w:rsidR="00986130">
        <w:rPr>
          <w:sz w:val="26"/>
          <w:szCs w:val="26"/>
        </w:rPr>
        <w:t>Budget B</w:t>
      </w:r>
      <w:r w:rsidR="00D36B48">
        <w:rPr>
          <w:sz w:val="26"/>
          <w:szCs w:val="26"/>
        </w:rPr>
        <w:t>illing.”</w:t>
      </w:r>
      <w:r w:rsidR="00B34753">
        <w:rPr>
          <w:sz w:val="26"/>
          <w:szCs w:val="26"/>
        </w:rPr>
        <w:t xml:space="preserve">  E</w:t>
      </w:r>
      <w:r w:rsidR="008C1C76">
        <w:rPr>
          <w:sz w:val="26"/>
          <w:szCs w:val="26"/>
        </w:rPr>
        <w:t xml:space="preserve">xc. at 1.  The Complainant </w:t>
      </w:r>
      <w:r w:rsidR="000D460C">
        <w:rPr>
          <w:sz w:val="26"/>
          <w:szCs w:val="26"/>
        </w:rPr>
        <w:t>questions why PECO is charging the account a residential budget bill that changes monthly, instead of a fixed CAP amount based on the leve</w:t>
      </w:r>
      <w:r w:rsidR="00F72B0D">
        <w:rPr>
          <w:sz w:val="26"/>
          <w:szCs w:val="26"/>
        </w:rPr>
        <w:t xml:space="preserve">l of her household income.  </w:t>
      </w:r>
      <w:r w:rsidR="00F456F9">
        <w:rPr>
          <w:sz w:val="26"/>
          <w:szCs w:val="26"/>
        </w:rPr>
        <w:t>In addition, the Complainant questions why PECO is reviewing her household income every three months</w:t>
      </w:r>
      <w:r w:rsidR="0066627C">
        <w:rPr>
          <w:sz w:val="26"/>
          <w:szCs w:val="26"/>
        </w:rPr>
        <w:t>,</w:t>
      </w:r>
      <w:r w:rsidR="00F456F9">
        <w:rPr>
          <w:sz w:val="26"/>
          <w:szCs w:val="26"/>
        </w:rPr>
        <w:t xml:space="preserve"> instead of every two years, as required under the CAP program.  </w:t>
      </w:r>
      <w:r w:rsidR="00F456F9" w:rsidRPr="001855CA">
        <w:rPr>
          <w:i/>
          <w:sz w:val="26"/>
          <w:szCs w:val="26"/>
        </w:rPr>
        <w:t>Id</w:t>
      </w:r>
      <w:r w:rsidR="00F456F9">
        <w:rPr>
          <w:sz w:val="26"/>
          <w:szCs w:val="26"/>
        </w:rPr>
        <w:t xml:space="preserve">. at 1, 3.  </w:t>
      </w:r>
      <w:r w:rsidR="00F72B0D">
        <w:rPr>
          <w:sz w:val="26"/>
          <w:szCs w:val="26"/>
        </w:rPr>
        <w:t xml:space="preserve">The Complainant argues that the ALJ erred in failing to recognize that billing under the CAP program has nothing to do with usage, and that the CAP program and budget billing are two different programs that conflict with one another.  </w:t>
      </w:r>
      <w:r w:rsidR="00F72B0D" w:rsidRPr="00F72B0D">
        <w:rPr>
          <w:i/>
          <w:sz w:val="26"/>
          <w:szCs w:val="26"/>
        </w:rPr>
        <w:t>Id</w:t>
      </w:r>
      <w:r w:rsidR="00404859">
        <w:rPr>
          <w:sz w:val="26"/>
          <w:szCs w:val="26"/>
        </w:rPr>
        <w:t>. at 1-</w:t>
      </w:r>
      <w:r w:rsidR="00F72B0D">
        <w:rPr>
          <w:sz w:val="26"/>
          <w:szCs w:val="26"/>
        </w:rPr>
        <w:t>2.</w:t>
      </w:r>
      <w:r w:rsidR="00404859">
        <w:rPr>
          <w:sz w:val="26"/>
          <w:szCs w:val="26"/>
        </w:rPr>
        <w:t xml:space="preserve">  The Complainant further asserts that, as a result of PECO billing her household under the budget billing program, her monthly bills continue to change and increase, despite the fact that her household income decreased.  </w:t>
      </w:r>
      <w:r w:rsidR="00DA5DCC" w:rsidRPr="00DA5DCC">
        <w:rPr>
          <w:i/>
          <w:sz w:val="26"/>
          <w:szCs w:val="26"/>
        </w:rPr>
        <w:t>Id</w:t>
      </w:r>
      <w:r w:rsidR="00DA5DCC">
        <w:rPr>
          <w:sz w:val="26"/>
          <w:szCs w:val="26"/>
        </w:rPr>
        <w:t>. at 2-3</w:t>
      </w:r>
      <w:r w:rsidR="003C327C">
        <w:rPr>
          <w:sz w:val="26"/>
          <w:szCs w:val="26"/>
        </w:rPr>
        <w:t>, 4-5</w:t>
      </w:r>
      <w:r w:rsidR="00DA5DCC">
        <w:rPr>
          <w:sz w:val="26"/>
          <w:szCs w:val="26"/>
        </w:rPr>
        <w:t>.  According to the Complainant, her household bills should be no greater than $27 per month under the CA</w:t>
      </w:r>
      <w:r w:rsidR="00927C17">
        <w:rPr>
          <w:sz w:val="26"/>
          <w:szCs w:val="26"/>
        </w:rPr>
        <w:t>P program.</w:t>
      </w:r>
      <w:r w:rsidR="00DA5DCC">
        <w:rPr>
          <w:sz w:val="26"/>
          <w:szCs w:val="26"/>
        </w:rPr>
        <w:t xml:space="preserve">  </w:t>
      </w:r>
      <w:r w:rsidR="00404859">
        <w:rPr>
          <w:sz w:val="26"/>
          <w:szCs w:val="26"/>
        </w:rPr>
        <w:t xml:space="preserve">The Complainant opines that the ALJ erred in not addressing this issue.  </w:t>
      </w:r>
      <w:r w:rsidR="00404859" w:rsidRPr="00404859">
        <w:rPr>
          <w:i/>
          <w:sz w:val="26"/>
          <w:szCs w:val="26"/>
        </w:rPr>
        <w:t>Id</w:t>
      </w:r>
      <w:r w:rsidR="00DA5DCC">
        <w:rPr>
          <w:sz w:val="26"/>
          <w:szCs w:val="26"/>
        </w:rPr>
        <w:t>.</w:t>
      </w:r>
      <w:r w:rsidR="00927C17">
        <w:rPr>
          <w:sz w:val="26"/>
          <w:szCs w:val="26"/>
        </w:rPr>
        <w:t xml:space="preserve"> at</w:t>
      </w:r>
      <w:r w:rsidR="0078725D">
        <w:rPr>
          <w:sz w:val="26"/>
          <w:szCs w:val="26"/>
        </w:rPr>
        <w:t> </w:t>
      </w:r>
      <w:r w:rsidR="00927C17">
        <w:rPr>
          <w:sz w:val="26"/>
          <w:szCs w:val="26"/>
        </w:rPr>
        <w:t>3.</w:t>
      </w:r>
    </w:p>
    <w:p w:rsidR="00A145F3" w:rsidRDefault="00A145F3" w:rsidP="004D1313">
      <w:pPr>
        <w:widowControl/>
        <w:spacing w:line="360" w:lineRule="auto"/>
        <w:rPr>
          <w:sz w:val="26"/>
          <w:szCs w:val="26"/>
        </w:rPr>
      </w:pPr>
    </w:p>
    <w:p w:rsidR="00DD2711" w:rsidRDefault="003F5033" w:rsidP="003F5033">
      <w:pPr>
        <w:widowControl/>
        <w:spacing w:line="360" w:lineRule="auto"/>
        <w:rPr>
          <w:sz w:val="26"/>
          <w:szCs w:val="26"/>
        </w:rPr>
      </w:pPr>
      <w:r>
        <w:rPr>
          <w:sz w:val="26"/>
          <w:szCs w:val="26"/>
        </w:rPr>
        <w:tab/>
      </w:r>
      <w:r>
        <w:rPr>
          <w:sz w:val="26"/>
          <w:szCs w:val="26"/>
        </w:rPr>
        <w:tab/>
        <w:t>T</w:t>
      </w:r>
      <w:r w:rsidR="003A4E6C">
        <w:rPr>
          <w:sz w:val="26"/>
          <w:szCs w:val="26"/>
        </w:rPr>
        <w:t xml:space="preserve">he Complainant </w:t>
      </w:r>
      <w:r>
        <w:rPr>
          <w:sz w:val="26"/>
          <w:szCs w:val="26"/>
        </w:rPr>
        <w:t xml:space="preserve">also </w:t>
      </w:r>
      <w:r w:rsidR="003A4E6C">
        <w:rPr>
          <w:sz w:val="26"/>
          <w:szCs w:val="26"/>
        </w:rPr>
        <w:t xml:space="preserve">contends that PECO will not inform her of what her </w:t>
      </w:r>
      <w:r w:rsidR="00BE4254">
        <w:rPr>
          <w:sz w:val="26"/>
          <w:szCs w:val="26"/>
        </w:rPr>
        <w:t xml:space="preserve">discounted </w:t>
      </w:r>
      <w:r w:rsidR="003A4E6C">
        <w:rPr>
          <w:sz w:val="26"/>
          <w:szCs w:val="26"/>
        </w:rPr>
        <w:t xml:space="preserve">monthly CAP billing amount should be, and </w:t>
      </w:r>
      <w:r w:rsidR="00441E91">
        <w:rPr>
          <w:sz w:val="26"/>
          <w:szCs w:val="26"/>
        </w:rPr>
        <w:t xml:space="preserve">asserts that the ALJ did not </w:t>
      </w:r>
      <w:r w:rsidR="00441E91">
        <w:rPr>
          <w:sz w:val="26"/>
          <w:szCs w:val="26"/>
        </w:rPr>
        <w:lastRenderedPageBreak/>
        <w:t xml:space="preserve">require PECO to provide this information at the hearing.  </w:t>
      </w:r>
      <w:r w:rsidR="00441E91" w:rsidRPr="00441E91">
        <w:rPr>
          <w:i/>
          <w:sz w:val="26"/>
          <w:szCs w:val="26"/>
        </w:rPr>
        <w:t>Id</w:t>
      </w:r>
      <w:r w:rsidR="00441E91">
        <w:rPr>
          <w:sz w:val="26"/>
          <w:szCs w:val="26"/>
        </w:rPr>
        <w:t>.</w:t>
      </w:r>
      <w:r w:rsidR="00A145F3">
        <w:rPr>
          <w:sz w:val="26"/>
          <w:szCs w:val="26"/>
        </w:rPr>
        <w:t xml:space="preserve"> at 1,</w:t>
      </w:r>
      <w:r w:rsidR="0091784D">
        <w:rPr>
          <w:sz w:val="26"/>
          <w:szCs w:val="26"/>
        </w:rPr>
        <w:t xml:space="preserve"> 3.</w:t>
      </w:r>
      <w:r>
        <w:rPr>
          <w:sz w:val="26"/>
          <w:szCs w:val="26"/>
        </w:rPr>
        <w:t xml:space="preserve">  </w:t>
      </w:r>
      <w:r w:rsidR="002D65B8">
        <w:rPr>
          <w:sz w:val="26"/>
          <w:szCs w:val="26"/>
        </w:rPr>
        <w:t>The Complainant states</w:t>
      </w:r>
      <w:r w:rsidR="003C327C">
        <w:rPr>
          <w:sz w:val="26"/>
          <w:szCs w:val="26"/>
        </w:rPr>
        <w:t xml:space="preserve"> that, while PECO provided a bill insert to explain how bills are determined for residential customers, it did not provide information on how it determines its CAP rates based on a customer’s monthly usage.</w:t>
      </w:r>
      <w:r w:rsidR="00426C84">
        <w:rPr>
          <w:sz w:val="26"/>
          <w:szCs w:val="26"/>
        </w:rPr>
        <w:t xml:space="preserve">  The Complainant argues that, without such information, she cannot understand how PECO determined that her CAP bill should continue to increase, and has no proof that PECO billed her properly.  </w:t>
      </w:r>
      <w:r w:rsidR="00426C84" w:rsidRPr="00426C84">
        <w:rPr>
          <w:i/>
          <w:sz w:val="26"/>
          <w:szCs w:val="26"/>
        </w:rPr>
        <w:t>Id</w:t>
      </w:r>
      <w:r w:rsidR="00426C84">
        <w:rPr>
          <w:sz w:val="26"/>
          <w:szCs w:val="26"/>
        </w:rPr>
        <w:t>. at 4-5.</w:t>
      </w:r>
    </w:p>
    <w:p w:rsidR="006A6EEF" w:rsidRDefault="006A6EEF" w:rsidP="003F5033">
      <w:pPr>
        <w:widowControl/>
        <w:spacing w:line="360" w:lineRule="auto"/>
        <w:rPr>
          <w:sz w:val="26"/>
          <w:szCs w:val="26"/>
        </w:rPr>
      </w:pPr>
    </w:p>
    <w:p w:rsidR="00456B54" w:rsidRPr="004E42DA" w:rsidRDefault="006A6EEF" w:rsidP="004D1313">
      <w:pPr>
        <w:widowControl/>
        <w:spacing w:line="360" w:lineRule="auto"/>
        <w:rPr>
          <w:sz w:val="26"/>
          <w:szCs w:val="26"/>
        </w:rPr>
      </w:pPr>
      <w:r>
        <w:rPr>
          <w:sz w:val="26"/>
          <w:szCs w:val="26"/>
        </w:rPr>
        <w:tab/>
      </w:r>
      <w:r>
        <w:rPr>
          <w:sz w:val="26"/>
          <w:szCs w:val="26"/>
        </w:rPr>
        <w:tab/>
        <w:t>The Complainant concludes that the ALJ</w:t>
      </w:r>
      <w:r w:rsidR="00A53B8A">
        <w:rPr>
          <w:sz w:val="26"/>
          <w:szCs w:val="26"/>
        </w:rPr>
        <w:t>’s ruling on her Complaint was made without substantial evidence,</w:t>
      </w:r>
      <w:r>
        <w:rPr>
          <w:sz w:val="26"/>
          <w:szCs w:val="26"/>
        </w:rPr>
        <w:t xml:space="preserve"> and requests that this matter be remanded to the AL</w:t>
      </w:r>
      <w:r w:rsidR="00A53B8A">
        <w:rPr>
          <w:sz w:val="26"/>
          <w:szCs w:val="26"/>
        </w:rPr>
        <w:t>J for further hearing</w:t>
      </w:r>
      <w:r w:rsidR="00471D6B">
        <w:rPr>
          <w:sz w:val="26"/>
          <w:szCs w:val="26"/>
        </w:rPr>
        <w:t xml:space="preserve"> so that PECO may</w:t>
      </w:r>
      <w:r w:rsidR="00A53B8A">
        <w:rPr>
          <w:sz w:val="26"/>
          <w:szCs w:val="26"/>
        </w:rPr>
        <w:t xml:space="preserve"> provide more information with regard to its billing </w:t>
      </w:r>
      <w:r w:rsidR="00A46D7F">
        <w:rPr>
          <w:sz w:val="26"/>
          <w:szCs w:val="26"/>
        </w:rPr>
        <w:t>practices as they relate to the Complainant’</w:t>
      </w:r>
      <w:r w:rsidR="00471D6B">
        <w:rPr>
          <w:sz w:val="26"/>
          <w:szCs w:val="26"/>
        </w:rPr>
        <w:t>s household</w:t>
      </w:r>
      <w:r w:rsidR="00927C17">
        <w:rPr>
          <w:sz w:val="26"/>
          <w:szCs w:val="26"/>
        </w:rPr>
        <w:t>.</w:t>
      </w:r>
      <w:r w:rsidR="00A46D7F">
        <w:rPr>
          <w:sz w:val="26"/>
          <w:szCs w:val="26"/>
        </w:rPr>
        <w:t xml:space="preserve">  </w:t>
      </w:r>
      <w:r w:rsidR="00EB1C86">
        <w:rPr>
          <w:sz w:val="26"/>
          <w:szCs w:val="26"/>
        </w:rPr>
        <w:t xml:space="preserve">Specifically, the Complainant asserts that PECO should be directed to explain how it calculates the CAP bills for a household based on monthly usage, and how it determines the appropriate CAP tier level for which a customer is eligible.  </w:t>
      </w:r>
      <w:r w:rsidR="00EB1C86" w:rsidRPr="00EB1C86">
        <w:rPr>
          <w:i/>
          <w:sz w:val="26"/>
          <w:szCs w:val="26"/>
        </w:rPr>
        <w:t>Id</w:t>
      </w:r>
      <w:r w:rsidR="00EB1C86">
        <w:rPr>
          <w:sz w:val="26"/>
          <w:szCs w:val="26"/>
        </w:rPr>
        <w:t>.</w:t>
      </w:r>
      <w:r w:rsidR="00927C17">
        <w:rPr>
          <w:sz w:val="26"/>
          <w:szCs w:val="26"/>
        </w:rPr>
        <w:t xml:space="preserve"> at 4-5.</w:t>
      </w:r>
    </w:p>
    <w:p w:rsidR="00456B54" w:rsidRPr="00456B54" w:rsidRDefault="00456B54" w:rsidP="004D1313">
      <w:pPr>
        <w:widowControl/>
        <w:spacing w:line="360" w:lineRule="auto"/>
        <w:rPr>
          <w:sz w:val="26"/>
          <w:szCs w:val="26"/>
        </w:rPr>
      </w:pPr>
    </w:p>
    <w:p w:rsidR="00A2058C" w:rsidRDefault="002F37D3" w:rsidP="004D1313">
      <w:pPr>
        <w:widowControl/>
        <w:spacing w:line="360" w:lineRule="auto"/>
        <w:rPr>
          <w:sz w:val="26"/>
          <w:szCs w:val="26"/>
        </w:rPr>
      </w:pPr>
      <w:r>
        <w:rPr>
          <w:sz w:val="26"/>
          <w:szCs w:val="26"/>
        </w:rPr>
        <w:tab/>
      </w:r>
      <w:r>
        <w:rPr>
          <w:sz w:val="26"/>
          <w:szCs w:val="26"/>
        </w:rPr>
        <w:tab/>
        <w:t>In its Replies</w:t>
      </w:r>
      <w:r w:rsidR="0088313D" w:rsidRPr="0088313D">
        <w:rPr>
          <w:sz w:val="26"/>
          <w:szCs w:val="26"/>
        </w:rPr>
        <w:t>, PECO</w:t>
      </w:r>
      <w:r w:rsidR="006B6C95">
        <w:rPr>
          <w:sz w:val="26"/>
          <w:szCs w:val="26"/>
        </w:rPr>
        <w:t xml:space="preserve"> </w:t>
      </w:r>
      <w:r w:rsidR="00A65900">
        <w:rPr>
          <w:sz w:val="26"/>
          <w:szCs w:val="26"/>
        </w:rPr>
        <w:t>asserts that the Complainant’s position reflects her confusion between the CAP program and budget billing.</w:t>
      </w:r>
      <w:r w:rsidR="002C44E1">
        <w:rPr>
          <w:sz w:val="26"/>
          <w:szCs w:val="26"/>
        </w:rPr>
        <w:t xml:space="preserve">  PECO notes that the Complainant is enrolled in both CAP and the budget billing program.  As PECO explains:</w:t>
      </w:r>
    </w:p>
    <w:p w:rsidR="002C44E1" w:rsidRDefault="002C44E1" w:rsidP="004D1313">
      <w:pPr>
        <w:widowControl/>
        <w:spacing w:line="360" w:lineRule="auto"/>
        <w:rPr>
          <w:sz w:val="26"/>
          <w:szCs w:val="26"/>
        </w:rPr>
      </w:pPr>
    </w:p>
    <w:p w:rsidR="002C44E1" w:rsidRDefault="002C44E1" w:rsidP="002C44E1">
      <w:pPr>
        <w:widowControl/>
        <w:ind w:left="1440" w:right="1440"/>
        <w:rPr>
          <w:sz w:val="26"/>
          <w:szCs w:val="26"/>
        </w:rPr>
      </w:pPr>
      <w:r>
        <w:rPr>
          <w:sz w:val="26"/>
          <w:szCs w:val="26"/>
        </w:rPr>
        <w:t>The record demonstrates that the Complainant’s household is enrolled in the CAP program.  N.T. 51.  The CAP program is based on income and provides the Complainant with a discount on her total bill based on the customer’s usage.  N.T. 55, 59-60.  In addition to being enrolled in the CAP program, the Complainant is also enrolled in the company’s budget billing option.  N.T. 57.  Budget billing permits customer’s [</w:t>
      </w:r>
      <w:r w:rsidRPr="002C44E1">
        <w:rPr>
          <w:i/>
          <w:sz w:val="26"/>
          <w:szCs w:val="26"/>
        </w:rPr>
        <w:t>sic</w:t>
      </w:r>
      <w:r>
        <w:rPr>
          <w:sz w:val="26"/>
          <w:szCs w:val="26"/>
        </w:rPr>
        <w:t>] to spread out the amount they pay for electric usage over a 12 month period.  The budget billing average is reviewed and adjusted every three months based on the customer’s usage.  N.T. 53-54.  Neither the Complainant nor anyone from her household has asked to be removed from the budget billing option.  N.T. 57.</w:t>
      </w:r>
      <w:r w:rsidR="00831DF7">
        <w:rPr>
          <w:sz w:val="26"/>
          <w:szCs w:val="26"/>
        </w:rPr>
        <w:t xml:space="preserve">  At</w:t>
      </w:r>
      <w:r>
        <w:rPr>
          <w:sz w:val="26"/>
          <w:szCs w:val="26"/>
        </w:rPr>
        <w:t xml:space="preserve"> the time of the hearing, the </w:t>
      </w:r>
      <w:r>
        <w:rPr>
          <w:sz w:val="26"/>
          <w:szCs w:val="26"/>
        </w:rPr>
        <w:lastRenderedPageBreak/>
        <w:t>Complainant’s outstanding balance for electric service was $267.75.  The entire balance is comprised of CAP arrears.  N.T. 70; PECO Exh. 1.</w:t>
      </w:r>
    </w:p>
    <w:p w:rsidR="002C44E1" w:rsidRPr="0088313D" w:rsidRDefault="002C44E1" w:rsidP="004D1313">
      <w:pPr>
        <w:widowControl/>
        <w:spacing w:line="360" w:lineRule="auto"/>
        <w:rPr>
          <w:sz w:val="26"/>
          <w:szCs w:val="26"/>
        </w:rPr>
      </w:pPr>
    </w:p>
    <w:p w:rsidR="001B1D75" w:rsidRDefault="002C44E1" w:rsidP="004D1313">
      <w:pPr>
        <w:widowControl/>
        <w:spacing w:line="360" w:lineRule="auto"/>
        <w:rPr>
          <w:sz w:val="26"/>
          <w:szCs w:val="26"/>
        </w:rPr>
      </w:pPr>
      <w:r>
        <w:rPr>
          <w:sz w:val="26"/>
          <w:szCs w:val="26"/>
        </w:rPr>
        <w:t>R.Exc. at 2.</w:t>
      </w:r>
    </w:p>
    <w:p w:rsidR="002C44E1" w:rsidRDefault="002C44E1" w:rsidP="004D1313">
      <w:pPr>
        <w:widowControl/>
        <w:spacing w:line="360" w:lineRule="auto"/>
        <w:rPr>
          <w:sz w:val="26"/>
          <w:szCs w:val="26"/>
        </w:rPr>
      </w:pPr>
    </w:p>
    <w:p w:rsidR="00064973" w:rsidRDefault="00046D2C" w:rsidP="004D1313">
      <w:pPr>
        <w:widowControl/>
        <w:spacing w:line="360" w:lineRule="auto"/>
        <w:rPr>
          <w:sz w:val="26"/>
          <w:szCs w:val="26"/>
        </w:rPr>
      </w:pPr>
      <w:r>
        <w:rPr>
          <w:sz w:val="26"/>
          <w:szCs w:val="26"/>
        </w:rPr>
        <w:tab/>
      </w:r>
      <w:r>
        <w:rPr>
          <w:sz w:val="26"/>
          <w:szCs w:val="26"/>
        </w:rPr>
        <w:tab/>
        <w:t>PECO asserts that the Complainant is incorrect in her belief that being enrolled in the CAP program entitles her to pay a flat fee of only $27 per month, regardless of her gas usage.  PECO states that CAP offers customers a discount on their total electric bill based on the specific income tier for which they qualify, not a blanket flat fee based on</w:t>
      </w:r>
      <w:r w:rsidR="00F52B7B">
        <w:rPr>
          <w:sz w:val="26"/>
          <w:szCs w:val="26"/>
        </w:rPr>
        <w:t xml:space="preserve"> their level of affordability.</w:t>
      </w:r>
      <w:r w:rsidR="00625EA0">
        <w:rPr>
          <w:sz w:val="26"/>
          <w:szCs w:val="26"/>
        </w:rPr>
        <w:t xml:space="preserve">  PECO also asserts that, while the Complainant correctly states that PECO </w:t>
      </w:r>
      <w:r w:rsidR="00064973">
        <w:rPr>
          <w:sz w:val="26"/>
          <w:szCs w:val="26"/>
        </w:rPr>
        <w:t>reviews her household income every two years as part of the CAP recertificatio</w:t>
      </w:r>
      <w:r w:rsidR="00625EA0">
        <w:rPr>
          <w:sz w:val="26"/>
          <w:szCs w:val="26"/>
        </w:rPr>
        <w:t xml:space="preserve">n process, she </w:t>
      </w:r>
      <w:r w:rsidR="00064973">
        <w:rPr>
          <w:sz w:val="26"/>
          <w:szCs w:val="26"/>
        </w:rPr>
        <w:t>is incorrect in her belief that PECO is reviewing her income every three months.  PECO explains that it is the Complainant’s electric usage that is reviewed every th</w:t>
      </w:r>
      <w:r w:rsidR="00C22B0B">
        <w:rPr>
          <w:sz w:val="26"/>
          <w:szCs w:val="26"/>
        </w:rPr>
        <w:t xml:space="preserve">ree months </w:t>
      </w:r>
      <w:r w:rsidR="00064973">
        <w:rPr>
          <w:sz w:val="26"/>
          <w:szCs w:val="26"/>
        </w:rPr>
        <w:t xml:space="preserve">in order to determine what the average increase or decrease in her budget billing amount should be.  </w:t>
      </w:r>
      <w:r w:rsidR="00C22B0B">
        <w:rPr>
          <w:sz w:val="26"/>
          <w:szCs w:val="26"/>
        </w:rPr>
        <w:t>PECO states that the Complainant’s budget bill was initially set at $27 per month, but was steadily increased based on subsequent thr</w:t>
      </w:r>
      <w:r w:rsidR="00F52B7B">
        <w:rPr>
          <w:sz w:val="26"/>
          <w:szCs w:val="26"/>
        </w:rPr>
        <w:t>ee-month reviews of her usage.</w:t>
      </w:r>
      <w:r w:rsidR="00E507F3">
        <w:rPr>
          <w:sz w:val="26"/>
          <w:szCs w:val="26"/>
        </w:rPr>
        <w:t xml:space="preserve">  For these reasons PECO contends that the ALJ correctly concluded that the Complainant has not sustained her burden of proof to establish a case of overbilling.  </w:t>
      </w:r>
      <w:r w:rsidR="00E507F3" w:rsidRPr="00E507F3">
        <w:rPr>
          <w:i/>
          <w:sz w:val="26"/>
          <w:szCs w:val="26"/>
        </w:rPr>
        <w:t>Id</w:t>
      </w:r>
      <w:r w:rsidR="00E507F3">
        <w:rPr>
          <w:sz w:val="26"/>
          <w:szCs w:val="26"/>
        </w:rPr>
        <w:t>.</w:t>
      </w:r>
      <w:r w:rsidR="00F52B7B">
        <w:rPr>
          <w:sz w:val="26"/>
          <w:szCs w:val="26"/>
        </w:rPr>
        <w:t xml:space="preserve"> at 3.</w:t>
      </w:r>
    </w:p>
    <w:p w:rsidR="00E507F3" w:rsidRDefault="00E507F3" w:rsidP="004D1313">
      <w:pPr>
        <w:widowControl/>
        <w:spacing w:line="360" w:lineRule="auto"/>
        <w:rPr>
          <w:sz w:val="26"/>
          <w:szCs w:val="26"/>
        </w:rPr>
      </w:pPr>
    </w:p>
    <w:p w:rsidR="0088313D" w:rsidRDefault="00E507F3" w:rsidP="004D1313">
      <w:pPr>
        <w:widowControl/>
        <w:spacing w:line="360" w:lineRule="auto"/>
        <w:rPr>
          <w:sz w:val="26"/>
          <w:szCs w:val="26"/>
        </w:rPr>
      </w:pPr>
      <w:r>
        <w:rPr>
          <w:sz w:val="26"/>
          <w:szCs w:val="26"/>
        </w:rPr>
        <w:tab/>
      </w:r>
      <w:r>
        <w:rPr>
          <w:sz w:val="26"/>
          <w:szCs w:val="26"/>
        </w:rPr>
        <w:tab/>
        <w:t>Finally, PECO contends that the record clearly demonstrates that the Complainant’s $267.75 balance is comprised of CAP arrears, and therefore, the Commission has no jurisdiction to provide the Complainant with a payment arrangement on this amount.</w:t>
      </w:r>
      <w:r w:rsidR="00892DEE">
        <w:rPr>
          <w:sz w:val="26"/>
          <w:szCs w:val="26"/>
        </w:rPr>
        <w:t xml:space="preserve">  PECO asserts that the ALJ correctly denied the Complainant a payment agreement on the $267.75 balance, pursuant to 66 Pa. C</w:t>
      </w:r>
      <w:r w:rsidR="00F171B6">
        <w:rPr>
          <w:sz w:val="26"/>
          <w:szCs w:val="26"/>
        </w:rPr>
        <w:t>.S.</w:t>
      </w:r>
      <w:r w:rsidR="00892DEE">
        <w:rPr>
          <w:sz w:val="26"/>
          <w:szCs w:val="26"/>
        </w:rPr>
        <w:t xml:space="preserve"> § 1405(c).  </w:t>
      </w:r>
      <w:r w:rsidR="00892DEE" w:rsidRPr="00892DEE">
        <w:rPr>
          <w:i/>
          <w:sz w:val="26"/>
          <w:szCs w:val="26"/>
        </w:rPr>
        <w:t>Id</w:t>
      </w:r>
      <w:r w:rsidR="00892DEE">
        <w:rPr>
          <w:sz w:val="26"/>
          <w:szCs w:val="26"/>
        </w:rPr>
        <w:t>. at 4.</w:t>
      </w:r>
    </w:p>
    <w:p w:rsidR="000B26FD" w:rsidRPr="000958D8" w:rsidRDefault="000B26FD" w:rsidP="004D1313">
      <w:pPr>
        <w:widowControl/>
        <w:spacing w:line="360" w:lineRule="auto"/>
        <w:rPr>
          <w:sz w:val="26"/>
          <w:szCs w:val="26"/>
        </w:rPr>
      </w:pPr>
    </w:p>
    <w:p w:rsidR="00B9551C" w:rsidRPr="0088313D" w:rsidRDefault="00B9551C" w:rsidP="001751D7">
      <w:pPr>
        <w:keepNext/>
        <w:widowControl/>
        <w:spacing w:line="360" w:lineRule="auto"/>
        <w:rPr>
          <w:b/>
          <w:sz w:val="26"/>
          <w:szCs w:val="26"/>
        </w:rPr>
      </w:pPr>
      <w:r w:rsidRPr="0088313D">
        <w:rPr>
          <w:b/>
          <w:sz w:val="26"/>
          <w:szCs w:val="26"/>
        </w:rPr>
        <w:lastRenderedPageBreak/>
        <w:t>Disposition</w:t>
      </w:r>
    </w:p>
    <w:p w:rsidR="00C2205A" w:rsidRPr="0088313D" w:rsidRDefault="00C2205A" w:rsidP="001751D7">
      <w:pPr>
        <w:keepNext/>
        <w:widowControl/>
        <w:spacing w:line="360" w:lineRule="auto"/>
        <w:rPr>
          <w:sz w:val="26"/>
          <w:szCs w:val="26"/>
        </w:rPr>
      </w:pPr>
    </w:p>
    <w:p w:rsidR="00A517F5" w:rsidRDefault="001F6A60" w:rsidP="001751D7">
      <w:pPr>
        <w:keepNext/>
        <w:widowControl/>
        <w:spacing w:line="360" w:lineRule="auto"/>
        <w:rPr>
          <w:sz w:val="26"/>
          <w:szCs w:val="26"/>
        </w:rPr>
      </w:pPr>
      <w:r w:rsidRPr="00414F42">
        <w:rPr>
          <w:sz w:val="26"/>
          <w:szCs w:val="26"/>
        </w:rPr>
        <w:tab/>
      </w:r>
      <w:r w:rsidRPr="00414F42">
        <w:rPr>
          <w:sz w:val="26"/>
          <w:szCs w:val="26"/>
        </w:rPr>
        <w:tab/>
      </w:r>
      <w:r w:rsidR="00E54730" w:rsidRPr="00414F42">
        <w:rPr>
          <w:sz w:val="26"/>
          <w:szCs w:val="26"/>
        </w:rPr>
        <w:t>Based u</w:t>
      </w:r>
      <w:r w:rsidR="00B20C58" w:rsidRPr="00414F42">
        <w:rPr>
          <w:sz w:val="26"/>
          <w:szCs w:val="26"/>
        </w:rPr>
        <w:t>pon our review of the record in this proceeding, we will deny the Complainant’s Exceptions</w:t>
      </w:r>
      <w:r w:rsidR="00097B8D" w:rsidRPr="00414F42">
        <w:rPr>
          <w:sz w:val="26"/>
          <w:szCs w:val="26"/>
        </w:rPr>
        <w:t xml:space="preserve"> and </w:t>
      </w:r>
      <w:r w:rsidR="009D575B">
        <w:rPr>
          <w:sz w:val="26"/>
          <w:szCs w:val="26"/>
        </w:rPr>
        <w:t>adopt the ALJ’s Initial Decision</w:t>
      </w:r>
      <w:r w:rsidR="00B20C58" w:rsidRPr="00414F42">
        <w:rPr>
          <w:sz w:val="26"/>
          <w:szCs w:val="26"/>
        </w:rPr>
        <w:t xml:space="preserve">.  </w:t>
      </w:r>
      <w:r w:rsidR="00414F42" w:rsidRPr="00414F42">
        <w:rPr>
          <w:sz w:val="26"/>
          <w:szCs w:val="26"/>
        </w:rPr>
        <w:t>We agree with the ALJ and PECO that the Complainant’</w:t>
      </w:r>
      <w:r w:rsidR="00414F42">
        <w:rPr>
          <w:sz w:val="26"/>
          <w:szCs w:val="26"/>
        </w:rPr>
        <w:t>s position appears to be based on her confusion with regard to how t</w:t>
      </w:r>
      <w:r w:rsidR="00061C8B">
        <w:rPr>
          <w:sz w:val="26"/>
          <w:szCs w:val="26"/>
        </w:rPr>
        <w:t>he CAP program functions, particularly in relation to budget billing.  As PECO pointed out, the Complainant appear</w:t>
      </w:r>
      <w:r w:rsidR="00FF2F20">
        <w:rPr>
          <w:sz w:val="26"/>
          <w:szCs w:val="26"/>
        </w:rPr>
        <w:t>s</w:t>
      </w:r>
      <w:r w:rsidR="00061C8B">
        <w:rPr>
          <w:sz w:val="26"/>
          <w:szCs w:val="26"/>
        </w:rPr>
        <w:t xml:space="preserve"> to believe that</w:t>
      </w:r>
      <w:r w:rsidR="007F60F8">
        <w:rPr>
          <w:sz w:val="26"/>
          <w:szCs w:val="26"/>
        </w:rPr>
        <w:t>, because she is enrolled in CAP,</w:t>
      </w:r>
      <w:r w:rsidR="00061C8B">
        <w:rPr>
          <w:sz w:val="26"/>
          <w:szCs w:val="26"/>
        </w:rPr>
        <w:t xml:space="preserve"> she is entitled to receive a fixed monthly bill from PECO</w:t>
      </w:r>
      <w:r w:rsidR="00DB4568">
        <w:rPr>
          <w:sz w:val="26"/>
          <w:szCs w:val="26"/>
        </w:rPr>
        <w:t xml:space="preserve"> based on the level of her household income,</w:t>
      </w:r>
      <w:r w:rsidR="00061C8B">
        <w:rPr>
          <w:sz w:val="26"/>
          <w:szCs w:val="26"/>
        </w:rPr>
        <w:t xml:space="preserve"> regardless </w:t>
      </w:r>
      <w:r w:rsidR="007F60F8">
        <w:rPr>
          <w:sz w:val="26"/>
          <w:szCs w:val="26"/>
        </w:rPr>
        <w:t>of her electricity usage</w:t>
      </w:r>
      <w:r w:rsidR="00061C8B">
        <w:rPr>
          <w:sz w:val="26"/>
          <w:szCs w:val="26"/>
        </w:rPr>
        <w:t xml:space="preserve">.  </w:t>
      </w:r>
      <w:r w:rsidR="00FF2F20">
        <w:rPr>
          <w:sz w:val="26"/>
          <w:szCs w:val="26"/>
        </w:rPr>
        <w:t xml:space="preserve">Therefore, she questions why </w:t>
      </w:r>
      <w:r w:rsidR="00457E6A">
        <w:rPr>
          <w:sz w:val="26"/>
          <w:szCs w:val="26"/>
        </w:rPr>
        <w:t>PECO is calculating her bills based on usage</w:t>
      </w:r>
      <w:r w:rsidR="00C046A1">
        <w:rPr>
          <w:sz w:val="26"/>
          <w:szCs w:val="26"/>
        </w:rPr>
        <w:t>,</w:t>
      </w:r>
      <w:r w:rsidR="00DB4568">
        <w:rPr>
          <w:sz w:val="26"/>
          <w:szCs w:val="26"/>
        </w:rPr>
        <w:t xml:space="preserve"> and why her bills are permitted to increase, even when her household income has gone down.  </w:t>
      </w:r>
      <w:r w:rsidR="007F60F8">
        <w:rPr>
          <w:sz w:val="26"/>
          <w:szCs w:val="26"/>
        </w:rPr>
        <w:t xml:space="preserve">Tr. at </w:t>
      </w:r>
      <w:r w:rsidR="00E82B43">
        <w:rPr>
          <w:sz w:val="26"/>
          <w:szCs w:val="26"/>
        </w:rPr>
        <w:t>16-18</w:t>
      </w:r>
      <w:r w:rsidR="007F60F8">
        <w:rPr>
          <w:sz w:val="26"/>
          <w:szCs w:val="26"/>
        </w:rPr>
        <w:t xml:space="preserve">, </w:t>
      </w:r>
      <w:r w:rsidR="00E82B43">
        <w:rPr>
          <w:sz w:val="26"/>
          <w:szCs w:val="26"/>
        </w:rPr>
        <w:t>20</w:t>
      </w:r>
      <w:r w:rsidR="008549E5">
        <w:rPr>
          <w:sz w:val="26"/>
          <w:szCs w:val="26"/>
        </w:rPr>
        <w:t>, 29-30.</w:t>
      </w:r>
      <w:r w:rsidR="00B94552">
        <w:rPr>
          <w:sz w:val="26"/>
          <w:szCs w:val="26"/>
        </w:rPr>
        <w:t xml:space="preserve">  The Complainant also believes that her enrollment in CAP is incompatible with her enrollment in budget billing, since her budget bills have changed periodically, in conflict with her belief that CAP bills should not change.  </w:t>
      </w:r>
      <w:r w:rsidR="00B94552" w:rsidRPr="00B94552">
        <w:rPr>
          <w:i/>
          <w:sz w:val="26"/>
          <w:szCs w:val="26"/>
        </w:rPr>
        <w:t>Id</w:t>
      </w:r>
      <w:r w:rsidR="00B94552">
        <w:rPr>
          <w:sz w:val="26"/>
          <w:szCs w:val="26"/>
        </w:rPr>
        <w:t xml:space="preserve">. at </w:t>
      </w:r>
      <w:r w:rsidR="00732E51">
        <w:rPr>
          <w:sz w:val="26"/>
          <w:szCs w:val="26"/>
        </w:rPr>
        <w:t>19-20, 23</w:t>
      </w:r>
      <w:r w:rsidR="00281B12">
        <w:rPr>
          <w:sz w:val="26"/>
          <w:szCs w:val="26"/>
        </w:rPr>
        <w:t>, 28-29</w:t>
      </w:r>
      <w:r w:rsidR="00C45D83">
        <w:rPr>
          <w:sz w:val="26"/>
          <w:szCs w:val="26"/>
        </w:rPr>
        <w:t>.</w:t>
      </w:r>
      <w:r w:rsidR="00C74286">
        <w:rPr>
          <w:sz w:val="26"/>
          <w:szCs w:val="26"/>
        </w:rPr>
        <w:t xml:space="preserve">  </w:t>
      </w:r>
      <w:r w:rsidR="001D656E">
        <w:rPr>
          <w:sz w:val="26"/>
          <w:szCs w:val="26"/>
        </w:rPr>
        <w:t xml:space="preserve">However, as PECO’s witness </w:t>
      </w:r>
      <w:r w:rsidR="0033170A">
        <w:rPr>
          <w:sz w:val="26"/>
          <w:szCs w:val="26"/>
        </w:rPr>
        <w:t xml:space="preserve">Mr. </w:t>
      </w:r>
      <w:r w:rsidR="001D656E">
        <w:rPr>
          <w:sz w:val="26"/>
          <w:szCs w:val="26"/>
        </w:rPr>
        <w:t xml:space="preserve">Conway explained, </w:t>
      </w:r>
      <w:r w:rsidR="00A929F4">
        <w:rPr>
          <w:sz w:val="26"/>
          <w:szCs w:val="26"/>
        </w:rPr>
        <w:t>a customer enrolled in the CAP program does no</w:t>
      </w:r>
      <w:r w:rsidR="00A84DAF">
        <w:rPr>
          <w:sz w:val="26"/>
          <w:szCs w:val="26"/>
        </w:rPr>
        <w:t>t receive a fixed monthly bill</w:t>
      </w:r>
      <w:r w:rsidR="00A929F4">
        <w:rPr>
          <w:sz w:val="26"/>
          <w:szCs w:val="26"/>
        </w:rPr>
        <w:t>, but rather, receives a discount on</w:t>
      </w:r>
      <w:r w:rsidR="00CB4616">
        <w:rPr>
          <w:sz w:val="26"/>
          <w:szCs w:val="26"/>
        </w:rPr>
        <w:t xml:space="preserve"> the amount of the</w:t>
      </w:r>
      <w:r w:rsidR="00A84DAF">
        <w:rPr>
          <w:sz w:val="26"/>
          <w:szCs w:val="26"/>
        </w:rPr>
        <w:t xml:space="preserve"> full bill, which is based on</w:t>
      </w:r>
      <w:r w:rsidR="00A929F4">
        <w:rPr>
          <w:sz w:val="26"/>
          <w:szCs w:val="26"/>
        </w:rPr>
        <w:t xml:space="preserve"> the customer’s electricity usage.</w:t>
      </w:r>
      <w:r w:rsidR="002B6B97">
        <w:rPr>
          <w:sz w:val="26"/>
          <w:szCs w:val="26"/>
        </w:rPr>
        <w:t xml:space="preserve">  </w:t>
      </w:r>
      <w:r w:rsidR="00ED0CCD">
        <w:rPr>
          <w:sz w:val="26"/>
          <w:szCs w:val="26"/>
        </w:rPr>
        <w:t>Accordingly, even if a customer’s gross monthly income decreases, resulting in a larger CAP discount, the customer’s monthly bill may still increase if the customer’</w:t>
      </w:r>
      <w:r w:rsidR="00A84DAF">
        <w:rPr>
          <w:sz w:val="26"/>
          <w:szCs w:val="26"/>
        </w:rPr>
        <w:t>s mon</w:t>
      </w:r>
      <w:r w:rsidR="00421861">
        <w:rPr>
          <w:sz w:val="26"/>
          <w:szCs w:val="26"/>
        </w:rPr>
        <w:t>thly usage increases.  A</w:t>
      </w:r>
      <w:r w:rsidR="00ED0CCD">
        <w:rPr>
          <w:sz w:val="26"/>
          <w:szCs w:val="26"/>
        </w:rPr>
        <w:t xml:space="preserve"> decrease in income and corresponding change in the CAP discount will not necessarily result in an automatic decrease in month</w:t>
      </w:r>
      <w:r w:rsidR="00261032">
        <w:rPr>
          <w:sz w:val="26"/>
          <w:szCs w:val="26"/>
        </w:rPr>
        <w:t>ly bills as the Complainant believes</w:t>
      </w:r>
      <w:r w:rsidR="00ED0CCD">
        <w:rPr>
          <w:sz w:val="26"/>
          <w:szCs w:val="26"/>
        </w:rPr>
        <w:t xml:space="preserve">.  </w:t>
      </w:r>
      <w:r w:rsidR="002B6B97" w:rsidRPr="002B6B97">
        <w:rPr>
          <w:i/>
          <w:sz w:val="26"/>
          <w:szCs w:val="26"/>
        </w:rPr>
        <w:t>Id</w:t>
      </w:r>
      <w:r w:rsidR="00ED0CCD">
        <w:rPr>
          <w:sz w:val="26"/>
          <w:szCs w:val="26"/>
        </w:rPr>
        <w:t>. at 58-60, 81-82.</w:t>
      </w:r>
      <w:r w:rsidR="00261032">
        <w:rPr>
          <w:sz w:val="26"/>
          <w:szCs w:val="26"/>
        </w:rPr>
        <w:t xml:space="preserve">  </w:t>
      </w:r>
    </w:p>
    <w:p w:rsidR="00A517F5" w:rsidRDefault="00A517F5" w:rsidP="0088313D">
      <w:pPr>
        <w:widowControl/>
        <w:spacing w:line="360" w:lineRule="auto"/>
        <w:rPr>
          <w:sz w:val="26"/>
          <w:szCs w:val="26"/>
        </w:rPr>
      </w:pPr>
    </w:p>
    <w:p w:rsidR="00A517F5" w:rsidRDefault="00A517F5" w:rsidP="0088313D">
      <w:pPr>
        <w:widowControl/>
        <w:spacing w:line="360" w:lineRule="auto"/>
        <w:rPr>
          <w:sz w:val="26"/>
          <w:szCs w:val="26"/>
        </w:rPr>
      </w:pPr>
      <w:r>
        <w:rPr>
          <w:sz w:val="26"/>
          <w:szCs w:val="26"/>
        </w:rPr>
        <w:tab/>
      </w:r>
      <w:r>
        <w:rPr>
          <w:sz w:val="26"/>
          <w:szCs w:val="26"/>
        </w:rPr>
        <w:tab/>
      </w:r>
      <w:r w:rsidR="00261032">
        <w:rPr>
          <w:sz w:val="26"/>
          <w:szCs w:val="26"/>
        </w:rPr>
        <w:t xml:space="preserve">As for </w:t>
      </w:r>
      <w:r w:rsidR="007C5201">
        <w:rPr>
          <w:sz w:val="26"/>
          <w:szCs w:val="26"/>
        </w:rPr>
        <w:t xml:space="preserve">the Complainant’s belief that budget billing conflicts with CAP billing, </w:t>
      </w:r>
      <w:r>
        <w:rPr>
          <w:sz w:val="26"/>
          <w:szCs w:val="26"/>
        </w:rPr>
        <w:t>we note</w:t>
      </w:r>
      <w:r w:rsidR="00831DF7">
        <w:rPr>
          <w:sz w:val="26"/>
          <w:szCs w:val="26"/>
        </w:rPr>
        <w:t xml:space="preserve"> that, while CAP and budget billing represent two different systems, a customer can be enrolled in both CAP and budget billing</w:t>
      </w:r>
      <w:r w:rsidR="007863CB">
        <w:rPr>
          <w:sz w:val="26"/>
          <w:szCs w:val="26"/>
        </w:rPr>
        <w:t>, as the testimony of Mr. </w:t>
      </w:r>
      <w:r>
        <w:rPr>
          <w:sz w:val="26"/>
          <w:szCs w:val="26"/>
        </w:rPr>
        <w:t>Conway indicated</w:t>
      </w:r>
      <w:r w:rsidR="00831DF7">
        <w:rPr>
          <w:sz w:val="26"/>
          <w:szCs w:val="26"/>
        </w:rPr>
        <w:t>.</w:t>
      </w:r>
      <w:r w:rsidR="00125F0A">
        <w:rPr>
          <w:sz w:val="26"/>
          <w:szCs w:val="26"/>
        </w:rPr>
        <w:t xml:space="preserve">  </w:t>
      </w:r>
      <w:r w:rsidR="00077B2D" w:rsidRPr="00077B2D">
        <w:rPr>
          <w:i/>
          <w:sz w:val="26"/>
          <w:szCs w:val="26"/>
        </w:rPr>
        <w:t>Id</w:t>
      </w:r>
      <w:r w:rsidR="00077B2D">
        <w:rPr>
          <w:sz w:val="26"/>
          <w:szCs w:val="26"/>
        </w:rPr>
        <w:t xml:space="preserve">. at </w:t>
      </w:r>
      <w:r w:rsidR="00125F0A">
        <w:rPr>
          <w:sz w:val="26"/>
          <w:szCs w:val="26"/>
        </w:rPr>
        <w:t>60-61,</w:t>
      </w:r>
      <w:r w:rsidR="00403056">
        <w:rPr>
          <w:sz w:val="26"/>
          <w:szCs w:val="26"/>
        </w:rPr>
        <w:t xml:space="preserve"> 78-81.</w:t>
      </w:r>
      <w:r w:rsidR="00D43570">
        <w:rPr>
          <w:sz w:val="26"/>
          <w:szCs w:val="26"/>
        </w:rPr>
        <w:t xml:space="preserve">  </w:t>
      </w:r>
      <w:r w:rsidR="00280A4A">
        <w:rPr>
          <w:sz w:val="26"/>
          <w:szCs w:val="26"/>
        </w:rPr>
        <w:t>B</w:t>
      </w:r>
      <w:r>
        <w:rPr>
          <w:sz w:val="26"/>
          <w:szCs w:val="26"/>
        </w:rPr>
        <w:t xml:space="preserve">udget billing is intended to equalize a customer’s monthly payments in order to minimize the effect of seasonal fluctuations </w:t>
      </w:r>
      <w:r w:rsidR="00280A4A">
        <w:rPr>
          <w:sz w:val="26"/>
          <w:szCs w:val="26"/>
        </w:rPr>
        <w:t>in usage.  However, a</w:t>
      </w:r>
      <w:r>
        <w:rPr>
          <w:sz w:val="26"/>
          <w:szCs w:val="26"/>
        </w:rPr>
        <w:t xml:space="preserve"> budget bill can still fluctuate because PECO reviews the customer’s </w:t>
      </w:r>
      <w:r>
        <w:rPr>
          <w:sz w:val="26"/>
          <w:szCs w:val="26"/>
        </w:rPr>
        <w:lastRenderedPageBreak/>
        <w:t xml:space="preserve">account </w:t>
      </w:r>
      <w:r w:rsidR="0043390D">
        <w:rPr>
          <w:sz w:val="26"/>
          <w:szCs w:val="26"/>
        </w:rPr>
        <w:t xml:space="preserve">on a </w:t>
      </w:r>
      <w:r>
        <w:rPr>
          <w:sz w:val="26"/>
          <w:szCs w:val="26"/>
        </w:rPr>
        <w:t>quarterly</w:t>
      </w:r>
      <w:r w:rsidR="0043390D">
        <w:rPr>
          <w:sz w:val="26"/>
          <w:szCs w:val="26"/>
        </w:rPr>
        <w:t xml:space="preserve"> basis,</w:t>
      </w:r>
      <w:r>
        <w:rPr>
          <w:sz w:val="26"/>
          <w:szCs w:val="26"/>
        </w:rPr>
        <w:t xml:space="preserve"> </w:t>
      </w:r>
      <w:r w:rsidR="0043390D">
        <w:rPr>
          <w:sz w:val="26"/>
          <w:szCs w:val="26"/>
        </w:rPr>
        <w:t xml:space="preserve">and adjusts the amount of the budget bill, if necessary, in order to ensure that the billed amount is consistent with that usage. </w:t>
      </w:r>
      <w:r w:rsidR="00493D27">
        <w:rPr>
          <w:sz w:val="26"/>
          <w:szCs w:val="26"/>
        </w:rPr>
        <w:t xml:space="preserve"> </w:t>
      </w:r>
      <w:r w:rsidR="002F49DD">
        <w:rPr>
          <w:sz w:val="26"/>
          <w:szCs w:val="26"/>
        </w:rPr>
        <w:t xml:space="preserve">Therefore, contrary to the Complainant’s belief, PECO does not review her household </w:t>
      </w:r>
      <w:r w:rsidR="002F49DD" w:rsidRPr="009F1E07">
        <w:rPr>
          <w:i/>
          <w:sz w:val="26"/>
          <w:szCs w:val="26"/>
        </w:rPr>
        <w:t>income</w:t>
      </w:r>
      <w:r w:rsidR="002F49DD">
        <w:rPr>
          <w:sz w:val="26"/>
          <w:szCs w:val="26"/>
        </w:rPr>
        <w:t xml:space="preserve"> every three months for CAP purposes, but does review her household </w:t>
      </w:r>
      <w:r w:rsidR="002F49DD" w:rsidRPr="009F1E07">
        <w:rPr>
          <w:i/>
          <w:sz w:val="26"/>
          <w:szCs w:val="26"/>
        </w:rPr>
        <w:t>electricity usage</w:t>
      </w:r>
      <w:r w:rsidR="002F49DD">
        <w:rPr>
          <w:sz w:val="26"/>
          <w:szCs w:val="26"/>
        </w:rPr>
        <w:t xml:space="preserve"> every three months for budget billing purposes.</w:t>
      </w:r>
      <w:r w:rsidR="00493D27">
        <w:rPr>
          <w:sz w:val="26"/>
          <w:szCs w:val="26"/>
        </w:rPr>
        <w:t xml:space="preserve">  </w:t>
      </w:r>
      <w:r w:rsidR="00493D27" w:rsidRPr="00493D27">
        <w:rPr>
          <w:i/>
          <w:sz w:val="26"/>
          <w:szCs w:val="26"/>
        </w:rPr>
        <w:t>Id</w:t>
      </w:r>
      <w:r w:rsidR="00493D27">
        <w:rPr>
          <w:sz w:val="26"/>
          <w:szCs w:val="26"/>
        </w:rPr>
        <w:t>. at 53-54, 78-79.</w:t>
      </w:r>
    </w:p>
    <w:p w:rsidR="00A517F5" w:rsidRDefault="00A517F5" w:rsidP="0088313D">
      <w:pPr>
        <w:widowControl/>
        <w:spacing w:line="360" w:lineRule="auto"/>
        <w:rPr>
          <w:sz w:val="26"/>
          <w:szCs w:val="26"/>
        </w:rPr>
      </w:pPr>
    </w:p>
    <w:p w:rsidR="00987CB5" w:rsidRDefault="009B636F" w:rsidP="00FF0330">
      <w:pPr>
        <w:widowControl/>
        <w:spacing w:line="360" w:lineRule="auto"/>
        <w:rPr>
          <w:sz w:val="26"/>
          <w:szCs w:val="26"/>
        </w:rPr>
      </w:pPr>
      <w:r>
        <w:rPr>
          <w:sz w:val="26"/>
          <w:szCs w:val="26"/>
        </w:rPr>
        <w:tab/>
      </w:r>
      <w:r>
        <w:rPr>
          <w:sz w:val="26"/>
          <w:szCs w:val="26"/>
        </w:rPr>
        <w:tab/>
      </w:r>
      <w:r w:rsidR="001755D8">
        <w:rPr>
          <w:sz w:val="26"/>
          <w:szCs w:val="26"/>
        </w:rPr>
        <w:t xml:space="preserve">The record </w:t>
      </w:r>
      <w:r w:rsidR="002E3A8B">
        <w:rPr>
          <w:sz w:val="26"/>
          <w:szCs w:val="26"/>
        </w:rPr>
        <w:t>reflects</w:t>
      </w:r>
      <w:r w:rsidR="00AB2C82">
        <w:rPr>
          <w:sz w:val="26"/>
          <w:szCs w:val="26"/>
        </w:rPr>
        <w:t xml:space="preserve"> that the Complainant</w:t>
      </w:r>
      <w:r>
        <w:rPr>
          <w:sz w:val="26"/>
          <w:szCs w:val="26"/>
        </w:rPr>
        <w:t>’s account</w:t>
      </w:r>
      <w:r w:rsidR="00AB2C82">
        <w:rPr>
          <w:sz w:val="26"/>
          <w:szCs w:val="26"/>
        </w:rPr>
        <w:t xml:space="preserve"> was enrolled in budget billing as a result of a payment agreement issued by BCS on January 4, 2011</w:t>
      </w:r>
      <w:r w:rsidR="002D6683">
        <w:rPr>
          <w:sz w:val="26"/>
          <w:szCs w:val="26"/>
        </w:rPr>
        <w:t>,</w:t>
      </w:r>
      <w:r w:rsidR="00AB2C82">
        <w:rPr>
          <w:sz w:val="26"/>
          <w:szCs w:val="26"/>
        </w:rPr>
        <w:t xml:space="preserve"> at Case No. 2782041.</w:t>
      </w:r>
      <w:r w:rsidR="001755D8">
        <w:rPr>
          <w:sz w:val="26"/>
          <w:szCs w:val="26"/>
        </w:rPr>
        <w:t xml:space="preserve">  At that time, the Complainant’s budget amount was $39.  </w:t>
      </w:r>
      <w:r w:rsidR="001755D8" w:rsidRPr="001755D8">
        <w:rPr>
          <w:i/>
          <w:sz w:val="26"/>
          <w:szCs w:val="26"/>
        </w:rPr>
        <w:t>Id</w:t>
      </w:r>
      <w:r w:rsidR="001755D8">
        <w:rPr>
          <w:sz w:val="26"/>
          <w:szCs w:val="26"/>
        </w:rPr>
        <w:t>. at 53</w:t>
      </w:r>
      <w:r w:rsidR="00C74286">
        <w:rPr>
          <w:sz w:val="26"/>
          <w:szCs w:val="26"/>
        </w:rPr>
        <w:t>, 56</w:t>
      </w:r>
      <w:r w:rsidR="00FF0330">
        <w:rPr>
          <w:sz w:val="26"/>
          <w:szCs w:val="26"/>
        </w:rPr>
        <w:t xml:space="preserve">; PECO Exh. 1 at 1; PECO Exh. </w:t>
      </w:r>
      <w:r>
        <w:rPr>
          <w:sz w:val="26"/>
          <w:szCs w:val="26"/>
        </w:rPr>
        <w:t>9.  The account was then enrolled in CAP, Tier E</w:t>
      </w:r>
      <w:r w:rsidR="00FF0330">
        <w:rPr>
          <w:sz w:val="26"/>
          <w:szCs w:val="26"/>
        </w:rPr>
        <w:t>,</w:t>
      </w:r>
      <w:r>
        <w:rPr>
          <w:sz w:val="26"/>
          <w:szCs w:val="26"/>
        </w:rPr>
        <w:t xml:space="preserve"> on February 3, 2011, </w:t>
      </w:r>
      <w:r w:rsidR="00FF0330">
        <w:rPr>
          <w:sz w:val="26"/>
          <w:szCs w:val="26"/>
        </w:rPr>
        <w:t>and the b</w:t>
      </w:r>
      <w:r w:rsidR="000C70AB">
        <w:rPr>
          <w:sz w:val="26"/>
          <w:szCs w:val="26"/>
        </w:rPr>
        <w:t>udget amount decreased to $27</w:t>
      </w:r>
      <w:r w:rsidR="00FF0330">
        <w:rPr>
          <w:sz w:val="26"/>
          <w:szCs w:val="26"/>
        </w:rPr>
        <w:t xml:space="preserve"> as of the February 28, 2011 billing.  Tr. at 51-52, 57; PECO Exh. 1 at 1; PECO Exh. 3.</w:t>
      </w:r>
      <w:r w:rsidR="00FB1096">
        <w:rPr>
          <w:sz w:val="26"/>
          <w:szCs w:val="26"/>
        </w:rPr>
        <w:t xml:space="preserve">  However, beginning with the June 27,</w:t>
      </w:r>
      <w:r w:rsidR="00F620A2">
        <w:rPr>
          <w:sz w:val="26"/>
          <w:szCs w:val="26"/>
        </w:rPr>
        <w:t xml:space="preserve"> </w:t>
      </w:r>
      <w:r w:rsidR="00FB1096">
        <w:rPr>
          <w:sz w:val="26"/>
          <w:szCs w:val="26"/>
        </w:rPr>
        <w:t xml:space="preserve">2011 billing, the budget bill </w:t>
      </w:r>
      <w:r w:rsidR="00F620A2">
        <w:rPr>
          <w:sz w:val="26"/>
          <w:szCs w:val="26"/>
        </w:rPr>
        <w:t>began to increase periodically due to significant increases in household usage</w:t>
      </w:r>
      <w:r w:rsidR="000C70AB">
        <w:rPr>
          <w:sz w:val="26"/>
          <w:szCs w:val="26"/>
        </w:rPr>
        <w:t>, rising as high as $144</w:t>
      </w:r>
      <w:r w:rsidR="00F70B07">
        <w:rPr>
          <w:sz w:val="26"/>
          <w:szCs w:val="26"/>
        </w:rPr>
        <w:t xml:space="preserve"> as of the January 30, 2012 billing</w:t>
      </w:r>
      <w:r w:rsidR="00371A4B">
        <w:rPr>
          <w:sz w:val="26"/>
          <w:szCs w:val="26"/>
        </w:rPr>
        <w:t xml:space="preserve">.  Tr. at </w:t>
      </w:r>
      <w:r w:rsidR="00F70B07">
        <w:rPr>
          <w:sz w:val="26"/>
          <w:szCs w:val="26"/>
        </w:rPr>
        <w:t>16-17, 57-58; PECO Exh. 1</w:t>
      </w:r>
      <w:r w:rsidR="00371A4B">
        <w:rPr>
          <w:sz w:val="26"/>
          <w:szCs w:val="26"/>
        </w:rPr>
        <w:t>.</w:t>
      </w:r>
    </w:p>
    <w:p w:rsidR="00987CB5" w:rsidRDefault="00987CB5" w:rsidP="00FF0330">
      <w:pPr>
        <w:widowControl/>
        <w:spacing w:line="360" w:lineRule="auto"/>
        <w:rPr>
          <w:sz w:val="26"/>
          <w:szCs w:val="26"/>
        </w:rPr>
      </w:pPr>
    </w:p>
    <w:p w:rsidR="00D43570" w:rsidRDefault="00987CB5" w:rsidP="00FF0330">
      <w:pPr>
        <w:widowControl/>
        <w:spacing w:line="360" w:lineRule="auto"/>
        <w:rPr>
          <w:sz w:val="26"/>
          <w:szCs w:val="26"/>
        </w:rPr>
      </w:pPr>
      <w:r>
        <w:rPr>
          <w:sz w:val="26"/>
          <w:szCs w:val="26"/>
        </w:rPr>
        <w:tab/>
      </w:r>
      <w:r>
        <w:rPr>
          <w:sz w:val="26"/>
          <w:szCs w:val="26"/>
        </w:rPr>
        <w:tab/>
      </w:r>
      <w:r w:rsidR="00443A1C">
        <w:rPr>
          <w:sz w:val="26"/>
          <w:szCs w:val="26"/>
        </w:rPr>
        <w:t>The Complainant’s accoun</w:t>
      </w:r>
      <w:r w:rsidR="00DB39A0">
        <w:rPr>
          <w:sz w:val="26"/>
          <w:szCs w:val="26"/>
        </w:rPr>
        <w:t>t was recertified to CAP Tier D</w:t>
      </w:r>
      <w:r w:rsidR="00DB39A0">
        <w:rPr>
          <w:rStyle w:val="FootnoteReference"/>
          <w:sz w:val="26"/>
          <w:szCs w:val="26"/>
        </w:rPr>
        <w:footnoteReference w:id="5"/>
      </w:r>
      <w:r w:rsidR="002E3A8B">
        <w:rPr>
          <w:sz w:val="26"/>
          <w:szCs w:val="26"/>
        </w:rPr>
        <w:t xml:space="preserve"> </w:t>
      </w:r>
      <w:r w:rsidR="00443A1C">
        <w:rPr>
          <w:sz w:val="26"/>
          <w:szCs w:val="26"/>
        </w:rPr>
        <w:t>on April 26, 2012, due to a verified decrease in her household income, resulting in a larger CAP discount.</w:t>
      </w:r>
      <w:r w:rsidR="00F67501">
        <w:rPr>
          <w:rStyle w:val="FootnoteReference"/>
          <w:sz w:val="26"/>
          <w:szCs w:val="26"/>
        </w:rPr>
        <w:footnoteReference w:id="6"/>
      </w:r>
      <w:r w:rsidR="00443A1C">
        <w:rPr>
          <w:sz w:val="26"/>
          <w:szCs w:val="26"/>
        </w:rPr>
        <w:t xml:space="preserve">  Tr. at 67; PECO Exh. 3.  </w:t>
      </w:r>
      <w:r w:rsidR="00652291">
        <w:rPr>
          <w:sz w:val="26"/>
          <w:szCs w:val="26"/>
        </w:rPr>
        <w:t>Ne</w:t>
      </w:r>
      <w:r w:rsidR="002E3A8B">
        <w:rPr>
          <w:sz w:val="26"/>
          <w:szCs w:val="26"/>
        </w:rPr>
        <w:t>vertheless, the evidence shows</w:t>
      </w:r>
      <w:r w:rsidR="00652291">
        <w:rPr>
          <w:sz w:val="26"/>
          <w:szCs w:val="26"/>
        </w:rPr>
        <w:t xml:space="preserve"> that the Complainant’s household </w:t>
      </w:r>
      <w:r w:rsidR="00844354">
        <w:rPr>
          <w:sz w:val="26"/>
          <w:szCs w:val="26"/>
        </w:rPr>
        <w:t xml:space="preserve">electricity </w:t>
      </w:r>
      <w:r w:rsidR="00652291">
        <w:rPr>
          <w:sz w:val="26"/>
          <w:szCs w:val="26"/>
        </w:rPr>
        <w:t xml:space="preserve">usage remained </w:t>
      </w:r>
      <w:r w:rsidR="00844354">
        <w:rPr>
          <w:sz w:val="26"/>
          <w:szCs w:val="26"/>
        </w:rPr>
        <w:t xml:space="preserve">significantly high, particularly when compared with </w:t>
      </w:r>
      <w:r w:rsidR="00D47717">
        <w:rPr>
          <w:sz w:val="26"/>
          <w:szCs w:val="26"/>
        </w:rPr>
        <w:t xml:space="preserve">her usage </w:t>
      </w:r>
      <w:r w:rsidR="009832E0">
        <w:rPr>
          <w:sz w:val="26"/>
          <w:szCs w:val="26"/>
        </w:rPr>
        <w:t>at the time the</w:t>
      </w:r>
      <w:r w:rsidR="00F60F4E">
        <w:rPr>
          <w:sz w:val="26"/>
          <w:szCs w:val="26"/>
        </w:rPr>
        <w:t xml:space="preserve"> account was first enrolled in CAP.  PECO Exh.</w:t>
      </w:r>
      <w:r w:rsidR="005E6D97">
        <w:rPr>
          <w:sz w:val="26"/>
          <w:szCs w:val="26"/>
        </w:rPr>
        <w:t> </w:t>
      </w:r>
      <w:r w:rsidR="00F60F4E">
        <w:rPr>
          <w:sz w:val="26"/>
          <w:szCs w:val="26"/>
        </w:rPr>
        <w:t>1</w:t>
      </w:r>
      <w:r w:rsidR="00F628E9">
        <w:rPr>
          <w:sz w:val="26"/>
          <w:szCs w:val="26"/>
        </w:rPr>
        <w:t>.</w:t>
      </w:r>
      <w:r w:rsidR="00946A2C">
        <w:rPr>
          <w:sz w:val="26"/>
          <w:szCs w:val="26"/>
        </w:rPr>
        <w:t xml:space="preserve">  </w:t>
      </w:r>
      <w:r w:rsidR="00A269C9">
        <w:rPr>
          <w:sz w:val="26"/>
          <w:szCs w:val="26"/>
        </w:rPr>
        <w:t>Moreover, the record reflects that</w:t>
      </w:r>
      <w:r>
        <w:rPr>
          <w:sz w:val="26"/>
          <w:szCs w:val="26"/>
        </w:rPr>
        <w:t xml:space="preserve">, at the time of the hearing, </w:t>
      </w:r>
      <w:r w:rsidR="00A269C9">
        <w:rPr>
          <w:sz w:val="26"/>
          <w:szCs w:val="26"/>
        </w:rPr>
        <w:t>the Complainant</w:t>
      </w:r>
      <w:r>
        <w:rPr>
          <w:sz w:val="26"/>
          <w:szCs w:val="26"/>
        </w:rPr>
        <w:t xml:space="preserve"> </w:t>
      </w:r>
      <w:r>
        <w:rPr>
          <w:sz w:val="26"/>
          <w:szCs w:val="26"/>
        </w:rPr>
        <w:lastRenderedPageBreak/>
        <w:t>had</w:t>
      </w:r>
      <w:r w:rsidR="00A269C9">
        <w:rPr>
          <w:sz w:val="26"/>
          <w:szCs w:val="26"/>
        </w:rPr>
        <w:t xml:space="preserve"> made only two payments on her account since her enrollment in CAP, resulting in </w:t>
      </w:r>
      <w:r w:rsidR="0058385C">
        <w:rPr>
          <w:sz w:val="26"/>
          <w:szCs w:val="26"/>
        </w:rPr>
        <w:t>a further accumulation of her arrears.</w:t>
      </w:r>
      <w:r w:rsidR="00A269C9">
        <w:rPr>
          <w:sz w:val="26"/>
          <w:szCs w:val="26"/>
        </w:rPr>
        <w:t xml:space="preserve"> </w:t>
      </w:r>
      <w:r w:rsidR="0058385C">
        <w:rPr>
          <w:sz w:val="26"/>
          <w:szCs w:val="26"/>
        </w:rPr>
        <w:t xml:space="preserve"> </w:t>
      </w:r>
      <w:r w:rsidR="00F2184C">
        <w:rPr>
          <w:sz w:val="26"/>
          <w:szCs w:val="26"/>
        </w:rPr>
        <w:t xml:space="preserve">Tr. at 61, 63; PECO Exh. 1.  </w:t>
      </w:r>
      <w:r w:rsidR="0058385C">
        <w:rPr>
          <w:sz w:val="26"/>
          <w:szCs w:val="26"/>
        </w:rPr>
        <w:t>Therefore,</w:t>
      </w:r>
      <w:r w:rsidR="00946A2C">
        <w:rPr>
          <w:sz w:val="26"/>
          <w:szCs w:val="26"/>
        </w:rPr>
        <w:t xml:space="preserve"> we find no reason to conclude that the Complainant’s electricity bills were inappropriately high, or that her enrollment in the CAP program should have prevented </w:t>
      </w:r>
      <w:r w:rsidR="00CB6B9A">
        <w:rPr>
          <w:sz w:val="26"/>
          <w:szCs w:val="26"/>
        </w:rPr>
        <w:t>he</w:t>
      </w:r>
      <w:r w:rsidR="000C70AB">
        <w:rPr>
          <w:sz w:val="26"/>
          <w:szCs w:val="26"/>
        </w:rPr>
        <w:t>r bills from rising above $27</w:t>
      </w:r>
      <w:r w:rsidR="00CB6B9A">
        <w:rPr>
          <w:sz w:val="26"/>
          <w:szCs w:val="26"/>
        </w:rPr>
        <w:t>, as the Complainant contends.</w:t>
      </w:r>
    </w:p>
    <w:p w:rsidR="00324681" w:rsidRDefault="00324681" w:rsidP="00405AA2">
      <w:pPr>
        <w:widowControl/>
        <w:spacing w:line="360" w:lineRule="auto"/>
        <w:rPr>
          <w:sz w:val="26"/>
          <w:szCs w:val="26"/>
        </w:rPr>
      </w:pPr>
    </w:p>
    <w:p w:rsidR="00324681" w:rsidRDefault="007846C0" w:rsidP="00FF0330">
      <w:pPr>
        <w:widowControl/>
        <w:spacing w:line="360" w:lineRule="auto"/>
        <w:rPr>
          <w:sz w:val="26"/>
          <w:szCs w:val="26"/>
        </w:rPr>
      </w:pPr>
      <w:r>
        <w:rPr>
          <w:sz w:val="26"/>
          <w:szCs w:val="26"/>
        </w:rPr>
        <w:tab/>
      </w:r>
      <w:r>
        <w:rPr>
          <w:sz w:val="26"/>
          <w:szCs w:val="26"/>
        </w:rPr>
        <w:tab/>
        <w:t>Finally, w</w:t>
      </w:r>
      <w:r w:rsidR="00324681">
        <w:rPr>
          <w:sz w:val="26"/>
          <w:szCs w:val="26"/>
        </w:rPr>
        <w:t>ith regard to the Complainant’s assertions that PECO has not informed her of what her CAP rate is, or explained how her bills are being calculated, we emphasize</w:t>
      </w:r>
      <w:r w:rsidR="00405AA2">
        <w:rPr>
          <w:sz w:val="26"/>
          <w:szCs w:val="26"/>
        </w:rPr>
        <w:t xml:space="preserve"> </w:t>
      </w:r>
      <w:r w:rsidR="00324681">
        <w:rPr>
          <w:sz w:val="26"/>
          <w:szCs w:val="26"/>
        </w:rPr>
        <w:t xml:space="preserve">that </w:t>
      </w:r>
      <w:r w:rsidR="008A3049">
        <w:rPr>
          <w:sz w:val="26"/>
          <w:szCs w:val="26"/>
        </w:rPr>
        <w:t>the Complainant is not receiving a fixed rate under the CAP program, but is receiving a discounted rate that is based on her electricity usage</w:t>
      </w:r>
      <w:r w:rsidR="0040126F">
        <w:rPr>
          <w:sz w:val="26"/>
          <w:szCs w:val="26"/>
        </w:rPr>
        <w:t>, which changes monthly</w:t>
      </w:r>
      <w:r w:rsidR="008A3049">
        <w:rPr>
          <w:sz w:val="26"/>
          <w:szCs w:val="26"/>
        </w:rPr>
        <w:t>.  Therefore, PECO cannot provide her with information regarding a specific CAP rate.  However, the record reflects that the Complainant has been provided with information</w:t>
      </w:r>
      <w:r w:rsidR="006D5E20">
        <w:rPr>
          <w:sz w:val="26"/>
          <w:szCs w:val="26"/>
        </w:rPr>
        <w:t xml:space="preserve"> </w:t>
      </w:r>
      <w:r w:rsidR="008A3049">
        <w:rPr>
          <w:sz w:val="26"/>
          <w:szCs w:val="26"/>
        </w:rPr>
        <w:t>regarding how to understand and calculate her</w:t>
      </w:r>
      <w:r w:rsidR="009E0419">
        <w:rPr>
          <w:sz w:val="26"/>
          <w:szCs w:val="26"/>
        </w:rPr>
        <w:t xml:space="preserve"> bill</w:t>
      </w:r>
      <w:r w:rsidR="002105C5">
        <w:rPr>
          <w:sz w:val="26"/>
          <w:szCs w:val="26"/>
        </w:rPr>
        <w:t>s</w:t>
      </w:r>
      <w:r w:rsidR="009E0419">
        <w:rPr>
          <w:sz w:val="26"/>
          <w:szCs w:val="26"/>
        </w:rPr>
        <w:t>, as well as with information regarding the operation of the CAP discount relating to her specific CAP tier, which is currently Tier D.  Complainant Exhs. 2 and 6.</w:t>
      </w:r>
      <w:r w:rsidR="006D5E20">
        <w:rPr>
          <w:sz w:val="26"/>
          <w:szCs w:val="26"/>
        </w:rPr>
        <w:t xml:space="preserve">  </w:t>
      </w:r>
      <w:r w:rsidR="000770DB">
        <w:rPr>
          <w:sz w:val="26"/>
          <w:szCs w:val="26"/>
        </w:rPr>
        <w:t xml:space="preserve">In addition, PECO provided copies of its tariff pages explaining the operation of its CAP Rider as well as its billing and payment options, attached as Exhibits 4 and 11, respectively, to its Answer to the Complaint, which was served on the Complainant.  </w:t>
      </w:r>
      <w:r w:rsidR="006D5E20">
        <w:rPr>
          <w:sz w:val="26"/>
          <w:szCs w:val="26"/>
        </w:rPr>
        <w:t>If the Complainant has any questions about this information, or desires a more detailed explanation regarding how her bills are calculated, we encourage her to contact PECO using the telephone numbers shown on the information PECO provided her, or the</w:t>
      </w:r>
      <w:r w:rsidR="0040126F">
        <w:rPr>
          <w:sz w:val="26"/>
          <w:szCs w:val="26"/>
        </w:rPr>
        <w:t xml:space="preserve"> telephone</w:t>
      </w:r>
      <w:r w:rsidR="006D5E20">
        <w:rPr>
          <w:sz w:val="26"/>
          <w:szCs w:val="26"/>
        </w:rPr>
        <w:t xml:space="preserve"> number set forth on her monthly bills.</w:t>
      </w:r>
    </w:p>
    <w:p w:rsidR="00675059" w:rsidRDefault="00675059" w:rsidP="0088313D">
      <w:pPr>
        <w:widowControl/>
        <w:spacing w:line="360" w:lineRule="auto"/>
        <w:rPr>
          <w:sz w:val="26"/>
          <w:szCs w:val="26"/>
        </w:rPr>
      </w:pPr>
    </w:p>
    <w:p w:rsidR="002D6683" w:rsidRDefault="00C82819" w:rsidP="0088313D">
      <w:pPr>
        <w:widowControl/>
        <w:spacing w:line="360" w:lineRule="auto"/>
        <w:rPr>
          <w:sz w:val="26"/>
          <w:szCs w:val="26"/>
        </w:rPr>
      </w:pPr>
      <w:r>
        <w:rPr>
          <w:sz w:val="26"/>
          <w:szCs w:val="26"/>
        </w:rPr>
        <w:tab/>
      </w:r>
      <w:r>
        <w:rPr>
          <w:sz w:val="26"/>
          <w:szCs w:val="26"/>
        </w:rPr>
        <w:tab/>
        <w:t xml:space="preserve">For the reasons discussed above, we find that the Complainant did not establish a </w:t>
      </w:r>
      <w:r w:rsidRPr="00C82819">
        <w:rPr>
          <w:i/>
          <w:sz w:val="26"/>
          <w:szCs w:val="26"/>
        </w:rPr>
        <w:t>prima facie</w:t>
      </w:r>
      <w:r>
        <w:rPr>
          <w:sz w:val="26"/>
          <w:szCs w:val="26"/>
        </w:rPr>
        <w:t xml:space="preserve"> case that her electricity bills from PECO were inappropriately high, or that she has been improperly charged for electric service under PECO’s CAP program.  Accordingly, we will deny the Complainant’s exceptions.</w:t>
      </w:r>
      <w:r w:rsidR="008F0FD3">
        <w:rPr>
          <w:sz w:val="26"/>
          <w:szCs w:val="26"/>
        </w:rPr>
        <w:t xml:space="preserve">  In addit</w:t>
      </w:r>
      <w:r w:rsidR="00CF1AA5">
        <w:rPr>
          <w:sz w:val="26"/>
          <w:szCs w:val="26"/>
        </w:rPr>
        <w:t>ion, because the record reflects that the account balance of $</w:t>
      </w:r>
      <w:r w:rsidR="00CF1AA5" w:rsidRPr="00CF1AA5">
        <w:rPr>
          <w:sz w:val="26"/>
          <w:szCs w:val="26"/>
        </w:rPr>
        <w:t>267.75 consists entirely of CAP arrears, we agree with the ALJ that the Commission is unable to grant the Complainant a payment agreement on this amount, pursuant to 66 Pa. C.S. § 1405(c).</w:t>
      </w:r>
    </w:p>
    <w:p w:rsidR="00A423C4" w:rsidRPr="00284E86" w:rsidRDefault="00A423C4" w:rsidP="004D1313">
      <w:pPr>
        <w:keepNext/>
        <w:widowControl/>
        <w:spacing w:line="360" w:lineRule="auto"/>
        <w:jc w:val="center"/>
        <w:rPr>
          <w:b/>
          <w:sz w:val="26"/>
          <w:szCs w:val="26"/>
        </w:rPr>
      </w:pPr>
      <w:r w:rsidRPr="00284E86">
        <w:rPr>
          <w:b/>
          <w:sz w:val="26"/>
          <w:szCs w:val="26"/>
        </w:rPr>
        <w:lastRenderedPageBreak/>
        <w:t>Conclusion</w:t>
      </w:r>
    </w:p>
    <w:p w:rsidR="00A423C4" w:rsidRPr="00284E86" w:rsidRDefault="00A423C4" w:rsidP="004D1313">
      <w:pPr>
        <w:keepNext/>
        <w:widowControl/>
        <w:spacing w:line="360" w:lineRule="auto"/>
        <w:ind w:firstLine="1440"/>
        <w:rPr>
          <w:sz w:val="26"/>
          <w:szCs w:val="26"/>
        </w:rPr>
      </w:pPr>
    </w:p>
    <w:p w:rsidR="00A423C4" w:rsidRPr="00284E86" w:rsidRDefault="00A423C4" w:rsidP="004D1313">
      <w:pPr>
        <w:keepNext/>
        <w:widowControl/>
        <w:spacing w:line="360" w:lineRule="auto"/>
        <w:ind w:firstLine="1440"/>
        <w:rPr>
          <w:sz w:val="26"/>
          <w:szCs w:val="26"/>
        </w:rPr>
      </w:pPr>
      <w:r w:rsidRPr="00284E86">
        <w:rPr>
          <w:sz w:val="26"/>
          <w:szCs w:val="26"/>
        </w:rPr>
        <w:t>In light of the above</w:t>
      </w:r>
      <w:r w:rsidR="00FA57AA" w:rsidRPr="00284E86">
        <w:rPr>
          <w:sz w:val="26"/>
          <w:szCs w:val="26"/>
        </w:rPr>
        <w:t xml:space="preserve"> discussion</w:t>
      </w:r>
      <w:r w:rsidRPr="00284E86">
        <w:rPr>
          <w:sz w:val="26"/>
          <w:szCs w:val="26"/>
        </w:rPr>
        <w:t xml:space="preserve">, we shall:  </w:t>
      </w:r>
      <w:r w:rsidR="000C332D" w:rsidRPr="00284E86">
        <w:rPr>
          <w:sz w:val="26"/>
          <w:szCs w:val="26"/>
        </w:rPr>
        <w:t xml:space="preserve">(1) </w:t>
      </w:r>
      <w:r w:rsidR="00927593" w:rsidRPr="00284E86">
        <w:rPr>
          <w:sz w:val="26"/>
          <w:szCs w:val="26"/>
        </w:rPr>
        <w:t xml:space="preserve">deny the </w:t>
      </w:r>
      <w:r w:rsidR="00EF7866" w:rsidRPr="00284E86">
        <w:rPr>
          <w:sz w:val="26"/>
          <w:szCs w:val="26"/>
        </w:rPr>
        <w:t>Complainant’</w:t>
      </w:r>
      <w:r w:rsidR="0036754F" w:rsidRPr="00284E86">
        <w:rPr>
          <w:sz w:val="26"/>
          <w:szCs w:val="26"/>
        </w:rPr>
        <w:t>s Exceptions</w:t>
      </w:r>
      <w:r w:rsidR="00361146" w:rsidRPr="00284E86">
        <w:rPr>
          <w:sz w:val="26"/>
          <w:szCs w:val="26"/>
        </w:rPr>
        <w:t>; (2) adopt the</w:t>
      </w:r>
      <w:r w:rsidR="005B55F4" w:rsidRPr="00284E86">
        <w:rPr>
          <w:sz w:val="26"/>
          <w:szCs w:val="26"/>
        </w:rPr>
        <w:t xml:space="preserve"> I</w:t>
      </w:r>
      <w:r w:rsidR="006A7E95" w:rsidRPr="00284E86">
        <w:rPr>
          <w:sz w:val="26"/>
          <w:szCs w:val="26"/>
        </w:rPr>
        <w:t>nitial Decision</w:t>
      </w:r>
      <w:r w:rsidRPr="00284E86">
        <w:rPr>
          <w:sz w:val="26"/>
          <w:szCs w:val="26"/>
        </w:rPr>
        <w:t xml:space="preserve">; and (3) dismiss the Complaint; </w:t>
      </w:r>
      <w:r w:rsidRPr="00284E86">
        <w:rPr>
          <w:b/>
          <w:sz w:val="26"/>
          <w:szCs w:val="26"/>
        </w:rPr>
        <w:t>THEREFORE,</w:t>
      </w:r>
      <w:r w:rsidRPr="00284E86">
        <w:rPr>
          <w:sz w:val="26"/>
          <w:szCs w:val="26"/>
        </w:rPr>
        <w:t xml:space="preserve"> </w:t>
      </w:r>
    </w:p>
    <w:p w:rsidR="00A423C4" w:rsidRPr="00284E86" w:rsidRDefault="00A423C4" w:rsidP="004D1313">
      <w:pPr>
        <w:widowControl/>
        <w:spacing w:line="360" w:lineRule="auto"/>
        <w:rPr>
          <w:sz w:val="26"/>
          <w:szCs w:val="26"/>
        </w:rPr>
      </w:pPr>
    </w:p>
    <w:p w:rsidR="00A423C4" w:rsidRPr="00284E86" w:rsidRDefault="00A423C4" w:rsidP="004D1313">
      <w:pPr>
        <w:keepNext/>
        <w:widowControl/>
        <w:ind w:firstLine="1440"/>
        <w:rPr>
          <w:b/>
          <w:sz w:val="26"/>
          <w:szCs w:val="26"/>
        </w:rPr>
      </w:pPr>
      <w:r w:rsidRPr="00284E86">
        <w:rPr>
          <w:b/>
          <w:sz w:val="26"/>
          <w:szCs w:val="26"/>
        </w:rPr>
        <w:t>IT IS ORDERED:</w:t>
      </w:r>
    </w:p>
    <w:p w:rsidR="00A423C4" w:rsidRPr="00284E86" w:rsidRDefault="00A423C4" w:rsidP="004D1313">
      <w:pPr>
        <w:keepNext/>
        <w:widowControl/>
        <w:rPr>
          <w:sz w:val="26"/>
          <w:szCs w:val="26"/>
        </w:rPr>
      </w:pPr>
    </w:p>
    <w:p w:rsidR="009155F7" w:rsidRPr="00284E86" w:rsidRDefault="009155F7" w:rsidP="004D1313">
      <w:pPr>
        <w:keepNext/>
        <w:widowControl/>
        <w:numPr>
          <w:ilvl w:val="0"/>
          <w:numId w:val="1"/>
        </w:numPr>
        <w:tabs>
          <w:tab w:val="clear" w:pos="2160"/>
          <w:tab w:val="num" w:pos="0"/>
        </w:tabs>
        <w:spacing w:line="360" w:lineRule="auto"/>
        <w:ind w:left="0" w:firstLine="1440"/>
        <w:rPr>
          <w:sz w:val="26"/>
          <w:szCs w:val="26"/>
        </w:rPr>
      </w:pPr>
      <w:r w:rsidRPr="00284E86">
        <w:rPr>
          <w:sz w:val="26"/>
          <w:szCs w:val="26"/>
        </w:rPr>
        <w:t>That the</w:t>
      </w:r>
      <w:r w:rsidR="00284E86" w:rsidRPr="00284E86">
        <w:rPr>
          <w:color w:val="000000"/>
          <w:sz w:val="26"/>
        </w:rPr>
        <w:t xml:space="preserve"> Exceptions of Eunice Burch, filed on November 6</w:t>
      </w:r>
      <w:r w:rsidR="00B13544" w:rsidRPr="00284E86">
        <w:rPr>
          <w:color w:val="000000"/>
          <w:sz w:val="26"/>
        </w:rPr>
        <w:t xml:space="preserve">, 2013, to the Initial Decision of Administrative Law Judge </w:t>
      </w:r>
      <w:r w:rsidR="00284E86" w:rsidRPr="00284E86">
        <w:rPr>
          <w:color w:val="000000"/>
          <w:sz w:val="26"/>
        </w:rPr>
        <w:t>Marta Guhl</w:t>
      </w:r>
      <w:r w:rsidR="00B13544" w:rsidRPr="00284E86">
        <w:rPr>
          <w:color w:val="000000"/>
          <w:sz w:val="26"/>
        </w:rPr>
        <w:t>, are</w:t>
      </w:r>
      <w:r w:rsidR="002E643A" w:rsidRPr="00284E86">
        <w:rPr>
          <w:sz w:val="26"/>
          <w:szCs w:val="26"/>
        </w:rPr>
        <w:t xml:space="preserve"> </w:t>
      </w:r>
      <w:r w:rsidR="00251918" w:rsidRPr="00284E86">
        <w:rPr>
          <w:sz w:val="26"/>
          <w:szCs w:val="26"/>
        </w:rPr>
        <w:t>denied</w:t>
      </w:r>
      <w:r w:rsidR="00B40E9F" w:rsidRPr="00284E86">
        <w:rPr>
          <w:sz w:val="26"/>
          <w:szCs w:val="26"/>
        </w:rPr>
        <w:t>.</w:t>
      </w:r>
    </w:p>
    <w:p w:rsidR="003F51F4" w:rsidRPr="00284E86" w:rsidRDefault="003F51F4" w:rsidP="004D1313">
      <w:pPr>
        <w:widowControl/>
        <w:spacing w:line="360" w:lineRule="auto"/>
        <w:ind w:left="1440"/>
        <w:rPr>
          <w:sz w:val="26"/>
          <w:szCs w:val="26"/>
        </w:rPr>
      </w:pPr>
    </w:p>
    <w:p w:rsidR="00CA43A5" w:rsidRPr="00284E86" w:rsidRDefault="002C27FE" w:rsidP="004D1313">
      <w:pPr>
        <w:widowControl/>
        <w:numPr>
          <w:ilvl w:val="0"/>
          <w:numId w:val="1"/>
        </w:numPr>
        <w:tabs>
          <w:tab w:val="clear" w:pos="2160"/>
          <w:tab w:val="num" w:pos="0"/>
        </w:tabs>
        <w:spacing w:line="360" w:lineRule="auto"/>
        <w:ind w:left="0" w:firstLine="1440"/>
        <w:rPr>
          <w:sz w:val="26"/>
          <w:szCs w:val="26"/>
        </w:rPr>
      </w:pPr>
      <w:r w:rsidRPr="00284E86">
        <w:rPr>
          <w:sz w:val="26"/>
          <w:szCs w:val="26"/>
        </w:rPr>
        <w:t xml:space="preserve">That the Initial Decision of </w:t>
      </w:r>
      <w:r w:rsidR="00A2263C" w:rsidRPr="00284E86">
        <w:rPr>
          <w:sz w:val="26"/>
          <w:szCs w:val="26"/>
        </w:rPr>
        <w:t xml:space="preserve">Administrative Law </w:t>
      </w:r>
      <w:r w:rsidR="00B13544" w:rsidRPr="00284E86">
        <w:rPr>
          <w:color w:val="000000"/>
          <w:sz w:val="26"/>
        </w:rPr>
        <w:t xml:space="preserve">Judge </w:t>
      </w:r>
      <w:r w:rsidR="00284E86" w:rsidRPr="00284E86">
        <w:rPr>
          <w:color w:val="000000"/>
          <w:sz w:val="26"/>
        </w:rPr>
        <w:t>Marta Guhl</w:t>
      </w:r>
      <w:r w:rsidR="00A91DC1" w:rsidRPr="00284E86">
        <w:rPr>
          <w:sz w:val="26"/>
          <w:szCs w:val="26"/>
        </w:rPr>
        <w:t xml:space="preserve">, issued </w:t>
      </w:r>
      <w:r w:rsidR="00284E86" w:rsidRPr="00284E86">
        <w:rPr>
          <w:sz w:val="26"/>
          <w:szCs w:val="26"/>
        </w:rPr>
        <w:t>on October 8</w:t>
      </w:r>
      <w:r w:rsidRPr="00284E86">
        <w:rPr>
          <w:sz w:val="26"/>
          <w:szCs w:val="26"/>
        </w:rPr>
        <w:t>, 2013</w:t>
      </w:r>
      <w:r w:rsidR="00745E99" w:rsidRPr="00284E86">
        <w:rPr>
          <w:sz w:val="26"/>
          <w:szCs w:val="26"/>
        </w:rPr>
        <w:t>,</w:t>
      </w:r>
      <w:r w:rsidR="00361146" w:rsidRPr="00284E86">
        <w:rPr>
          <w:sz w:val="26"/>
          <w:szCs w:val="26"/>
        </w:rPr>
        <w:t xml:space="preserve"> is adopted</w:t>
      </w:r>
      <w:r w:rsidR="00AB4745">
        <w:rPr>
          <w:sz w:val="26"/>
          <w:szCs w:val="26"/>
        </w:rPr>
        <w:t>, consistent with this Opinion and Order</w:t>
      </w:r>
      <w:r w:rsidR="00CA43A5" w:rsidRPr="00284E86">
        <w:rPr>
          <w:sz w:val="26"/>
          <w:szCs w:val="26"/>
        </w:rPr>
        <w:t>.</w:t>
      </w:r>
    </w:p>
    <w:p w:rsidR="003F51F4" w:rsidRPr="00284E86" w:rsidRDefault="003F51F4" w:rsidP="004D1313">
      <w:pPr>
        <w:widowControl/>
        <w:spacing w:line="360" w:lineRule="auto"/>
        <w:ind w:left="1440"/>
        <w:rPr>
          <w:sz w:val="26"/>
          <w:szCs w:val="26"/>
        </w:rPr>
      </w:pPr>
    </w:p>
    <w:p w:rsidR="00396541" w:rsidRPr="00284E86" w:rsidRDefault="00251918" w:rsidP="004D1313">
      <w:pPr>
        <w:pStyle w:val="ListParagraph"/>
        <w:widowControl/>
        <w:numPr>
          <w:ilvl w:val="0"/>
          <w:numId w:val="1"/>
        </w:numPr>
        <w:spacing w:line="360" w:lineRule="auto"/>
        <w:ind w:left="0" w:firstLine="1440"/>
        <w:rPr>
          <w:sz w:val="26"/>
          <w:szCs w:val="26"/>
        </w:rPr>
      </w:pPr>
      <w:r w:rsidRPr="00284E86">
        <w:rPr>
          <w:sz w:val="26"/>
          <w:szCs w:val="26"/>
        </w:rPr>
        <w:t>That the Formal Co</w:t>
      </w:r>
      <w:r w:rsidR="005C399D" w:rsidRPr="00284E86">
        <w:rPr>
          <w:sz w:val="26"/>
          <w:szCs w:val="26"/>
        </w:rPr>
        <w:t>mplaint</w:t>
      </w:r>
      <w:r w:rsidR="0088208B" w:rsidRPr="00284E86">
        <w:rPr>
          <w:sz w:val="26"/>
          <w:szCs w:val="26"/>
        </w:rPr>
        <w:t xml:space="preserve"> agai</w:t>
      </w:r>
      <w:r w:rsidR="00284E86" w:rsidRPr="00284E86">
        <w:rPr>
          <w:sz w:val="26"/>
          <w:szCs w:val="26"/>
        </w:rPr>
        <w:t>nst PECO Energy Company</w:t>
      </w:r>
      <w:r w:rsidR="0088208B" w:rsidRPr="00284E86">
        <w:rPr>
          <w:sz w:val="26"/>
          <w:szCs w:val="26"/>
        </w:rPr>
        <w:t>,</w:t>
      </w:r>
      <w:r w:rsidR="005C399D" w:rsidRPr="00284E86">
        <w:rPr>
          <w:sz w:val="26"/>
          <w:szCs w:val="26"/>
        </w:rPr>
        <w:t xml:space="preserve"> filed by </w:t>
      </w:r>
      <w:r w:rsidR="00284E86" w:rsidRPr="00284E86">
        <w:rPr>
          <w:color w:val="000000"/>
          <w:sz w:val="26"/>
        </w:rPr>
        <w:t>Eunice Burch</w:t>
      </w:r>
      <w:r w:rsidR="00BD7A71" w:rsidRPr="00284E86">
        <w:rPr>
          <w:sz w:val="26"/>
          <w:szCs w:val="26"/>
        </w:rPr>
        <w:t xml:space="preserve"> </w:t>
      </w:r>
      <w:r w:rsidR="00A2263C" w:rsidRPr="00284E86">
        <w:rPr>
          <w:sz w:val="26"/>
          <w:szCs w:val="26"/>
        </w:rPr>
        <w:t xml:space="preserve">on </w:t>
      </w:r>
      <w:r w:rsidR="00284E86" w:rsidRPr="00284E86">
        <w:rPr>
          <w:sz w:val="26"/>
          <w:szCs w:val="26"/>
        </w:rPr>
        <w:t>October 5</w:t>
      </w:r>
      <w:r w:rsidR="000E6A73" w:rsidRPr="00284E86">
        <w:rPr>
          <w:sz w:val="26"/>
          <w:szCs w:val="26"/>
        </w:rPr>
        <w:t>, 2012</w:t>
      </w:r>
      <w:r w:rsidR="0088208B" w:rsidRPr="00284E86">
        <w:rPr>
          <w:sz w:val="26"/>
          <w:szCs w:val="26"/>
        </w:rPr>
        <w:t>,</w:t>
      </w:r>
      <w:r w:rsidR="005C399D" w:rsidRPr="00284E86">
        <w:rPr>
          <w:sz w:val="26"/>
          <w:szCs w:val="26"/>
        </w:rPr>
        <w:t xml:space="preserve"> </w:t>
      </w:r>
      <w:r w:rsidR="00E14881" w:rsidRPr="00284E86">
        <w:rPr>
          <w:sz w:val="26"/>
          <w:szCs w:val="26"/>
        </w:rPr>
        <w:t xml:space="preserve">is </w:t>
      </w:r>
      <w:r w:rsidR="00411024" w:rsidRPr="00284E86">
        <w:rPr>
          <w:sz w:val="26"/>
          <w:szCs w:val="26"/>
        </w:rPr>
        <w:t>dismissed</w:t>
      </w:r>
      <w:r w:rsidR="0088208B" w:rsidRPr="00284E86">
        <w:rPr>
          <w:sz w:val="26"/>
          <w:szCs w:val="26"/>
        </w:rPr>
        <w:t>.</w:t>
      </w:r>
    </w:p>
    <w:p w:rsidR="00D45DD3" w:rsidRPr="00284E86" w:rsidRDefault="00D45DD3" w:rsidP="004D1313">
      <w:pPr>
        <w:pStyle w:val="ListParagraph"/>
        <w:widowControl/>
        <w:rPr>
          <w:sz w:val="26"/>
          <w:szCs w:val="26"/>
        </w:rPr>
      </w:pPr>
    </w:p>
    <w:p w:rsidR="00251918" w:rsidRPr="00284E86" w:rsidRDefault="00251918" w:rsidP="004D1313">
      <w:pPr>
        <w:pStyle w:val="ListParagraph"/>
        <w:keepNext/>
        <w:widowControl/>
        <w:numPr>
          <w:ilvl w:val="0"/>
          <w:numId w:val="1"/>
        </w:numPr>
        <w:spacing w:line="360" w:lineRule="auto"/>
        <w:ind w:left="0" w:firstLine="1440"/>
        <w:rPr>
          <w:sz w:val="26"/>
          <w:szCs w:val="26"/>
        </w:rPr>
      </w:pPr>
      <w:r w:rsidRPr="00284E86">
        <w:rPr>
          <w:sz w:val="26"/>
          <w:szCs w:val="26"/>
        </w:rPr>
        <w:t>That</w:t>
      </w:r>
      <w:r w:rsidR="000E6A73" w:rsidRPr="00284E86">
        <w:rPr>
          <w:sz w:val="26"/>
          <w:szCs w:val="26"/>
        </w:rPr>
        <w:t xml:space="preserve"> the proceeding</w:t>
      </w:r>
      <w:r w:rsidR="00A2263C" w:rsidRPr="00284E86">
        <w:rPr>
          <w:sz w:val="26"/>
          <w:szCs w:val="26"/>
        </w:rPr>
        <w:t xml:space="preserve"> at Docket No. </w:t>
      </w:r>
      <w:r w:rsidR="00284E86" w:rsidRPr="00284E86">
        <w:rPr>
          <w:sz w:val="26"/>
          <w:szCs w:val="26"/>
        </w:rPr>
        <w:t>F-2012-2328890</w:t>
      </w:r>
      <w:r w:rsidR="00F92A6F" w:rsidRPr="00284E86">
        <w:rPr>
          <w:sz w:val="26"/>
          <w:szCs w:val="26"/>
        </w:rPr>
        <w:t xml:space="preserve"> </w:t>
      </w:r>
      <w:r w:rsidR="007E3F3E" w:rsidRPr="00284E86">
        <w:rPr>
          <w:sz w:val="26"/>
          <w:szCs w:val="26"/>
        </w:rPr>
        <w:t>shall</w:t>
      </w:r>
      <w:r w:rsidR="00C074D9" w:rsidRPr="00284E86">
        <w:rPr>
          <w:sz w:val="26"/>
          <w:szCs w:val="26"/>
        </w:rPr>
        <w:t xml:space="preserve"> </w:t>
      </w:r>
      <w:r w:rsidR="00814503" w:rsidRPr="00284E86">
        <w:rPr>
          <w:sz w:val="26"/>
          <w:szCs w:val="26"/>
        </w:rPr>
        <w:t>be</w:t>
      </w:r>
      <w:r w:rsidRPr="00284E86">
        <w:rPr>
          <w:sz w:val="26"/>
          <w:szCs w:val="26"/>
        </w:rPr>
        <w:t xml:space="preserve"> marked closed.</w:t>
      </w:r>
    </w:p>
    <w:p w:rsidR="00107A0C" w:rsidRPr="00284E86" w:rsidRDefault="00107A0C" w:rsidP="004D1313">
      <w:pPr>
        <w:keepNext/>
        <w:widowControl/>
        <w:rPr>
          <w:sz w:val="26"/>
          <w:szCs w:val="26"/>
        </w:rPr>
      </w:pPr>
    </w:p>
    <w:p w:rsidR="00CA43A5" w:rsidRPr="00284E86" w:rsidRDefault="00150E30" w:rsidP="004D1313">
      <w:pPr>
        <w:keepNext/>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2CD0C18B" wp14:editId="5F9DCA96">
            <wp:simplePos x="0" y="0"/>
            <wp:positionH relativeFrom="column">
              <wp:posOffset>2943860</wp:posOffset>
            </wp:positionH>
            <wp:positionV relativeFrom="paragraph">
              <wp:posOffset>10795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A43A5" w:rsidRPr="00284E86">
        <w:rPr>
          <w:b/>
          <w:sz w:val="26"/>
          <w:szCs w:val="26"/>
        </w:rPr>
        <w:t>BY THE COMMISSION,</w:t>
      </w:r>
    </w:p>
    <w:p w:rsidR="00CA43A5" w:rsidRPr="00284E86" w:rsidRDefault="00CA43A5" w:rsidP="004D1313">
      <w:pPr>
        <w:keepNext/>
        <w:widowControl/>
        <w:tabs>
          <w:tab w:val="left" w:pos="-720"/>
        </w:tabs>
        <w:rPr>
          <w:sz w:val="26"/>
          <w:szCs w:val="26"/>
        </w:rPr>
      </w:pPr>
    </w:p>
    <w:p w:rsidR="00CA43A5" w:rsidRPr="00284E86" w:rsidRDefault="00CA43A5" w:rsidP="004D1313">
      <w:pPr>
        <w:keepNext/>
        <w:widowControl/>
        <w:tabs>
          <w:tab w:val="left" w:pos="-720"/>
        </w:tabs>
        <w:rPr>
          <w:sz w:val="26"/>
          <w:szCs w:val="26"/>
        </w:rPr>
      </w:pPr>
    </w:p>
    <w:p w:rsidR="00107A0C" w:rsidRPr="00284E86" w:rsidRDefault="00107A0C" w:rsidP="004D1313">
      <w:pPr>
        <w:keepNext/>
        <w:widowControl/>
        <w:tabs>
          <w:tab w:val="left" w:pos="-720"/>
        </w:tabs>
        <w:rPr>
          <w:sz w:val="26"/>
          <w:szCs w:val="26"/>
        </w:rPr>
      </w:pPr>
    </w:p>
    <w:p w:rsidR="00CA43A5" w:rsidRPr="00284E86" w:rsidRDefault="00564565" w:rsidP="004D1313">
      <w:pPr>
        <w:keepNext/>
        <w:widowControl/>
        <w:tabs>
          <w:tab w:val="left" w:pos="-720"/>
        </w:tabs>
        <w:ind w:firstLine="5040"/>
        <w:rPr>
          <w:b/>
          <w:sz w:val="26"/>
          <w:szCs w:val="26"/>
        </w:rPr>
      </w:pPr>
      <w:r w:rsidRPr="00284E86">
        <w:rPr>
          <w:sz w:val="26"/>
          <w:szCs w:val="26"/>
        </w:rPr>
        <w:t>Rosemary Chiavetta</w:t>
      </w:r>
    </w:p>
    <w:p w:rsidR="00CA43A5" w:rsidRPr="00284E86" w:rsidRDefault="00CA43A5" w:rsidP="004D1313">
      <w:pPr>
        <w:keepNext/>
        <w:widowControl/>
        <w:tabs>
          <w:tab w:val="left" w:pos="-720"/>
        </w:tabs>
        <w:ind w:firstLine="5040"/>
        <w:rPr>
          <w:sz w:val="26"/>
          <w:szCs w:val="26"/>
        </w:rPr>
      </w:pPr>
      <w:r w:rsidRPr="00284E86">
        <w:rPr>
          <w:sz w:val="26"/>
          <w:szCs w:val="26"/>
        </w:rPr>
        <w:t>Secretary</w:t>
      </w:r>
    </w:p>
    <w:p w:rsidR="00CA43A5" w:rsidRPr="00284E86" w:rsidRDefault="00CA43A5" w:rsidP="004D1313">
      <w:pPr>
        <w:keepNext/>
        <w:widowControl/>
        <w:tabs>
          <w:tab w:val="left" w:pos="-720"/>
        </w:tabs>
        <w:rPr>
          <w:sz w:val="26"/>
          <w:szCs w:val="26"/>
        </w:rPr>
      </w:pPr>
    </w:p>
    <w:p w:rsidR="00CA43A5" w:rsidRPr="00284E86" w:rsidRDefault="00CA43A5" w:rsidP="004D1313">
      <w:pPr>
        <w:keepNext/>
        <w:widowControl/>
        <w:tabs>
          <w:tab w:val="left" w:pos="-720"/>
        </w:tabs>
        <w:rPr>
          <w:sz w:val="26"/>
          <w:szCs w:val="26"/>
        </w:rPr>
      </w:pPr>
      <w:r w:rsidRPr="00284E86">
        <w:rPr>
          <w:sz w:val="26"/>
          <w:szCs w:val="26"/>
        </w:rPr>
        <w:t>(SEAL)</w:t>
      </w:r>
    </w:p>
    <w:p w:rsidR="00CA43A5" w:rsidRPr="00284E86" w:rsidRDefault="00CA43A5" w:rsidP="004D1313">
      <w:pPr>
        <w:keepNext/>
        <w:widowControl/>
        <w:tabs>
          <w:tab w:val="left" w:pos="-720"/>
        </w:tabs>
        <w:rPr>
          <w:sz w:val="26"/>
          <w:szCs w:val="26"/>
        </w:rPr>
      </w:pPr>
    </w:p>
    <w:p w:rsidR="00CA43A5" w:rsidRPr="00284E86" w:rsidRDefault="00CA43A5" w:rsidP="004D1313">
      <w:pPr>
        <w:keepNext/>
        <w:widowControl/>
        <w:tabs>
          <w:tab w:val="left" w:pos="-720"/>
        </w:tabs>
        <w:rPr>
          <w:sz w:val="26"/>
          <w:szCs w:val="26"/>
        </w:rPr>
      </w:pPr>
      <w:r w:rsidRPr="00284E86">
        <w:rPr>
          <w:sz w:val="26"/>
          <w:szCs w:val="26"/>
        </w:rPr>
        <w:t xml:space="preserve">ORDER ADOPTED: </w:t>
      </w:r>
      <w:r w:rsidR="00284E86" w:rsidRPr="00284E86">
        <w:rPr>
          <w:sz w:val="26"/>
          <w:szCs w:val="26"/>
        </w:rPr>
        <w:t>April 3</w:t>
      </w:r>
      <w:r w:rsidR="006A0DB1" w:rsidRPr="00284E86">
        <w:rPr>
          <w:sz w:val="26"/>
          <w:szCs w:val="26"/>
        </w:rPr>
        <w:t>, 2014</w:t>
      </w:r>
    </w:p>
    <w:p w:rsidR="00107A0C" w:rsidRPr="00284E86" w:rsidRDefault="00107A0C" w:rsidP="004D1313">
      <w:pPr>
        <w:keepNext/>
        <w:widowControl/>
        <w:tabs>
          <w:tab w:val="left" w:pos="-720"/>
        </w:tabs>
        <w:rPr>
          <w:sz w:val="26"/>
          <w:szCs w:val="26"/>
        </w:rPr>
      </w:pPr>
    </w:p>
    <w:p w:rsidR="00344804" w:rsidRPr="00CA43A5" w:rsidRDefault="00CA43A5" w:rsidP="004D1313">
      <w:pPr>
        <w:keepNext/>
        <w:widowControl/>
        <w:tabs>
          <w:tab w:val="left" w:pos="-720"/>
        </w:tabs>
        <w:rPr>
          <w:sz w:val="26"/>
          <w:szCs w:val="26"/>
        </w:rPr>
      </w:pPr>
      <w:r w:rsidRPr="00284E86">
        <w:rPr>
          <w:sz w:val="26"/>
          <w:szCs w:val="26"/>
        </w:rPr>
        <w:t>ORDER ENTERED:</w:t>
      </w:r>
      <w:r w:rsidRPr="00CA43A5">
        <w:rPr>
          <w:sz w:val="26"/>
          <w:szCs w:val="26"/>
        </w:rPr>
        <w:t xml:space="preserve">  </w:t>
      </w:r>
      <w:r w:rsidR="00150E30">
        <w:rPr>
          <w:sz w:val="26"/>
          <w:szCs w:val="26"/>
        </w:rPr>
        <w:t>April 3, 2014</w:t>
      </w:r>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BB0" w:rsidRDefault="00E26BB0" w:rsidP="00F7174B">
      <w:r>
        <w:separator/>
      </w:r>
    </w:p>
  </w:endnote>
  <w:endnote w:type="continuationSeparator" w:id="0">
    <w:p w:rsidR="00E26BB0" w:rsidRDefault="00E26BB0"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150E30">
          <w:rPr>
            <w:noProof/>
            <w:sz w:val="26"/>
            <w:szCs w:val="26"/>
          </w:rPr>
          <w:t>17</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BB0" w:rsidRDefault="00E26BB0" w:rsidP="00F7174B">
      <w:r>
        <w:separator/>
      </w:r>
    </w:p>
  </w:footnote>
  <w:footnote w:type="continuationSeparator" w:id="0">
    <w:p w:rsidR="00E26BB0" w:rsidRDefault="00E26BB0" w:rsidP="00F7174B">
      <w:r>
        <w:continuationSeparator/>
      </w:r>
    </w:p>
  </w:footnote>
  <w:footnote w:id="1">
    <w:p w:rsidR="00D56D07" w:rsidRPr="00185F18" w:rsidRDefault="00D56D07" w:rsidP="00D56D07">
      <w:pPr>
        <w:widowControl/>
        <w:rPr>
          <w:sz w:val="26"/>
          <w:szCs w:val="26"/>
        </w:rPr>
      </w:pPr>
      <w:r w:rsidRPr="00185F18">
        <w:rPr>
          <w:sz w:val="26"/>
          <w:szCs w:val="26"/>
        </w:rPr>
        <w:tab/>
      </w:r>
      <w:r w:rsidRPr="00185F18">
        <w:rPr>
          <w:rStyle w:val="FootnoteReference"/>
          <w:sz w:val="26"/>
          <w:szCs w:val="26"/>
        </w:rPr>
        <w:footnoteRef/>
      </w:r>
      <w:r w:rsidRPr="00185F18">
        <w:rPr>
          <w:sz w:val="26"/>
          <w:szCs w:val="26"/>
        </w:rPr>
        <w:tab/>
        <w:t>The</w:t>
      </w:r>
      <w:r>
        <w:rPr>
          <w:sz w:val="26"/>
          <w:szCs w:val="26"/>
        </w:rPr>
        <w:t xml:space="preserve"> Complaint, which was served on PECO on October 12, 2012, is</w:t>
      </w:r>
      <w:r w:rsidRPr="00D56D07">
        <w:rPr>
          <w:sz w:val="26"/>
          <w:szCs w:val="26"/>
        </w:rPr>
        <w:t xml:space="preserve"> </w:t>
      </w:r>
      <w:r w:rsidRPr="00185F18">
        <w:rPr>
          <w:sz w:val="26"/>
          <w:szCs w:val="26"/>
        </w:rPr>
        <w:t>an appeal from an August 29, 2012 decision issued by the Commission’s B</w:t>
      </w:r>
      <w:r>
        <w:rPr>
          <w:sz w:val="26"/>
          <w:szCs w:val="26"/>
        </w:rPr>
        <w:t>ureau of Consumer Services</w:t>
      </w:r>
      <w:r w:rsidRPr="00185F18">
        <w:rPr>
          <w:sz w:val="26"/>
          <w:szCs w:val="26"/>
        </w:rPr>
        <w:t xml:space="preserve"> at Case No. 2969323.</w:t>
      </w:r>
    </w:p>
    <w:p w:rsidR="00D56D07" w:rsidRDefault="00D56D07" w:rsidP="00D56D07">
      <w:pPr>
        <w:pStyle w:val="FootnoteText"/>
        <w:rPr>
          <w:sz w:val="26"/>
          <w:szCs w:val="26"/>
        </w:rPr>
      </w:pPr>
    </w:p>
    <w:p w:rsidR="00D56D07" w:rsidRPr="009E6D4A" w:rsidRDefault="00D56D07" w:rsidP="00D56D07">
      <w:pPr>
        <w:pStyle w:val="FootnoteText"/>
        <w:spacing w:line="60" w:lineRule="auto"/>
        <w:rPr>
          <w:sz w:val="26"/>
          <w:szCs w:val="26"/>
        </w:rPr>
      </w:pPr>
    </w:p>
  </w:footnote>
  <w:footnote w:id="2">
    <w:p w:rsidR="00973500" w:rsidRPr="00502432" w:rsidRDefault="00973500" w:rsidP="00502432">
      <w:pPr>
        <w:pStyle w:val="FootnoteText"/>
        <w:keepLines/>
        <w:widowControl/>
        <w:rPr>
          <w:sz w:val="26"/>
          <w:szCs w:val="26"/>
        </w:rPr>
      </w:pPr>
      <w:r>
        <w:rPr>
          <w:sz w:val="26"/>
          <w:szCs w:val="26"/>
        </w:rPr>
        <w:tab/>
      </w:r>
      <w:r w:rsidRPr="00502432">
        <w:rPr>
          <w:rStyle w:val="FootnoteReference"/>
          <w:sz w:val="26"/>
          <w:szCs w:val="26"/>
        </w:rPr>
        <w:footnoteRef/>
      </w:r>
      <w:r>
        <w:rPr>
          <w:sz w:val="26"/>
          <w:szCs w:val="26"/>
        </w:rPr>
        <w:tab/>
        <w:t>We note that the account for electric service at the Complainant’s</w:t>
      </w:r>
      <w:r w:rsidR="009C0579">
        <w:rPr>
          <w:sz w:val="26"/>
          <w:szCs w:val="26"/>
        </w:rPr>
        <w:t xml:space="preserve"> residence is in the name of the Complainant’s</w:t>
      </w:r>
      <w:r>
        <w:rPr>
          <w:sz w:val="26"/>
          <w:szCs w:val="26"/>
        </w:rPr>
        <w:t xml:space="preserve"> grandson, </w:t>
      </w:r>
      <w:r w:rsidR="000D1CA8">
        <w:rPr>
          <w:sz w:val="26"/>
          <w:szCs w:val="26"/>
        </w:rPr>
        <w:t>Marcus</w:t>
      </w:r>
      <w:r>
        <w:rPr>
          <w:sz w:val="26"/>
          <w:szCs w:val="26"/>
        </w:rPr>
        <w:t xml:space="preserve"> Judon.  Therefore, it is Mr. Judon, not the Complainant, who is the customer of record.  Tr. at 37, 51; PECO Exh. 1.</w:t>
      </w:r>
    </w:p>
  </w:footnote>
  <w:footnote w:id="3">
    <w:p w:rsidR="00066ADC" w:rsidRPr="00066ADC" w:rsidRDefault="00066ADC" w:rsidP="00066ADC">
      <w:pPr>
        <w:pStyle w:val="FootnoteText"/>
        <w:keepLines/>
        <w:widowControl/>
        <w:rPr>
          <w:sz w:val="26"/>
          <w:szCs w:val="26"/>
        </w:rPr>
      </w:pPr>
      <w:r>
        <w:rPr>
          <w:sz w:val="26"/>
          <w:szCs w:val="26"/>
        </w:rPr>
        <w:tab/>
      </w:r>
      <w:r w:rsidRPr="00066ADC">
        <w:rPr>
          <w:rStyle w:val="FootnoteReference"/>
          <w:sz w:val="26"/>
          <w:szCs w:val="26"/>
        </w:rPr>
        <w:footnoteRef/>
      </w:r>
      <w:r>
        <w:rPr>
          <w:sz w:val="26"/>
          <w:szCs w:val="26"/>
        </w:rPr>
        <w:tab/>
        <w:t>We note that the Complainant’s household usage for January of 201</w:t>
      </w:r>
      <w:r w:rsidR="005E6D97">
        <w:rPr>
          <w:sz w:val="26"/>
          <w:szCs w:val="26"/>
        </w:rPr>
        <w:t>2</w:t>
      </w:r>
      <w:r>
        <w:rPr>
          <w:sz w:val="26"/>
          <w:szCs w:val="26"/>
        </w:rPr>
        <w:t xml:space="preserve"> also exceeded the estimated monthly winter usage potential, which PECO determined to be 1,395 kWh.</w:t>
      </w:r>
      <w:r w:rsidR="00236B20">
        <w:rPr>
          <w:sz w:val="26"/>
          <w:szCs w:val="26"/>
        </w:rPr>
        <w:t xml:space="preserve">  Tr. at 91-92; PECO Exh. 6.  </w:t>
      </w:r>
    </w:p>
  </w:footnote>
  <w:footnote w:id="4">
    <w:p w:rsidR="00BA7136" w:rsidRPr="00C313CB" w:rsidRDefault="00BA7136" w:rsidP="00BA7136">
      <w:pPr>
        <w:keepNext/>
        <w:widowControl/>
        <w:rPr>
          <w:sz w:val="26"/>
          <w:szCs w:val="26"/>
        </w:rPr>
      </w:pPr>
      <w:r>
        <w:rPr>
          <w:sz w:val="26"/>
          <w:szCs w:val="26"/>
        </w:rPr>
        <w:tab/>
      </w:r>
      <w:r w:rsidRPr="002E2CCD">
        <w:rPr>
          <w:rStyle w:val="FootnoteReference"/>
          <w:sz w:val="26"/>
          <w:szCs w:val="26"/>
        </w:rPr>
        <w:footnoteRef/>
      </w:r>
      <w:r>
        <w:rPr>
          <w:sz w:val="26"/>
          <w:szCs w:val="26"/>
        </w:rPr>
        <w:tab/>
        <w:t>W</w:t>
      </w:r>
      <w:r w:rsidRPr="00C313CB">
        <w:rPr>
          <w:sz w:val="26"/>
          <w:szCs w:val="26"/>
        </w:rPr>
        <w:t xml:space="preserve">e </w:t>
      </w:r>
      <w:r>
        <w:rPr>
          <w:sz w:val="26"/>
          <w:szCs w:val="26"/>
        </w:rPr>
        <w:t xml:space="preserve">also </w:t>
      </w:r>
      <w:r w:rsidRPr="00C313CB">
        <w:rPr>
          <w:sz w:val="26"/>
          <w:szCs w:val="26"/>
        </w:rPr>
        <w:t xml:space="preserve">acknowledge that the format of the Complainant’s Exceptions does not strictly comply with Section 5.533(b) of our Regulations, </w:t>
      </w:r>
      <w:r w:rsidR="00872172">
        <w:rPr>
          <w:sz w:val="26"/>
          <w:szCs w:val="26"/>
        </w:rPr>
        <w:t xml:space="preserve">52 Pa. Code § 5.533(b), </w:t>
      </w:r>
      <w:r w:rsidRPr="00C313CB">
        <w:rPr>
          <w:sz w:val="26"/>
          <w:szCs w:val="26"/>
        </w:rPr>
        <w:t>which requires that exceptions be numbered, identify the finding of fact and conclusion of law to which exception is taken, and cite to the relevant pages of the Initial Decision.</w:t>
      </w:r>
      <w:r w:rsidR="00F56FB1">
        <w:rPr>
          <w:sz w:val="26"/>
          <w:szCs w:val="26"/>
        </w:rPr>
        <w:t xml:space="preserve">  </w:t>
      </w:r>
      <w:r w:rsidRPr="00C313CB">
        <w:rPr>
          <w:sz w:val="26"/>
          <w:szCs w:val="26"/>
        </w:rPr>
        <w:t xml:space="preserve">Nevertheless, particularly because the Complainant is appearing </w:t>
      </w:r>
      <w:r w:rsidRPr="00C313CB">
        <w:rPr>
          <w:i/>
          <w:sz w:val="26"/>
          <w:szCs w:val="26"/>
        </w:rPr>
        <w:t>pro se</w:t>
      </w:r>
      <w:r w:rsidRPr="00C313CB">
        <w:rPr>
          <w:sz w:val="26"/>
          <w:szCs w:val="26"/>
        </w:rPr>
        <w:t>, we will accept the Exceptions as filed pursuant to Sec</w:t>
      </w:r>
      <w:r>
        <w:rPr>
          <w:sz w:val="26"/>
          <w:szCs w:val="26"/>
        </w:rPr>
        <w:t>tion 1.2(a) of our Regulations</w:t>
      </w:r>
      <w:r w:rsidRPr="00CC21F5">
        <w:rPr>
          <w:sz w:val="26"/>
          <w:szCs w:val="26"/>
        </w:rPr>
        <w:t xml:space="preserve">, </w:t>
      </w:r>
      <w:r w:rsidR="00872172" w:rsidRPr="00C313CB">
        <w:rPr>
          <w:sz w:val="26"/>
          <w:szCs w:val="26"/>
        </w:rPr>
        <w:t xml:space="preserve">52 Pa. </w:t>
      </w:r>
      <w:r w:rsidR="00872172">
        <w:rPr>
          <w:sz w:val="26"/>
          <w:szCs w:val="26"/>
        </w:rPr>
        <w:t>Code § </w:t>
      </w:r>
      <w:r w:rsidR="00872172" w:rsidRPr="00C313CB">
        <w:rPr>
          <w:sz w:val="26"/>
          <w:szCs w:val="26"/>
        </w:rPr>
        <w:t>1.2(a</w:t>
      </w:r>
      <w:r w:rsidR="00872172">
        <w:rPr>
          <w:sz w:val="26"/>
          <w:szCs w:val="26"/>
        </w:rPr>
        <w:t>),</w:t>
      </w:r>
      <w:r w:rsidR="00872172" w:rsidRPr="00C313CB">
        <w:rPr>
          <w:sz w:val="26"/>
          <w:szCs w:val="26"/>
        </w:rPr>
        <w:t xml:space="preserve"> </w:t>
      </w:r>
      <w:r w:rsidRPr="00CC21F5">
        <w:rPr>
          <w:sz w:val="26"/>
          <w:szCs w:val="26"/>
        </w:rPr>
        <w:t>in order to secure a just, speedy, and inexpensive determination in this proceeding</w:t>
      </w:r>
      <w:r w:rsidR="00872172">
        <w:rPr>
          <w:sz w:val="26"/>
          <w:szCs w:val="26"/>
        </w:rPr>
        <w:t>.</w:t>
      </w:r>
      <w:r>
        <w:rPr>
          <w:sz w:val="26"/>
          <w:szCs w:val="26"/>
        </w:rPr>
        <w:t xml:space="preserve"> </w:t>
      </w:r>
    </w:p>
    <w:p w:rsidR="00BA7136" w:rsidRPr="002E2CCD" w:rsidRDefault="00BA7136" w:rsidP="00BA7136">
      <w:pPr>
        <w:pStyle w:val="FootnoteText"/>
        <w:rPr>
          <w:sz w:val="26"/>
          <w:szCs w:val="26"/>
        </w:rPr>
      </w:pPr>
    </w:p>
  </w:footnote>
  <w:footnote w:id="5">
    <w:p w:rsidR="00DB39A0" w:rsidRDefault="00DB39A0" w:rsidP="00D4004C">
      <w:pPr>
        <w:pStyle w:val="FootnoteText"/>
        <w:keepLines/>
        <w:widowControl/>
        <w:rPr>
          <w:sz w:val="26"/>
          <w:szCs w:val="26"/>
        </w:rPr>
      </w:pPr>
      <w:r>
        <w:rPr>
          <w:sz w:val="26"/>
          <w:szCs w:val="26"/>
        </w:rPr>
        <w:tab/>
      </w:r>
      <w:r w:rsidRPr="00DB39A0">
        <w:rPr>
          <w:rStyle w:val="FootnoteReference"/>
          <w:sz w:val="26"/>
          <w:szCs w:val="26"/>
        </w:rPr>
        <w:footnoteRef/>
      </w:r>
      <w:r>
        <w:rPr>
          <w:sz w:val="26"/>
          <w:szCs w:val="26"/>
        </w:rPr>
        <w:tab/>
        <w:t>PECO’s CAP Tier D customers are not required to be enrolled in budget billing.  However, the record indicates that neither the Complainant nor her grandson ever requested to be removed from budget billing.  Tr. at 56-57.</w:t>
      </w:r>
    </w:p>
    <w:p w:rsidR="00DB39A0" w:rsidRPr="000D7AB5" w:rsidRDefault="00DB39A0" w:rsidP="00DB39A0">
      <w:pPr>
        <w:pStyle w:val="FootnoteText"/>
        <w:spacing w:line="60" w:lineRule="auto"/>
        <w:rPr>
          <w:sz w:val="26"/>
          <w:szCs w:val="26"/>
        </w:rPr>
      </w:pPr>
    </w:p>
    <w:p w:rsidR="00DB39A0" w:rsidRPr="00DB39A0" w:rsidRDefault="00DB39A0" w:rsidP="00D4004C">
      <w:pPr>
        <w:pStyle w:val="FootnoteText"/>
        <w:spacing w:line="60" w:lineRule="auto"/>
        <w:rPr>
          <w:sz w:val="26"/>
          <w:szCs w:val="26"/>
        </w:rPr>
      </w:pPr>
    </w:p>
  </w:footnote>
  <w:footnote w:id="6">
    <w:p w:rsidR="00F67501" w:rsidRPr="0088313D" w:rsidRDefault="00F67501" w:rsidP="00AE03CC">
      <w:pPr>
        <w:keepLines/>
        <w:widowControl/>
        <w:rPr>
          <w:sz w:val="26"/>
          <w:szCs w:val="26"/>
        </w:rPr>
      </w:pPr>
      <w:r>
        <w:rPr>
          <w:sz w:val="26"/>
          <w:szCs w:val="26"/>
        </w:rPr>
        <w:tab/>
      </w:r>
      <w:r w:rsidRPr="00F67501">
        <w:rPr>
          <w:rStyle w:val="FootnoteReference"/>
          <w:sz w:val="26"/>
          <w:szCs w:val="26"/>
        </w:rPr>
        <w:footnoteRef/>
      </w:r>
      <w:r>
        <w:rPr>
          <w:sz w:val="26"/>
          <w:szCs w:val="26"/>
        </w:rPr>
        <w:tab/>
      </w:r>
      <w:r w:rsidR="00B165A0">
        <w:rPr>
          <w:sz w:val="26"/>
          <w:szCs w:val="26"/>
        </w:rPr>
        <w:t>As noted above</w:t>
      </w:r>
      <w:r>
        <w:rPr>
          <w:sz w:val="26"/>
          <w:szCs w:val="26"/>
        </w:rPr>
        <w:t>, PECO provided a credit to the Complainant’s account in the amount of $330.25</w:t>
      </w:r>
      <w:r w:rsidR="00B165A0">
        <w:rPr>
          <w:sz w:val="26"/>
          <w:szCs w:val="26"/>
        </w:rPr>
        <w:t xml:space="preserve"> on February 28, 2013, in order to recognize that the Complainant had</w:t>
      </w:r>
      <w:r>
        <w:rPr>
          <w:sz w:val="26"/>
          <w:szCs w:val="26"/>
        </w:rPr>
        <w:t xml:space="preserve"> provided proof that her household income had decreased in May, 2011, entitling her to a CAP Tier</w:t>
      </w:r>
      <w:r w:rsidR="00B165A0">
        <w:rPr>
          <w:sz w:val="26"/>
          <w:szCs w:val="26"/>
        </w:rPr>
        <w:t xml:space="preserve"> D discount earlier than the </w:t>
      </w:r>
      <w:r>
        <w:rPr>
          <w:sz w:val="26"/>
          <w:szCs w:val="26"/>
        </w:rPr>
        <w:t>April, 201</w:t>
      </w:r>
      <w:r w:rsidR="00B165A0">
        <w:rPr>
          <w:sz w:val="26"/>
          <w:szCs w:val="26"/>
        </w:rPr>
        <w:t xml:space="preserve">2 date on which PECO </w:t>
      </w:r>
      <w:r>
        <w:rPr>
          <w:sz w:val="26"/>
          <w:szCs w:val="26"/>
        </w:rPr>
        <w:t xml:space="preserve">originally recertified the </w:t>
      </w:r>
      <w:r w:rsidR="00B165A0">
        <w:rPr>
          <w:sz w:val="26"/>
          <w:szCs w:val="26"/>
        </w:rPr>
        <w:t xml:space="preserve">account from Tier E to Tier D.  </w:t>
      </w:r>
      <w:r w:rsidR="0069030C">
        <w:rPr>
          <w:sz w:val="26"/>
          <w:szCs w:val="26"/>
        </w:rPr>
        <w:t xml:space="preserve">Tr. at </w:t>
      </w:r>
      <w:r w:rsidR="000B2E1C">
        <w:rPr>
          <w:sz w:val="26"/>
          <w:szCs w:val="26"/>
        </w:rPr>
        <w:t>66-67; PECO Exhs. 3 and 4.</w:t>
      </w:r>
    </w:p>
    <w:p w:rsidR="00F67501" w:rsidRPr="00F67501" w:rsidRDefault="00F67501" w:rsidP="0044506F">
      <w:pPr>
        <w:pStyle w:val="FootnoteText"/>
        <w:spacing w:line="60" w:lineRule="auto"/>
        <w:rPr>
          <w:sz w:val="26"/>
          <w:szCs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451E"/>
    <w:rsid w:val="00004817"/>
    <w:rsid w:val="00004D03"/>
    <w:rsid w:val="00005318"/>
    <w:rsid w:val="000065FB"/>
    <w:rsid w:val="00006685"/>
    <w:rsid w:val="00006A65"/>
    <w:rsid w:val="00006F35"/>
    <w:rsid w:val="00006FEE"/>
    <w:rsid w:val="0000721A"/>
    <w:rsid w:val="000075A6"/>
    <w:rsid w:val="00007AF7"/>
    <w:rsid w:val="00007ECA"/>
    <w:rsid w:val="0001221F"/>
    <w:rsid w:val="000124ED"/>
    <w:rsid w:val="00013358"/>
    <w:rsid w:val="00014E95"/>
    <w:rsid w:val="00015314"/>
    <w:rsid w:val="000154E2"/>
    <w:rsid w:val="00016D57"/>
    <w:rsid w:val="000171BD"/>
    <w:rsid w:val="00017852"/>
    <w:rsid w:val="00017F8B"/>
    <w:rsid w:val="000205EA"/>
    <w:rsid w:val="000206EB"/>
    <w:rsid w:val="000213A0"/>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7E5"/>
    <w:rsid w:val="00026CD2"/>
    <w:rsid w:val="0003055F"/>
    <w:rsid w:val="0003093F"/>
    <w:rsid w:val="00030A62"/>
    <w:rsid w:val="00030F6D"/>
    <w:rsid w:val="00032635"/>
    <w:rsid w:val="0003325E"/>
    <w:rsid w:val="00033512"/>
    <w:rsid w:val="000338FE"/>
    <w:rsid w:val="0003393B"/>
    <w:rsid w:val="00033D2F"/>
    <w:rsid w:val="00033EFA"/>
    <w:rsid w:val="0003417F"/>
    <w:rsid w:val="00034E13"/>
    <w:rsid w:val="00034FAE"/>
    <w:rsid w:val="000359E1"/>
    <w:rsid w:val="00035A3B"/>
    <w:rsid w:val="00037341"/>
    <w:rsid w:val="00037FC0"/>
    <w:rsid w:val="00040A8E"/>
    <w:rsid w:val="00040AEA"/>
    <w:rsid w:val="000411B5"/>
    <w:rsid w:val="000426D8"/>
    <w:rsid w:val="00043D65"/>
    <w:rsid w:val="000441C7"/>
    <w:rsid w:val="00044260"/>
    <w:rsid w:val="00044CDF"/>
    <w:rsid w:val="00044F62"/>
    <w:rsid w:val="00045800"/>
    <w:rsid w:val="00046D2C"/>
    <w:rsid w:val="000477D8"/>
    <w:rsid w:val="00047874"/>
    <w:rsid w:val="00047A50"/>
    <w:rsid w:val="00047F4A"/>
    <w:rsid w:val="00051A5C"/>
    <w:rsid w:val="000523D1"/>
    <w:rsid w:val="00052B8F"/>
    <w:rsid w:val="00052FCD"/>
    <w:rsid w:val="000536BC"/>
    <w:rsid w:val="00053CA1"/>
    <w:rsid w:val="00053D76"/>
    <w:rsid w:val="00054612"/>
    <w:rsid w:val="00054A0E"/>
    <w:rsid w:val="0005572E"/>
    <w:rsid w:val="0005578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634C"/>
    <w:rsid w:val="00066408"/>
    <w:rsid w:val="000669D9"/>
    <w:rsid w:val="000669FF"/>
    <w:rsid w:val="00066ADC"/>
    <w:rsid w:val="00066EE5"/>
    <w:rsid w:val="00066FFF"/>
    <w:rsid w:val="00067260"/>
    <w:rsid w:val="0006784C"/>
    <w:rsid w:val="00070469"/>
    <w:rsid w:val="00070EFA"/>
    <w:rsid w:val="000715E8"/>
    <w:rsid w:val="00071A6D"/>
    <w:rsid w:val="0007209F"/>
    <w:rsid w:val="00072808"/>
    <w:rsid w:val="0007521D"/>
    <w:rsid w:val="000753F6"/>
    <w:rsid w:val="00075D7D"/>
    <w:rsid w:val="00076514"/>
    <w:rsid w:val="00076F35"/>
    <w:rsid w:val="000770DB"/>
    <w:rsid w:val="00077B2D"/>
    <w:rsid w:val="000804B3"/>
    <w:rsid w:val="00080A8B"/>
    <w:rsid w:val="00081416"/>
    <w:rsid w:val="00082A18"/>
    <w:rsid w:val="00082CBC"/>
    <w:rsid w:val="00083125"/>
    <w:rsid w:val="000839C2"/>
    <w:rsid w:val="00084573"/>
    <w:rsid w:val="000845E4"/>
    <w:rsid w:val="0008490E"/>
    <w:rsid w:val="00084919"/>
    <w:rsid w:val="00084AF9"/>
    <w:rsid w:val="00084C67"/>
    <w:rsid w:val="00087299"/>
    <w:rsid w:val="0008785F"/>
    <w:rsid w:val="000878C9"/>
    <w:rsid w:val="00087A69"/>
    <w:rsid w:val="00090825"/>
    <w:rsid w:val="00090B69"/>
    <w:rsid w:val="000918D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35C0"/>
    <w:rsid w:val="000A365D"/>
    <w:rsid w:val="000A443E"/>
    <w:rsid w:val="000A4F51"/>
    <w:rsid w:val="000A61FA"/>
    <w:rsid w:val="000A6356"/>
    <w:rsid w:val="000A672E"/>
    <w:rsid w:val="000A69B1"/>
    <w:rsid w:val="000A76C2"/>
    <w:rsid w:val="000B216D"/>
    <w:rsid w:val="000B26FD"/>
    <w:rsid w:val="000B2755"/>
    <w:rsid w:val="000B2E1C"/>
    <w:rsid w:val="000B353F"/>
    <w:rsid w:val="000B363C"/>
    <w:rsid w:val="000B3BB4"/>
    <w:rsid w:val="000B41CC"/>
    <w:rsid w:val="000B4EAE"/>
    <w:rsid w:val="000B5039"/>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E1E"/>
    <w:rsid w:val="000D72E0"/>
    <w:rsid w:val="000D7AB5"/>
    <w:rsid w:val="000E02B6"/>
    <w:rsid w:val="000E1DC9"/>
    <w:rsid w:val="000E215E"/>
    <w:rsid w:val="000E231D"/>
    <w:rsid w:val="000E3310"/>
    <w:rsid w:val="000E35AE"/>
    <w:rsid w:val="000E64D8"/>
    <w:rsid w:val="000E6A73"/>
    <w:rsid w:val="000E6DC6"/>
    <w:rsid w:val="000E7A90"/>
    <w:rsid w:val="000F179E"/>
    <w:rsid w:val="000F1DC2"/>
    <w:rsid w:val="000F2397"/>
    <w:rsid w:val="000F27FE"/>
    <w:rsid w:val="000F2DE3"/>
    <w:rsid w:val="000F4307"/>
    <w:rsid w:val="000F551B"/>
    <w:rsid w:val="000F717E"/>
    <w:rsid w:val="00100639"/>
    <w:rsid w:val="001006A8"/>
    <w:rsid w:val="00100F06"/>
    <w:rsid w:val="00101387"/>
    <w:rsid w:val="0010147F"/>
    <w:rsid w:val="0010158F"/>
    <w:rsid w:val="001017F6"/>
    <w:rsid w:val="00101AB8"/>
    <w:rsid w:val="00101F51"/>
    <w:rsid w:val="001026CA"/>
    <w:rsid w:val="00102FEB"/>
    <w:rsid w:val="0010341F"/>
    <w:rsid w:val="001035AF"/>
    <w:rsid w:val="00104041"/>
    <w:rsid w:val="0010425F"/>
    <w:rsid w:val="001044B6"/>
    <w:rsid w:val="00104D61"/>
    <w:rsid w:val="00104D9B"/>
    <w:rsid w:val="00105C8E"/>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8D3"/>
    <w:rsid w:val="00114656"/>
    <w:rsid w:val="00114DFB"/>
    <w:rsid w:val="0011535C"/>
    <w:rsid w:val="00115DA8"/>
    <w:rsid w:val="001169AE"/>
    <w:rsid w:val="00116DC1"/>
    <w:rsid w:val="0011757D"/>
    <w:rsid w:val="001176EC"/>
    <w:rsid w:val="00117A05"/>
    <w:rsid w:val="00117CB2"/>
    <w:rsid w:val="0012026F"/>
    <w:rsid w:val="0012032E"/>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62"/>
    <w:rsid w:val="001303B4"/>
    <w:rsid w:val="00130BA7"/>
    <w:rsid w:val="00130EA9"/>
    <w:rsid w:val="00131482"/>
    <w:rsid w:val="00131919"/>
    <w:rsid w:val="0013266A"/>
    <w:rsid w:val="0013269E"/>
    <w:rsid w:val="00134395"/>
    <w:rsid w:val="00135157"/>
    <w:rsid w:val="00135480"/>
    <w:rsid w:val="00135670"/>
    <w:rsid w:val="001358B2"/>
    <w:rsid w:val="00135972"/>
    <w:rsid w:val="001360FC"/>
    <w:rsid w:val="00136C22"/>
    <w:rsid w:val="00137B55"/>
    <w:rsid w:val="001400A9"/>
    <w:rsid w:val="001414CD"/>
    <w:rsid w:val="00142219"/>
    <w:rsid w:val="00142BD8"/>
    <w:rsid w:val="00142CF7"/>
    <w:rsid w:val="00143267"/>
    <w:rsid w:val="0014360F"/>
    <w:rsid w:val="00143F09"/>
    <w:rsid w:val="001447A0"/>
    <w:rsid w:val="0014497F"/>
    <w:rsid w:val="00144F43"/>
    <w:rsid w:val="00145197"/>
    <w:rsid w:val="00146A23"/>
    <w:rsid w:val="00146DDD"/>
    <w:rsid w:val="00146E58"/>
    <w:rsid w:val="00146FB3"/>
    <w:rsid w:val="00147145"/>
    <w:rsid w:val="00147407"/>
    <w:rsid w:val="001476D4"/>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FCB"/>
    <w:rsid w:val="00156329"/>
    <w:rsid w:val="00157F1C"/>
    <w:rsid w:val="00160152"/>
    <w:rsid w:val="00160FB6"/>
    <w:rsid w:val="001611EF"/>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682B"/>
    <w:rsid w:val="001770B0"/>
    <w:rsid w:val="00177F78"/>
    <w:rsid w:val="00180601"/>
    <w:rsid w:val="00181222"/>
    <w:rsid w:val="00182478"/>
    <w:rsid w:val="00182607"/>
    <w:rsid w:val="0018274A"/>
    <w:rsid w:val="001831AC"/>
    <w:rsid w:val="001839F1"/>
    <w:rsid w:val="0018480F"/>
    <w:rsid w:val="00184D47"/>
    <w:rsid w:val="00185167"/>
    <w:rsid w:val="0018518D"/>
    <w:rsid w:val="001855CA"/>
    <w:rsid w:val="00185739"/>
    <w:rsid w:val="001857B0"/>
    <w:rsid w:val="0018583E"/>
    <w:rsid w:val="00185AFF"/>
    <w:rsid w:val="00185B0D"/>
    <w:rsid w:val="00185F18"/>
    <w:rsid w:val="00185F46"/>
    <w:rsid w:val="00186A97"/>
    <w:rsid w:val="00186D7E"/>
    <w:rsid w:val="00187930"/>
    <w:rsid w:val="00190992"/>
    <w:rsid w:val="00191763"/>
    <w:rsid w:val="00191A20"/>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7D"/>
    <w:rsid w:val="001A732F"/>
    <w:rsid w:val="001A76C4"/>
    <w:rsid w:val="001A7EFE"/>
    <w:rsid w:val="001B0145"/>
    <w:rsid w:val="001B05EC"/>
    <w:rsid w:val="001B0C7B"/>
    <w:rsid w:val="001B1151"/>
    <w:rsid w:val="001B187D"/>
    <w:rsid w:val="001B1D75"/>
    <w:rsid w:val="001B1DB4"/>
    <w:rsid w:val="001B2603"/>
    <w:rsid w:val="001B35D7"/>
    <w:rsid w:val="001B5865"/>
    <w:rsid w:val="001B59F0"/>
    <w:rsid w:val="001B6382"/>
    <w:rsid w:val="001B6CCD"/>
    <w:rsid w:val="001B7907"/>
    <w:rsid w:val="001C0809"/>
    <w:rsid w:val="001C1183"/>
    <w:rsid w:val="001C1F06"/>
    <w:rsid w:val="001C2B92"/>
    <w:rsid w:val="001C4117"/>
    <w:rsid w:val="001C4978"/>
    <w:rsid w:val="001C4B6C"/>
    <w:rsid w:val="001C5F74"/>
    <w:rsid w:val="001C61F9"/>
    <w:rsid w:val="001C73CD"/>
    <w:rsid w:val="001C7AAE"/>
    <w:rsid w:val="001D0EA8"/>
    <w:rsid w:val="001D0ED2"/>
    <w:rsid w:val="001D1715"/>
    <w:rsid w:val="001D1D6B"/>
    <w:rsid w:val="001D1FFA"/>
    <w:rsid w:val="001D25F3"/>
    <w:rsid w:val="001D3751"/>
    <w:rsid w:val="001D376D"/>
    <w:rsid w:val="001D38E9"/>
    <w:rsid w:val="001D4719"/>
    <w:rsid w:val="001D4B11"/>
    <w:rsid w:val="001D537B"/>
    <w:rsid w:val="001D5E90"/>
    <w:rsid w:val="001D5EFC"/>
    <w:rsid w:val="001D656E"/>
    <w:rsid w:val="001D6778"/>
    <w:rsid w:val="001D69F4"/>
    <w:rsid w:val="001D705F"/>
    <w:rsid w:val="001E0B61"/>
    <w:rsid w:val="001E1276"/>
    <w:rsid w:val="001E1610"/>
    <w:rsid w:val="001E1FD6"/>
    <w:rsid w:val="001E2949"/>
    <w:rsid w:val="001E3F37"/>
    <w:rsid w:val="001E5807"/>
    <w:rsid w:val="001E60EE"/>
    <w:rsid w:val="001E662B"/>
    <w:rsid w:val="001E6ACA"/>
    <w:rsid w:val="001E7091"/>
    <w:rsid w:val="001F0025"/>
    <w:rsid w:val="001F0509"/>
    <w:rsid w:val="001F2069"/>
    <w:rsid w:val="001F2669"/>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85"/>
    <w:rsid w:val="00210F81"/>
    <w:rsid w:val="00211622"/>
    <w:rsid w:val="00212080"/>
    <w:rsid w:val="00212364"/>
    <w:rsid w:val="002137B2"/>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E6B"/>
    <w:rsid w:val="00233488"/>
    <w:rsid w:val="00234B16"/>
    <w:rsid w:val="00235F21"/>
    <w:rsid w:val="00236209"/>
    <w:rsid w:val="00236B20"/>
    <w:rsid w:val="00236BAC"/>
    <w:rsid w:val="002370F5"/>
    <w:rsid w:val="00237B46"/>
    <w:rsid w:val="00237E48"/>
    <w:rsid w:val="0024007E"/>
    <w:rsid w:val="0024088A"/>
    <w:rsid w:val="00240ACA"/>
    <w:rsid w:val="00240D7B"/>
    <w:rsid w:val="00241299"/>
    <w:rsid w:val="00242B89"/>
    <w:rsid w:val="00242C42"/>
    <w:rsid w:val="00243162"/>
    <w:rsid w:val="00243350"/>
    <w:rsid w:val="002434EB"/>
    <w:rsid w:val="0024399A"/>
    <w:rsid w:val="00244EBA"/>
    <w:rsid w:val="00245E1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462"/>
    <w:rsid w:val="00256233"/>
    <w:rsid w:val="00256BA9"/>
    <w:rsid w:val="00257D32"/>
    <w:rsid w:val="00260044"/>
    <w:rsid w:val="00260613"/>
    <w:rsid w:val="00260957"/>
    <w:rsid w:val="00261032"/>
    <w:rsid w:val="00262D9F"/>
    <w:rsid w:val="002630E2"/>
    <w:rsid w:val="002643F9"/>
    <w:rsid w:val="00264646"/>
    <w:rsid w:val="00264E86"/>
    <w:rsid w:val="00265506"/>
    <w:rsid w:val="00265AE4"/>
    <w:rsid w:val="00266444"/>
    <w:rsid w:val="00266D46"/>
    <w:rsid w:val="00266DDD"/>
    <w:rsid w:val="00267188"/>
    <w:rsid w:val="002671A2"/>
    <w:rsid w:val="00267B63"/>
    <w:rsid w:val="00267F1F"/>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25E"/>
    <w:rsid w:val="00281290"/>
    <w:rsid w:val="002818FA"/>
    <w:rsid w:val="00281A5F"/>
    <w:rsid w:val="00281B12"/>
    <w:rsid w:val="00283539"/>
    <w:rsid w:val="002847B0"/>
    <w:rsid w:val="00284E86"/>
    <w:rsid w:val="0028500A"/>
    <w:rsid w:val="00285073"/>
    <w:rsid w:val="002859FB"/>
    <w:rsid w:val="00285A8E"/>
    <w:rsid w:val="0028602D"/>
    <w:rsid w:val="0028701F"/>
    <w:rsid w:val="002872B6"/>
    <w:rsid w:val="002873E6"/>
    <w:rsid w:val="00287681"/>
    <w:rsid w:val="00287EF7"/>
    <w:rsid w:val="002911F0"/>
    <w:rsid w:val="00291F2F"/>
    <w:rsid w:val="00291F68"/>
    <w:rsid w:val="0029235E"/>
    <w:rsid w:val="00292927"/>
    <w:rsid w:val="00294181"/>
    <w:rsid w:val="002946AB"/>
    <w:rsid w:val="002946B2"/>
    <w:rsid w:val="00294BD5"/>
    <w:rsid w:val="0029672A"/>
    <w:rsid w:val="00296998"/>
    <w:rsid w:val="00297B94"/>
    <w:rsid w:val="002A060A"/>
    <w:rsid w:val="002A0783"/>
    <w:rsid w:val="002A0915"/>
    <w:rsid w:val="002A0D42"/>
    <w:rsid w:val="002A1164"/>
    <w:rsid w:val="002A2BEB"/>
    <w:rsid w:val="002A4450"/>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4244"/>
    <w:rsid w:val="002B4407"/>
    <w:rsid w:val="002B5B80"/>
    <w:rsid w:val="002B5D3D"/>
    <w:rsid w:val="002B60C5"/>
    <w:rsid w:val="002B6679"/>
    <w:rsid w:val="002B67B7"/>
    <w:rsid w:val="002B6B97"/>
    <w:rsid w:val="002B748C"/>
    <w:rsid w:val="002B7882"/>
    <w:rsid w:val="002C0429"/>
    <w:rsid w:val="002C0EE9"/>
    <w:rsid w:val="002C16BE"/>
    <w:rsid w:val="002C19E4"/>
    <w:rsid w:val="002C1CCB"/>
    <w:rsid w:val="002C1D3D"/>
    <w:rsid w:val="002C232D"/>
    <w:rsid w:val="002C257A"/>
    <w:rsid w:val="002C27FE"/>
    <w:rsid w:val="002C3676"/>
    <w:rsid w:val="002C3C03"/>
    <w:rsid w:val="002C44E1"/>
    <w:rsid w:val="002C4A1B"/>
    <w:rsid w:val="002C4F72"/>
    <w:rsid w:val="002C5256"/>
    <w:rsid w:val="002C6CC4"/>
    <w:rsid w:val="002C6EF5"/>
    <w:rsid w:val="002C7166"/>
    <w:rsid w:val="002C7542"/>
    <w:rsid w:val="002C79B8"/>
    <w:rsid w:val="002D13C4"/>
    <w:rsid w:val="002D1791"/>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CD"/>
    <w:rsid w:val="002E2F2E"/>
    <w:rsid w:val="002E3026"/>
    <w:rsid w:val="002E3731"/>
    <w:rsid w:val="002E3A8B"/>
    <w:rsid w:val="002E3F06"/>
    <w:rsid w:val="002E4A4B"/>
    <w:rsid w:val="002E4B04"/>
    <w:rsid w:val="002E5839"/>
    <w:rsid w:val="002E5E87"/>
    <w:rsid w:val="002E6295"/>
    <w:rsid w:val="002E643A"/>
    <w:rsid w:val="002E64A9"/>
    <w:rsid w:val="002E6FFA"/>
    <w:rsid w:val="002E765B"/>
    <w:rsid w:val="002E7BAB"/>
    <w:rsid w:val="002E7F8F"/>
    <w:rsid w:val="002F112F"/>
    <w:rsid w:val="002F1A77"/>
    <w:rsid w:val="002F24F7"/>
    <w:rsid w:val="002F25AE"/>
    <w:rsid w:val="002F2733"/>
    <w:rsid w:val="002F2BB0"/>
    <w:rsid w:val="002F2D9C"/>
    <w:rsid w:val="002F37D3"/>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30BC"/>
    <w:rsid w:val="00303885"/>
    <w:rsid w:val="00303B99"/>
    <w:rsid w:val="00303D6C"/>
    <w:rsid w:val="0030682C"/>
    <w:rsid w:val="00306D1F"/>
    <w:rsid w:val="0030714F"/>
    <w:rsid w:val="003073E2"/>
    <w:rsid w:val="00307549"/>
    <w:rsid w:val="00307DDF"/>
    <w:rsid w:val="00310F4C"/>
    <w:rsid w:val="003114C6"/>
    <w:rsid w:val="00311AE6"/>
    <w:rsid w:val="00311F63"/>
    <w:rsid w:val="00312B14"/>
    <w:rsid w:val="003134B2"/>
    <w:rsid w:val="00313706"/>
    <w:rsid w:val="00314A43"/>
    <w:rsid w:val="00315102"/>
    <w:rsid w:val="0031520C"/>
    <w:rsid w:val="00315694"/>
    <w:rsid w:val="00315A0E"/>
    <w:rsid w:val="00316699"/>
    <w:rsid w:val="00316963"/>
    <w:rsid w:val="003169F2"/>
    <w:rsid w:val="003172C2"/>
    <w:rsid w:val="00320FE4"/>
    <w:rsid w:val="00321083"/>
    <w:rsid w:val="003216D1"/>
    <w:rsid w:val="00322040"/>
    <w:rsid w:val="00322AF6"/>
    <w:rsid w:val="00323BAB"/>
    <w:rsid w:val="003240B8"/>
    <w:rsid w:val="00324681"/>
    <w:rsid w:val="00325422"/>
    <w:rsid w:val="003268C2"/>
    <w:rsid w:val="003274BA"/>
    <w:rsid w:val="00327B64"/>
    <w:rsid w:val="0033170A"/>
    <w:rsid w:val="00331EB6"/>
    <w:rsid w:val="003324FA"/>
    <w:rsid w:val="003332D4"/>
    <w:rsid w:val="00333A25"/>
    <w:rsid w:val="00333FDA"/>
    <w:rsid w:val="003340DE"/>
    <w:rsid w:val="00334417"/>
    <w:rsid w:val="00334887"/>
    <w:rsid w:val="00334EC2"/>
    <w:rsid w:val="003353B5"/>
    <w:rsid w:val="0033584A"/>
    <w:rsid w:val="0033657E"/>
    <w:rsid w:val="0033732D"/>
    <w:rsid w:val="00337BA8"/>
    <w:rsid w:val="00340D19"/>
    <w:rsid w:val="0034168D"/>
    <w:rsid w:val="00341F2F"/>
    <w:rsid w:val="003428C3"/>
    <w:rsid w:val="00342956"/>
    <w:rsid w:val="00342D6A"/>
    <w:rsid w:val="00343230"/>
    <w:rsid w:val="0034395C"/>
    <w:rsid w:val="00343EC0"/>
    <w:rsid w:val="00344804"/>
    <w:rsid w:val="00344D49"/>
    <w:rsid w:val="00345372"/>
    <w:rsid w:val="00346162"/>
    <w:rsid w:val="003468E7"/>
    <w:rsid w:val="00346C47"/>
    <w:rsid w:val="003473C2"/>
    <w:rsid w:val="00347863"/>
    <w:rsid w:val="00347A1F"/>
    <w:rsid w:val="003508D7"/>
    <w:rsid w:val="003510FF"/>
    <w:rsid w:val="003518C8"/>
    <w:rsid w:val="00351A51"/>
    <w:rsid w:val="00352BC7"/>
    <w:rsid w:val="0035338B"/>
    <w:rsid w:val="003533B5"/>
    <w:rsid w:val="00353CE3"/>
    <w:rsid w:val="003542D3"/>
    <w:rsid w:val="00354B2F"/>
    <w:rsid w:val="00356024"/>
    <w:rsid w:val="003561D9"/>
    <w:rsid w:val="003568D9"/>
    <w:rsid w:val="0035728C"/>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77D"/>
    <w:rsid w:val="0037081A"/>
    <w:rsid w:val="00370A42"/>
    <w:rsid w:val="00371750"/>
    <w:rsid w:val="00371A4B"/>
    <w:rsid w:val="00372D90"/>
    <w:rsid w:val="003732C1"/>
    <w:rsid w:val="0037352F"/>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810DD"/>
    <w:rsid w:val="00381421"/>
    <w:rsid w:val="0038188D"/>
    <w:rsid w:val="00381FEF"/>
    <w:rsid w:val="00382B40"/>
    <w:rsid w:val="003841E8"/>
    <w:rsid w:val="00384AEA"/>
    <w:rsid w:val="00384F64"/>
    <w:rsid w:val="00385502"/>
    <w:rsid w:val="00385526"/>
    <w:rsid w:val="003857E9"/>
    <w:rsid w:val="003863E7"/>
    <w:rsid w:val="003866CA"/>
    <w:rsid w:val="00386D03"/>
    <w:rsid w:val="003878C9"/>
    <w:rsid w:val="003904F7"/>
    <w:rsid w:val="0039085E"/>
    <w:rsid w:val="00390A62"/>
    <w:rsid w:val="003915CB"/>
    <w:rsid w:val="00391A43"/>
    <w:rsid w:val="00391CAA"/>
    <w:rsid w:val="00392734"/>
    <w:rsid w:val="003927B4"/>
    <w:rsid w:val="00393123"/>
    <w:rsid w:val="003933D9"/>
    <w:rsid w:val="003944E5"/>
    <w:rsid w:val="00394A04"/>
    <w:rsid w:val="00394FFE"/>
    <w:rsid w:val="003958EB"/>
    <w:rsid w:val="00395B3E"/>
    <w:rsid w:val="00396375"/>
    <w:rsid w:val="00396541"/>
    <w:rsid w:val="00396928"/>
    <w:rsid w:val="00396EC9"/>
    <w:rsid w:val="00397918"/>
    <w:rsid w:val="00397ACA"/>
    <w:rsid w:val="003A0178"/>
    <w:rsid w:val="003A01C0"/>
    <w:rsid w:val="003A071C"/>
    <w:rsid w:val="003A0A0B"/>
    <w:rsid w:val="003A0D28"/>
    <w:rsid w:val="003A15FF"/>
    <w:rsid w:val="003A1A55"/>
    <w:rsid w:val="003A1D43"/>
    <w:rsid w:val="003A2604"/>
    <w:rsid w:val="003A2CA9"/>
    <w:rsid w:val="003A31BD"/>
    <w:rsid w:val="003A3B84"/>
    <w:rsid w:val="003A3D1C"/>
    <w:rsid w:val="003A4E6C"/>
    <w:rsid w:val="003A534F"/>
    <w:rsid w:val="003A5623"/>
    <w:rsid w:val="003A5AF1"/>
    <w:rsid w:val="003A6FF0"/>
    <w:rsid w:val="003A7B45"/>
    <w:rsid w:val="003A7E3A"/>
    <w:rsid w:val="003B011C"/>
    <w:rsid w:val="003B016A"/>
    <w:rsid w:val="003B0517"/>
    <w:rsid w:val="003B0611"/>
    <w:rsid w:val="003B0D66"/>
    <w:rsid w:val="003B0D72"/>
    <w:rsid w:val="003B220B"/>
    <w:rsid w:val="003B2B48"/>
    <w:rsid w:val="003B2CB6"/>
    <w:rsid w:val="003B2DBB"/>
    <w:rsid w:val="003B3617"/>
    <w:rsid w:val="003B39E7"/>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783"/>
    <w:rsid w:val="003C6A69"/>
    <w:rsid w:val="003C73F9"/>
    <w:rsid w:val="003C768D"/>
    <w:rsid w:val="003C77B2"/>
    <w:rsid w:val="003C7EC4"/>
    <w:rsid w:val="003D1F70"/>
    <w:rsid w:val="003D2152"/>
    <w:rsid w:val="003D234E"/>
    <w:rsid w:val="003D2AC7"/>
    <w:rsid w:val="003D394E"/>
    <w:rsid w:val="003D3971"/>
    <w:rsid w:val="003D3FE9"/>
    <w:rsid w:val="003D4168"/>
    <w:rsid w:val="003D447C"/>
    <w:rsid w:val="003D45F6"/>
    <w:rsid w:val="003D4DB8"/>
    <w:rsid w:val="003D51DE"/>
    <w:rsid w:val="003D57BB"/>
    <w:rsid w:val="003D5F07"/>
    <w:rsid w:val="003D6463"/>
    <w:rsid w:val="003D6AB5"/>
    <w:rsid w:val="003D6CF4"/>
    <w:rsid w:val="003E02E7"/>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7A3"/>
    <w:rsid w:val="003E75D2"/>
    <w:rsid w:val="003F068A"/>
    <w:rsid w:val="003F1F93"/>
    <w:rsid w:val="003F20A0"/>
    <w:rsid w:val="003F21C4"/>
    <w:rsid w:val="003F2DF5"/>
    <w:rsid w:val="003F4FAA"/>
    <w:rsid w:val="003F5033"/>
    <w:rsid w:val="003F51F4"/>
    <w:rsid w:val="003F52C6"/>
    <w:rsid w:val="003F54E5"/>
    <w:rsid w:val="003F558E"/>
    <w:rsid w:val="003F6692"/>
    <w:rsid w:val="003F683A"/>
    <w:rsid w:val="003F723C"/>
    <w:rsid w:val="003F7285"/>
    <w:rsid w:val="003F74E3"/>
    <w:rsid w:val="003F77B3"/>
    <w:rsid w:val="003F7B70"/>
    <w:rsid w:val="0040126F"/>
    <w:rsid w:val="004012F8"/>
    <w:rsid w:val="00401733"/>
    <w:rsid w:val="00402F37"/>
    <w:rsid w:val="00403056"/>
    <w:rsid w:val="00403501"/>
    <w:rsid w:val="0040377C"/>
    <w:rsid w:val="00403D6E"/>
    <w:rsid w:val="00404859"/>
    <w:rsid w:val="00404C7A"/>
    <w:rsid w:val="00405083"/>
    <w:rsid w:val="00405AA2"/>
    <w:rsid w:val="00405E03"/>
    <w:rsid w:val="00406194"/>
    <w:rsid w:val="004077D8"/>
    <w:rsid w:val="00407AC0"/>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1861"/>
    <w:rsid w:val="004222F5"/>
    <w:rsid w:val="00422309"/>
    <w:rsid w:val="00422C55"/>
    <w:rsid w:val="00423004"/>
    <w:rsid w:val="00423830"/>
    <w:rsid w:val="0042431A"/>
    <w:rsid w:val="00425698"/>
    <w:rsid w:val="00425B5A"/>
    <w:rsid w:val="00425ED2"/>
    <w:rsid w:val="004263AE"/>
    <w:rsid w:val="00426C84"/>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F03"/>
    <w:rsid w:val="004443E1"/>
    <w:rsid w:val="004449AC"/>
    <w:rsid w:val="0044506F"/>
    <w:rsid w:val="004462F7"/>
    <w:rsid w:val="0044636A"/>
    <w:rsid w:val="00451116"/>
    <w:rsid w:val="00451656"/>
    <w:rsid w:val="00453C7E"/>
    <w:rsid w:val="00454835"/>
    <w:rsid w:val="00454F06"/>
    <w:rsid w:val="004550AC"/>
    <w:rsid w:val="0045554B"/>
    <w:rsid w:val="00455AAF"/>
    <w:rsid w:val="0045650D"/>
    <w:rsid w:val="00456B54"/>
    <w:rsid w:val="0045716C"/>
    <w:rsid w:val="00457E6A"/>
    <w:rsid w:val="0046019D"/>
    <w:rsid w:val="00460250"/>
    <w:rsid w:val="004623FA"/>
    <w:rsid w:val="004626FF"/>
    <w:rsid w:val="00464536"/>
    <w:rsid w:val="00464790"/>
    <w:rsid w:val="0046514E"/>
    <w:rsid w:val="0046532C"/>
    <w:rsid w:val="0046623C"/>
    <w:rsid w:val="0046686A"/>
    <w:rsid w:val="00466F96"/>
    <w:rsid w:val="00467739"/>
    <w:rsid w:val="004705D8"/>
    <w:rsid w:val="00470D0C"/>
    <w:rsid w:val="0047104F"/>
    <w:rsid w:val="00471900"/>
    <w:rsid w:val="00471D6B"/>
    <w:rsid w:val="00474104"/>
    <w:rsid w:val="00474E22"/>
    <w:rsid w:val="00475D86"/>
    <w:rsid w:val="0047608F"/>
    <w:rsid w:val="004762EF"/>
    <w:rsid w:val="00476554"/>
    <w:rsid w:val="004770D4"/>
    <w:rsid w:val="0047739F"/>
    <w:rsid w:val="0047758F"/>
    <w:rsid w:val="004776EC"/>
    <w:rsid w:val="004813D4"/>
    <w:rsid w:val="004821A1"/>
    <w:rsid w:val="004824CF"/>
    <w:rsid w:val="00482A39"/>
    <w:rsid w:val="00482B78"/>
    <w:rsid w:val="00482DB7"/>
    <w:rsid w:val="0048493F"/>
    <w:rsid w:val="00484D63"/>
    <w:rsid w:val="00485132"/>
    <w:rsid w:val="004864B3"/>
    <w:rsid w:val="004875B9"/>
    <w:rsid w:val="004875D5"/>
    <w:rsid w:val="004912CE"/>
    <w:rsid w:val="0049166E"/>
    <w:rsid w:val="00491A3E"/>
    <w:rsid w:val="00491D91"/>
    <w:rsid w:val="004922E1"/>
    <w:rsid w:val="00492754"/>
    <w:rsid w:val="00492C28"/>
    <w:rsid w:val="00492DCE"/>
    <w:rsid w:val="00493D27"/>
    <w:rsid w:val="00494916"/>
    <w:rsid w:val="004951BC"/>
    <w:rsid w:val="0049580C"/>
    <w:rsid w:val="00495AC6"/>
    <w:rsid w:val="00496874"/>
    <w:rsid w:val="00496CF9"/>
    <w:rsid w:val="00496E5A"/>
    <w:rsid w:val="0049768F"/>
    <w:rsid w:val="004A04E5"/>
    <w:rsid w:val="004A0768"/>
    <w:rsid w:val="004A1495"/>
    <w:rsid w:val="004A17BE"/>
    <w:rsid w:val="004A2089"/>
    <w:rsid w:val="004A212F"/>
    <w:rsid w:val="004A2165"/>
    <w:rsid w:val="004A2B4F"/>
    <w:rsid w:val="004A38A4"/>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35AF"/>
    <w:rsid w:val="004B3F02"/>
    <w:rsid w:val="004B5366"/>
    <w:rsid w:val="004B5F4A"/>
    <w:rsid w:val="004B604A"/>
    <w:rsid w:val="004B6A8C"/>
    <w:rsid w:val="004B6B14"/>
    <w:rsid w:val="004B7C5F"/>
    <w:rsid w:val="004C07BB"/>
    <w:rsid w:val="004C0FC8"/>
    <w:rsid w:val="004C3390"/>
    <w:rsid w:val="004C44E9"/>
    <w:rsid w:val="004C4E4F"/>
    <w:rsid w:val="004C516F"/>
    <w:rsid w:val="004C6198"/>
    <w:rsid w:val="004C650A"/>
    <w:rsid w:val="004C68A0"/>
    <w:rsid w:val="004C692A"/>
    <w:rsid w:val="004C748A"/>
    <w:rsid w:val="004C7B23"/>
    <w:rsid w:val="004D1201"/>
    <w:rsid w:val="004D1313"/>
    <w:rsid w:val="004D1D85"/>
    <w:rsid w:val="004D2D46"/>
    <w:rsid w:val="004D2E4E"/>
    <w:rsid w:val="004D2E50"/>
    <w:rsid w:val="004D3590"/>
    <w:rsid w:val="004D35BD"/>
    <w:rsid w:val="004D3A9D"/>
    <w:rsid w:val="004D4277"/>
    <w:rsid w:val="004D4C2B"/>
    <w:rsid w:val="004D4CB2"/>
    <w:rsid w:val="004D5EDC"/>
    <w:rsid w:val="004D60F8"/>
    <w:rsid w:val="004D6AC4"/>
    <w:rsid w:val="004D7316"/>
    <w:rsid w:val="004E02AB"/>
    <w:rsid w:val="004E20B2"/>
    <w:rsid w:val="004E248A"/>
    <w:rsid w:val="004E2F87"/>
    <w:rsid w:val="004E3C56"/>
    <w:rsid w:val="004E42DA"/>
    <w:rsid w:val="004E4662"/>
    <w:rsid w:val="004E47EC"/>
    <w:rsid w:val="004E4B84"/>
    <w:rsid w:val="004E514F"/>
    <w:rsid w:val="004E6D0A"/>
    <w:rsid w:val="004E6D2A"/>
    <w:rsid w:val="004E6E06"/>
    <w:rsid w:val="004E7038"/>
    <w:rsid w:val="004E737F"/>
    <w:rsid w:val="004E7944"/>
    <w:rsid w:val="004E7D5B"/>
    <w:rsid w:val="004F01A3"/>
    <w:rsid w:val="004F03DE"/>
    <w:rsid w:val="004F1674"/>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ECF"/>
    <w:rsid w:val="00502165"/>
    <w:rsid w:val="00502432"/>
    <w:rsid w:val="005031DD"/>
    <w:rsid w:val="00504834"/>
    <w:rsid w:val="00504B4E"/>
    <w:rsid w:val="00504C7A"/>
    <w:rsid w:val="0050520C"/>
    <w:rsid w:val="00505489"/>
    <w:rsid w:val="00505AEE"/>
    <w:rsid w:val="00505C62"/>
    <w:rsid w:val="005060D7"/>
    <w:rsid w:val="0050632E"/>
    <w:rsid w:val="00506D07"/>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53F5"/>
    <w:rsid w:val="00515D75"/>
    <w:rsid w:val="0051664D"/>
    <w:rsid w:val="0051670B"/>
    <w:rsid w:val="005176C9"/>
    <w:rsid w:val="00520E08"/>
    <w:rsid w:val="00521002"/>
    <w:rsid w:val="00521350"/>
    <w:rsid w:val="005213F7"/>
    <w:rsid w:val="00522186"/>
    <w:rsid w:val="005221FE"/>
    <w:rsid w:val="00522CFD"/>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C84"/>
    <w:rsid w:val="00536011"/>
    <w:rsid w:val="00537F9D"/>
    <w:rsid w:val="00540404"/>
    <w:rsid w:val="00540D7B"/>
    <w:rsid w:val="00540DAC"/>
    <w:rsid w:val="00543C89"/>
    <w:rsid w:val="00543E5B"/>
    <w:rsid w:val="0054498C"/>
    <w:rsid w:val="005451A6"/>
    <w:rsid w:val="0054558C"/>
    <w:rsid w:val="00545802"/>
    <w:rsid w:val="005461BC"/>
    <w:rsid w:val="005466D1"/>
    <w:rsid w:val="00546D1F"/>
    <w:rsid w:val="00546F58"/>
    <w:rsid w:val="00547606"/>
    <w:rsid w:val="005500C7"/>
    <w:rsid w:val="00550B79"/>
    <w:rsid w:val="00551506"/>
    <w:rsid w:val="0055150B"/>
    <w:rsid w:val="0055193B"/>
    <w:rsid w:val="005519A7"/>
    <w:rsid w:val="0055205F"/>
    <w:rsid w:val="0055315B"/>
    <w:rsid w:val="005532F9"/>
    <w:rsid w:val="0055440B"/>
    <w:rsid w:val="00554CCF"/>
    <w:rsid w:val="00555595"/>
    <w:rsid w:val="005556EC"/>
    <w:rsid w:val="00555F40"/>
    <w:rsid w:val="0055708D"/>
    <w:rsid w:val="00557A3A"/>
    <w:rsid w:val="00557A7D"/>
    <w:rsid w:val="00557C37"/>
    <w:rsid w:val="00557CFC"/>
    <w:rsid w:val="00560BD7"/>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73AF"/>
    <w:rsid w:val="00567695"/>
    <w:rsid w:val="0057127D"/>
    <w:rsid w:val="00571B4B"/>
    <w:rsid w:val="005722F6"/>
    <w:rsid w:val="005725F6"/>
    <w:rsid w:val="00574453"/>
    <w:rsid w:val="005746E9"/>
    <w:rsid w:val="005749CC"/>
    <w:rsid w:val="00574DB8"/>
    <w:rsid w:val="005802AF"/>
    <w:rsid w:val="00582976"/>
    <w:rsid w:val="005829DD"/>
    <w:rsid w:val="0058385C"/>
    <w:rsid w:val="00583C85"/>
    <w:rsid w:val="00584CF8"/>
    <w:rsid w:val="00584E2D"/>
    <w:rsid w:val="005867DF"/>
    <w:rsid w:val="00586817"/>
    <w:rsid w:val="00586D92"/>
    <w:rsid w:val="00586FB7"/>
    <w:rsid w:val="00587507"/>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A0117"/>
    <w:rsid w:val="005A0176"/>
    <w:rsid w:val="005A088E"/>
    <w:rsid w:val="005A139C"/>
    <w:rsid w:val="005A1C76"/>
    <w:rsid w:val="005A2298"/>
    <w:rsid w:val="005A28C1"/>
    <w:rsid w:val="005A2950"/>
    <w:rsid w:val="005A3309"/>
    <w:rsid w:val="005A426F"/>
    <w:rsid w:val="005A5587"/>
    <w:rsid w:val="005A5EC9"/>
    <w:rsid w:val="005A7001"/>
    <w:rsid w:val="005A72DB"/>
    <w:rsid w:val="005A72FC"/>
    <w:rsid w:val="005A7537"/>
    <w:rsid w:val="005A7937"/>
    <w:rsid w:val="005B0388"/>
    <w:rsid w:val="005B0C34"/>
    <w:rsid w:val="005B109A"/>
    <w:rsid w:val="005B197F"/>
    <w:rsid w:val="005B28C5"/>
    <w:rsid w:val="005B2B60"/>
    <w:rsid w:val="005B36EF"/>
    <w:rsid w:val="005B41E2"/>
    <w:rsid w:val="005B4219"/>
    <w:rsid w:val="005B536B"/>
    <w:rsid w:val="005B53AF"/>
    <w:rsid w:val="005B55F4"/>
    <w:rsid w:val="005B5D1F"/>
    <w:rsid w:val="005B6E15"/>
    <w:rsid w:val="005C0A3A"/>
    <w:rsid w:val="005C1BBA"/>
    <w:rsid w:val="005C1FB0"/>
    <w:rsid w:val="005C2FD5"/>
    <w:rsid w:val="005C30ED"/>
    <w:rsid w:val="005C31EB"/>
    <w:rsid w:val="005C399D"/>
    <w:rsid w:val="005C3CA7"/>
    <w:rsid w:val="005C3F5A"/>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CDC"/>
    <w:rsid w:val="005D56DA"/>
    <w:rsid w:val="005D5E97"/>
    <w:rsid w:val="005D76F2"/>
    <w:rsid w:val="005D7C20"/>
    <w:rsid w:val="005E016E"/>
    <w:rsid w:val="005E04E9"/>
    <w:rsid w:val="005E0C1B"/>
    <w:rsid w:val="005E0DCB"/>
    <w:rsid w:val="005E19AF"/>
    <w:rsid w:val="005E28DB"/>
    <w:rsid w:val="005E2EDE"/>
    <w:rsid w:val="005E47FB"/>
    <w:rsid w:val="005E49A6"/>
    <w:rsid w:val="005E5108"/>
    <w:rsid w:val="005E590A"/>
    <w:rsid w:val="005E5E87"/>
    <w:rsid w:val="005E6960"/>
    <w:rsid w:val="005E6D97"/>
    <w:rsid w:val="005E6DE3"/>
    <w:rsid w:val="005E6E51"/>
    <w:rsid w:val="005E75AB"/>
    <w:rsid w:val="005E7D93"/>
    <w:rsid w:val="005E7EB8"/>
    <w:rsid w:val="005F110E"/>
    <w:rsid w:val="005F149B"/>
    <w:rsid w:val="005F1577"/>
    <w:rsid w:val="005F184F"/>
    <w:rsid w:val="005F18D6"/>
    <w:rsid w:val="005F2BA8"/>
    <w:rsid w:val="005F3582"/>
    <w:rsid w:val="005F3FFE"/>
    <w:rsid w:val="005F40BA"/>
    <w:rsid w:val="005F4434"/>
    <w:rsid w:val="005F50DF"/>
    <w:rsid w:val="005F5324"/>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D6B"/>
    <w:rsid w:val="00612DE6"/>
    <w:rsid w:val="00612FC6"/>
    <w:rsid w:val="006130C0"/>
    <w:rsid w:val="00613A81"/>
    <w:rsid w:val="00613C76"/>
    <w:rsid w:val="0061454D"/>
    <w:rsid w:val="00614C2C"/>
    <w:rsid w:val="00614E10"/>
    <w:rsid w:val="00615EF4"/>
    <w:rsid w:val="00616785"/>
    <w:rsid w:val="00616FF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162"/>
    <w:rsid w:val="00627A9E"/>
    <w:rsid w:val="00630852"/>
    <w:rsid w:val="00631D5D"/>
    <w:rsid w:val="00631FEE"/>
    <w:rsid w:val="00633A95"/>
    <w:rsid w:val="00634719"/>
    <w:rsid w:val="006348F3"/>
    <w:rsid w:val="00635923"/>
    <w:rsid w:val="00635B87"/>
    <w:rsid w:val="006362C6"/>
    <w:rsid w:val="006367B8"/>
    <w:rsid w:val="00636B09"/>
    <w:rsid w:val="00637236"/>
    <w:rsid w:val="00637A81"/>
    <w:rsid w:val="00640B51"/>
    <w:rsid w:val="00640C34"/>
    <w:rsid w:val="00640E84"/>
    <w:rsid w:val="0064106B"/>
    <w:rsid w:val="0064134E"/>
    <w:rsid w:val="00641DB9"/>
    <w:rsid w:val="00642493"/>
    <w:rsid w:val="00642985"/>
    <w:rsid w:val="00643078"/>
    <w:rsid w:val="00643641"/>
    <w:rsid w:val="006438C4"/>
    <w:rsid w:val="00643A9E"/>
    <w:rsid w:val="00643FB4"/>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45A"/>
    <w:rsid w:val="006560FD"/>
    <w:rsid w:val="00656DA1"/>
    <w:rsid w:val="006571E4"/>
    <w:rsid w:val="0065760C"/>
    <w:rsid w:val="0066037C"/>
    <w:rsid w:val="00661123"/>
    <w:rsid w:val="00661153"/>
    <w:rsid w:val="006627B9"/>
    <w:rsid w:val="00662A6B"/>
    <w:rsid w:val="00663111"/>
    <w:rsid w:val="006631F8"/>
    <w:rsid w:val="00664A6C"/>
    <w:rsid w:val="00664DAC"/>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90"/>
    <w:rsid w:val="0068355B"/>
    <w:rsid w:val="006837CF"/>
    <w:rsid w:val="00683D97"/>
    <w:rsid w:val="00684C3A"/>
    <w:rsid w:val="00684FCA"/>
    <w:rsid w:val="0068524B"/>
    <w:rsid w:val="0068582B"/>
    <w:rsid w:val="00685E4A"/>
    <w:rsid w:val="00686B5C"/>
    <w:rsid w:val="00686F01"/>
    <w:rsid w:val="00690276"/>
    <w:rsid w:val="0069030C"/>
    <w:rsid w:val="00690B8A"/>
    <w:rsid w:val="006915C8"/>
    <w:rsid w:val="00691BBF"/>
    <w:rsid w:val="0069268A"/>
    <w:rsid w:val="00692850"/>
    <w:rsid w:val="00692DC9"/>
    <w:rsid w:val="0069347D"/>
    <w:rsid w:val="00693B5B"/>
    <w:rsid w:val="00693D0C"/>
    <w:rsid w:val="0069418C"/>
    <w:rsid w:val="00694A7A"/>
    <w:rsid w:val="00694FE9"/>
    <w:rsid w:val="00695271"/>
    <w:rsid w:val="00695D55"/>
    <w:rsid w:val="00696997"/>
    <w:rsid w:val="00697B6F"/>
    <w:rsid w:val="006A02D6"/>
    <w:rsid w:val="006A0DB1"/>
    <w:rsid w:val="006A1AFD"/>
    <w:rsid w:val="006A1E82"/>
    <w:rsid w:val="006A1FE8"/>
    <w:rsid w:val="006A22B6"/>
    <w:rsid w:val="006A2854"/>
    <w:rsid w:val="006A3AE6"/>
    <w:rsid w:val="006A4295"/>
    <w:rsid w:val="006A4C25"/>
    <w:rsid w:val="006A4EB7"/>
    <w:rsid w:val="006A4F51"/>
    <w:rsid w:val="006A60ED"/>
    <w:rsid w:val="006A6375"/>
    <w:rsid w:val="006A65A5"/>
    <w:rsid w:val="006A6D0E"/>
    <w:rsid w:val="006A6DCF"/>
    <w:rsid w:val="006A6EEF"/>
    <w:rsid w:val="006A7001"/>
    <w:rsid w:val="006A71CE"/>
    <w:rsid w:val="006A758C"/>
    <w:rsid w:val="006A7805"/>
    <w:rsid w:val="006A7BB0"/>
    <w:rsid w:val="006A7E95"/>
    <w:rsid w:val="006B191A"/>
    <w:rsid w:val="006B1D18"/>
    <w:rsid w:val="006B2608"/>
    <w:rsid w:val="006B2718"/>
    <w:rsid w:val="006B30EF"/>
    <w:rsid w:val="006B3119"/>
    <w:rsid w:val="006B3126"/>
    <w:rsid w:val="006B3C1A"/>
    <w:rsid w:val="006B4493"/>
    <w:rsid w:val="006B56DF"/>
    <w:rsid w:val="006B6297"/>
    <w:rsid w:val="006B6C95"/>
    <w:rsid w:val="006B7995"/>
    <w:rsid w:val="006C07A9"/>
    <w:rsid w:val="006C0D0F"/>
    <w:rsid w:val="006C0F46"/>
    <w:rsid w:val="006C1EEC"/>
    <w:rsid w:val="006C319D"/>
    <w:rsid w:val="006C352C"/>
    <w:rsid w:val="006C3732"/>
    <w:rsid w:val="006C3FEA"/>
    <w:rsid w:val="006C4D9B"/>
    <w:rsid w:val="006C4FEE"/>
    <w:rsid w:val="006C65E9"/>
    <w:rsid w:val="006C6666"/>
    <w:rsid w:val="006C69E7"/>
    <w:rsid w:val="006D10AE"/>
    <w:rsid w:val="006D1BBB"/>
    <w:rsid w:val="006D1E54"/>
    <w:rsid w:val="006D24DC"/>
    <w:rsid w:val="006D25C3"/>
    <w:rsid w:val="006D25E8"/>
    <w:rsid w:val="006D29F2"/>
    <w:rsid w:val="006D2A2D"/>
    <w:rsid w:val="006D3674"/>
    <w:rsid w:val="006D3BBB"/>
    <w:rsid w:val="006D4290"/>
    <w:rsid w:val="006D4B4A"/>
    <w:rsid w:val="006D4BE9"/>
    <w:rsid w:val="006D4CD6"/>
    <w:rsid w:val="006D5276"/>
    <w:rsid w:val="006D5E20"/>
    <w:rsid w:val="006D69D6"/>
    <w:rsid w:val="006D6F85"/>
    <w:rsid w:val="006D71F9"/>
    <w:rsid w:val="006D7CA2"/>
    <w:rsid w:val="006E025F"/>
    <w:rsid w:val="006E065B"/>
    <w:rsid w:val="006E09D3"/>
    <w:rsid w:val="006E1692"/>
    <w:rsid w:val="006E1E6C"/>
    <w:rsid w:val="006E20CB"/>
    <w:rsid w:val="006E39DC"/>
    <w:rsid w:val="006E533A"/>
    <w:rsid w:val="006E5505"/>
    <w:rsid w:val="006E56CB"/>
    <w:rsid w:val="006E576A"/>
    <w:rsid w:val="006E69BD"/>
    <w:rsid w:val="006E6BBE"/>
    <w:rsid w:val="006E71BB"/>
    <w:rsid w:val="006E71DC"/>
    <w:rsid w:val="006E7EC1"/>
    <w:rsid w:val="006F016E"/>
    <w:rsid w:val="006F0665"/>
    <w:rsid w:val="006F0815"/>
    <w:rsid w:val="006F0968"/>
    <w:rsid w:val="006F0D0A"/>
    <w:rsid w:val="006F136D"/>
    <w:rsid w:val="006F1754"/>
    <w:rsid w:val="006F1774"/>
    <w:rsid w:val="006F1FB6"/>
    <w:rsid w:val="006F226D"/>
    <w:rsid w:val="006F240A"/>
    <w:rsid w:val="006F2A5B"/>
    <w:rsid w:val="006F2D27"/>
    <w:rsid w:val="006F2FB3"/>
    <w:rsid w:val="006F3B4E"/>
    <w:rsid w:val="006F3CE3"/>
    <w:rsid w:val="006F3D23"/>
    <w:rsid w:val="006F4E35"/>
    <w:rsid w:val="006F531B"/>
    <w:rsid w:val="006F56B6"/>
    <w:rsid w:val="006F5AE6"/>
    <w:rsid w:val="006F5C09"/>
    <w:rsid w:val="006F62BC"/>
    <w:rsid w:val="006F670F"/>
    <w:rsid w:val="006F70BD"/>
    <w:rsid w:val="0070023A"/>
    <w:rsid w:val="007008AF"/>
    <w:rsid w:val="00700EE1"/>
    <w:rsid w:val="00702493"/>
    <w:rsid w:val="007034D1"/>
    <w:rsid w:val="00704310"/>
    <w:rsid w:val="007051D8"/>
    <w:rsid w:val="00705B01"/>
    <w:rsid w:val="00706A77"/>
    <w:rsid w:val="007078A9"/>
    <w:rsid w:val="0071035D"/>
    <w:rsid w:val="007109A0"/>
    <w:rsid w:val="00710D88"/>
    <w:rsid w:val="00711670"/>
    <w:rsid w:val="007122F9"/>
    <w:rsid w:val="0071382F"/>
    <w:rsid w:val="00714652"/>
    <w:rsid w:val="00714A8A"/>
    <w:rsid w:val="00714B44"/>
    <w:rsid w:val="00714F3B"/>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53B2"/>
    <w:rsid w:val="007253FF"/>
    <w:rsid w:val="00727370"/>
    <w:rsid w:val="00727551"/>
    <w:rsid w:val="007319AD"/>
    <w:rsid w:val="007320A9"/>
    <w:rsid w:val="007326A9"/>
    <w:rsid w:val="0073277B"/>
    <w:rsid w:val="00732A29"/>
    <w:rsid w:val="00732E51"/>
    <w:rsid w:val="00733957"/>
    <w:rsid w:val="007339F8"/>
    <w:rsid w:val="0073435D"/>
    <w:rsid w:val="00734536"/>
    <w:rsid w:val="007345B7"/>
    <w:rsid w:val="00734A6F"/>
    <w:rsid w:val="00734BAD"/>
    <w:rsid w:val="00735D9E"/>
    <w:rsid w:val="00736707"/>
    <w:rsid w:val="007374D3"/>
    <w:rsid w:val="0073758A"/>
    <w:rsid w:val="00737FFD"/>
    <w:rsid w:val="00740561"/>
    <w:rsid w:val="00740F87"/>
    <w:rsid w:val="0074109C"/>
    <w:rsid w:val="00742335"/>
    <w:rsid w:val="00742445"/>
    <w:rsid w:val="00742842"/>
    <w:rsid w:val="0074492D"/>
    <w:rsid w:val="00744FD2"/>
    <w:rsid w:val="00745A2F"/>
    <w:rsid w:val="00745E38"/>
    <w:rsid w:val="00745E99"/>
    <w:rsid w:val="0074620D"/>
    <w:rsid w:val="00747215"/>
    <w:rsid w:val="00750E70"/>
    <w:rsid w:val="0075132B"/>
    <w:rsid w:val="00751808"/>
    <w:rsid w:val="007526AB"/>
    <w:rsid w:val="0075323B"/>
    <w:rsid w:val="00753376"/>
    <w:rsid w:val="00753909"/>
    <w:rsid w:val="007543B0"/>
    <w:rsid w:val="007548E3"/>
    <w:rsid w:val="00754A5A"/>
    <w:rsid w:val="007564F6"/>
    <w:rsid w:val="007565BF"/>
    <w:rsid w:val="007568A9"/>
    <w:rsid w:val="00756CB9"/>
    <w:rsid w:val="00756DEC"/>
    <w:rsid w:val="00761514"/>
    <w:rsid w:val="00761FBC"/>
    <w:rsid w:val="00761FE1"/>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830"/>
    <w:rsid w:val="00772177"/>
    <w:rsid w:val="0077265F"/>
    <w:rsid w:val="0077510D"/>
    <w:rsid w:val="0077576E"/>
    <w:rsid w:val="00775C65"/>
    <w:rsid w:val="00775FA9"/>
    <w:rsid w:val="0077639A"/>
    <w:rsid w:val="00776D55"/>
    <w:rsid w:val="007800AF"/>
    <w:rsid w:val="00780360"/>
    <w:rsid w:val="0078100C"/>
    <w:rsid w:val="0078157F"/>
    <w:rsid w:val="00781779"/>
    <w:rsid w:val="0078185E"/>
    <w:rsid w:val="007825D2"/>
    <w:rsid w:val="00782799"/>
    <w:rsid w:val="00783BF7"/>
    <w:rsid w:val="007846C0"/>
    <w:rsid w:val="007858FD"/>
    <w:rsid w:val="007863CB"/>
    <w:rsid w:val="00786F48"/>
    <w:rsid w:val="0078725D"/>
    <w:rsid w:val="0078772C"/>
    <w:rsid w:val="00787866"/>
    <w:rsid w:val="007878E4"/>
    <w:rsid w:val="007879E4"/>
    <w:rsid w:val="0079082B"/>
    <w:rsid w:val="0079090E"/>
    <w:rsid w:val="00790984"/>
    <w:rsid w:val="00791054"/>
    <w:rsid w:val="00792076"/>
    <w:rsid w:val="00792289"/>
    <w:rsid w:val="0079228D"/>
    <w:rsid w:val="00792628"/>
    <w:rsid w:val="0079267C"/>
    <w:rsid w:val="0079345F"/>
    <w:rsid w:val="00793CC0"/>
    <w:rsid w:val="00794177"/>
    <w:rsid w:val="007955F3"/>
    <w:rsid w:val="007958ED"/>
    <w:rsid w:val="007960DD"/>
    <w:rsid w:val="007963BD"/>
    <w:rsid w:val="007966E6"/>
    <w:rsid w:val="00797A64"/>
    <w:rsid w:val="007A0505"/>
    <w:rsid w:val="007A0A90"/>
    <w:rsid w:val="007A1190"/>
    <w:rsid w:val="007A3BC8"/>
    <w:rsid w:val="007A3DCA"/>
    <w:rsid w:val="007A4783"/>
    <w:rsid w:val="007A5191"/>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C1042"/>
    <w:rsid w:val="007C14B6"/>
    <w:rsid w:val="007C17D3"/>
    <w:rsid w:val="007C1B30"/>
    <w:rsid w:val="007C20B1"/>
    <w:rsid w:val="007C2DB5"/>
    <w:rsid w:val="007C2E2A"/>
    <w:rsid w:val="007C3003"/>
    <w:rsid w:val="007C385F"/>
    <w:rsid w:val="007C3F53"/>
    <w:rsid w:val="007C4DB0"/>
    <w:rsid w:val="007C5201"/>
    <w:rsid w:val="007C5923"/>
    <w:rsid w:val="007C5F20"/>
    <w:rsid w:val="007C64E9"/>
    <w:rsid w:val="007C65DE"/>
    <w:rsid w:val="007C6B60"/>
    <w:rsid w:val="007C6F85"/>
    <w:rsid w:val="007C703D"/>
    <w:rsid w:val="007C71DC"/>
    <w:rsid w:val="007C7B99"/>
    <w:rsid w:val="007D0F9A"/>
    <w:rsid w:val="007D16CC"/>
    <w:rsid w:val="007D2368"/>
    <w:rsid w:val="007D23B3"/>
    <w:rsid w:val="007D2E1E"/>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E11D8"/>
    <w:rsid w:val="007E1600"/>
    <w:rsid w:val="007E1E93"/>
    <w:rsid w:val="007E2F09"/>
    <w:rsid w:val="007E38C7"/>
    <w:rsid w:val="007E3A75"/>
    <w:rsid w:val="007E3F3E"/>
    <w:rsid w:val="007E4641"/>
    <w:rsid w:val="007E4778"/>
    <w:rsid w:val="007E5504"/>
    <w:rsid w:val="007E5D6C"/>
    <w:rsid w:val="007E6838"/>
    <w:rsid w:val="007E7FA7"/>
    <w:rsid w:val="007F02B9"/>
    <w:rsid w:val="007F078E"/>
    <w:rsid w:val="007F0CE1"/>
    <w:rsid w:val="007F1ABA"/>
    <w:rsid w:val="007F23DB"/>
    <w:rsid w:val="007F282F"/>
    <w:rsid w:val="007F28B0"/>
    <w:rsid w:val="007F2A03"/>
    <w:rsid w:val="007F3616"/>
    <w:rsid w:val="007F4847"/>
    <w:rsid w:val="007F4D92"/>
    <w:rsid w:val="007F4ED7"/>
    <w:rsid w:val="007F5371"/>
    <w:rsid w:val="007F60F8"/>
    <w:rsid w:val="007F699F"/>
    <w:rsid w:val="007F6DE8"/>
    <w:rsid w:val="007F77B2"/>
    <w:rsid w:val="007F7883"/>
    <w:rsid w:val="007F7D0C"/>
    <w:rsid w:val="00800499"/>
    <w:rsid w:val="008014ED"/>
    <w:rsid w:val="00802570"/>
    <w:rsid w:val="008029DB"/>
    <w:rsid w:val="00802CA3"/>
    <w:rsid w:val="00805346"/>
    <w:rsid w:val="00806FFB"/>
    <w:rsid w:val="008072D7"/>
    <w:rsid w:val="00807647"/>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17C6C"/>
    <w:rsid w:val="00820209"/>
    <w:rsid w:val="008203C4"/>
    <w:rsid w:val="00820F35"/>
    <w:rsid w:val="00820FEC"/>
    <w:rsid w:val="008214D8"/>
    <w:rsid w:val="00821AE8"/>
    <w:rsid w:val="00822FF3"/>
    <w:rsid w:val="008231CF"/>
    <w:rsid w:val="0082393D"/>
    <w:rsid w:val="00823DE0"/>
    <w:rsid w:val="00824BFC"/>
    <w:rsid w:val="00824FAC"/>
    <w:rsid w:val="00826CA6"/>
    <w:rsid w:val="00827EEB"/>
    <w:rsid w:val="00830821"/>
    <w:rsid w:val="00830BC4"/>
    <w:rsid w:val="00830D92"/>
    <w:rsid w:val="008314F2"/>
    <w:rsid w:val="00831DF7"/>
    <w:rsid w:val="00831ED5"/>
    <w:rsid w:val="00832177"/>
    <w:rsid w:val="0083324D"/>
    <w:rsid w:val="00833AA0"/>
    <w:rsid w:val="00834929"/>
    <w:rsid w:val="00835595"/>
    <w:rsid w:val="0083585E"/>
    <w:rsid w:val="0083636A"/>
    <w:rsid w:val="00841733"/>
    <w:rsid w:val="00842484"/>
    <w:rsid w:val="0084272C"/>
    <w:rsid w:val="008433D2"/>
    <w:rsid w:val="00843447"/>
    <w:rsid w:val="00843C0B"/>
    <w:rsid w:val="008440F5"/>
    <w:rsid w:val="00844354"/>
    <w:rsid w:val="00844434"/>
    <w:rsid w:val="0084487B"/>
    <w:rsid w:val="00844BD4"/>
    <w:rsid w:val="00844D38"/>
    <w:rsid w:val="00844D85"/>
    <w:rsid w:val="0084563E"/>
    <w:rsid w:val="008460B0"/>
    <w:rsid w:val="0084660B"/>
    <w:rsid w:val="008466C5"/>
    <w:rsid w:val="00846C55"/>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36A"/>
    <w:rsid w:val="00862B94"/>
    <w:rsid w:val="00863F3B"/>
    <w:rsid w:val="00864A80"/>
    <w:rsid w:val="0086569A"/>
    <w:rsid w:val="00867A36"/>
    <w:rsid w:val="00867C26"/>
    <w:rsid w:val="00867C3F"/>
    <w:rsid w:val="00870002"/>
    <w:rsid w:val="008700CE"/>
    <w:rsid w:val="008702A8"/>
    <w:rsid w:val="0087035A"/>
    <w:rsid w:val="00870FD4"/>
    <w:rsid w:val="00871C1E"/>
    <w:rsid w:val="00871E05"/>
    <w:rsid w:val="00872172"/>
    <w:rsid w:val="00872345"/>
    <w:rsid w:val="00872B3E"/>
    <w:rsid w:val="00872C75"/>
    <w:rsid w:val="00873456"/>
    <w:rsid w:val="0087347D"/>
    <w:rsid w:val="00873CA1"/>
    <w:rsid w:val="0087524E"/>
    <w:rsid w:val="00876025"/>
    <w:rsid w:val="00877372"/>
    <w:rsid w:val="00877660"/>
    <w:rsid w:val="0087773A"/>
    <w:rsid w:val="00877B0B"/>
    <w:rsid w:val="00880121"/>
    <w:rsid w:val="0088185C"/>
    <w:rsid w:val="0088208B"/>
    <w:rsid w:val="0088214A"/>
    <w:rsid w:val="00882CF6"/>
    <w:rsid w:val="00882DAD"/>
    <w:rsid w:val="00882E12"/>
    <w:rsid w:val="0088313D"/>
    <w:rsid w:val="0088390A"/>
    <w:rsid w:val="008843F5"/>
    <w:rsid w:val="00884848"/>
    <w:rsid w:val="00884F32"/>
    <w:rsid w:val="00885263"/>
    <w:rsid w:val="0088625F"/>
    <w:rsid w:val="00886878"/>
    <w:rsid w:val="008868A8"/>
    <w:rsid w:val="008869B1"/>
    <w:rsid w:val="00886C15"/>
    <w:rsid w:val="00886EA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5396"/>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10E4"/>
    <w:rsid w:val="008B1596"/>
    <w:rsid w:val="008B16F0"/>
    <w:rsid w:val="008B31A6"/>
    <w:rsid w:val="008B3ACF"/>
    <w:rsid w:val="008B4062"/>
    <w:rsid w:val="008B56D7"/>
    <w:rsid w:val="008B5977"/>
    <w:rsid w:val="008B6206"/>
    <w:rsid w:val="008B63EC"/>
    <w:rsid w:val="008B7A43"/>
    <w:rsid w:val="008C09C4"/>
    <w:rsid w:val="008C0B7B"/>
    <w:rsid w:val="008C144D"/>
    <w:rsid w:val="008C1492"/>
    <w:rsid w:val="008C1598"/>
    <w:rsid w:val="008C1C76"/>
    <w:rsid w:val="008C1F44"/>
    <w:rsid w:val="008C20D9"/>
    <w:rsid w:val="008C2446"/>
    <w:rsid w:val="008C256E"/>
    <w:rsid w:val="008C2593"/>
    <w:rsid w:val="008C2875"/>
    <w:rsid w:val="008C2FCC"/>
    <w:rsid w:val="008C3A4A"/>
    <w:rsid w:val="008C4014"/>
    <w:rsid w:val="008C4392"/>
    <w:rsid w:val="008C476A"/>
    <w:rsid w:val="008C4857"/>
    <w:rsid w:val="008C5F0F"/>
    <w:rsid w:val="008C646F"/>
    <w:rsid w:val="008C6B6E"/>
    <w:rsid w:val="008C6C1C"/>
    <w:rsid w:val="008C73E8"/>
    <w:rsid w:val="008D0258"/>
    <w:rsid w:val="008D08DC"/>
    <w:rsid w:val="008D0EE3"/>
    <w:rsid w:val="008D12D7"/>
    <w:rsid w:val="008D2AC2"/>
    <w:rsid w:val="008D429B"/>
    <w:rsid w:val="008D45B1"/>
    <w:rsid w:val="008D4689"/>
    <w:rsid w:val="008D48FF"/>
    <w:rsid w:val="008D50EA"/>
    <w:rsid w:val="008D53A4"/>
    <w:rsid w:val="008D61A7"/>
    <w:rsid w:val="008D64F1"/>
    <w:rsid w:val="008E0007"/>
    <w:rsid w:val="008E0179"/>
    <w:rsid w:val="008E0374"/>
    <w:rsid w:val="008E1426"/>
    <w:rsid w:val="008E145C"/>
    <w:rsid w:val="008E16B0"/>
    <w:rsid w:val="008E1AA7"/>
    <w:rsid w:val="008E1D5A"/>
    <w:rsid w:val="008E2D53"/>
    <w:rsid w:val="008E3E4B"/>
    <w:rsid w:val="008E43A6"/>
    <w:rsid w:val="008E45E7"/>
    <w:rsid w:val="008E4923"/>
    <w:rsid w:val="008E4EF9"/>
    <w:rsid w:val="008E557B"/>
    <w:rsid w:val="008E5A0C"/>
    <w:rsid w:val="008E5C7E"/>
    <w:rsid w:val="008E6286"/>
    <w:rsid w:val="008E62F5"/>
    <w:rsid w:val="008E6DFC"/>
    <w:rsid w:val="008E7710"/>
    <w:rsid w:val="008F0FD3"/>
    <w:rsid w:val="008F13D6"/>
    <w:rsid w:val="008F1E9C"/>
    <w:rsid w:val="008F2795"/>
    <w:rsid w:val="008F2F6F"/>
    <w:rsid w:val="008F356B"/>
    <w:rsid w:val="008F3AB7"/>
    <w:rsid w:val="008F3D6C"/>
    <w:rsid w:val="008F485A"/>
    <w:rsid w:val="008F58B6"/>
    <w:rsid w:val="008F6978"/>
    <w:rsid w:val="008F7D12"/>
    <w:rsid w:val="008F7DB1"/>
    <w:rsid w:val="00900D4D"/>
    <w:rsid w:val="009010DF"/>
    <w:rsid w:val="009012FC"/>
    <w:rsid w:val="00901D76"/>
    <w:rsid w:val="00902D59"/>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1D3A"/>
    <w:rsid w:val="009122F8"/>
    <w:rsid w:val="009124CB"/>
    <w:rsid w:val="00912568"/>
    <w:rsid w:val="00912915"/>
    <w:rsid w:val="00913870"/>
    <w:rsid w:val="00913A0B"/>
    <w:rsid w:val="009142F6"/>
    <w:rsid w:val="009151EE"/>
    <w:rsid w:val="009154B5"/>
    <w:rsid w:val="00915520"/>
    <w:rsid w:val="009155DC"/>
    <w:rsid w:val="009155F7"/>
    <w:rsid w:val="00915EA2"/>
    <w:rsid w:val="00915F3D"/>
    <w:rsid w:val="0091784D"/>
    <w:rsid w:val="00917AA0"/>
    <w:rsid w:val="0092075A"/>
    <w:rsid w:val="00920AE6"/>
    <w:rsid w:val="00920B55"/>
    <w:rsid w:val="00921131"/>
    <w:rsid w:val="009213FB"/>
    <w:rsid w:val="00922B82"/>
    <w:rsid w:val="0092363C"/>
    <w:rsid w:val="009238F7"/>
    <w:rsid w:val="00923C63"/>
    <w:rsid w:val="00923E1F"/>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1854"/>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3263"/>
    <w:rsid w:val="0094344C"/>
    <w:rsid w:val="00945827"/>
    <w:rsid w:val="00945B1A"/>
    <w:rsid w:val="00945F98"/>
    <w:rsid w:val="00946A2C"/>
    <w:rsid w:val="00946F1E"/>
    <w:rsid w:val="009479D1"/>
    <w:rsid w:val="00947BFD"/>
    <w:rsid w:val="009507C1"/>
    <w:rsid w:val="0095154F"/>
    <w:rsid w:val="00951563"/>
    <w:rsid w:val="00951CD9"/>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F8F"/>
    <w:rsid w:val="00964013"/>
    <w:rsid w:val="00964263"/>
    <w:rsid w:val="0096487B"/>
    <w:rsid w:val="00965462"/>
    <w:rsid w:val="00965885"/>
    <w:rsid w:val="00965CD1"/>
    <w:rsid w:val="00966934"/>
    <w:rsid w:val="00970460"/>
    <w:rsid w:val="00970874"/>
    <w:rsid w:val="00971B48"/>
    <w:rsid w:val="00972583"/>
    <w:rsid w:val="00972963"/>
    <w:rsid w:val="00972ECE"/>
    <w:rsid w:val="0097326D"/>
    <w:rsid w:val="009734B3"/>
    <w:rsid w:val="00973500"/>
    <w:rsid w:val="009736FE"/>
    <w:rsid w:val="00973AC4"/>
    <w:rsid w:val="009757D1"/>
    <w:rsid w:val="00975EB9"/>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ADD"/>
    <w:rsid w:val="009911B1"/>
    <w:rsid w:val="00991698"/>
    <w:rsid w:val="009917DA"/>
    <w:rsid w:val="009917E7"/>
    <w:rsid w:val="00991AE2"/>
    <w:rsid w:val="00991C17"/>
    <w:rsid w:val="00991C34"/>
    <w:rsid w:val="0099274D"/>
    <w:rsid w:val="00992D1E"/>
    <w:rsid w:val="00992D66"/>
    <w:rsid w:val="00993E88"/>
    <w:rsid w:val="009946A1"/>
    <w:rsid w:val="009947D7"/>
    <w:rsid w:val="00994D1A"/>
    <w:rsid w:val="00995D8E"/>
    <w:rsid w:val="009965D6"/>
    <w:rsid w:val="00997EB2"/>
    <w:rsid w:val="009A036C"/>
    <w:rsid w:val="009A054C"/>
    <w:rsid w:val="009A06F5"/>
    <w:rsid w:val="009A0788"/>
    <w:rsid w:val="009A0E92"/>
    <w:rsid w:val="009A0FF3"/>
    <w:rsid w:val="009A12D9"/>
    <w:rsid w:val="009A17EC"/>
    <w:rsid w:val="009A25D3"/>
    <w:rsid w:val="009A3345"/>
    <w:rsid w:val="009A3D83"/>
    <w:rsid w:val="009A63AE"/>
    <w:rsid w:val="009A667A"/>
    <w:rsid w:val="009A6DB2"/>
    <w:rsid w:val="009A759F"/>
    <w:rsid w:val="009A79BB"/>
    <w:rsid w:val="009A7C0F"/>
    <w:rsid w:val="009B03DF"/>
    <w:rsid w:val="009B0675"/>
    <w:rsid w:val="009B069F"/>
    <w:rsid w:val="009B1E3A"/>
    <w:rsid w:val="009B1EAB"/>
    <w:rsid w:val="009B208B"/>
    <w:rsid w:val="009B2232"/>
    <w:rsid w:val="009B2A43"/>
    <w:rsid w:val="009B2D84"/>
    <w:rsid w:val="009B3E2E"/>
    <w:rsid w:val="009B3FBB"/>
    <w:rsid w:val="009B4B4A"/>
    <w:rsid w:val="009B636F"/>
    <w:rsid w:val="009B6AF0"/>
    <w:rsid w:val="009B6CE4"/>
    <w:rsid w:val="009C0579"/>
    <w:rsid w:val="009C09F3"/>
    <w:rsid w:val="009C0CD2"/>
    <w:rsid w:val="009C128C"/>
    <w:rsid w:val="009C1604"/>
    <w:rsid w:val="009C1E96"/>
    <w:rsid w:val="009C20A8"/>
    <w:rsid w:val="009C292D"/>
    <w:rsid w:val="009C2E0C"/>
    <w:rsid w:val="009C3903"/>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363D"/>
    <w:rsid w:val="009D38C0"/>
    <w:rsid w:val="009D41CC"/>
    <w:rsid w:val="009D4D46"/>
    <w:rsid w:val="009D575B"/>
    <w:rsid w:val="009D6193"/>
    <w:rsid w:val="009D6BC5"/>
    <w:rsid w:val="009D6DA4"/>
    <w:rsid w:val="009D7470"/>
    <w:rsid w:val="009D7861"/>
    <w:rsid w:val="009D7D33"/>
    <w:rsid w:val="009E01FC"/>
    <w:rsid w:val="009E0317"/>
    <w:rsid w:val="009E0419"/>
    <w:rsid w:val="009E0C8D"/>
    <w:rsid w:val="009E1999"/>
    <w:rsid w:val="009E237C"/>
    <w:rsid w:val="009E305C"/>
    <w:rsid w:val="009E324D"/>
    <w:rsid w:val="009E46BF"/>
    <w:rsid w:val="009E4DD4"/>
    <w:rsid w:val="009E4E3F"/>
    <w:rsid w:val="009E5B49"/>
    <w:rsid w:val="009E6224"/>
    <w:rsid w:val="009E64B8"/>
    <w:rsid w:val="009E698B"/>
    <w:rsid w:val="009E6D4A"/>
    <w:rsid w:val="009E7C2F"/>
    <w:rsid w:val="009F044B"/>
    <w:rsid w:val="009F0BB6"/>
    <w:rsid w:val="009F0BED"/>
    <w:rsid w:val="009F0F0A"/>
    <w:rsid w:val="009F0F77"/>
    <w:rsid w:val="009F0FBE"/>
    <w:rsid w:val="009F1547"/>
    <w:rsid w:val="009F169E"/>
    <w:rsid w:val="009F1A08"/>
    <w:rsid w:val="009F1A1B"/>
    <w:rsid w:val="009F1CB5"/>
    <w:rsid w:val="009F1E07"/>
    <w:rsid w:val="009F2542"/>
    <w:rsid w:val="009F3475"/>
    <w:rsid w:val="009F3836"/>
    <w:rsid w:val="009F47E8"/>
    <w:rsid w:val="009F4ABA"/>
    <w:rsid w:val="009F55FF"/>
    <w:rsid w:val="009F6FEF"/>
    <w:rsid w:val="009F71BE"/>
    <w:rsid w:val="009F7706"/>
    <w:rsid w:val="00A00317"/>
    <w:rsid w:val="00A00963"/>
    <w:rsid w:val="00A0167D"/>
    <w:rsid w:val="00A01D0B"/>
    <w:rsid w:val="00A02A9B"/>
    <w:rsid w:val="00A02D14"/>
    <w:rsid w:val="00A053F6"/>
    <w:rsid w:val="00A057DA"/>
    <w:rsid w:val="00A057FA"/>
    <w:rsid w:val="00A0598C"/>
    <w:rsid w:val="00A05C7D"/>
    <w:rsid w:val="00A066AE"/>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DF0"/>
    <w:rsid w:val="00A2058C"/>
    <w:rsid w:val="00A20C1A"/>
    <w:rsid w:val="00A20F78"/>
    <w:rsid w:val="00A218F1"/>
    <w:rsid w:val="00A21D1D"/>
    <w:rsid w:val="00A22250"/>
    <w:rsid w:val="00A2263C"/>
    <w:rsid w:val="00A24394"/>
    <w:rsid w:val="00A2448F"/>
    <w:rsid w:val="00A258FB"/>
    <w:rsid w:val="00A25BCD"/>
    <w:rsid w:val="00A26060"/>
    <w:rsid w:val="00A269C9"/>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F9C"/>
    <w:rsid w:val="00A375EF"/>
    <w:rsid w:val="00A377CD"/>
    <w:rsid w:val="00A37896"/>
    <w:rsid w:val="00A40643"/>
    <w:rsid w:val="00A40981"/>
    <w:rsid w:val="00A41757"/>
    <w:rsid w:val="00A423C4"/>
    <w:rsid w:val="00A4294B"/>
    <w:rsid w:val="00A43195"/>
    <w:rsid w:val="00A4342E"/>
    <w:rsid w:val="00A444BE"/>
    <w:rsid w:val="00A457C2"/>
    <w:rsid w:val="00A46D7F"/>
    <w:rsid w:val="00A475C5"/>
    <w:rsid w:val="00A47B6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F2F"/>
    <w:rsid w:val="00A60FC9"/>
    <w:rsid w:val="00A61833"/>
    <w:rsid w:val="00A61B06"/>
    <w:rsid w:val="00A61C8F"/>
    <w:rsid w:val="00A61FF9"/>
    <w:rsid w:val="00A62113"/>
    <w:rsid w:val="00A62BD7"/>
    <w:rsid w:val="00A630BE"/>
    <w:rsid w:val="00A63230"/>
    <w:rsid w:val="00A63379"/>
    <w:rsid w:val="00A633EB"/>
    <w:rsid w:val="00A63774"/>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227"/>
    <w:rsid w:val="00A72CE7"/>
    <w:rsid w:val="00A738C1"/>
    <w:rsid w:val="00A74256"/>
    <w:rsid w:val="00A74751"/>
    <w:rsid w:val="00A74901"/>
    <w:rsid w:val="00A75031"/>
    <w:rsid w:val="00A75580"/>
    <w:rsid w:val="00A75733"/>
    <w:rsid w:val="00A76308"/>
    <w:rsid w:val="00A776C7"/>
    <w:rsid w:val="00A77717"/>
    <w:rsid w:val="00A7781A"/>
    <w:rsid w:val="00A77AC1"/>
    <w:rsid w:val="00A77C08"/>
    <w:rsid w:val="00A80ACB"/>
    <w:rsid w:val="00A81492"/>
    <w:rsid w:val="00A81527"/>
    <w:rsid w:val="00A815B9"/>
    <w:rsid w:val="00A82058"/>
    <w:rsid w:val="00A84AE7"/>
    <w:rsid w:val="00A84DAF"/>
    <w:rsid w:val="00A84E8D"/>
    <w:rsid w:val="00A851E6"/>
    <w:rsid w:val="00A86576"/>
    <w:rsid w:val="00A8668D"/>
    <w:rsid w:val="00A8672E"/>
    <w:rsid w:val="00A869B0"/>
    <w:rsid w:val="00A869B8"/>
    <w:rsid w:val="00A8734C"/>
    <w:rsid w:val="00A90420"/>
    <w:rsid w:val="00A91051"/>
    <w:rsid w:val="00A910CB"/>
    <w:rsid w:val="00A91BF0"/>
    <w:rsid w:val="00A91DC1"/>
    <w:rsid w:val="00A9289F"/>
    <w:rsid w:val="00A92908"/>
    <w:rsid w:val="00A929F4"/>
    <w:rsid w:val="00A929FD"/>
    <w:rsid w:val="00A92C1D"/>
    <w:rsid w:val="00A93307"/>
    <w:rsid w:val="00A93633"/>
    <w:rsid w:val="00A9443C"/>
    <w:rsid w:val="00A9546A"/>
    <w:rsid w:val="00A963A5"/>
    <w:rsid w:val="00A96A31"/>
    <w:rsid w:val="00A97082"/>
    <w:rsid w:val="00A97301"/>
    <w:rsid w:val="00A9774D"/>
    <w:rsid w:val="00AA0965"/>
    <w:rsid w:val="00AA0C77"/>
    <w:rsid w:val="00AA1D27"/>
    <w:rsid w:val="00AA204C"/>
    <w:rsid w:val="00AA2D57"/>
    <w:rsid w:val="00AA3000"/>
    <w:rsid w:val="00AA3941"/>
    <w:rsid w:val="00AA3C70"/>
    <w:rsid w:val="00AA40F7"/>
    <w:rsid w:val="00AA43EB"/>
    <w:rsid w:val="00AA4482"/>
    <w:rsid w:val="00AA538E"/>
    <w:rsid w:val="00AA56D0"/>
    <w:rsid w:val="00AA588E"/>
    <w:rsid w:val="00AA610F"/>
    <w:rsid w:val="00AA6223"/>
    <w:rsid w:val="00AB008E"/>
    <w:rsid w:val="00AB01BE"/>
    <w:rsid w:val="00AB056E"/>
    <w:rsid w:val="00AB09DB"/>
    <w:rsid w:val="00AB0C9F"/>
    <w:rsid w:val="00AB0F63"/>
    <w:rsid w:val="00AB0F65"/>
    <w:rsid w:val="00AB143A"/>
    <w:rsid w:val="00AB155C"/>
    <w:rsid w:val="00AB1693"/>
    <w:rsid w:val="00AB2C82"/>
    <w:rsid w:val="00AB315C"/>
    <w:rsid w:val="00AB3E3E"/>
    <w:rsid w:val="00AB4745"/>
    <w:rsid w:val="00AB47A8"/>
    <w:rsid w:val="00AB54D2"/>
    <w:rsid w:val="00AB5BCE"/>
    <w:rsid w:val="00AB632A"/>
    <w:rsid w:val="00AB67E1"/>
    <w:rsid w:val="00AB68F9"/>
    <w:rsid w:val="00AB717A"/>
    <w:rsid w:val="00AB71C6"/>
    <w:rsid w:val="00AB7C18"/>
    <w:rsid w:val="00AB7E96"/>
    <w:rsid w:val="00AC003B"/>
    <w:rsid w:val="00AC003C"/>
    <w:rsid w:val="00AC0103"/>
    <w:rsid w:val="00AC0A8E"/>
    <w:rsid w:val="00AC1404"/>
    <w:rsid w:val="00AC14BD"/>
    <w:rsid w:val="00AC31EA"/>
    <w:rsid w:val="00AC32B7"/>
    <w:rsid w:val="00AC38BD"/>
    <w:rsid w:val="00AC4881"/>
    <w:rsid w:val="00AC52F0"/>
    <w:rsid w:val="00AC54A8"/>
    <w:rsid w:val="00AC5BF4"/>
    <w:rsid w:val="00AC5F91"/>
    <w:rsid w:val="00AC7363"/>
    <w:rsid w:val="00AD039F"/>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6010"/>
    <w:rsid w:val="00AD6DFC"/>
    <w:rsid w:val="00AD7746"/>
    <w:rsid w:val="00AE03CC"/>
    <w:rsid w:val="00AE0551"/>
    <w:rsid w:val="00AE05F8"/>
    <w:rsid w:val="00AE218D"/>
    <w:rsid w:val="00AE2212"/>
    <w:rsid w:val="00AE319E"/>
    <w:rsid w:val="00AE339E"/>
    <w:rsid w:val="00AE33FF"/>
    <w:rsid w:val="00AE38D4"/>
    <w:rsid w:val="00AE499D"/>
    <w:rsid w:val="00AE4B14"/>
    <w:rsid w:val="00AE4E99"/>
    <w:rsid w:val="00AE4FF8"/>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DB4"/>
    <w:rsid w:val="00B009CC"/>
    <w:rsid w:val="00B016BB"/>
    <w:rsid w:val="00B01A94"/>
    <w:rsid w:val="00B01CEC"/>
    <w:rsid w:val="00B02655"/>
    <w:rsid w:val="00B0339B"/>
    <w:rsid w:val="00B05094"/>
    <w:rsid w:val="00B05102"/>
    <w:rsid w:val="00B058C6"/>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A9B"/>
    <w:rsid w:val="00B14BD1"/>
    <w:rsid w:val="00B14BDB"/>
    <w:rsid w:val="00B1527F"/>
    <w:rsid w:val="00B15884"/>
    <w:rsid w:val="00B15DCD"/>
    <w:rsid w:val="00B165A0"/>
    <w:rsid w:val="00B16A34"/>
    <w:rsid w:val="00B17121"/>
    <w:rsid w:val="00B17635"/>
    <w:rsid w:val="00B2042B"/>
    <w:rsid w:val="00B2083E"/>
    <w:rsid w:val="00B20C58"/>
    <w:rsid w:val="00B213F2"/>
    <w:rsid w:val="00B217D6"/>
    <w:rsid w:val="00B21CB5"/>
    <w:rsid w:val="00B23933"/>
    <w:rsid w:val="00B24787"/>
    <w:rsid w:val="00B2489D"/>
    <w:rsid w:val="00B24FAF"/>
    <w:rsid w:val="00B24FB0"/>
    <w:rsid w:val="00B25453"/>
    <w:rsid w:val="00B25E56"/>
    <w:rsid w:val="00B25ED6"/>
    <w:rsid w:val="00B26968"/>
    <w:rsid w:val="00B274F7"/>
    <w:rsid w:val="00B27DA7"/>
    <w:rsid w:val="00B27E1D"/>
    <w:rsid w:val="00B3057E"/>
    <w:rsid w:val="00B30730"/>
    <w:rsid w:val="00B31B9C"/>
    <w:rsid w:val="00B31CD6"/>
    <w:rsid w:val="00B33618"/>
    <w:rsid w:val="00B33653"/>
    <w:rsid w:val="00B34205"/>
    <w:rsid w:val="00B34753"/>
    <w:rsid w:val="00B347C2"/>
    <w:rsid w:val="00B34D6C"/>
    <w:rsid w:val="00B35559"/>
    <w:rsid w:val="00B3559C"/>
    <w:rsid w:val="00B36A96"/>
    <w:rsid w:val="00B36BF8"/>
    <w:rsid w:val="00B3725B"/>
    <w:rsid w:val="00B37432"/>
    <w:rsid w:val="00B40417"/>
    <w:rsid w:val="00B40E9F"/>
    <w:rsid w:val="00B4118A"/>
    <w:rsid w:val="00B4145D"/>
    <w:rsid w:val="00B416C6"/>
    <w:rsid w:val="00B42C50"/>
    <w:rsid w:val="00B44FDB"/>
    <w:rsid w:val="00B45080"/>
    <w:rsid w:val="00B466DA"/>
    <w:rsid w:val="00B46905"/>
    <w:rsid w:val="00B4696B"/>
    <w:rsid w:val="00B46A92"/>
    <w:rsid w:val="00B47113"/>
    <w:rsid w:val="00B47CC6"/>
    <w:rsid w:val="00B505B6"/>
    <w:rsid w:val="00B51514"/>
    <w:rsid w:val="00B5200E"/>
    <w:rsid w:val="00B530B3"/>
    <w:rsid w:val="00B537FD"/>
    <w:rsid w:val="00B5384F"/>
    <w:rsid w:val="00B53CCF"/>
    <w:rsid w:val="00B54421"/>
    <w:rsid w:val="00B549FB"/>
    <w:rsid w:val="00B552E3"/>
    <w:rsid w:val="00B5544F"/>
    <w:rsid w:val="00B55787"/>
    <w:rsid w:val="00B55C9A"/>
    <w:rsid w:val="00B55CFB"/>
    <w:rsid w:val="00B55E5D"/>
    <w:rsid w:val="00B56826"/>
    <w:rsid w:val="00B56FF7"/>
    <w:rsid w:val="00B577A8"/>
    <w:rsid w:val="00B577EA"/>
    <w:rsid w:val="00B577FF"/>
    <w:rsid w:val="00B606DC"/>
    <w:rsid w:val="00B6099B"/>
    <w:rsid w:val="00B60A36"/>
    <w:rsid w:val="00B60A8B"/>
    <w:rsid w:val="00B61155"/>
    <w:rsid w:val="00B6285D"/>
    <w:rsid w:val="00B63371"/>
    <w:rsid w:val="00B63EB9"/>
    <w:rsid w:val="00B64407"/>
    <w:rsid w:val="00B65409"/>
    <w:rsid w:val="00B654EB"/>
    <w:rsid w:val="00B65540"/>
    <w:rsid w:val="00B66867"/>
    <w:rsid w:val="00B66994"/>
    <w:rsid w:val="00B66EF5"/>
    <w:rsid w:val="00B6715A"/>
    <w:rsid w:val="00B67A14"/>
    <w:rsid w:val="00B67BFA"/>
    <w:rsid w:val="00B67D62"/>
    <w:rsid w:val="00B703F6"/>
    <w:rsid w:val="00B70757"/>
    <w:rsid w:val="00B7079D"/>
    <w:rsid w:val="00B707FE"/>
    <w:rsid w:val="00B710D8"/>
    <w:rsid w:val="00B71A1E"/>
    <w:rsid w:val="00B71AFB"/>
    <w:rsid w:val="00B71F3A"/>
    <w:rsid w:val="00B73C97"/>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B4E"/>
    <w:rsid w:val="00B865DB"/>
    <w:rsid w:val="00B867F4"/>
    <w:rsid w:val="00B868E2"/>
    <w:rsid w:val="00B87B6D"/>
    <w:rsid w:val="00B87E7C"/>
    <w:rsid w:val="00B908A3"/>
    <w:rsid w:val="00B90B39"/>
    <w:rsid w:val="00B90DEF"/>
    <w:rsid w:val="00B90DF3"/>
    <w:rsid w:val="00B9144F"/>
    <w:rsid w:val="00B91478"/>
    <w:rsid w:val="00B93FF5"/>
    <w:rsid w:val="00B94552"/>
    <w:rsid w:val="00B94786"/>
    <w:rsid w:val="00B95189"/>
    <w:rsid w:val="00B9551C"/>
    <w:rsid w:val="00B957A5"/>
    <w:rsid w:val="00B95A7E"/>
    <w:rsid w:val="00B9607E"/>
    <w:rsid w:val="00B97DE2"/>
    <w:rsid w:val="00BA0D64"/>
    <w:rsid w:val="00BA1F69"/>
    <w:rsid w:val="00BA202C"/>
    <w:rsid w:val="00BA20B1"/>
    <w:rsid w:val="00BA2B9C"/>
    <w:rsid w:val="00BA3351"/>
    <w:rsid w:val="00BA44ED"/>
    <w:rsid w:val="00BA5B53"/>
    <w:rsid w:val="00BA6349"/>
    <w:rsid w:val="00BA63B1"/>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53F9"/>
    <w:rsid w:val="00BB5743"/>
    <w:rsid w:val="00BB5E6F"/>
    <w:rsid w:val="00BB6D2B"/>
    <w:rsid w:val="00BB716E"/>
    <w:rsid w:val="00BB7613"/>
    <w:rsid w:val="00BB79BD"/>
    <w:rsid w:val="00BC0EA7"/>
    <w:rsid w:val="00BC10E6"/>
    <w:rsid w:val="00BC1220"/>
    <w:rsid w:val="00BC1250"/>
    <w:rsid w:val="00BC3211"/>
    <w:rsid w:val="00BC3516"/>
    <w:rsid w:val="00BC55A3"/>
    <w:rsid w:val="00BC666B"/>
    <w:rsid w:val="00BC6DC2"/>
    <w:rsid w:val="00BC7208"/>
    <w:rsid w:val="00BD0B48"/>
    <w:rsid w:val="00BD0C97"/>
    <w:rsid w:val="00BD1425"/>
    <w:rsid w:val="00BD1643"/>
    <w:rsid w:val="00BD1DF0"/>
    <w:rsid w:val="00BD1E24"/>
    <w:rsid w:val="00BD271D"/>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CBC"/>
    <w:rsid w:val="00BE1F49"/>
    <w:rsid w:val="00BE291C"/>
    <w:rsid w:val="00BE29DC"/>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C02DA5"/>
    <w:rsid w:val="00C0303B"/>
    <w:rsid w:val="00C03776"/>
    <w:rsid w:val="00C03E66"/>
    <w:rsid w:val="00C04138"/>
    <w:rsid w:val="00C04320"/>
    <w:rsid w:val="00C046A1"/>
    <w:rsid w:val="00C04B9F"/>
    <w:rsid w:val="00C051EF"/>
    <w:rsid w:val="00C0523C"/>
    <w:rsid w:val="00C074D9"/>
    <w:rsid w:val="00C0753E"/>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5667"/>
    <w:rsid w:val="00C15F73"/>
    <w:rsid w:val="00C2037B"/>
    <w:rsid w:val="00C20A4C"/>
    <w:rsid w:val="00C217CB"/>
    <w:rsid w:val="00C2205A"/>
    <w:rsid w:val="00C22935"/>
    <w:rsid w:val="00C22B0B"/>
    <w:rsid w:val="00C22FF7"/>
    <w:rsid w:val="00C23C7A"/>
    <w:rsid w:val="00C23DC9"/>
    <w:rsid w:val="00C23EDF"/>
    <w:rsid w:val="00C25009"/>
    <w:rsid w:val="00C25670"/>
    <w:rsid w:val="00C25F93"/>
    <w:rsid w:val="00C26B34"/>
    <w:rsid w:val="00C27A10"/>
    <w:rsid w:val="00C27A2F"/>
    <w:rsid w:val="00C27AC0"/>
    <w:rsid w:val="00C27F75"/>
    <w:rsid w:val="00C27F76"/>
    <w:rsid w:val="00C27F83"/>
    <w:rsid w:val="00C3055E"/>
    <w:rsid w:val="00C30655"/>
    <w:rsid w:val="00C30DA4"/>
    <w:rsid w:val="00C313CB"/>
    <w:rsid w:val="00C334EC"/>
    <w:rsid w:val="00C33D7F"/>
    <w:rsid w:val="00C33E25"/>
    <w:rsid w:val="00C341E4"/>
    <w:rsid w:val="00C34334"/>
    <w:rsid w:val="00C35F65"/>
    <w:rsid w:val="00C36513"/>
    <w:rsid w:val="00C36E65"/>
    <w:rsid w:val="00C3788C"/>
    <w:rsid w:val="00C41124"/>
    <w:rsid w:val="00C41688"/>
    <w:rsid w:val="00C41A87"/>
    <w:rsid w:val="00C427CE"/>
    <w:rsid w:val="00C4337B"/>
    <w:rsid w:val="00C43536"/>
    <w:rsid w:val="00C44046"/>
    <w:rsid w:val="00C44719"/>
    <w:rsid w:val="00C44A9B"/>
    <w:rsid w:val="00C44D76"/>
    <w:rsid w:val="00C4505B"/>
    <w:rsid w:val="00C4589D"/>
    <w:rsid w:val="00C45D83"/>
    <w:rsid w:val="00C4690E"/>
    <w:rsid w:val="00C46EDD"/>
    <w:rsid w:val="00C471ED"/>
    <w:rsid w:val="00C47438"/>
    <w:rsid w:val="00C47D00"/>
    <w:rsid w:val="00C47F43"/>
    <w:rsid w:val="00C50108"/>
    <w:rsid w:val="00C51610"/>
    <w:rsid w:val="00C51E37"/>
    <w:rsid w:val="00C51F6A"/>
    <w:rsid w:val="00C5211B"/>
    <w:rsid w:val="00C5248F"/>
    <w:rsid w:val="00C53422"/>
    <w:rsid w:val="00C54D1E"/>
    <w:rsid w:val="00C54DFD"/>
    <w:rsid w:val="00C55AC6"/>
    <w:rsid w:val="00C55B40"/>
    <w:rsid w:val="00C560BC"/>
    <w:rsid w:val="00C56FB5"/>
    <w:rsid w:val="00C57857"/>
    <w:rsid w:val="00C57AB0"/>
    <w:rsid w:val="00C57D74"/>
    <w:rsid w:val="00C60128"/>
    <w:rsid w:val="00C60ED4"/>
    <w:rsid w:val="00C61FDC"/>
    <w:rsid w:val="00C6247C"/>
    <w:rsid w:val="00C62593"/>
    <w:rsid w:val="00C62919"/>
    <w:rsid w:val="00C63309"/>
    <w:rsid w:val="00C63F77"/>
    <w:rsid w:val="00C64110"/>
    <w:rsid w:val="00C64200"/>
    <w:rsid w:val="00C64F8B"/>
    <w:rsid w:val="00C6572C"/>
    <w:rsid w:val="00C659E3"/>
    <w:rsid w:val="00C66F88"/>
    <w:rsid w:val="00C6700A"/>
    <w:rsid w:val="00C674CB"/>
    <w:rsid w:val="00C6799A"/>
    <w:rsid w:val="00C67AC4"/>
    <w:rsid w:val="00C708F7"/>
    <w:rsid w:val="00C70CFF"/>
    <w:rsid w:val="00C7191A"/>
    <w:rsid w:val="00C71954"/>
    <w:rsid w:val="00C71A6A"/>
    <w:rsid w:val="00C71F2A"/>
    <w:rsid w:val="00C724D8"/>
    <w:rsid w:val="00C74092"/>
    <w:rsid w:val="00C7417D"/>
    <w:rsid w:val="00C74286"/>
    <w:rsid w:val="00C74608"/>
    <w:rsid w:val="00C748BE"/>
    <w:rsid w:val="00C75655"/>
    <w:rsid w:val="00C75D4E"/>
    <w:rsid w:val="00C761FB"/>
    <w:rsid w:val="00C7672B"/>
    <w:rsid w:val="00C7691A"/>
    <w:rsid w:val="00C76AF3"/>
    <w:rsid w:val="00C76BE0"/>
    <w:rsid w:val="00C76E2F"/>
    <w:rsid w:val="00C77501"/>
    <w:rsid w:val="00C77A1F"/>
    <w:rsid w:val="00C80CA5"/>
    <w:rsid w:val="00C819B7"/>
    <w:rsid w:val="00C81C5B"/>
    <w:rsid w:val="00C81DE1"/>
    <w:rsid w:val="00C82414"/>
    <w:rsid w:val="00C8255A"/>
    <w:rsid w:val="00C82819"/>
    <w:rsid w:val="00C82D00"/>
    <w:rsid w:val="00C83083"/>
    <w:rsid w:val="00C837C3"/>
    <w:rsid w:val="00C84497"/>
    <w:rsid w:val="00C84768"/>
    <w:rsid w:val="00C854A6"/>
    <w:rsid w:val="00C85651"/>
    <w:rsid w:val="00C85F76"/>
    <w:rsid w:val="00C868F6"/>
    <w:rsid w:val="00C86953"/>
    <w:rsid w:val="00C86A40"/>
    <w:rsid w:val="00C86ACE"/>
    <w:rsid w:val="00C87F6C"/>
    <w:rsid w:val="00C90D91"/>
    <w:rsid w:val="00C9137C"/>
    <w:rsid w:val="00C914E0"/>
    <w:rsid w:val="00C91644"/>
    <w:rsid w:val="00C916E9"/>
    <w:rsid w:val="00C926EC"/>
    <w:rsid w:val="00C930D3"/>
    <w:rsid w:val="00C93556"/>
    <w:rsid w:val="00C9368B"/>
    <w:rsid w:val="00C95590"/>
    <w:rsid w:val="00C95698"/>
    <w:rsid w:val="00C9663B"/>
    <w:rsid w:val="00C96D64"/>
    <w:rsid w:val="00CA1356"/>
    <w:rsid w:val="00CA2144"/>
    <w:rsid w:val="00CA267F"/>
    <w:rsid w:val="00CA269E"/>
    <w:rsid w:val="00CA2807"/>
    <w:rsid w:val="00CA2953"/>
    <w:rsid w:val="00CA2A52"/>
    <w:rsid w:val="00CA2D50"/>
    <w:rsid w:val="00CA2E99"/>
    <w:rsid w:val="00CA348A"/>
    <w:rsid w:val="00CA34D2"/>
    <w:rsid w:val="00CA35C7"/>
    <w:rsid w:val="00CA3669"/>
    <w:rsid w:val="00CA43A5"/>
    <w:rsid w:val="00CA4EFA"/>
    <w:rsid w:val="00CA515E"/>
    <w:rsid w:val="00CA5AB3"/>
    <w:rsid w:val="00CA5FDE"/>
    <w:rsid w:val="00CA7C0B"/>
    <w:rsid w:val="00CA7FE7"/>
    <w:rsid w:val="00CB0C94"/>
    <w:rsid w:val="00CB1041"/>
    <w:rsid w:val="00CB15D2"/>
    <w:rsid w:val="00CB18EB"/>
    <w:rsid w:val="00CB18FC"/>
    <w:rsid w:val="00CB1DCF"/>
    <w:rsid w:val="00CB2039"/>
    <w:rsid w:val="00CB217B"/>
    <w:rsid w:val="00CB244C"/>
    <w:rsid w:val="00CB28AA"/>
    <w:rsid w:val="00CB45B6"/>
    <w:rsid w:val="00CB4616"/>
    <w:rsid w:val="00CB4F30"/>
    <w:rsid w:val="00CB529C"/>
    <w:rsid w:val="00CB56AB"/>
    <w:rsid w:val="00CB5C32"/>
    <w:rsid w:val="00CB5C5E"/>
    <w:rsid w:val="00CB65BF"/>
    <w:rsid w:val="00CB6B9A"/>
    <w:rsid w:val="00CB6E2B"/>
    <w:rsid w:val="00CB6FF7"/>
    <w:rsid w:val="00CB70C2"/>
    <w:rsid w:val="00CB7302"/>
    <w:rsid w:val="00CB7371"/>
    <w:rsid w:val="00CB776F"/>
    <w:rsid w:val="00CB792D"/>
    <w:rsid w:val="00CB7B64"/>
    <w:rsid w:val="00CC1D86"/>
    <w:rsid w:val="00CC1E9F"/>
    <w:rsid w:val="00CC21F5"/>
    <w:rsid w:val="00CC28CE"/>
    <w:rsid w:val="00CC4551"/>
    <w:rsid w:val="00CC46A4"/>
    <w:rsid w:val="00CC5684"/>
    <w:rsid w:val="00CC5896"/>
    <w:rsid w:val="00CC5ADD"/>
    <w:rsid w:val="00CC5AFC"/>
    <w:rsid w:val="00CC5C86"/>
    <w:rsid w:val="00CC6417"/>
    <w:rsid w:val="00CC6F89"/>
    <w:rsid w:val="00CD045F"/>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3810"/>
    <w:rsid w:val="00CE38A0"/>
    <w:rsid w:val="00CE3A1B"/>
    <w:rsid w:val="00CE4F4D"/>
    <w:rsid w:val="00CE52B4"/>
    <w:rsid w:val="00CE59BB"/>
    <w:rsid w:val="00CE5DCD"/>
    <w:rsid w:val="00CE6875"/>
    <w:rsid w:val="00CE6E0B"/>
    <w:rsid w:val="00CE701C"/>
    <w:rsid w:val="00CE7599"/>
    <w:rsid w:val="00CF0A6F"/>
    <w:rsid w:val="00CF0F99"/>
    <w:rsid w:val="00CF1AA5"/>
    <w:rsid w:val="00CF2095"/>
    <w:rsid w:val="00CF28BA"/>
    <w:rsid w:val="00CF2C3A"/>
    <w:rsid w:val="00CF3046"/>
    <w:rsid w:val="00CF414A"/>
    <w:rsid w:val="00CF47E1"/>
    <w:rsid w:val="00CF4FF0"/>
    <w:rsid w:val="00CF57B0"/>
    <w:rsid w:val="00CF5B47"/>
    <w:rsid w:val="00CF607B"/>
    <w:rsid w:val="00CF6869"/>
    <w:rsid w:val="00CF6D28"/>
    <w:rsid w:val="00D00C6D"/>
    <w:rsid w:val="00D013CF"/>
    <w:rsid w:val="00D01FBC"/>
    <w:rsid w:val="00D020B8"/>
    <w:rsid w:val="00D032BC"/>
    <w:rsid w:val="00D04FDD"/>
    <w:rsid w:val="00D0675D"/>
    <w:rsid w:val="00D076EF"/>
    <w:rsid w:val="00D1017C"/>
    <w:rsid w:val="00D104F9"/>
    <w:rsid w:val="00D10A33"/>
    <w:rsid w:val="00D10EEF"/>
    <w:rsid w:val="00D12A6E"/>
    <w:rsid w:val="00D12DD6"/>
    <w:rsid w:val="00D1385B"/>
    <w:rsid w:val="00D139E7"/>
    <w:rsid w:val="00D14323"/>
    <w:rsid w:val="00D1457A"/>
    <w:rsid w:val="00D14763"/>
    <w:rsid w:val="00D14E10"/>
    <w:rsid w:val="00D15088"/>
    <w:rsid w:val="00D1581D"/>
    <w:rsid w:val="00D15B6D"/>
    <w:rsid w:val="00D15D9F"/>
    <w:rsid w:val="00D16008"/>
    <w:rsid w:val="00D166D4"/>
    <w:rsid w:val="00D16AC3"/>
    <w:rsid w:val="00D1715F"/>
    <w:rsid w:val="00D207DC"/>
    <w:rsid w:val="00D2099C"/>
    <w:rsid w:val="00D20D57"/>
    <w:rsid w:val="00D22631"/>
    <w:rsid w:val="00D24991"/>
    <w:rsid w:val="00D24B8F"/>
    <w:rsid w:val="00D2555A"/>
    <w:rsid w:val="00D25B17"/>
    <w:rsid w:val="00D2656C"/>
    <w:rsid w:val="00D2714A"/>
    <w:rsid w:val="00D30254"/>
    <w:rsid w:val="00D3039D"/>
    <w:rsid w:val="00D30ED2"/>
    <w:rsid w:val="00D335E7"/>
    <w:rsid w:val="00D33768"/>
    <w:rsid w:val="00D33B0F"/>
    <w:rsid w:val="00D33D87"/>
    <w:rsid w:val="00D3420B"/>
    <w:rsid w:val="00D34244"/>
    <w:rsid w:val="00D3433C"/>
    <w:rsid w:val="00D34C7A"/>
    <w:rsid w:val="00D34F4A"/>
    <w:rsid w:val="00D35077"/>
    <w:rsid w:val="00D353B7"/>
    <w:rsid w:val="00D35A6E"/>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DC1"/>
    <w:rsid w:val="00D44A7C"/>
    <w:rsid w:val="00D451D2"/>
    <w:rsid w:val="00D45204"/>
    <w:rsid w:val="00D45DD3"/>
    <w:rsid w:val="00D4647A"/>
    <w:rsid w:val="00D46DAE"/>
    <w:rsid w:val="00D47717"/>
    <w:rsid w:val="00D504D7"/>
    <w:rsid w:val="00D50955"/>
    <w:rsid w:val="00D51346"/>
    <w:rsid w:val="00D517C5"/>
    <w:rsid w:val="00D51C8F"/>
    <w:rsid w:val="00D51CB6"/>
    <w:rsid w:val="00D5204B"/>
    <w:rsid w:val="00D525BB"/>
    <w:rsid w:val="00D527DA"/>
    <w:rsid w:val="00D528B0"/>
    <w:rsid w:val="00D53460"/>
    <w:rsid w:val="00D54256"/>
    <w:rsid w:val="00D54479"/>
    <w:rsid w:val="00D54C10"/>
    <w:rsid w:val="00D55191"/>
    <w:rsid w:val="00D55ACD"/>
    <w:rsid w:val="00D55CD0"/>
    <w:rsid w:val="00D56D07"/>
    <w:rsid w:val="00D57275"/>
    <w:rsid w:val="00D57302"/>
    <w:rsid w:val="00D57544"/>
    <w:rsid w:val="00D57973"/>
    <w:rsid w:val="00D60704"/>
    <w:rsid w:val="00D60758"/>
    <w:rsid w:val="00D60CE2"/>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22DF"/>
    <w:rsid w:val="00D72A2E"/>
    <w:rsid w:val="00D72F01"/>
    <w:rsid w:val="00D7314B"/>
    <w:rsid w:val="00D733D6"/>
    <w:rsid w:val="00D741FF"/>
    <w:rsid w:val="00D7587C"/>
    <w:rsid w:val="00D769B9"/>
    <w:rsid w:val="00D77699"/>
    <w:rsid w:val="00D7780F"/>
    <w:rsid w:val="00D80587"/>
    <w:rsid w:val="00D80A83"/>
    <w:rsid w:val="00D81A84"/>
    <w:rsid w:val="00D81C1D"/>
    <w:rsid w:val="00D82B81"/>
    <w:rsid w:val="00D82E05"/>
    <w:rsid w:val="00D83043"/>
    <w:rsid w:val="00D84675"/>
    <w:rsid w:val="00D8526A"/>
    <w:rsid w:val="00D8617A"/>
    <w:rsid w:val="00D86252"/>
    <w:rsid w:val="00D865E6"/>
    <w:rsid w:val="00D86B05"/>
    <w:rsid w:val="00D86EF5"/>
    <w:rsid w:val="00D86FE2"/>
    <w:rsid w:val="00D8720D"/>
    <w:rsid w:val="00D87CC5"/>
    <w:rsid w:val="00D87DA9"/>
    <w:rsid w:val="00D910BE"/>
    <w:rsid w:val="00D917F3"/>
    <w:rsid w:val="00D92E61"/>
    <w:rsid w:val="00D935BB"/>
    <w:rsid w:val="00D93D91"/>
    <w:rsid w:val="00D94136"/>
    <w:rsid w:val="00D95091"/>
    <w:rsid w:val="00D95CB0"/>
    <w:rsid w:val="00D966F5"/>
    <w:rsid w:val="00D96D38"/>
    <w:rsid w:val="00D96E1A"/>
    <w:rsid w:val="00D973B2"/>
    <w:rsid w:val="00D9779A"/>
    <w:rsid w:val="00D97968"/>
    <w:rsid w:val="00D97BAA"/>
    <w:rsid w:val="00DA0435"/>
    <w:rsid w:val="00DA0AA0"/>
    <w:rsid w:val="00DA149D"/>
    <w:rsid w:val="00DA1902"/>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B1369"/>
    <w:rsid w:val="00DB1563"/>
    <w:rsid w:val="00DB165A"/>
    <w:rsid w:val="00DB169E"/>
    <w:rsid w:val="00DB18A0"/>
    <w:rsid w:val="00DB1B04"/>
    <w:rsid w:val="00DB2AC0"/>
    <w:rsid w:val="00DB2E03"/>
    <w:rsid w:val="00DB39A0"/>
    <w:rsid w:val="00DB3E83"/>
    <w:rsid w:val="00DB422A"/>
    <w:rsid w:val="00DB4568"/>
    <w:rsid w:val="00DB4754"/>
    <w:rsid w:val="00DB4F28"/>
    <w:rsid w:val="00DB57E5"/>
    <w:rsid w:val="00DB5EFB"/>
    <w:rsid w:val="00DB6758"/>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D09C9"/>
    <w:rsid w:val="00DD113B"/>
    <w:rsid w:val="00DD24BD"/>
    <w:rsid w:val="00DD2711"/>
    <w:rsid w:val="00DD2CC2"/>
    <w:rsid w:val="00DD332A"/>
    <w:rsid w:val="00DD3D8D"/>
    <w:rsid w:val="00DD4237"/>
    <w:rsid w:val="00DD4818"/>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703"/>
    <w:rsid w:val="00DE25AC"/>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5355"/>
    <w:rsid w:val="00DF568D"/>
    <w:rsid w:val="00DF67D2"/>
    <w:rsid w:val="00E0055D"/>
    <w:rsid w:val="00E008B9"/>
    <w:rsid w:val="00E00C1D"/>
    <w:rsid w:val="00E00CCB"/>
    <w:rsid w:val="00E00EC5"/>
    <w:rsid w:val="00E0145C"/>
    <w:rsid w:val="00E0147F"/>
    <w:rsid w:val="00E01653"/>
    <w:rsid w:val="00E016AB"/>
    <w:rsid w:val="00E01C97"/>
    <w:rsid w:val="00E0315C"/>
    <w:rsid w:val="00E03206"/>
    <w:rsid w:val="00E0368B"/>
    <w:rsid w:val="00E03E2C"/>
    <w:rsid w:val="00E03EB3"/>
    <w:rsid w:val="00E042C7"/>
    <w:rsid w:val="00E04421"/>
    <w:rsid w:val="00E04C73"/>
    <w:rsid w:val="00E055E3"/>
    <w:rsid w:val="00E06010"/>
    <w:rsid w:val="00E0651F"/>
    <w:rsid w:val="00E06BB6"/>
    <w:rsid w:val="00E073AC"/>
    <w:rsid w:val="00E0781A"/>
    <w:rsid w:val="00E10B66"/>
    <w:rsid w:val="00E10B7B"/>
    <w:rsid w:val="00E11475"/>
    <w:rsid w:val="00E116C5"/>
    <w:rsid w:val="00E119E3"/>
    <w:rsid w:val="00E12A46"/>
    <w:rsid w:val="00E13165"/>
    <w:rsid w:val="00E134E0"/>
    <w:rsid w:val="00E13E04"/>
    <w:rsid w:val="00E14881"/>
    <w:rsid w:val="00E1494A"/>
    <w:rsid w:val="00E149C5"/>
    <w:rsid w:val="00E167D3"/>
    <w:rsid w:val="00E175A7"/>
    <w:rsid w:val="00E20168"/>
    <w:rsid w:val="00E20695"/>
    <w:rsid w:val="00E20740"/>
    <w:rsid w:val="00E20E92"/>
    <w:rsid w:val="00E21106"/>
    <w:rsid w:val="00E21FA5"/>
    <w:rsid w:val="00E22C01"/>
    <w:rsid w:val="00E23B80"/>
    <w:rsid w:val="00E2448F"/>
    <w:rsid w:val="00E245DA"/>
    <w:rsid w:val="00E24645"/>
    <w:rsid w:val="00E24817"/>
    <w:rsid w:val="00E24A2B"/>
    <w:rsid w:val="00E26BB0"/>
    <w:rsid w:val="00E27177"/>
    <w:rsid w:val="00E274B5"/>
    <w:rsid w:val="00E27DF6"/>
    <w:rsid w:val="00E31B92"/>
    <w:rsid w:val="00E31BCB"/>
    <w:rsid w:val="00E3286C"/>
    <w:rsid w:val="00E32963"/>
    <w:rsid w:val="00E32D9B"/>
    <w:rsid w:val="00E32DF1"/>
    <w:rsid w:val="00E337BC"/>
    <w:rsid w:val="00E34160"/>
    <w:rsid w:val="00E34E11"/>
    <w:rsid w:val="00E350CD"/>
    <w:rsid w:val="00E36B2E"/>
    <w:rsid w:val="00E36DD1"/>
    <w:rsid w:val="00E36DFD"/>
    <w:rsid w:val="00E36FC6"/>
    <w:rsid w:val="00E372A9"/>
    <w:rsid w:val="00E4001B"/>
    <w:rsid w:val="00E412A0"/>
    <w:rsid w:val="00E41737"/>
    <w:rsid w:val="00E43094"/>
    <w:rsid w:val="00E43E14"/>
    <w:rsid w:val="00E45711"/>
    <w:rsid w:val="00E45A4C"/>
    <w:rsid w:val="00E461C0"/>
    <w:rsid w:val="00E46B7C"/>
    <w:rsid w:val="00E46B9D"/>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676"/>
    <w:rsid w:val="00E579AF"/>
    <w:rsid w:val="00E57B5A"/>
    <w:rsid w:val="00E57CF3"/>
    <w:rsid w:val="00E602FD"/>
    <w:rsid w:val="00E60545"/>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4F5C"/>
    <w:rsid w:val="00E84FB3"/>
    <w:rsid w:val="00E856FD"/>
    <w:rsid w:val="00E86A3E"/>
    <w:rsid w:val="00E86E52"/>
    <w:rsid w:val="00E86F68"/>
    <w:rsid w:val="00E87037"/>
    <w:rsid w:val="00E90092"/>
    <w:rsid w:val="00E90ED5"/>
    <w:rsid w:val="00E92854"/>
    <w:rsid w:val="00E940E0"/>
    <w:rsid w:val="00E945C3"/>
    <w:rsid w:val="00E95E22"/>
    <w:rsid w:val="00E96A24"/>
    <w:rsid w:val="00E96D70"/>
    <w:rsid w:val="00E9767C"/>
    <w:rsid w:val="00EA0F03"/>
    <w:rsid w:val="00EA1D5F"/>
    <w:rsid w:val="00EA1EF9"/>
    <w:rsid w:val="00EA2642"/>
    <w:rsid w:val="00EA2CA0"/>
    <w:rsid w:val="00EA2F09"/>
    <w:rsid w:val="00EA3031"/>
    <w:rsid w:val="00EA31C2"/>
    <w:rsid w:val="00EA4A6F"/>
    <w:rsid w:val="00EA5760"/>
    <w:rsid w:val="00EA5C13"/>
    <w:rsid w:val="00EA60B4"/>
    <w:rsid w:val="00EA6BDE"/>
    <w:rsid w:val="00EA6E44"/>
    <w:rsid w:val="00EA7237"/>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AFB"/>
    <w:rsid w:val="00EC0A68"/>
    <w:rsid w:val="00EC1212"/>
    <w:rsid w:val="00EC13D6"/>
    <w:rsid w:val="00EC18EA"/>
    <w:rsid w:val="00EC1D3D"/>
    <w:rsid w:val="00EC1DF2"/>
    <w:rsid w:val="00EC2085"/>
    <w:rsid w:val="00EC3151"/>
    <w:rsid w:val="00EC3331"/>
    <w:rsid w:val="00EC45E0"/>
    <w:rsid w:val="00EC49CE"/>
    <w:rsid w:val="00EC4A6B"/>
    <w:rsid w:val="00EC518F"/>
    <w:rsid w:val="00EC537B"/>
    <w:rsid w:val="00EC5B5B"/>
    <w:rsid w:val="00EC677E"/>
    <w:rsid w:val="00EC6E37"/>
    <w:rsid w:val="00EC7071"/>
    <w:rsid w:val="00EC7E67"/>
    <w:rsid w:val="00ED03E8"/>
    <w:rsid w:val="00ED05BA"/>
    <w:rsid w:val="00ED0903"/>
    <w:rsid w:val="00ED0CCD"/>
    <w:rsid w:val="00ED10AF"/>
    <w:rsid w:val="00ED1435"/>
    <w:rsid w:val="00ED1D98"/>
    <w:rsid w:val="00ED1F5D"/>
    <w:rsid w:val="00ED3143"/>
    <w:rsid w:val="00ED389B"/>
    <w:rsid w:val="00ED3E97"/>
    <w:rsid w:val="00ED3F10"/>
    <w:rsid w:val="00ED496E"/>
    <w:rsid w:val="00ED4CE6"/>
    <w:rsid w:val="00ED5536"/>
    <w:rsid w:val="00ED56CF"/>
    <w:rsid w:val="00ED5B5C"/>
    <w:rsid w:val="00ED6B5A"/>
    <w:rsid w:val="00ED70BD"/>
    <w:rsid w:val="00ED7934"/>
    <w:rsid w:val="00ED7D28"/>
    <w:rsid w:val="00EE0B3E"/>
    <w:rsid w:val="00EE0BAA"/>
    <w:rsid w:val="00EE1FD6"/>
    <w:rsid w:val="00EE3556"/>
    <w:rsid w:val="00EE37BB"/>
    <w:rsid w:val="00EE37C3"/>
    <w:rsid w:val="00EE433C"/>
    <w:rsid w:val="00EE5100"/>
    <w:rsid w:val="00EE5259"/>
    <w:rsid w:val="00EE5E03"/>
    <w:rsid w:val="00EE60E0"/>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17EF"/>
    <w:rsid w:val="00F0190F"/>
    <w:rsid w:val="00F01C4C"/>
    <w:rsid w:val="00F02786"/>
    <w:rsid w:val="00F0434F"/>
    <w:rsid w:val="00F047C3"/>
    <w:rsid w:val="00F04911"/>
    <w:rsid w:val="00F0548B"/>
    <w:rsid w:val="00F05D0A"/>
    <w:rsid w:val="00F05F44"/>
    <w:rsid w:val="00F0625B"/>
    <w:rsid w:val="00F063E9"/>
    <w:rsid w:val="00F0670F"/>
    <w:rsid w:val="00F0692E"/>
    <w:rsid w:val="00F07BE9"/>
    <w:rsid w:val="00F07D9C"/>
    <w:rsid w:val="00F07FA6"/>
    <w:rsid w:val="00F07FF2"/>
    <w:rsid w:val="00F107A7"/>
    <w:rsid w:val="00F10DA2"/>
    <w:rsid w:val="00F1148B"/>
    <w:rsid w:val="00F11BB3"/>
    <w:rsid w:val="00F12DA2"/>
    <w:rsid w:val="00F13036"/>
    <w:rsid w:val="00F1321A"/>
    <w:rsid w:val="00F1340F"/>
    <w:rsid w:val="00F13821"/>
    <w:rsid w:val="00F138C2"/>
    <w:rsid w:val="00F141A4"/>
    <w:rsid w:val="00F15E45"/>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267"/>
    <w:rsid w:val="00F261E3"/>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929"/>
    <w:rsid w:val="00F4262C"/>
    <w:rsid w:val="00F42669"/>
    <w:rsid w:val="00F42C0E"/>
    <w:rsid w:val="00F42D65"/>
    <w:rsid w:val="00F4374F"/>
    <w:rsid w:val="00F44B8E"/>
    <w:rsid w:val="00F451CA"/>
    <w:rsid w:val="00F453DA"/>
    <w:rsid w:val="00F456F9"/>
    <w:rsid w:val="00F46A6E"/>
    <w:rsid w:val="00F47128"/>
    <w:rsid w:val="00F4720B"/>
    <w:rsid w:val="00F4749B"/>
    <w:rsid w:val="00F50598"/>
    <w:rsid w:val="00F50B4B"/>
    <w:rsid w:val="00F514FB"/>
    <w:rsid w:val="00F52B73"/>
    <w:rsid w:val="00F52B7B"/>
    <w:rsid w:val="00F53C92"/>
    <w:rsid w:val="00F56B1B"/>
    <w:rsid w:val="00F56C0C"/>
    <w:rsid w:val="00F56CE9"/>
    <w:rsid w:val="00F56F70"/>
    <w:rsid w:val="00F56FB1"/>
    <w:rsid w:val="00F60F4E"/>
    <w:rsid w:val="00F61151"/>
    <w:rsid w:val="00F619D1"/>
    <w:rsid w:val="00F620A2"/>
    <w:rsid w:val="00F628E9"/>
    <w:rsid w:val="00F62E6E"/>
    <w:rsid w:val="00F62FCB"/>
    <w:rsid w:val="00F63723"/>
    <w:rsid w:val="00F64E44"/>
    <w:rsid w:val="00F64ECE"/>
    <w:rsid w:val="00F66DD9"/>
    <w:rsid w:val="00F670E4"/>
    <w:rsid w:val="00F6719C"/>
    <w:rsid w:val="00F67501"/>
    <w:rsid w:val="00F67B6E"/>
    <w:rsid w:val="00F70B07"/>
    <w:rsid w:val="00F70BBD"/>
    <w:rsid w:val="00F7174B"/>
    <w:rsid w:val="00F71D1A"/>
    <w:rsid w:val="00F72953"/>
    <w:rsid w:val="00F72A85"/>
    <w:rsid w:val="00F72B0D"/>
    <w:rsid w:val="00F73B5B"/>
    <w:rsid w:val="00F73BBF"/>
    <w:rsid w:val="00F749AF"/>
    <w:rsid w:val="00F74D3B"/>
    <w:rsid w:val="00F75686"/>
    <w:rsid w:val="00F76A4E"/>
    <w:rsid w:val="00F76E6E"/>
    <w:rsid w:val="00F77765"/>
    <w:rsid w:val="00F77907"/>
    <w:rsid w:val="00F77EC3"/>
    <w:rsid w:val="00F8049C"/>
    <w:rsid w:val="00F816B4"/>
    <w:rsid w:val="00F823C6"/>
    <w:rsid w:val="00F82EB4"/>
    <w:rsid w:val="00F842C0"/>
    <w:rsid w:val="00F84E26"/>
    <w:rsid w:val="00F84E2D"/>
    <w:rsid w:val="00F84FB1"/>
    <w:rsid w:val="00F85141"/>
    <w:rsid w:val="00F853B8"/>
    <w:rsid w:val="00F85E98"/>
    <w:rsid w:val="00F86F36"/>
    <w:rsid w:val="00F90F30"/>
    <w:rsid w:val="00F91762"/>
    <w:rsid w:val="00F91943"/>
    <w:rsid w:val="00F9242E"/>
    <w:rsid w:val="00F92924"/>
    <w:rsid w:val="00F92A6F"/>
    <w:rsid w:val="00F930B8"/>
    <w:rsid w:val="00F9388B"/>
    <w:rsid w:val="00F93A21"/>
    <w:rsid w:val="00F945ED"/>
    <w:rsid w:val="00F94824"/>
    <w:rsid w:val="00F94C4E"/>
    <w:rsid w:val="00F94D42"/>
    <w:rsid w:val="00F951A5"/>
    <w:rsid w:val="00F9596E"/>
    <w:rsid w:val="00F95989"/>
    <w:rsid w:val="00F96798"/>
    <w:rsid w:val="00F96907"/>
    <w:rsid w:val="00F96919"/>
    <w:rsid w:val="00FA0A7C"/>
    <w:rsid w:val="00FA10F4"/>
    <w:rsid w:val="00FA18D9"/>
    <w:rsid w:val="00FA2F63"/>
    <w:rsid w:val="00FA320A"/>
    <w:rsid w:val="00FA3F05"/>
    <w:rsid w:val="00FA46C9"/>
    <w:rsid w:val="00FA49B5"/>
    <w:rsid w:val="00FA57AA"/>
    <w:rsid w:val="00FA5C88"/>
    <w:rsid w:val="00FA6372"/>
    <w:rsid w:val="00FA6845"/>
    <w:rsid w:val="00FA7188"/>
    <w:rsid w:val="00FA7554"/>
    <w:rsid w:val="00FA7C8B"/>
    <w:rsid w:val="00FB0249"/>
    <w:rsid w:val="00FB0AB9"/>
    <w:rsid w:val="00FB1096"/>
    <w:rsid w:val="00FB1257"/>
    <w:rsid w:val="00FB2004"/>
    <w:rsid w:val="00FB21FA"/>
    <w:rsid w:val="00FB2E08"/>
    <w:rsid w:val="00FB35BA"/>
    <w:rsid w:val="00FB3CE5"/>
    <w:rsid w:val="00FB3E16"/>
    <w:rsid w:val="00FB3ED8"/>
    <w:rsid w:val="00FB5337"/>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F74"/>
    <w:rsid w:val="00FD6657"/>
    <w:rsid w:val="00FD7187"/>
    <w:rsid w:val="00FD72D8"/>
    <w:rsid w:val="00FD76B9"/>
    <w:rsid w:val="00FE015F"/>
    <w:rsid w:val="00FE0276"/>
    <w:rsid w:val="00FE033E"/>
    <w:rsid w:val="00FE2EDE"/>
    <w:rsid w:val="00FE339F"/>
    <w:rsid w:val="00FE3B5F"/>
    <w:rsid w:val="00FE4FB6"/>
    <w:rsid w:val="00FE5873"/>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40E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A9568-E5F3-456C-A65D-92C62262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4644</Words>
  <Characters>26477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3</cp:revision>
  <cp:lastPrinted>2014-04-03T12:11:00Z</cp:lastPrinted>
  <dcterms:created xsi:type="dcterms:W3CDTF">2014-04-02T15:06:00Z</dcterms:created>
  <dcterms:modified xsi:type="dcterms:W3CDTF">2014-04-03T12:11:00Z</dcterms:modified>
</cp:coreProperties>
</file>