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22" w:rsidRPr="00866089" w:rsidRDefault="00E21F22" w:rsidP="00E21F22">
      <w:pPr>
        <w:spacing w:line="240" w:lineRule="auto"/>
        <w:rPr>
          <w:b/>
        </w:rPr>
      </w:pPr>
      <w:bookmarkStart w:id="0" w:name="_GoBack"/>
      <w:bookmarkEnd w:id="0"/>
      <w:r w:rsidRPr="00866089">
        <w:rPr>
          <w:b/>
        </w:rPr>
        <w:t>BEFORE THE</w:t>
      </w:r>
    </w:p>
    <w:p w:rsidR="00E21F22" w:rsidRPr="00866089" w:rsidRDefault="00E21F22" w:rsidP="00E21F22">
      <w:pPr>
        <w:spacing w:line="240" w:lineRule="auto"/>
        <w:rPr>
          <w:b/>
        </w:rPr>
      </w:pPr>
      <w:r w:rsidRPr="00866089">
        <w:rPr>
          <w:b/>
        </w:rPr>
        <w:t>PENNSYLVANIA PUBLIC UTILITY COMMISSION</w:t>
      </w:r>
    </w:p>
    <w:p w:rsidR="00E21F22" w:rsidRDefault="00E21F22" w:rsidP="00E21F22">
      <w:pPr>
        <w:spacing w:line="240" w:lineRule="auto"/>
        <w:rPr>
          <w:b/>
        </w:rPr>
      </w:pPr>
    </w:p>
    <w:p w:rsidR="00866089" w:rsidRPr="00866089" w:rsidRDefault="00866089" w:rsidP="00E21F22">
      <w:pPr>
        <w:spacing w:line="240" w:lineRule="auto"/>
        <w:rPr>
          <w:b/>
        </w:rPr>
      </w:pPr>
    </w:p>
    <w:p w:rsidR="00E21F22" w:rsidRPr="00866089" w:rsidRDefault="00E21F22" w:rsidP="00E21F22">
      <w:pPr>
        <w:spacing w:line="240" w:lineRule="auto"/>
        <w:rPr>
          <w:b/>
        </w:rPr>
      </w:pPr>
    </w:p>
    <w:p w:rsidR="00E21F22" w:rsidRPr="00866089" w:rsidRDefault="00E21F22" w:rsidP="00E21F22">
      <w:pPr>
        <w:spacing w:line="240" w:lineRule="auto"/>
        <w:jc w:val="left"/>
      </w:pPr>
      <w:r w:rsidRPr="00866089">
        <w:t>Gerald Blum</w:t>
      </w:r>
      <w:r w:rsidRPr="00866089">
        <w:tab/>
      </w:r>
      <w:r w:rsidRPr="00866089">
        <w:tab/>
      </w:r>
      <w:r w:rsidRPr="00866089">
        <w:tab/>
      </w:r>
      <w:r w:rsidRPr="00866089">
        <w:tab/>
      </w:r>
      <w:r w:rsidRPr="00866089">
        <w:tab/>
      </w:r>
      <w:r w:rsidR="00866089">
        <w:tab/>
      </w:r>
      <w:r w:rsidRPr="00866089">
        <w:t>:</w:t>
      </w:r>
    </w:p>
    <w:p w:rsidR="00E21F22" w:rsidRPr="00866089" w:rsidRDefault="00E21F22" w:rsidP="00E21F22">
      <w:pPr>
        <w:spacing w:line="240" w:lineRule="auto"/>
        <w:jc w:val="left"/>
      </w:pPr>
      <w:r w:rsidRPr="00866089">
        <w:tab/>
      </w:r>
      <w:r w:rsidRPr="00866089">
        <w:tab/>
      </w:r>
      <w:r w:rsidRPr="00866089">
        <w:tab/>
      </w:r>
      <w:r w:rsidRPr="00866089">
        <w:tab/>
      </w:r>
      <w:r w:rsidRPr="00866089">
        <w:tab/>
      </w:r>
      <w:r w:rsidRPr="00866089">
        <w:tab/>
      </w:r>
      <w:r w:rsidR="00866089">
        <w:tab/>
      </w:r>
      <w:r w:rsidRPr="00866089">
        <w:t>:</w:t>
      </w:r>
    </w:p>
    <w:p w:rsidR="00E21F22" w:rsidRPr="00866089" w:rsidRDefault="00E21F22" w:rsidP="00E21F22">
      <w:pPr>
        <w:spacing w:line="240" w:lineRule="auto"/>
        <w:jc w:val="left"/>
      </w:pPr>
      <w:r w:rsidRPr="00866089">
        <w:tab/>
        <w:t>v.</w:t>
      </w:r>
      <w:r w:rsidRPr="00866089">
        <w:tab/>
      </w:r>
      <w:r w:rsidRPr="00866089">
        <w:tab/>
      </w:r>
      <w:r w:rsidRPr="00866089">
        <w:tab/>
      </w:r>
      <w:r w:rsidRPr="00866089">
        <w:tab/>
      </w:r>
      <w:r w:rsidRPr="00866089">
        <w:tab/>
      </w:r>
      <w:r w:rsidR="00866089">
        <w:tab/>
        <w:t>:</w:t>
      </w:r>
      <w:r w:rsidR="00866089">
        <w:tab/>
      </w:r>
      <w:r w:rsidR="00866089">
        <w:tab/>
      </w:r>
      <w:r w:rsidRPr="00866089">
        <w:t>C-2013-2382877</w:t>
      </w:r>
    </w:p>
    <w:p w:rsidR="00E21F22" w:rsidRPr="00866089" w:rsidRDefault="00E21F22" w:rsidP="00E21F22">
      <w:pPr>
        <w:spacing w:line="240" w:lineRule="auto"/>
        <w:jc w:val="left"/>
      </w:pPr>
      <w:r w:rsidRPr="00866089">
        <w:tab/>
      </w:r>
      <w:r w:rsidRPr="00866089">
        <w:tab/>
      </w:r>
      <w:r w:rsidRPr="00866089">
        <w:tab/>
      </w:r>
      <w:r w:rsidRPr="00866089">
        <w:tab/>
      </w:r>
      <w:r w:rsidRPr="00866089">
        <w:tab/>
      </w:r>
      <w:r w:rsidRPr="00866089">
        <w:tab/>
      </w:r>
      <w:r w:rsidR="00866089">
        <w:tab/>
      </w:r>
      <w:r w:rsidRPr="00866089">
        <w:t>:</w:t>
      </w:r>
    </w:p>
    <w:p w:rsidR="00E21F22" w:rsidRPr="00866089" w:rsidRDefault="00E21F22" w:rsidP="00E21F22">
      <w:pPr>
        <w:spacing w:line="240" w:lineRule="auto"/>
        <w:jc w:val="left"/>
      </w:pPr>
      <w:r w:rsidRPr="00866089">
        <w:t>Philadelphia Gas Works</w:t>
      </w:r>
      <w:r w:rsidRPr="00866089">
        <w:tab/>
      </w:r>
      <w:r w:rsidRPr="00866089">
        <w:tab/>
      </w:r>
      <w:r w:rsidRPr="00866089">
        <w:tab/>
      </w:r>
      <w:r w:rsidR="00866089">
        <w:tab/>
      </w:r>
      <w:r w:rsidRPr="00866089">
        <w:t>:</w:t>
      </w:r>
    </w:p>
    <w:p w:rsidR="00E21F22" w:rsidRDefault="00E21F22" w:rsidP="00E21F22">
      <w:pPr>
        <w:spacing w:line="240" w:lineRule="auto"/>
        <w:jc w:val="left"/>
      </w:pPr>
    </w:p>
    <w:p w:rsidR="00866089" w:rsidRPr="00866089" w:rsidRDefault="00866089" w:rsidP="00E21F22">
      <w:pPr>
        <w:spacing w:line="240" w:lineRule="auto"/>
        <w:jc w:val="left"/>
      </w:pPr>
    </w:p>
    <w:p w:rsidR="00E21F22" w:rsidRPr="00866089" w:rsidRDefault="00E21F22" w:rsidP="00E21F22">
      <w:pPr>
        <w:spacing w:line="240" w:lineRule="auto"/>
        <w:jc w:val="left"/>
      </w:pPr>
    </w:p>
    <w:p w:rsidR="00E21F22" w:rsidRPr="00866089" w:rsidRDefault="00E21F22" w:rsidP="00E21F22">
      <w:pPr>
        <w:spacing w:line="240" w:lineRule="auto"/>
      </w:pPr>
      <w:r w:rsidRPr="00866089">
        <w:rPr>
          <w:b/>
          <w:u w:val="single"/>
        </w:rPr>
        <w:t>INITIAL DECISION</w:t>
      </w:r>
    </w:p>
    <w:p w:rsidR="00E21F22" w:rsidRDefault="00E21F22" w:rsidP="00E21F22">
      <w:pPr>
        <w:spacing w:line="240" w:lineRule="auto"/>
      </w:pPr>
    </w:p>
    <w:p w:rsidR="00866089" w:rsidRPr="00866089" w:rsidRDefault="00866089" w:rsidP="00E21F22">
      <w:pPr>
        <w:spacing w:line="240" w:lineRule="auto"/>
      </w:pPr>
    </w:p>
    <w:p w:rsidR="00E21F22" w:rsidRPr="00866089" w:rsidRDefault="00E21F22" w:rsidP="00E21F22">
      <w:pPr>
        <w:spacing w:line="240" w:lineRule="auto"/>
      </w:pPr>
      <w:r w:rsidRPr="00866089">
        <w:t>Before</w:t>
      </w:r>
    </w:p>
    <w:p w:rsidR="00E21F22" w:rsidRPr="00866089" w:rsidRDefault="00E21F22" w:rsidP="00E21F22">
      <w:pPr>
        <w:spacing w:line="240" w:lineRule="auto"/>
      </w:pPr>
      <w:r w:rsidRPr="00866089">
        <w:t>Susan D. Colwell</w:t>
      </w:r>
    </w:p>
    <w:p w:rsidR="00E21F22" w:rsidRPr="00866089" w:rsidRDefault="00E21F22" w:rsidP="00E21F22">
      <w:pPr>
        <w:spacing w:line="240" w:lineRule="auto"/>
      </w:pPr>
      <w:r w:rsidRPr="00866089">
        <w:t>Administrative Law Judge</w:t>
      </w:r>
    </w:p>
    <w:p w:rsidR="00E21F22" w:rsidRPr="00866089" w:rsidRDefault="00E21F22" w:rsidP="00E21F22">
      <w:pPr>
        <w:spacing w:line="240" w:lineRule="auto"/>
      </w:pPr>
    </w:p>
    <w:p w:rsidR="00E21F22" w:rsidRPr="00866089" w:rsidRDefault="00E21F22" w:rsidP="00E21F22">
      <w:pPr>
        <w:spacing w:line="240" w:lineRule="auto"/>
      </w:pPr>
    </w:p>
    <w:p w:rsidR="00E21F22" w:rsidRPr="00866089" w:rsidRDefault="00E21F22" w:rsidP="00E21F22">
      <w:pPr>
        <w:spacing w:line="240" w:lineRule="auto"/>
        <w:rPr>
          <w:u w:val="single"/>
        </w:rPr>
      </w:pPr>
      <w:r w:rsidRPr="00866089">
        <w:rPr>
          <w:u w:val="single"/>
        </w:rPr>
        <w:t>HISTORY OF THE PROCEEDING</w:t>
      </w:r>
    </w:p>
    <w:p w:rsidR="00E21F22" w:rsidRDefault="00E21F22" w:rsidP="00866089">
      <w:pPr>
        <w:spacing w:line="240" w:lineRule="auto"/>
      </w:pPr>
    </w:p>
    <w:p w:rsidR="00866089" w:rsidRPr="00866089" w:rsidRDefault="00866089" w:rsidP="00866089">
      <w:pPr>
        <w:spacing w:line="240" w:lineRule="auto"/>
      </w:pPr>
    </w:p>
    <w:p w:rsidR="00E21F22" w:rsidRPr="00866089" w:rsidRDefault="00F56682" w:rsidP="00F56682">
      <w:pPr>
        <w:jc w:val="left"/>
      </w:pPr>
      <w:r w:rsidRPr="00866089">
        <w:tab/>
      </w:r>
      <w:r w:rsidRPr="00866089">
        <w:tab/>
        <w:t>This Initial Decision dismisses a complaint for failure to submit substantial evidence to support a claim of high billing.</w:t>
      </w:r>
    </w:p>
    <w:p w:rsidR="00E21F22" w:rsidRPr="00866089" w:rsidRDefault="00E21F22" w:rsidP="00E21F22">
      <w:pPr>
        <w:spacing w:line="240" w:lineRule="auto"/>
        <w:rPr>
          <w:b/>
          <w:u w:val="single"/>
        </w:rPr>
      </w:pPr>
    </w:p>
    <w:p w:rsidR="00E21F22" w:rsidRPr="00866089" w:rsidRDefault="00E21F22" w:rsidP="00E21F22">
      <w:pPr>
        <w:spacing w:line="240" w:lineRule="auto"/>
        <w:jc w:val="left"/>
        <w:rPr>
          <w:b/>
        </w:rPr>
      </w:pPr>
    </w:p>
    <w:p w:rsidR="00E21F22" w:rsidRPr="00866089" w:rsidRDefault="00E21F22" w:rsidP="00E21F22">
      <w:pPr>
        <w:jc w:val="left"/>
      </w:pPr>
      <w:r w:rsidRPr="00866089">
        <w:rPr>
          <w:b/>
        </w:rPr>
        <w:tab/>
      </w:r>
      <w:r w:rsidRPr="00866089">
        <w:rPr>
          <w:b/>
        </w:rPr>
        <w:tab/>
      </w:r>
      <w:r w:rsidRPr="00866089">
        <w:t>On September 6, 2013, Gerald Blum (Complainant) filed a formal Complaint alleging that the bills that he received for the house he purchased at 5731 Hunter Street, Philadelphia were far too high for the amount of gas that the house used, particularly when it was not occupied.</w:t>
      </w:r>
    </w:p>
    <w:p w:rsidR="00E21F22" w:rsidRPr="00866089" w:rsidRDefault="00E21F22" w:rsidP="00E21F22">
      <w:pPr>
        <w:jc w:val="left"/>
      </w:pPr>
    </w:p>
    <w:p w:rsidR="00E21F22" w:rsidRPr="00866089" w:rsidRDefault="00E21F22" w:rsidP="00E21F22">
      <w:pPr>
        <w:jc w:val="left"/>
      </w:pPr>
      <w:r w:rsidRPr="00866089">
        <w:tab/>
      </w:r>
      <w:r w:rsidRPr="00866089">
        <w:tab/>
        <w:t>On October 2, 2013, Philadelphia Gas Works (PGW or Respondent or Company) filed its Answer which maintains that the bills are based on actual usage.</w:t>
      </w:r>
    </w:p>
    <w:p w:rsidR="00E21F22" w:rsidRPr="00866089" w:rsidRDefault="00E21F22" w:rsidP="00E21F22">
      <w:pPr>
        <w:jc w:val="left"/>
      </w:pPr>
    </w:p>
    <w:p w:rsidR="00E21F22" w:rsidRPr="00866089" w:rsidRDefault="00E21F22" w:rsidP="00E21F22">
      <w:pPr>
        <w:jc w:val="left"/>
      </w:pPr>
      <w:r w:rsidRPr="00866089">
        <w:tab/>
      </w:r>
      <w:r w:rsidRPr="00866089">
        <w:tab/>
        <w:t>On October 17, 2013, a telephonic hearing notice was issued which set the evidentiary hearing for 1:00 pm on Tuesday, November 19, 2013, and assigned the matter to me.  I issued a prehearing order on October 17, 2013, which set forth some of the requirements for a formal hearing before the Commission.</w:t>
      </w:r>
    </w:p>
    <w:p w:rsidR="00E21F22" w:rsidRPr="00866089" w:rsidRDefault="00E21F22" w:rsidP="00E21F22">
      <w:pPr>
        <w:jc w:val="left"/>
      </w:pPr>
    </w:p>
    <w:p w:rsidR="00E21F22" w:rsidRPr="00866089" w:rsidRDefault="00E21F22" w:rsidP="00E21F22">
      <w:pPr>
        <w:jc w:val="left"/>
      </w:pPr>
      <w:r w:rsidRPr="00866089">
        <w:tab/>
      </w:r>
      <w:r w:rsidRPr="00866089">
        <w:tab/>
        <w:t xml:space="preserve">The hearing was held as scheduled on November 19, 2013, with the Complainant appearing </w:t>
      </w:r>
      <w:r w:rsidRPr="003C0E29">
        <w:rPr>
          <w:i/>
        </w:rPr>
        <w:t>pro se</w:t>
      </w:r>
      <w:r w:rsidRPr="00866089">
        <w:t>, and PGW represented by Laureto Farinas, Esquire.  PGW presented the testimony of Cynthia Garner, who sponsored four exhibits.</w:t>
      </w:r>
    </w:p>
    <w:p w:rsidR="00E21F22" w:rsidRPr="00866089" w:rsidRDefault="00E21F22" w:rsidP="00E21F22">
      <w:pPr>
        <w:jc w:val="left"/>
      </w:pPr>
    </w:p>
    <w:p w:rsidR="00E21F22" w:rsidRPr="00866089" w:rsidRDefault="00E21F22" w:rsidP="00E21F22">
      <w:pPr>
        <w:jc w:val="left"/>
      </w:pPr>
      <w:r w:rsidRPr="00866089">
        <w:tab/>
      </w:r>
      <w:r w:rsidRPr="00866089">
        <w:tab/>
        <w:t>During the course of the hearing, it became evident that the positions of the parties are not reconcilable.  In fact, the outcome of the case is heavily dependent upon the accuracy of the meter.</w:t>
      </w:r>
    </w:p>
    <w:p w:rsidR="00E21F22" w:rsidRPr="00866089" w:rsidRDefault="00E21F22" w:rsidP="00E21F22">
      <w:pPr>
        <w:jc w:val="left"/>
      </w:pPr>
    </w:p>
    <w:p w:rsidR="00E21F22" w:rsidRPr="00866089" w:rsidRDefault="00E21F22" w:rsidP="00E21F22">
      <w:pPr>
        <w:jc w:val="left"/>
      </w:pPr>
      <w:r w:rsidRPr="00866089">
        <w:tab/>
      </w:r>
      <w:r w:rsidRPr="00866089">
        <w:tab/>
        <w:t>Accordingly, by Order dated November 20, 2013, the Respondent was directed to test the Complainant's meter and submit the results.  A transcript of 38 pages was filed on December 3, 2013.</w:t>
      </w:r>
    </w:p>
    <w:p w:rsidR="00E21F22" w:rsidRPr="00866089" w:rsidRDefault="00E21F22" w:rsidP="00E21F22">
      <w:pPr>
        <w:jc w:val="left"/>
      </w:pPr>
    </w:p>
    <w:p w:rsidR="00E21F22" w:rsidRPr="00866089" w:rsidRDefault="00E21F22" w:rsidP="00E21F22">
      <w:pPr>
        <w:jc w:val="left"/>
      </w:pPr>
      <w:r w:rsidRPr="00866089">
        <w:tab/>
      </w:r>
      <w:r w:rsidRPr="00866089">
        <w:tab/>
        <w:t>Following my inquiry on March 11, 2014, PGW submitt</w:t>
      </w:r>
      <w:r w:rsidR="00435F0E" w:rsidRPr="00866089">
        <w:t>ed a copy of the results of a meter test, labeled PGW Exhibit 5</w:t>
      </w:r>
      <w:r w:rsidRPr="00866089">
        <w:t xml:space="preserve">.  By Order issued on March </w:t>
      </w:r>
      <w:r w:rsidR="00374B8B" w:rsidRPr="00866089">
        <w:t>13, 2014</w:t>
      </w:r>
      <w:r w:rsidR="00697756">
        <w:t>, Complainant was given ten</w:t>
      </w:r>
      <w:r w:rsidRPr="00866089">
        <w:t xml:space="preserve"> days to </w:t>
      </w:r>
      <w:r w:rsidR="00615256" w:rsidRPr="00866089">
        <w:t>respond to</w:t>
      </w:r>
      <w:r w:rsidRPr="00866089">
        <w:t xml:space="preserve"> the admission of the meter test results.  </w:t>
      </w:r>
      <w:r w:rsidR="00374B8B" w:rsidRPr="00866089">
        <w:t>No response was received by the presiding officer or filed with the Secretary.</w:t>
      </w:r>
    </w:p>
    <w:p w:rsidR="00E21F22" w:rsidRPr="00866089" w:rsidRDefault="00E21F22" w:rsidP="00E21F22">
      <w:pPr>
        <w:jc w:val="left"/>
      </w:pPr>
    </w:p>
    <w:p w:rsidR="00E21F22" w:rsidRPr="00866089" w:rsidRDefault="00E21F22" w:rsidP="00E21F22">
      <w:pPr>
        <w:jc w:val="left"/>
      </w:pPr>
      <w:r w:rsidRPr="00866089">
        <w:tab/>
      </w:r>
      <w:r w:rsidRPr="00866089">
        <w:tab/>
        <w:t xml:space="preserve">The record closed </w:t>
      </w:r>
      <w:r w:rsidR="00374B8B" w:rsidRPr="00866089">
        <w:t>upon expiration of the response date on March 23, 2014</w:t>
      </w:r>
      <w:r w:rsidRPr="00866089">
        <w:t>.  The matter is ripe for disposition.</w:t>
      </w:r>
    </w:p>
    <w:p w:rsidR="00E21F22" w:rsidRDefault="00E21F22" w:rsidP="007C0DE1">
      <w:pPr>
        <w:spacing w:line="240" w:lineRule="auto"/>
        <w:jc w:val="left"/>
      </w:pPr>
    </w:p>
    <w:p w:rsidR="007C0DE1" w:rsidRPr="00866089" w:rsidRDefault="007C0DE1" w:rsidP="007C0DE1">
      <w:pPr>
        <w:spacing w:line="240" w:lineRule="auto"/>
        <w:jc w:val="left"/>
      </w:pPr>
    </w:p>
    <w:p w:rsidR="00E21F22" w:rsidRPr="00866089" w:rsidRDefault="00E21F22" w:rsidP="00E21F22">
      <w:pPr>
        <w:rPr>
          <w:u w:val="single"/>
        </w:rPr>
      </w:pPr>
      <w:r w:rsidRPr="00866089">
        <w:rPr>
          <w:u w:val="single"/>
        </w:rPr>
        <w:t>FINDINGS OF FACT</w:t>
      </w:r>
    </w:p>
    <w:p w:rsidR="00E21F22" w:rsidRPr="00866089" w:rsidRDefault="00E21F22" w:rsidP="00E21F22">
      <w:pPr>
        <w:rPr>
          <w:u w:val="single"/>
        </w:rPr>
      </w:pPr>
    </w:p>
    <w:p w:rsidR="00E21F22" w:rsidRPr="00866089" w:rsidRDefault="00E21F22" w:rsidP="00E21F22">
      <w:pPr>
        <w:jc w:val="left"/>
      </w:pPr>
      <w:r w:rsidRPr="00866089">
        <w:tab/>
      </w:r>
      <w:r w:rsidRPr="00866089">
        <w:tab/>
        <w:t>1.</w:t>
      </w:r>
      <w:r w:rsidRPr="00866089">
        <w:tab/>
        <w:t>Complainant is Gerald Blum, 11420 Valley Forge Circle, King of Prussia PA 19406.  Tr. 6-7.</w:t>
      </w:r>
    </w:p>
    <w:p w:rsidR="00E21F22" w:rsidRPr="00866089" w:rsidRDefault="00E21F22" w:rsidP="00E21F22">
      <w:pPr>
        <w:jc w:val="left"/>
      </w:pPr>
    </w:p>
    <w:p w:rsidR="00E21F22" w:rsidRPr="00866089" w:rsidRDefault="00E21F22" w:rsidP="00E21F22">
      <w:pPr>
        <w:jc w:val="left"/>
      </w:pPr>
      <w:r w:rsidRPr="00866089">
        <w:tab/>
      </w:r>
      <w:r w:rsidRPr="00866089">
        <w:tab/>
        <w:t>2.</w:t>
      </w:r>
      <w:r w:rsidRPr="00866089">
        <w:tab/>
        <w:t>Respondent is Philadelphia Gas Works, a jurisdictional public utility providing residential gas service in the Commonwealth of Pennsylvania.</w:t>
      </w:r>
    </w:p>
    <w:p w:rsidR="00E21F22" w:rsidRPr="00866089" w:rsidRDefault="00E21F22" w:rsidP="00E21F22">
      <w:pPr>
        <w:jc w:val="left"/>
      </w:pPr>
    </w:p>
    <w:p w:rsidR="00E21F22" w:rsidRPr="00866089" w:rsidRDefault="00E21F22" w:rsidP="00E21F22">
      <w:pPr>
        <w:jc w:val="left"/>
      </w:pPr>
      <w:r w:rsidRPr="00866089">
        <w:tab/>
      </w:r>
      <w:r w:rsidRPr="00866089">
        <w:tab/>
        <w:t>3.</w:t>
      </w:r>
      <w:r w:rsidRPr="00866089">
        <w:tab/>
        <w:t>Complainant purchased the house at 5731 Hunter Street (Service Address) on February 7, 2013</w:t>
      </w:r>
      <w:r w:rsidR="00B50A55" w:rsidRPr="00866089">
        <w:t>.  Tr. 7.</w:t>
      </w:r>
    </w:p>
    <w:p w:rsidR="00B50A55" w:rsidRPr="00866089" w:rsidRDefault="00B50A55" w:rsidP="00E21F22">
      <w:pPr>
        <w:jc w:val="left"/>
      </w:pPr>
    </w:p>
    <w:p w:rsidR="00615256" w:rsidRPr="00866089" w:rsidRDefault="00B50A55" w:rsidP="00E21F22">
      <w:pPr>
        <w:jc w:val="left"/>
      </w:pPr>
      <w:r w:rsidRPr="00866089">
        <w:tab/>
      </w:r>
      <w:r w:rsidRPr="00866089">
        <w:tab/>
        <w:t>4.</w:t>
      </w:r>
      <w:r w:rsidRPr="00866089">
        <w:tab/>
        <w:t xml:space="preserve">For </w:t>
      </w:r>
      <w:r w:rsidR="00615256" w:rsidRPr="00866089">
        <w:t>10 to 12 days</w:t>
      </w:r>
      <w:r w:rsidR="00B65C84" w:rsidRPr="00866089">
        <w:t xml:space="preserve"> in February</w:t>
      </w:r>
      <w:r w:rsidR="00615256" w:rsidRPr="00866089">
        <w:t>, there were workmen in the service address with the heat set at 70 degrees during the day and 60 degrees at night.  Tr. 7</w:t>
      </w:r>
      <w:r w:rsidR="00B65C84" w:rsidRPr="00866089">
        <w:t>; 10</w:t>
      </w:r>
      <w:r w:rsidR="00615256" w:rsidRPr="00866089">
        <w:t>.</w:t>
      </w:r>
    </w:p>
    <w:p w:rsidR="00615256" w:rsidRPr="00866089" w:rsidRDefault="00615256" w:rsidP="00E21F22">
      <w:pPr>
        <w:jc w:val="left"/>
      </w:pPr>
    </w:p>
    <w:p w:rsidR="00B50A55" w:rsidRPr="00866089" w:rsidRDefault="00615256" w:rsidP="00E21F22">
      <w:pPr>
        <w:jc w:val="left"/>
      </w:pPr>
      <w:r w:rsidRPr="00866089">
        <w:tab/>
      </w:r>
      <w:r w:rsidRPr="00866089">
        <w:tab/>
        <w:t>5</w:t>
      </w:r>
      <w:r w:rsidR="005E2218">
        <w:t>.</w:t>
      </w:r>
      <w:r w:rsidR="005E2218">
        <w:tab/>
      </w:r>
      <w:r w:rsidRPr="00866089">
        <w:t>The work was done inside the house and included installation of new kitchen cabinets and floor, and bathroom toilet, sink and bathtub.  Tr. 9.</w:t>
      </w:r>
    </w:p>
    <w:p w:rsidR="00615256" w:rsidRPr="00866089" w:rsidRDefault="00615256" w:rsidP="00E21F22">
      <w:pPr>
        <w:jc w:val="left"/>
      </w:pPr>
    </w:p>
    <w:p w:rsidR="00107552" w:rsidRPr="00866089" w:rsidRDefault="00615256" w:rsidP="00E21F22">
      <w:pPr>
        <w:jc w:val="left"/>
      </w:pPr>
      <w:r w:rsidRPr="00866089">
        <w:tab/>
      </w:r>
      <w:r w:rsidRPr="00866089">
        <w:tab/>
      </w:r>
      <w:r w:rsidR="00F56682" w:rsidRPr="00866089">
        <w:t>6.</w:t>
      </w:r>
      <w:r w:rsidR="00F56682" w:rsidRPr="00866089">
        <w:tab/>
      </w:r>
      <w:r w:rsidR="00107552" w:rsidRPr="00866089">
        <w:t>Cynthia Garner, customer review unit officer for PGW, appeared and testified on behalf of Respondent.  Tr. 13.</w:t>
      </w:r>
    </w:p>
    <w:p w:rsidR="00107552" w:rsidRPr="00866089" w:rsidRDefault="00107552" w:rsidP="00E21F22">
      <w:pPr>
        <w:jc w:val="left"/>
      </w:pPr>
    </w:p>
    <w:p w:rsidR="00107552" w:rsidRPr="00866089" w:rsidRDefault="00107552" w:rsidP="00E21F22">
      <w:pPr>
        <w:jc w:val="left"/>
      </w:pPr>
      <w:r w:rsidRPr="00866089">
        <w:tab/>
      </w:r>
      <w:r w:rsidRPr="00866089">
        <w:tab/>
      </w:r>
      <w:r w:rsidR="00F56682" w:rsidRPr="00866089">
        <w:t>7.</w:t>
      </w:r>
      <w:r w:rsidR="00F56682" w:rsidRPr="00866089">
        <w:tab/>
      </w:r>
      <w:r w:rsidRPr="00866089">
        <w:t>PGW Exhibit 1 is a copy of the Specific Service Agreement Statement of Account for the Service Address.  Tr. 13; PGW Ex. 1.</w:t>
      </w:r>
    </w:p>
    <w:p w:rsidR="00107552" w:rsidRPr="00866089" w:rsidRDefault="00107552" w:rsidP="00E21F22">
      <w:pPr>
        <w:jc w:val="left"/>
      </w:pPr>
    </w:p>
    <w:p w:rsidR="00107552" w:rsidRPr="00866089" w:rsidRDefault="00107552" w:rsidP="00E21F22">
      <w:pPr>
        <w:jc w:val="left"/>
      </w:pPr>
      <w:r w:rsidRPr="00866089">
        <w:tab/>
      </w:r>
      <w:r w:rsidRPr="00866089">
        <w:tab/>
      </w:r>
      <w:r w:rsidR="00F56682" w:rsidRPr="00866089">
        <w:t>8.</w:t>
      </w:r>
      <w:r w:rsidR="00F56682" w:rsidRPr="00866089">
        <w:tab/>
      </w:r>
      <w:r w:rsidRPr="00866089">
        <w:t>PGW Exhibit 2 is a two-page photocopy of a print-out of the Contacts for Account of the Service Address.  PGW Ex. 2; Tr. 14.</w:t>
      </w:r>
    </w:p>
    <w:p w:rsidR="00107552" w:rsidRPr="00866089" w:rsidRDefault="00107552" w:rsidP="00E21F22">
      <w:pPr>
        <w:jc w:val="left"/>
      </w:pPr>
    </w:p>
    <w:p w:rsidR="00107552" w:rsidRPr="00866089" w:rsidRDefault="00107552" w:rsidP="00E21F22">
      <w:pPr>
        <w:jc w:val="left"/>
      </w:pPr>
      <w:r w:rsidRPr="00866089">
        <w:tab/>
      </w:r>
      <w:r w:rsidRPr="00866089">
        <w:tab/>
      </w:r>
      <w:r w:rsidR="00F56682" w:rsidRPr="00866089">
        <w:t>9.</w:t>
      </w:r>
      <w:r w:rsidR="00F56682" w:rsidRPr="00866089">
        <w:tab/>
      </w:r>
      <w:r w:rsidRPr="00866089">
        <w:t>PGW Exhibit 3 is a copy of two pages of correspondence from PGW to Complainant dated May 9, 2013.  PGW Ex. 3; Tr. 14.</w:t>
      </w:r>
    </w:p>
    <w:p w:rsidR="00107552" w:rsidRPr="00866089" w:rsidRDefault="00107552" w:rsidP="00E21F22">
      <w:pPr>
        <w:jc w:val="left"/>
      </w:pPr>
    </w:p>
    <w:p w:rsidR="00615256" w:rsidRPr="00866089" w:rsidRDefault="00107552" w:rsidP="00E21F22">
      <w:pPr>
        <w:jc w:val="left"/>
      </w:pPr>
      <w:r w:rsidRPr="00866089">
        <w:tab/>
      </w:r>
      <w:r w:rsidRPr="00866089">
        <w:tab/>
      </w:r>
      <w:r w:rsidR="00F56682" w:rsidRPr="00866089">
        <w:t>10.</w:t>
      </w:r>
      <w:r w:rsidR="00F56682" w:rsidRPr="00866089">
        <w:tab/>
      </w:r>
      <w:r w:rsidRPr="00866089">
        <w:t>PGW Exhibit 4 is a copy of the BCS informal decision at Case No. 3096858 dated Augu</w:t>
      </w:r>
      <w:r w:rsidR="001A28C0">
        <w:t>st 21, 2013.  PGW Ex. 4; Tr. 15.</w:t>
      </w:r>
    </w:p>
    <w:p w:rsidR="004339F3" w:rsidRPr="00866089" w:rsidRDefault="004339F3" w:rsidP="00E21F22">
      <w:pPr>
        <w:jc w:val="left"/>
      </w:pPr>
    </w:p>
    <w:p w:rsidR="004339F3" w:rsidRPr="00866089" w:rsidRDefault="004339F3" w:rsidP="00E21F22">
      <w:pPr>
        <w:jc w:val="left"/>
      </w:pPr>
      <w:r w:rsidRPr="00866089">
        <w:tab/>
      </w:r>
      <w:r w:rsidRPr="00866089">
        <w:tab/>
      </w:r>
      <w:r w:rsidR="00F56682" w:rsidRPr="00866089">
        <w:t>11.</w:t>
      </w:r>
      <w:r w:rsidR="00F56682" w:rsidRPr="00866089">
        <w:tab/>
      </w:r>
      <w:r w:rsidRPr="00866089">
        <w:t>The usage readings were obtained from an automatic meter reader device, meaning that each bill is for actual usage, and none were estimated.  Tr. 17.</w:t>
      </w:r>
    </w:p>
    <w:p w:rsidR="004339F3" w:rsidRPr="00866089" w:rsidRDefault="004339F3" w:rsidP="00E21F22">
      <w:pPr>
        <w:jc w:val="left"/>
      </w:pPr>
    </w:p>
    <w:p w:rsidR="004339F3" w:rsidRPr="00866089" w:rsidRDefault="004339F3" w:rsidP="00E21F22">
      <w:pPr>
        <w:jc w:val="left"/>
      </w:pPr>
      <w:r w:rsidRPr="00866089">
        <w:tab/>
      </w:r>
      <w:r w:rsidRPr="00866089">
        <w:tab/>
      </w:r>
      <w:r w:rsidR="00F56682" w:rsidRPr="00866089">
        <w:t>12.</w:t>
      </w:r>
      <w:r w:rsidR="00F56682" w:rsidRPr="00866089">
        <w:tab/>
      </w:r>
      <w:r w:rsidRPr="00866089">
        <w:t>PGW generated a bill on February 14, 2013, for four days totaling $5</w:t>
      </w:r>
      <w:r w:rsidR="00697756">
        <w:t>6</w:t>
      </w:r>
      <w:r w:rsidRPr="00866089">
        <w:t>.</w:t>
      </w:r>
      <w:r w:rsidR="00697756">
        <w:t>68</w:t>
      </w:r>
      <w:r w:rsidRPr="00866089">
        <w:t xml:space="preserve"> for 33 CCF of use.  Tr. 18; PGW Ex. 1.</w:t>
      </w:r>
    </w:p>
    <w:p w:rsidR="004339F3" w:rsidRPr="00866089" w:rsidRDefault="004339F3" w:rsidP="00E21F22">
      <w:pPr>
        <w:jc w:val="left"/>
      </w:pPr>
    </w:p>
    <w:p w:rsidR="004339F3" w:rsidRPr="00866089" w:rsidRDefault="004339F3" w:rsidP="00E21F22">
      <w:pPr>
        <w:jc w:val="left"/>
      </w:pPr>
      <w:r w:rsidRPr="00866089">
        <w:tab/>
      </w:r>
      <w:r w:rsidRPr="00866089">
        <w:tab/>
      </w:r>
      <w:r w:rsidR="00F56682" w:rsidRPr="00866089">
        <w:t>13.</w:t>
      </w:r>
      <w:r w:rsidR="00F56682" w:rsidRPr="00866089">
        <w:tab/>
      </w:r>
      <w:r w:rsidRPr="00866089">
        <w:t>Complainant did not tender payment for t</w:t>
      </w:r>
      <w:r w:rsidR="001468AD">
        <w:t>he February 14, 2013 bill.  Tr. </w:t>
      </w:r>
      <w:r w:rsidRPr="00866089">
        <w:t>18; PGW Ex. 1.</w:t>
      </w:r>
    </w:p>
    <w:p w:rsidR="004339F3" w:rsidRPr="00866089" w:rsidRDefault="004339F3" w:rsidP="00E21F22">
      <w:pPr>
        <w:jc w:val="left"/>
      </w:pPr>
    </w:p>
    <w:p w:rsidR="004339F3" w:rsidRPr="00866089" w:rsidRDefault="004339F3" w:rsidP="00E21F22">
      <w:pPr>
        <w:jc w:val="left"/>
      </w:pPr>
      <w:r w:rsidRPr="00866089">
        <w:lastRenderedPageBreak/>
        <w:tab/>
      </w:r>
      <w:r w:rsidRPr="00866089">
        <w:tab/>
      </w:r>
      <w:r w:rsidR="00F56682" w:rsidRPr="00866089">
        <w:t>14.</w:t>
      </w:r>
      <w:r w:rsidR="00F56682" w:rsidRPr="00866089">
        <w:tab/>
      </w:r>
      <w:r w:rsidRPr="00866089">
        <w:t>PGW generated a bill on March 14, 2013, for 29 days for 228 CCF of gas for $357.50, bringing the total amount due to $409.19.  Tr. 18; PGW Ex. 1.</w:t>
      </w:r>
    </w:p>
    <w:p w:rsidR="004339F3" w:rsidRPr="00866089" w:rsidRDefault="004339F3" w:rsidP="00E21F22">
      <w:pPr>
        <w:jc w:val="left"/>
      </w:pPr>
    </w:p>
    <w:p w:rsidR="004339F3" w:rsidRPr="00866089" w:rsidRDefault="004339F3" w:rsidP="00E21F22">
      <w:pPr>
        <w:jc w:val="left"/>
      </w:pPr>
      <w:r w:rsidRPr="00866089">
        <w:tab/>
      </w:r>
      <w:r w:rsidRPr="00866089">
        <w:tab/>
      </w:r>
      <w:r w:rsidR="00F56682" w:rsidRPr="00866089">
        <w:t>15.</w:t>
      </w:r>
      <w:r w:rsidR="00F56682" w:rsidRPr="00866089">
        <w:tab/>
      </w:r>
      <w:r w:rsidRPr="00866089">
        <w:t>On April 13, 2013, PGW generated a bill for 29 days for $132.62 for 81 CCF of gas which, when added to the prior unpaid amount, brought the total arrears to $547.17.  Tr. 18; PGW Ex. 1.</w:t>
      </w:r>
    </w:p>
    <w:p w:rsidR="004339F3" w:rsidRPr="00866089" w:rsidRDefault="004339F3" w:rsidP="00E21F22">
      <w:pPr>
        <w:jc w:val="left"/>
      </w:pPr>
    </w:p>
    <w:p w:rsidR="004339F3" w:rsidRPr="00866089" w:rsidRDefault="004339F3" w:rsidP="00E21F22">
      <w:pPr>
        <w:jc w:val="left"/>
      </w:pPr>
      <w:r w:rsidRPr="00866089">
        <w:tab/>
      </w:r>
      <w:r w:rsidRPr="00866089">
        <w:tab/>
      </w:r>
      <w:r w:rsidR="00F56682" w:rsidRPr="00866089">
        <w:t>16.</w:t>
      </w:r>
      <w:r w:rsidR="00F56682" w:rsidRPr="00866089">
        <w:tab/>
      </w:r>
      <w:r w:rsidRPr="00866089">
        <w:t>Having received no payment, PGW added a late charge of $8.11, bringing the account balance to $555.28</w:t>
      </w:r>
      <w:r w:rsidR="00904667" w:rsidRPr="00866089">
        <w:t xml:space="preserve"> on May 14, 2013</w:t>
      </w:r>
      <w:r w:rsidRPr="00866089">
        <w:t>.  Tr. 18; PGW Ex. 1.</w:t>
      </w:r>
    </w:p>
    <w:p w:rsidR="00904667" w:rsidRPr="00866089" w:rsidRDefault="00904667" w:rsidP="00E21F22">
      <w:pPr>
        <w:jc w:val="left"/>
      </w:pPr>
    </w:p>
    <w:p w:rsidR="00904667" w:rsidRPr="00866089" w:rsidRDefault="00904667" w:rsidP="00E21F22">
      <w:pPr>
        <w:jc w:val="left"/>
      </w:pPr>
      <w:r w:rsidRPr="00866089">
        <w:tab/>
      </w:r>
      <w:r w:rsidRPr="00866089">
        <w:tab/>
      </w:r>
      <w:r w:rsidR="00F56682" w:rsidRPr="00866089">
        <w:t>17.</w:t>
      </w:r>
      <w:r w:rsidR="00F56682" w:rsidRPr="00866089">
        <w:tab/>
      </w:r>
      <w:r w:rsidRPr="00866089">
        <w:t>Also on May 14, 2013, PGW generated a bill for 29 days for 111 CCF of gas for a total of $183.18, which, when added to the prior unpaid amount, brought the total arrears to $738.46.  Tr. 19; PGW Ex. 1.</w:t>
      </w:r>
    </w:p>
    <w:p w:rsidR="00904667" w:rsidRPr="00866089" w:rsidRDefault="00904667" w:rsidP="00E21F22">
      <w:pPr>
        <w:jc w:val="left"/>
      </w:pPr>
    </w:p>
    <w:p w:rsidR="00904667" w:rsidRPr="00866089" w:rsidRDefault="00904667" w:rsidP="00E21F22">
      <w:pPr>
        <w:jc w:val="left"/>
      </w:pPr>
      <w:r w:rsidRPr="00866089">
        <w:tab/>
      </w:r>
      <w:r w:rsidRPr="00866089">
        <w:tab/>
      </w:r>
      <w:r w:rsidR="00F56682" w:rsidRPr="00866089">
        <w:t>18.</w:t>
      </w:r>
      <w:r w:rsidR="00F56682" w:rsidRPr="00866089">
        <w:tab/>
      </w:r>
      <w:r w:rsidRPr="00866089">
        <w:t>Bills were generated on June 12, 2013 for $22.66; July 13, 2013 for $21.15; August 12, 2013 for $19.97; September 12, 2013 for $22.82; and October 12, 2013 for $21.05; and November 12, 2013 for $21.16.  Tr. 20; PGW Ex. 1</w:t>
      </w:r>
    </w:p>
    <w:p w:rsidR="00904667" w:rsidRPr="00866089" w:rsidRDefault="00904667" w:rsidP="00E21F22">
      <w:pPr>
        <w:jc w:val="left"/>
      </w:pPr>
    </w:p>
    <w:p w:rsidR="00904667" w:rsidRPr="00866089" w:rsidRDefault="00904667" w:rsidP="00E21F22">
      <w:pPr>
        <w:jc w:val="left"/>
      </w:pPr>
      <w:r w:rsidRPr="00866089">
        <w:tab/>
      </w:r>
      <w:r w:rsidRPr="00866089">
        <w:tab/>
      </w:r>
      <w:r w:rsidR="00F56682" w:rsidRPr="00866089">
        <w:t>19.</w:t>
      </w:r>
      <w:r w:rsidR="00F56682" w:rsidRPr="00866089">
        <w:tab/>
      </w:r>
      <w:r w:rsidRPr="00866089">
        <w:t>The total outstanding bill, including late fees, on November 19, 2013, was $879.09.  Tr. 20.</w:t>
      </w:r>
    </w:p>
    <w:p w:rsidR="00904667" w:rsidRPr="00866089" w:rsidRDefault="00904667" w:rsidP="00E21F22">
      <w:pPr>
        <w:jc w:val="left"/>
      </w:pPr>
    </w:p>
    <w:p w:rsidR="00364084" w:rsidRPr="00866089" w:rsidRDefault="00904667" w:rsidP="00E21F22">
      <w:pPr>
        <w:jc w:val="left"/>
      </w:pPr>
      <w:r w:rsidRPr="00866089">
        <w:tab/>
      </w:r>
      <w:r w:rsidRPr="00866089">
        <w:tab/>
      </w:r>
      <w:r w:rsidR="00F56682" w:rsidRPr="00866089">
        <w:t>20.</w:t>
      </w:r>
      <w:r w:rsidR="00F56682" w:rsidRPr="00866089">
        <w:tab/>
      </w:r>
      <w:r w:rsidR="00364084" w:rsidRPr="00866089">
        <w:t>Complainant contacted PGW on April 15, 2013, to register a dispute regarding the amount of usage for which he was billed.  Tr. 21; PGW 2.</w:t>
      </w:r>
    </w:p>
    <w:p w:rsidR="00364084" w:rsidRPr="00866089" w:rsidRDefault="00364084" w:rsidP="00E21F22">
      <w:pPr>
        <w:jc w:val="left"/>
      </w:pPr>
    </w:p>
    <w:p w:rsidR="00904667" w:rsidRPr="00866089" w:rsidRDefault="00364084" w:rsidP="00E21F22">
      <w:pPr>
        <w:jc w:val="left"/>
      </w:pPr>
      <w:r w:rsidRPr="00866089">
        <w:tab/>
      </w:r>
      <w:r w:rsidRPr="00866089">
        <w:tab/>
      </w:r>
      <w:r w:rsidR="00F56682" w:rsidRPr="00866089">
        <w:t>21.</w:t>
      </w:r>
      <w:r w:rsidR="00F56682" w:rsidRPr="00866089">
        <w:tab/>
      </w:r>
      <w:r w:rsidRPr="00866089">
        <w:t>PGW instituted the dispute and investigated the complaint and closed it on May 9, 2013 with the finding that the amount of usage was justified and the bill was correct as rendered.  Tr. 21; PGW Exs. 2 and 3.</w:t>
      </w:r>
    </w:p>
    <w:p w:rsidR="00364084" w:rsidRPr="00866089" w:rsidRDefault="00364084" w:rsidP="00E21F22">
      <w:pPr>
        <w:jc w:val="left"/>
      </w:pPr>
    </w:p>
    <w:p w:rsidR="00364084" w:rsidRPr="00866089" w:rsidRDefault="00364084" w:rsidP="00E21F22">
      <w:pPr>
        <w:jc w:val="left"/>
      </w:pPr>
      <w:r w:rsidRPr="00866089">
        <w:tab/>
      </w:r>
      <w:r w:rsidRPr="00866089">
        <w:tab/>
      </w:r>
      <w:r w:rsidR="00F56682" w:rsidRPr="00866089">
        <w:t>22.</w:t>
      </w:r>
      <w:r w:rsidR="00F56682" w:rsidRPr="00866089">
        <w:tab/>
      </w:r>
      <w:r w:rsidRPr="00866089">
        <w:t>On May 9, 2013, PGW received the informal complaint filed by Complainant with the Commission's BCS.  Tr. 21; PGW Ex. 2.</w:t>
      </w:r>
    </w:p>
    <w:p w:rsidR="00364084" w:rsidRPr="00866089" w:rsidRDefault="00364084" w:rsidP="00E21F22">
      <w:pPr>
        <w:jc w:val="left"/>
      </w:pPr>
    </w:p>
    <w:p w:rsidR="00E21F22" w:rsidRPr="00866089" w:rsidRDefault="00364084" w:rsidP="00E21F22">
      <w:pPr>
        <w:jc w:val="left"/>
      </w:pPr>
      <w:r w:rsidRPr="00866089">
        <w:lastRenderedPageBreak/>
        <w:tab/>
      </w:r>
      <w:r w:rsidRPr="00866089">
        <w:tab/>
      </w:r>
      <w:r w:rsidR="00F56682" w:rsidRPr="00866089">
        <w:t>23.</w:t>
      </w:r>
      <w:r w:rsidR="00F56682" w:rsidRPr="00866089">
        <w:tab/>
      </w:r>
      <w:r w:rsidRPr="00866089">
        <w:t>On June 11, 2013, PGW sent a report to BCS stating that the billing and usage were correct and recommending that Complainant request a meter test.  Tr. 21-22; PGW Ex. 2.</w:t>
      </w:r>
    </w:p>
    <w:p w:rsidR="00E21F22" w:rsidRPr="00866089" w:rsidRDefault="00E21F22" w:rsidP="00E21F22">
      <w:pPr>
        <w:jc w:val="left"/>
      </w:pPr>
    </w:p>
    <w:p w:rsidR="00E21F22" w:rsidRPr="00866089" w:rsidRDefault="00B65C84" w:rsidP="00B65C84">
      <w:pPr>
        <w:rPr>
          <w:u w:val="single"/>
        </w:rPr>
      </w:pPr>
      <w:r w:rsidRPr="00866089">
        <w:rPr>
          <w:u w:val="single"/>
        </w:rPr>
        <w:t>DISCUSSION</w:t>
      </w:r>
    </w:p>
    <w:p w:rsidR="00B65C84" w:rsidRPr="00866089" w:rsidRDefault="00B65C84" w:rsidP="00B65C84">
      <w:pPr>
        <w:rPr>
          <w:u w:val="single"/>
        </w:rPr>
      </w:pPr>
    </w:p>
    <w:p w:rsidR="00F56682" w:rsidRPr="00866089" w:rsidRDefault="00F56682" w:rsidP="00876F23">
      <w:pPr>
        <w:jc w:val="left"/>
      </w:pPr>
      <w:r w:rsidRPr="00866089">
        <w:tab/>
      </w:r>
      <w:r w:rsidRPr="00866089">
        <w:tab/>
        <w:t>Complainant alleges that the gas bills for the first two full billing cycles that he received for a house just purchased were too high to be accurate.</w:t>
      </w:r>
    </w:p>
    <w:p w:rsidR="00F56682" w:rsidRPr="00866089" w:rsidRDefault="00F56682" w:rsidP="00876F23">
      <w:pPr>
        <w:jc w:val="left"/>
      </w:pPr>
      <w:r w:rsidRPr="00866089">
        <w:tab/>
      </w:r>
      <w:r w:rsidRPr="00866089">
        <w:tab/>
      </w:r>
    </w:p>
    <w:p w:rsidR="00876F23" w:rsidRPr="00866089" w:rsidRDefault="00F56682" w:rsidP="00876F23">
      <w:pPr>
        <w:jc w:val="left"/>
      </w:pPr>
      <w:r w:rsidRPr="00866089">
        <w:tab/>
      </w:r>
      <w:r w:rsidRPr="00866089">
        <w:tab/>
      </w:r>
      <w:r w:rsidR="00876F23" w:rsidRPr="00866089">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00876F23" w:rsidRPr="00866089">
        <w:rPr>
          <w:i/>
        </w:rPr>
        <w:t xml:space="preserve">Patterson v. Bell Tel. Co. of PA, </w:t>
      </w:r>
      <w:r w:rsidR="00795269">
        <w:t>72 Pa.</w:t>
      </w:r>
      <w:r w:rsidR="00697756">
        <w:t xml:space="preserve"> </w:t>
      </w:r>
      <w:r w:rsidR="00795269">
        <w:t>PUC</w:t>
      </w:r>
      <w:r w:rsidR="00876F23" w:rsidRPr="00866089">
        <w:t xml:space="preserve"> 196 (1990); </w:t>
      </w:r>
      <w:r w:rsidR="00876F23" w:rsidRPr="00866089">
        <w:rPr>
          <w:i/>
        </w:rPr>
        <w:t>Feinstein v</w:t>
      </w:r>
      <w:r w:rsidR="00795269">
        <w:rPr>
          <w:i/>
        </w:rPr>
        <w:t>. Phila. Suburban Water Co., </w:t>
      </w:r>
      <w:r w:rsidR="00876F23" w:rsidRPr="00866089">
        <w:t>50 Pa.</w:t>
      </w:r>
      <w:r w:rsidR="00795269">
        <w:t xml:space="preserve"> PUC</w:t>
      </w:r>
      <w:r w:rsidR="00876F23" w:rsidRPr="00866089">
        <w:t xml:space="preserve"> 300 (1976).  This must be shown by a p</w:t>
      </w:r>
      <w:r w:rsidR="00795269">
        <w:t xml:space="preserve">reponderance of the evidence.  </w:t>
      </w:r>
      <w:r w:rsidR="00876F23" w:rsidRPr="00866089">
        <w:rPr>
          <w:i/>
        </w:rPr>
        <w:t xml:space="preserve">Samuel J. Lansberry, Inc. v. Pa. Pub. Util. Comm'n, </w:t>
      </w:r>
      <w:r w:rsidR="00876F23" w:rsidRPr="00866089">
        <w:t xml:space="preserve">578 A.2d 600 (1990), </w:t>
      </w:r>
      <w:r w:rsidR="00876F23" w:rsidRPr="00866089">
        <w:rPr>
          <w:i/>
        </w:rPr>
        <w:t>alloc, denied</w:t>
      </w:r>
      <w:r w:rsidR="00876F23" w:rsidRPr="00866089">
        <w:t xml:space="preserve">, 602 A.2d 863 (1992).  A preponderance of evidence is that which is more convincing, by even the smallest amount, than that presented by the other party.  </w:t>
      </w:r>
      <w:r w:rsidR="00876F23" w:rsidRPr="00866089">
        <w:rPr>
          <w:i/>
        </w:rPr>
        <w:t>Se-Ling Hosiery v. Margulies,</w:t>
      </w:r>
      <w:r w:rsidR="00876F23" w:rsidRPr="00866089">
        <w:t xml:space="preserve"> 70 A.2d 854 (1950).</w:t>
      </w:r>
    </w:p>
    <w:p w:rsidR="00876F23" w:rsidRPr="00866089" w:rsidRDefault="00876F23" w:rsidP="00876F23">
      <w:pPr>
        <w:jc w:val="left"/>
      </w:pPr>
    </w:p>
    <w:p w:rsidR="00876F23" w:rsidRPr="00866089" w:rsidRDefault="00876F23" w:rsidP="00876F23">
      <w:pPr>
        <w:jc w:val="left"/>
      </w:pPr>
      <w:r w:rsidRPr="00866089">
        <w:tab/>
      </w:r>
      <w:r w:rsidRPr="00866089">
        <w:tab/>
        <w:t xml:space="preserve">Additionally, any finding of fact necessary to support the Commission's adjudication must be based upon substantial evidence.  </w:t>
      </w:r>
      <w:r w:rsidRPr="00866089">
        <w:rPr>
          <w:i/>
        </w:rPr>
        <w:t>Mill v. Pa. Pub. Util. Comm'n</w:t>
      </w:r>
      <w:r w:rsidR="0062682E">
        <w:t>, 447 A.2d </w:t>
      </w:r>
      <w:r w:rsidRPr="00866089">
        <w:t xml:space="preserve">1100 (Pa.Cmwlth. 1982); </w:t>
      </w:r>
      <w:r w:rsidRPr="00866089">
        <w:rPr>
          <w:i/>
        </w:rPr>
        <w:t xml:space="preserve">Edan Transportation Corp. v. Pa. Pub. Util. Comm'n, </w:t>
      </w:r>
      <w:r w:rsidRPr="00866089">
        <w:t xml:space="preserve">623 A.2d 6 (Pa. Cmwlth. 1993); 2 Pa.C.S. § 704.  More is required than a mere trace of evidence or a suspicion of the existence of a fact sought to be established.  </w:t>
      </w:r>
      <w:r w:rsidRPr="00866089">
        <w:rPr>
          <w:i/>
        </w:rPr>
        <w:t xml:space="preserve">Norfolk and Western Ry. v. Pa. Pub. Util. Comm'n, </w:t>
      </w:r>
      <w:r w:rsidRPr="00866089">
        <w:t xml:space="preserve">489 Pa. 109, 413 A.2d 1037 (1980); </w:t>
      </w:r>
      <w:r w:rsidRPr="00866089">
        <w:rPr>
          <w:i/>
        </w:rPr>
        <w:t xml:space="preserve">Erie Resistor Corp. v. Unemployment Compensation Bd. Of Review, </w:t>
      </w:r>
      <w:r w:rsidRPr="00866089">
        <w:t xml:space="preserve">166 A.2d 96 (Pa.Super. 1960); </w:t>
      </w:r>
      <w:r w:rsidRPr="00866089">
        <w:rPr>
          <w:i/>
        </w:rPr>
        <w:t xml:space="preserve">Murphy v. Dep't. of Public Welfare, White Haven Center, </w:t>
      </w:r>
      <w:r w:rsidRPr="00866089">
        <w:t>480 A.2d 382 (Pa. Cmwlth. 1984).</w:t>
      </w:r>
    </w:p>
    <w:p w:rsidR="00876F23" w:rsidRPr="00866089" w:rsidRDefault="00876F23" w:rsidP="00876F23">
      <w:pPr>
        <w:jc w:val="left"/>
      </w:pPr>
    </w:p>
    <w:p w:rsidR="00876F23" w:rsidRPr="00866089" w:rsidRDefault="00876F23" w:rsidP="00876F23">
      <w:pPr>
        <w:jc w:val="left"/>
      </w:pPr>
      <w:r w:rsidRPr="00866089">
        <w:tab/>
      </w:r>
      <w:r w:rsidRPr="00866089">
        <w:tab/>
        <w:t>The offense must be a violation of the Public Utility Code, the Commission's regulations, or an outstanding order of the Commission.  66 Pa.C.S. § 701.</w:t>
      </w:r>
    </w:p>
    <w:p w:rsidR="00F56682" w:rsidRPr="00866089" w:rsidRDefault="00F56682" w:rsidP="00876F23">
      <w:pPr>
        <w:jc w:val="left"/>
      </w:pPr>
    </w:p>
    <w:p w:rsidR="00876F23" w:rsidRPr="00866089" w:rsidRDefault="00F56682" w:rsidP="00F56682">
      <w:pPr>
        <w:jc w:val="left"/>
      </w:pPr>
      <w:r w:rsidRPr="00866089">
        <w:lastRenderedPageBreak/>
        <w:tab/>
      </w:r>
      <w:r w:rsidRPr="00866089">
        <w:tab/>
        <w:t xml:space="preserve">This means that the Complainant must submit sufficient evidence to establish a </w:t>
      </w:r>
      <w:r w:rsidRPr="00033457">
        <w:rPr>
          <w:i/>
        </w:rPr>
        <w:t>prima facie</w:t>
      </w:r>
      <w:r w:rsidRPr="00866089">
        <w:t xml:space="preserve"> case that PGW overcharged his account.  If he does that, </w:t>
      </w:r>
      <w:r w:rsidR="00876F23" w:rsidRPr="00866089">
        <w:t xml:space="preserve">the burden of going forward with the evidence, sometimes called the burden of persuasion, to rebut the evidence of the Complainant shifts to the Respondent.  If the evidence presented by the Respondent is of co-equal weight, the Complainant has not satisfied the burden of proof.  The Complainant now has to provide some additional evidence to rebut the evidence of the Respondent. </w:t>
      </w:r>
      <w:r w:rsidR="00876F23" w:rsidRPr="00866089">
        <w:rPr>
          <w:iCs/>
        </w:rPr>
        <w:t xml:space="preserve"> </w:t>
      </w:r>
      <w:hyperlink r:id="rId8" w:history="1">
        <w:r w:rsidR="00876F23" w:rsidRPr="00866089">
          <w:rPr>
            <w:rFonts w:eastAsiaTheme="majorEastAsia"/>
            <w:i/>
            <w:iCs/>
          </w:rPr>
          <w:t>Burleson v. Pa. P</w:t>
        </w:r>
        <w:r w:rsidR="00697756">
          <w:rPr>
            <w:rFonts w:eastAsiaTheme="majorEastAsia"/>
            <w:i/>
            <w:iCs/>
          </w:rPr>
          <w:t>ub. Util. Comm'n</w:t>
        </w:r>
        <w:r w:rsidR="00876F23" w:rsidRPr="00866089">
          <w:rPr>
            <w:rFonts w:eastAsiaTheme="majorEastAsia"/>
            <w:iCs/>
          </w:rPr>
          <w:t xml:space="preserve">, 443 A.2d 1373 (Pa. Cmwlth. 1982), </w:t>
        </w:r>
        <w:r w:rsidR="00876F23" w:rsidRPr="00866089">
          <w:rPr>
            <w:rFonts w:eastAsiaTheme="majorEastAsia"/>
            <w:i/>
            <w:iCs/>
          </w:rPr>
          <w:t>aff’d</w:t>
        </w:r>
        <w:r w:rsidR="00876F23" w:rsidRPr="00866089">
          <w:rPr>
            <w:rFonts w:eastAsiaTheme="majorEastAsia"/>
            <w:iCs/>
          </w:rPr>
          <w:t>, 501 Pa. 433, 461 A.2d 1234 (1983).</w:t>
        </w:r>
      </w:hyperlink>
      <w:r w:rsidR="00876F23" w:rsidRPr="00866089">
        <w:rPr>
          <w:rFonts w:eastAsiaTheme="majorEastAsia"/>
          <w:iCs/>
        </w:rPr>
        <w:t xml:space="preserve">  </w:t>
      </w:r>
      <w:r w:rsidR="00876F23" w:rsidRPr="00866089">
        <w:t xml:space="preserve">While the burden of persuasion may </w:t>
      </w:r>
      <w:r w:rsidR="00876F23" w:rsidRPr="00866089">
        <w:rPr>
          <w:rFonts w:eastAsiaTheme="majorEastAsia"/>
        </w:rPr>
        <w:t>shift</w:t>
      </w:r>
      <w:r w:rsidR="00876F23" w:rsidRPr="00866089">
        <w:t xml:space="preserve"> back and forth during a proceeding, the </w:t>
      </w:r>
      <w:r w:rsidR="00876F23" w:rsidRPr="00866089">
        <w:rPr>
          <w:rFonts w:eastAsiaTheme="majorEastAsia"/>
        </w:rPr>
        <w:t>burden of proof</w:t>
      </w:r>
      <w:r w:rsidR="00876F23" w:rsidRPr="00866089">
        <w:t xml:space="preserve"> never </w:t>
      </w:r>
      <w:r w:rsidR="00876F23" w:rsidRPr="00866089">
        <w:rPr>
          <w:rFonts w:eastAsiaTheme="majorEastAsia"/>
        </w:rPr>
        <w:t>shifts.  The burden of proof</w:t>
      </w:r>
      <w:r w:rsidR="00876F23" w:rsidRPr="00866089">
        <w:t xml:space="preserve"> always remains on the party seeking affirmative relief from the Commission.  </w:t>
      </w:r>
      <w:r w:rsidR="00876F23" w:rsidRPr="00866089">
        <w:rPr>
          <w:i/>
        </w:rPr>
        <w:t>Milkie v. Pa. P</w:t>
      </w:r>
      <w:r w:rsidR="00697756">
        <w:rPr>
          <w:i/>
        </w:rPr>
        <w:t xml:space="preserve">ub. </w:t>
      </w:r>
      <w:r w:rsidR="00876F23" w:rsidRPr="00866089">
        <w:rPr>
          <w:i/>
        </w:rPr>
        <w:t>U</w:t>
      </w:r>
      <w:r w:rsidR="00697756">
        <w:rPr>
          <w:i/>
        </w:rPr>
        <w:t xml:space="preserve">til. </w:t>
      </w:r>
      <w:r w:rsidR="00876F23" w:rsidRPr="00866089">
        <w:rPr>
          <w:i/>
        </w:rPr>
        <w:t>C</w:t>
      </w:r>
      <w:r w:rsidR="00697756">
        <w:rPr>
          <w:i/>
        </w:rPr>
        <w:t>omm'n</w:t>
      </w:r>
      <w:r w:rsidR="00876F23" w:rsidRPr="00866089">
        <w:rPr>
          <w:i/>
        </w:rPr>
        <w:t xml:space="preserve">, </w:t>
      </w:r>
      <w:r w:rsidR="00876F23" w:rsidRPr="00866089">
        <w:t>768 A.2d 1217 (Pa. Cmwlth. 2001).</w:t>
      </w:r>
    </w:p>
    <w:p w:rsidR="00876F23" w:rsidRPr="00866089" w:rsidRDefault="00876F23" w:rsidP="00876F23">
      <w:pPr>
        <w:jc w:val="left"/>
      </w:pPr>
    </w:p>
    <w:p w:rsidR="00876F23" w:rsidRPr="00866089" w:rsidRDefault="00876F23" w:rsidP="00876F23">
      <w:pPr>
        <w:ind w:firstLine="1440"/>
        <w:jc w:val="left"/>
      </w:pPr>
      <w:r w:rsidRPr="00866089">
        <w:t xml:space="preserve">The burden of proof for “high bill” complaints has been explained in </w:t>
      </w:r>
      <w:r w:rsidRPr="00866089">
        <w:rPr>
          <w:i/>
        </w:rPr>
        <w:t>Waldron v. Philadelphia Electric Company</w:t>
      </w:r>
      <w:r w:rsidR="006A6DA2">
        <w:t>, 54 Pa. PUC</w:t>
      </w:r>
      <w:r w:rsidRPr="00866089">
        <w:t xml:space="preserve"> 98 (1980), and its progeny.  In </w:t>
      </w:r>
      <w:r w:rsidRPr="00866089">
        <w:rPr>
          <w:i/>
        </w:rPr>
        <w:t>Waldron</w:t>
      </w:r>
      <w:r w:rsidRPr="00866089">
        <w:t xml:space="preserve">, the Commission adopted the Michigan Public Service Commission’s (PSC’s) policy annunciated in </w:t>
      </w:r>
      <w:r w:rsidRPr="00866089">
        <w:rPr>
          <w:i/>
        </w:rPr>
        <w:t>Hallifax v. O &amp; A Electric Co-Op</w:t>
      </w:r>
      <w:r w:rsidRPr="00866089">
        <w:t>, Case No. U-5825, May 1979,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w:t>
      </w:r>
      <w:r w:rsidR="002A75A9">
        <w:t>he complaint proceeding.</w:t>
      </w:r>
      <w:r w:rsidRPr="00866089">
        <w:t xml:space="preserve">  </w:t>
      </w:r>
      <w:r w:rsidRPr="00866089">
        <w:rPr>
          <w:i/>
        </w:rPr>
        <w:t>Waldron</w:t>
      </w:r>
      <w:r w:rsidRPr="00866089">
        <w:t xml:space="preserve"> at 100.</w:t>
      </w:r>
    </w:p>
    <w:p w:rsidR="00876F23" w:rsidRPr="00866089" w:rsidRDefault="00876F23" w:rsidP="00876F23">
      <w:pPr>
        <w:ind w:firstLine="1440"/>
        <w:jc w:val="left"/>
      </w:pPr>
    </w:p>
    <w:p w:rsidR="00876F23" w:rsidRPr="00866089" w:rsidRDefault="00876F23" w:rsidP="00876F23">
      <w:pPr>
        <w:ind w:firstLine="720"/>
        <w:jc w:val="left"/>
      </w:pPr>
      <w:r w:rsidRPr="00866089">
        <w:rPr>
          <w:b/>
        </w:rPr>
        <w:tab/>
      </w:r>
      <w:r w:rsidRPr="00866089">
        <w:t>C</w:t>
      </w:r>
      <w:r w:rsidRPr="00866089">
        <w:rPr>
          <w:color w:val="000000"/>
        </w:rPr>
        <w:t xml:space="preserve">onsistent with the Commission's holding in </w:t>
      </w:r>
      <w:r w:rsidRPr="00866089">
        <w:rPr>
          <w:i/>
          <w:color w:val="000000"/>
        </w:rPr>
        <w:t>Charisse Bennett v. Peoples Natural Gas Co.</w:t>
      </w:r>
      <w:r w:rsidRPr="00866089">
        <w:rPr>
          <w:color w:val="000000"/>
        </w:rPr>
        <w:t xml:space="preserve">, Docket No. C-2009-2122979 (Order entered October 13, 2010), the </w:t>
      </w:r>
      <w:r w:rsidRPr="00866089">
        <w:rPr>
          <w:i/>
          <w:color w:val="000000"/>
        </w:rPr>
        <w:t xml:space="preserve">Waldron </w:t>
      </w:r>
      <w:r w:rsidRPr="00866089">
        <w:rPr>
          <w:color w:val="000000"/>
        </w:rPr>
        <w:t xml:space="preserve">Rule allows a complainant to establish a </w:t>
      </w:r>
      <w:r w:rsidRPr="00203C25">
        <w:rPr>
          <w:i/>
          <w:color w:val="000000"/>
        </w:rPr>
        <w:t>prima facie</w:t>
      </w:r>
      <w:r w:rsidRPr="00866089">
        <w:rPr>
          <w:i/>
          <w:color w:val="000000"/>
        </w:rPr>
        <w:t xml:space="preserve"> </w:t>
      </w:r>
      <w:r w:rsidRPr="00866089">
        <w:rPr>
          <w:color w:val="000000"/>
        </w:rPr>
        <w:t>case in a “high bill” complaint by showing that the disputed bill is abnormally high when compared to prior usage patterns and his or her patt</w:t>
      </w:r>
      <w:r w:rsidR="00203C25">
        <w:rPr>
          <w:color w:val="000000"/>
        </w:rPr>
        <w:t xml:space="preserve">ern of usage has not changed or </w:t>
      </w:r>
      <w:r w:rsidRPr="00866089">
        <w:rPr>
          <w:color w:val="000000"/>
        </w:rPr>
        <w:t>by providing other rel</w:t>
      </w:r>
      <w:r w:rsidR="00203C25">
        <w:rPr>
          <w:color w:val="000000"/>
        </w:rPr>
        <w:t xml:space="preserve">evant evidence showing that the disputed bill is </w:t>
      </w:r>
      <w:r w:rsidRPr="00866089">
        <w:rPr>
          <w:color w:val="000000"/>
        </w:rPr>
        <w:t>unreasonably high.  In evaluating a “high bill” complaint,</w:t>
      </w:r>
      <w:r w:rsidRPr="00866089">
        <w:t xml:space="preserve"> the Commission may consider such evidence as “the billing history of the account, any change in usage patterns (such as a change in the number of occupants residing in the household or potential energy utilization), and</w:t>
      </w:r>
      <w:r w:rsidRPr="00866089">
        <w:rPr>
          <w:b/>
        </w:rPr>
        <w:t xml:space="preserve"> </w:t>
      </w:r>
      <w:r w:rsidRPr="00866089">
        <w:t xml:space="preserve">any other relevant facts or circumstances that come to light during the proceeding.”  </w:t>
      </w:r>
      <w:r w:rsidRPr="00866089">
        <w:rPr>
          <w:i/>
        </w:rPr>
        <w:t>Id.</w:t>
      </w:r>
      <w:r w:rsidRPr="00866089">
        <w:t xml:space="preserve"> at 6 (emphasis added).  </w:t>
      </w:r>
      <w:r w:rsidRPr="00866089">
        <w:rPr>
          <w:i/>
        </w:rPr>
        <w:t>See</w:t>
      </w:r>
      <w:r w:rsidRPr="00866089">
        <w:t xml:space="preserve"> </w:t>
      </w:r>
      <w:r w:rsidRPr="00866089">
        <w:rPr>
          <w:i/>
        </w:rPr>
        <w:t>Nehemiah B. Thomas v. PECO Energy Company</w:t>
      </w:r>
      <w:r w:rsidRPr="00866089">
        <w:t xml:space="preserve">, Docket No. C-2010-2187197 </w:t>
      </w:r>
      <w:r w:rsidRPr="00866089">
        <w:lastRenderedPageBreak/>
        <w:t xml:space="preserve">(Opinion and Order entered November 15, 2011)(holding that limiting the </w:t>
      </w:r>
      <w:r w:rsidRPr="00866089">
        <w:rPr>
          <w:i/>
        </w:rPr>
        <w:t>Waldron</w:t>
      </w:r>
      <w:r w:rsidRPr="00866089">
        <w:t xml:space="preserve"> Rule to the three factors is too limiting).</w:t>
      </w:r>
    </w:p>
    <w:p w:rsidR="00876F23" w:rsidRPr="00866089" w:rsidRDefault="00876F23" w:rsidP="00876F23">
      <w:pPr>
        <w:jc w:val="left"/>
      </w:pPr>
    </w:p>
    <w:p w:rsidR="00107552" w:rsidRPr="00866089" w:rsidRDefault="00F56682" w:rsidP="00B65C84">
      <w:pPr>
        <w:jc w:val="left"/>
      </w:pPr>
      <w:r w:rsidRPr="00866089">
        <w:tab/>
      </w:r>
      <w:r w:rsidRPr="00866089">
        <w:tab/>
      </w:r>
      <w:r w:rsidR="00B65C84" w:rsidRPr="00866089">
        <w:t>Complainant testified that he purchased the property in February, 2013</w:t>
      </w:r>
      <w:r w:rsidRPr="00866089">
        <w:t xml:space="preserve">.  </w:t>
      </w:r>
      <w:r w:rsidR="007A534A" w:rsidRPr="00866089">
        <w:t xml:space="preserve">No one lived in the house, and therefore, the "change in the number of occupants" factor is not useful here.  </w:t>
      </w:r>
      <w:r w:rsidRPr="00866089">
        <w:t xml:space="preserve">As he had purchased the house within the prior twelve month period, he did not have </w:t>
      </w:r>
      <w:r w:rsidR="007A534A" w:rsidRPr="00866089">
        <w:t>the bills from other years to use for comparison purposes.  He testified that d</w:t>
      </w:r>
      <w:r w:rsidR="00B65C84" w:rsidRPr="00866089">
        <w:t xml:space="preserve">uring the month of February, there were workmen in the house.  He testified </w:t>
      </w:r>
      <w:r w:rsidR="007A534A" w:rsidRPr="00866089">
        <w:t xml:space="preserve">further </w:t>
      </w:r>
      <w:r w:rsidR="00B65C84" w:rsidRPr="00866089">
        <w:t xml:space="preserve">that the first month's bill was for $300 to $400 and that the next month's bill was even higher even though the house was vacant and the temperature reduced.  He stated that he did not use the gas range during that time, and the gas water heater was not on after the workmen were finished.  </w:t>
      </w:r>
      <w:r w:rsidR="00107552" w:rsidRPr="00866089">
        <w:t>He believes that the bill for this time period was too high for the limited use of gas.</w:t>
      </w:r>
    </w:p>
    <w:p w:rsidR="00364084" w:rsidRPr="00866089" w:rsidRDefault="00364084" w:rsidP="00B65C84">
      <w:pPr>
        <w:jc w:val="left"/>
      </w:pPr>
    </w:p>
    <w:p w:rsidR="00E268BA" w:rsidRPr="00866089" w:rsidRDefault="00364084" w:rsidP="00B65C84">
      <w:pPr>
        <w:jc w:val="left"/>
      </w:pPr>
      <w:r w:rsidRPr="00866089">
        <w:tab/>
      </w:r>
      <w:r w:rsidRPr="00866089">
        <w:tab/>
      </w:r>
      <w:r w:rsidR="00E268BA" w:rsidRPr="00866089">
        <w:t>He offered no actual bill to substantiate his claim regarding the amount of the first month's bill.  PGW countered the claim with its Statement of Account, which reflects the following billing information:</w:t>
      </w:r>
    </w:p>
    <w:p w:rsidR="00E268BA" w:rsidRPr="00866089" w:rsidRDefault="00E268BA" w:rsidP="00B65C84">
      <w:pPr>
        <w:jc w:val="left"/>
      </w:pPr>
    </w:p>
    <w:p w:rsidR="00E268BA" w:rsidRPr="00866089" w:rsidRDefault="00E268BA" w:rsidP="00B65C84">
      <w:pPr>
        <w:jc w:val="left"/>
      </w:pPr>
      <w:r w:rsidRPr="00866089">
        <w:t>Billing date</w:t>
      </w:r>
      <w:r w:rsidRPr="00866089">
        <w:tab/>
        <w:t>days in cycle</w:t>
      </w:r>
      <w:r w:rsidRPr="00866089">
        <w:tab/>
        <w:t>CCF</w:t>
      </w:r>
      <w:r w:rsidRPr="00866089">
        <w:tab/>
        <w:t>heating DDDs</w:t>
      </w:r>
      <w:r w:rsidRPr="00866089">
        <w:tab/>
      </w:r>
      <w:r w:rsidRPr="00866089">
        <w:tab/>
        <w:t>Bill</w:t>
      </w:r>
      <w:r w:rsidRPr="00866089">
        <w:tab/>
      </w:r>
      <w:r w:rsidRPr="00866089">
        <w:tab/>
        <w:t>Total due</w:t>
      </w:r>
    </w:p>
    <w:p w:rsidR="00E268BA" w:rsidRPr="00866089" w:rsidRDefault="00E268BA" w:rsidP="00B65C84">
      <w:pPr>
        <w:jc w:val="left"/>
      </w:pPr>
      <w:r w:rsidRPr="00866089">
        <w:t>2/14/13</w:t>
      </w:r>
      <w:r w:rsidRPr="00866089">
        <w:tab/>
      </w:r>
      <w:r w:rsidRPr="00866089">
        <w:tab/>
        <w:t>4</w:t>
      </w:r>
      <w:r w:rsidRPr="00866089">
        <w:tab/>
        <w:t>33</w:t>
      </w:r>
      <w:r w:rsidRPr="00866089">
        <w:tab/>
      </w:r>
      <w:r w:rsidRPr="00866089">
        <w:tab/>
        <w:t>113</w:t>
      </w:r>
      <w:r w:rsidRPr="00866089">
        <w:tab/>
      </w:r>
      <w:r w:rsidRPr="00866089">
        <w:tab/>
        <w:t>$56.68</w:t>
      </w:r>
      <w:r w:rsidRPr="00866089">
        <w:tab/>
      </w:r>
      <w:r w:rsidRPr="00866089">
        <w:tab/>
        <w:t>$50.93</w:t>
      </w:r>
    </w:p>
    <w:p w:rsidR="00E268BA" w:rsidRPr="00866089" w:rsidRDefault="00E268BA" w:rsidP="00B65C84">
      <w:pPr>
        <w:jc w:val="left"/>
      </w:pPr>
      <w:r w:rsidRPr="00866089">
        <w:t>3/14/13</w:t>
      </w:r>
      <w:r w:rsidRPr="00866089">
        <w:tab/>
      </w:r>
      <w:r w:rsidRPr="00866089">
        <w:tab/>
        <w:t>29</w:t>
      </w:r>
      <w:r w:rsidRPr="00866089">
        <w:tab/>
        <w:t>228</w:t>
      </w:r>
      <w:r w:rsidRPr="00866089">
        <w:tab/>
      </w:r>
      <w:r w:rsidRPr="00866089">
        <w:tab/>
        <w:t>740</w:t>
      </w:r>
      <w:r w:rsidRPr="00866089">
        <w:tab/>
      </w:r>
      <w:r w:rsidRPr="00866089">
        <w:tab/>
        <w:t>$357.50</w:t>
      </w:r>
      <w:r w:rsidRPr="00866089">
        <w:tab/>
        <w:t>$409.19</w:t>
      </w:r>
    </w:p>
    <w:p w:rsidR="00E268BA" w:rsidRPr="00866089" w:rsidRDefault="00E268BA" w:rsidP="00B65C84">
      <w:pPr>
        <w:jc w:val="left"/>
      </w:pPr>
      <w:r w:rsidRPr="00866089">
        <w:t>4/13/13</w:t>
      </w:r>
      <w:r w:rsidRPr="00866089">
        <w:tab/>
      </w:r>
      <w:r w:rsidRPr="00866089">
        <w:tab/>
        <w:t>29</w:t>
      </w:r>
      <w:r w:rsidRPr="00866089">
        <w:tab/>
        <w:t>81</w:t>
      </w:r>
      <w:r w:rsidRPr="00866089">
        <w:tab/>
      </w:r>
      <w:r w:rsidRPr="00866089">
        <w:tab/>
        <w:t>566</w:t>
      </w:r>
      <w:r w:rsidRPr="00866089">
        <w:tab/>
      </w:r>
      <w:r w:rsidRPr="00866089">
        <w:tab/>
        <w:t>$132.62</w:t>
      </w:r>
      <w:r w:rsidRPr="00866089">
        <w:tab/>
        <w:t>$547.17</w:t>
      </w:r>
    </w:p>
    <w:p w:rsidR="00E268BA" w:rsidRPr="00866089" w:rsidRDefault="00E268BA" w:rsidP="00B65C84">
      <w:pPr>
        <w:jc w:val="left"/>
      </w:pPr>
      <w:r w:rsidRPr="00866089">
        <w:t>5/14/13</w:t>
      </w:r>
      <w:r w:rsidRPr="00866089">
        <w:tab/>
      </w:r>
      <w:r w:rsidRPr="00866089">
        <w:tab/>
        <w:t>29</w:t>
      </w:r>
      <w:r w:rsidRPr="00866089">
        <w:tab/>
        <w:t>111</w:t>
      </w:r>
      <w:r w:rsidRPr="00866089">
        <w:tab/>
      </w:r>
      <w:r w:rsidRPr="00866089">
        <w:tab/>
        <w:t>225</w:t>
      </w:r>
      <w:r w:rsidRPr="00866089">
        <w:tab/>
      </w:r>
      <w:r w:rsidRPr="00866089">
        <w:tab/>
        <w:t>$183.18</w:t>
      </w:r>
      <w:r w:rsidRPr="00866089">
        <w:tab/>
        <w:t>$738.46</w:t>
      </w:r>
    </w:p>
    <w:p w:rsidR="00E268BA" w:rsidRPr="00866089" w:rsidRDefault="001739C4" w:rsidP="00B65C84">
      <w:pPr>
        <w:jc w:val="left"/>
      </w:pPr>
      <w:r w:rsidRPr="00866089">
        <w:t>6/12/</w:t>
      </w:r>
      <w:r w:rsidR="00E268BA" w:rsidRPr="00866089">
        <w:t>13</w:t>
      </w:r>
      <w:r w:rsidR="00E268BA" w:rsidRPr="00866089">
        <w:tab/>
      </w:r>
      <w:r w:rsidR="00E268BA" w:rsidRPr="00866089">
        <w:tab/>
        <w:t>32</w:t>
      </w:r>
      <w:r w:rsidR="00E268BA" w:rsidRPr="00866089">
        <w:tab/>
        <w:t>7</w:t>
      </w:r>
      <w:r w:rsidR="00E268BA" w:rsidRPr="00866089">
        <w:tab/>
      </w:r>
      <w:r w:rsidR="00E268BA" w:rsidRPr="00866089">
        <w:tab/>
        <w:t>60</w:t>
      </w:r>
      <w:r w:rsidR="00E268BA" w:rsidRPr="00866089">
        <w:tab/>
      </w:r>
      <w:r w:rsidR="00E268BA" w:rsidRPr="00866089">
        <w:tab/>
        <w:t>$22.66</w:t>
      </w:r>
      <w:r w:rsidR="00E268BA" w:rsidRPr="00866089">
        <w:tab/>
      </w:r>
      <w:r w:rsidR="00E268BA" w:rsidRPr="00866089">
        <w:tab/>
        <w:t>$761.12</w:t>
      </w:r>
    </w:p>
    <w:p w:rsidR="00E268BA" w:rsidRPr="00866089" w:rsidRDefault="00E268BA" w:rsidP="00B65C84">
      <w:pPr>
        <w:jc w:val="left"/>
      </w:pPr>
      <w:r w:rsidRPr="00866089">
        <w:t>7/13/13</w:t>
      </w:r>
      <w:r w:rsidRPr="00866089">
        <w:tab/>
      </w:r>
      <w:r w:rsidRPr="00866089">
        <w:tab/>
        <w:t>30</w:t>
      </w:r>
      <w:r w:rsidRPr="00866089">
        <w:tab/>
        <w:t>6</w:t>
      </w:r>
      <w:r w:rsidRPr="00866089">
        <w:tab/>
      </w:r>
      <w:r w:rsidRPr="00866089">
        <w:tab/>
        <w:t>0</w:t>
      </w:r>
      <w:r w:rsidRPr="00866089">
        <w:tab/>
      </w:r>
      <w:r w:rsidRPr="00866089">
        <w:tab/>
        <w:t>$21.15</w:t>
      </w:r>
      <w:r w:rsidRPr="00866089">
        <w:tab/>
      </w:r>
      <w:r w:rsidRPr="00866089">
        <w:tab/>
        <w:t>$782.27</w:t>
      </w:r>
    </w:p>
    <w:p w:rsidR="00E268BA" w:rsidRPr="00866089" w:rsidRDefault="00E268BA" w:rsidP="00B65C84">
      <w:pPr>
        <w:jc w:val="left"/>
      </w:pPr>
      <w:r w:rsidRPr="00866089">
        <w:t>8/12/13</w:t>
      </w:r>
      <w:r w:rsidRPr="00866089">
        <w:tab/>
      </w:r>
      <w:r w:rsidRPr="00866089">
        <w:tab/>
        <w:t>29</w:t>
      </w:r>
      <w:r w:rsidRPr="00866089">
        <w:tab/>
        <w:t>5</w:t>
      </w:r>
      <w:r w:rsidRPr="00866089">
        <w:tab/>
      </w:r>
      <w:r w:rsidRPr="00866089">
        <w:tab/>
        <w:t>0</w:t>
      </w:r>
      <w:r w:rsidRPr="00866089">
        <w:tab/>
      </w:r>
      <w:r w:rsidRPr="00866089">
        <w:tab/>
        <w:t>$</w:t>
      </w:r>
      <w:r w:rsidR="001739C4" w:rsidRPr="00866089">
        <w:t>19.97</w:t>
      </w:r>
      <w:r w:rsidR="001739C4" w:rsidRPr="00866089">
        <w:tab/>
      </w:r>
      <w:r w:rsidR="001739C4" w:rsidRPr="00866089">
        <w:tab/>
        <w:t>$802.24</w:t>
      </w:r>
    </w:p>
    <w:p w:rsidR="001739C4" w:rsidRPr="00866089" w:rsidRDefault="001739C4" w:rsidP="00B65C84">
      <w:pPr>
        <w:jc w:val="left"/>
      </w:pPr>
      <w:r w:rsidRPr="00866089">
        <w:t>9/12/13</w:t>
      </w:r>
      <w:r w:rsidRPr="00866089">
        <w:tab/>
      </w:r>
      <w:r w:rsidRPr="00866089">
        <w:tab/>
        <w:t>33</w:t>
      </w:r>
      <w:r w:rsidRPr="00866089">
        <w:tab/>
        <w:t>7</w:t>
      </w:r>
      <w:r w:rsidRPr="00866089">
        <w:tab/>
      </w:r>
      <w:r w:rsidRPr="00866089">
        <w:tab/>
        <w:t>0</w:t>
      </w:r>
      <w:r w:rsidRPr="00866089">
        <w:tab/>
      </w:r>
      <w:r w:rsidRPr="00866089">
        <w:tab/>
        <w:t>$22.82</w:t>
      </w:r>
      <w:r w:rsidRPr="00866089">
        <w:tab/>
      </w:r>
      <w:r w:rsidRPr="00866089">
        <w:tab/>
        <w:t>$836.88</w:t>
      </w:r>
    </w:p>
    <w:p w:rsidR="001739C4" w:rsidRPr="00866089" w:rsidRDefault="001739C4" w:rsidP="00B65C84">
      <w:pPr>
        <w:jc w:val="left"/>
      </w:pPr>
      <w:r w:rsidRPr="00866089">
        <w:t>10/12/13</w:t>
      </w:r>
      <w:r w:rsidRPr="00866089">
        <w:tab/>
      </w:r>
      <w:r w:rsidRPr="00866089">
        <w:tab/>
        <w:t>29</w:t>
      </w:r>
      <w:r w:rsidRPr="00866089">
        <w:tab/>
        <w:t>6</w:t>
      </w:r>
      <w:r w:rsidRPr="00866089">
        <w:tab/>
      </w:r>
      <w:r w:rsidRPr="00866089">
        <w:tab/>
        <w:t>54</w:t>
      </w:r>
      <w:r w:rsidRPr="00866089">
        <w:tab/>
      </w:r>
      <w:r w:rsidRPr="00866089">
        <w:tab/>
        <w:t>$21.05</w:t>
      </w:r>
      <w:r w:rsidRPr="00866089">
        <w:tab/>
      </w:r>
      <w:r w:rsidRPr="00866089">
        <w:tab/>
        <w:t>$857.93</w:t>
      </w:r>
    </w:p>
    <w:p w:rsidR="001739C4" w:rsidRPr="00866089" w:rsidRDefault="001739C4" w:rsidP="00B65C84">
      <w:pPr>
        <w:jc w:val="left"/>
      </w:pPr>
      <w:r w:rsidRPr="00866089">
        <w:t>11/12/13</w:t>
      </w:r>
      <w:r w:rsidRPr="00866089">
        <w:tab/>
      </w:r>
      <w:r w:rsidR="00124E6C" w:rsidRPr="00866089">
        <w:tab/>
        <w:t>*</w:t>
      </w:r>
      <w:r w:rsidR="00124E6C" w:rsidRPr="00866089">
        <w:tab/>
        <w:t>*</w:t>
      </w:r>
      <w:r w:rsidR="00124E6C" w:rsidRPr="00866089">
        <w:tab/>
      </w:r>
      <w:r w:rsidR="00124E6C" w:rsidRPr="00866089">
        <w:tab/>
        <w:t>*</w:t>
      </w:r>
      <w:r w:rsidRPr="00866089">
        <w:tab/>
      </w:r>
      <w:r w:rsidRPr="00866089">
        <w:tab/>
        <w:t>$21.16</w:t>
      </w:r>
      <w:r w:rsidRPr="00866089">
        <w:tab/>
      </w:r>
      <w:r w:rsidRPr="00866089">
        <w:tab/>
        <w:t>$879.09</w:t>
      </w:r>
      <w:r w:rsidRPr="00866089">
        <w:rPr>
          <w:rStyle w:val="FootnoteReference"/>
        </w:rPr>
        <w:footnoteReference w:id="1"/>
      </w:r>
    </w:p>
    <w:p w:rsidR="00124E6C" w:rsidRPr="00866089" w:rsidRDefault="00124E6C" w:rsidP="00B65C84">
      <w:pPr>
        <w:jc w:val="left"/>
      </w:pPr>
      <w:r w:rsidRPr="00866089">
        <w:t>PGW Exhibit 1; Tr. 20.</w:t>
      </w:r>
    </w:p>
    <w:p w:rsidR="00124E6C" w:rsidRPr="00866089" w:rsidRDefault="00124E6C" w:rsidP="00B65C84">
      <w:pPr>
        <w:jc w:val="left"/>
      </w:pPr>
    </w:p>
    <w:p w:rsidR="00124E6C" w:rsidRPr="00866089" w:rsidRDefault="00124E6C" w:rsidP="00B65C84">
      <w:pPr>
        <w:jc w:val="left"/>
      </w:pPr>
      <w:r w:rsidRPr="00866089">
        <w:lastRenderedPageBreak/>
        <w:tab/>
      </w:r>
      <w:r w:rsidRPr="00866089">
        <w:tab/>
        <w:t xml:space="preserve">The account statement shows that the bill for the month during which the work was being done on the house was by far the highest, reflecting the highest usage and the highest number of degree days.  Even so, the bill was less than the $400 alleged and only reached this amount because Complainant failed to pay the prior month's bill.  </w:t>
      </w:r>
      <w:r w:rsidR="007A534A" w:rsidRPr="00866089">
        <w:t>The second full cycle's bill was $132.62, but the amount that Complainant would have seen was $547.17, as he failed to pay any portion of the prior two bills.</w:t>
      </w:r>
    </w:p>
    <w:p w:rsidR="00124E6C" w:rsidRPr="00866089" w:rsidRDefault="00124E6C" w:rsidP="00B65C84">
      <w:pPr>
        <w:jc w:val="left"/>
      </w:pPr>
    </w:p>
    <w:p w:rsidR="00124E6C" w:rsidRPr="00866089" w:rsidRDefault="00124E6C" w:rsidP="00B65C84">
      <w:pPr>
        <w:jc w:val="left"/>
      </w:pPr>
      <w:r w:rsidRPr="00866089">
        <w:tab/>
      </w:r>
      <w:r w:rsidRPr="00866089">
        <w:tab/>
        <w:t>In fact, Complainant has not paid a single bill since opening the account in his name, which appears to make the monthly bills higher than they are.</w:t>
      </w:r>
    </w:p>
    <w:p w:rsidR="003A4EBE" w:rsidRPr="00866089" w:rsidRDefault="003A4EBE" w:rsidP="00B65C84">
      <w:pPr>
        <w:jc w:val="left"/>
      </w:pPr>
    </w:p>
    <w:p w:rsidR="00663A6D" w:rsidRPr="00866089" w:rsidRDefault="003A4EBE" w:rsidP="00B65C84">
      <w:pPr>
        <w:jc w:val="left"/>
      </w:pPr>
      <w:r w:rsidRPr="00866089">
        <w:tab/>
      </w:r>
      <w:r w:rsidRPr="00866089">
        <w:tab/>
        <w:t xml:space="preserve">He claims that he turned off his heat completely after receiving the second bill and there was nothing drawing gas into the Service Address at that point.  Tr. 29.  He did not, however, terminate his account.  As shown by the chart, his meter continued to register minimal usage.  </w:t>
      </w:r>
      <w:r w:rsidR="00663A6D" w:rsidRPr="00866089">
        <w:t>To determine whether a faulty meter was to blame, b</w:t>
      </w:r>
      <w:r w:rsidRPr="00866089">
        <w:t>y Order dated November 20, 2013, PGW was directed to perform a meter check within 60 days and to report the results.  PGW submitted the meter test results, which showed that the meter tested within acceptable levels.</w:t>
      </w:r>
    </w:p>
    <w:p w:rsidR="00663A6D" w:rsidRPr="00866089" w:rsidRDefault="00663A6D" w:rsidP="00B65C84">
      <w:pPr>
        <w:jc w:val="left"/>
      </w:pPr>
    </w:p>
    <w:p w:rsidR="00663A6D" w:rsidRPr="00866089" w:rsidRDefault="00663A6D" w:rsidP="00B65C84">
      <w:pPr>
        <w:jc w:val="left"/>
      </w:pPr>
      <w:r w:rsidRPr="00866089">
        <w:tab/>
      </w:r>
      <w:r w:rsidRPr="00866089">
        <w:tab/>
        <w:t>The time for responding to the meter test has run without the submission of any response.</w:t>
      </w:r>
    </w:p>
    <w:p w:rsidR="00663A6D" w:rsidRPr="00866089" w:rsidRDefault="00663A6D" w:rsidP="00B65C84">
      <w:pPr>
        <w:jc w:val="left"/>
      </w:pPr>
    </w:p>
    <w:p w:rsidR="00876F23" w:rsidRPr="00866089" w:rsidRDefault="00663A6D" w:rsidP="00B65C84">
      <w:pPr>
        <w:jc w:val="left"/>
      </w:pPr>
      <w:r w:rsidRPr="00866089">
        <w:tab/>
      </w:r>
      <w:r w:rsidRPr="00866089">
        <w:tab/>
        <w:t xml:space="preserve">It is the Complainant's burden to prove that PGW has overcharged him for the months in question, and in support of his claim, he offers only testimony that: (1) the house had numerous workmen and the temperature was set to 70 degrees during the time when the bill was the highest, which is consistent with the billing; and (2) testimony that his first month's bill was over $300 and the second over $400, which was not supported by a copy of the bills in question and is countered convincingly by PGW's statement of account showing the first full billing cycle's bill to be </w:t>
      </w:r>
      <w:r w:rsidR="00876F23" w:rsidRPr="00866089">
        <w:t>$357.50 and the second $132.62.  The meter checked at acceptable limits.  No additional evidence was submitted by Complainant to support his claim.  Therefore, there is insufficient evidence to find that the PGW billing was inaccurate</w:t>
      </w:r>
      <w:r w:rsidR="007A534A" w:rsidRPr="00866089">
        <w:t>, and the Complaint is dismissed for failure to submit substantial evidence to support the allegations</w:t>
      </w:r>
      <w:r w:rsidR="00876F23" w:rsidRPr="00866089">
        <w:t>.</w:t>
      </w:r>
    </w:p>
    <w:p w:rsidR="00876F23" w:rsidRPr="00866089" w:rsidRDefault="00876F23" w:rsidP="00B65C84">
      <w:pPr>
        <w:jc w:val="left"/>
      </w:pPr>
    </w:p>
    <w:p w:rsidR="00876F23" w:rsidRPr="00866089" w:rsidRDefault="00876F23" w:rsidP="00B65C84">
      <w:pPr>
        <w:jc w:val="left"/>
      </w:pPr>
    </w:p>
    <w:p w:rsidR="00663A6D" w:rsidRPr="00866089" w:rsidRDefault="00876F23" w:rsidP="00876F23">
      <w:pPr>
        <w:rPr>
          <w:u w:val="single"/>
        </w:rPr>
      </w:pPr>
      <w:r w:rsidRPr="00866089">
        <w:rPr>
          <w:u w:val="single"/>
        </w:rPr>
        <w:t>CONCLUSIONS OF LAW</w:t>
      </w:r>
    </w:p>
    <w:p w:rsidR="00876F23" w:rsidRPr="00866089" w:rsidRDefault="00876F23" w:rsidP="00876F23">
      <w:pPr>
        <w:jc w:val="left"/>
      </w:pPr>
    </w:p>
    <w:p w:rsidR="00772AB6" w:rsidRPr="00866089" w:rsidRDefault="00772AB6" w:rsidP="00876F23">
      <w:pPr>
        <w:jc w:val="left"/>
      </w:pPr>
      <w:r w:rsidRPr="00866089">
        <w:tab/>
      </w:r>
      <w:r w:rsidRPr="00866089">
        <w:tab/>
        <w:t>1.</w:t>
      </w:r>
      <w:r w:rsidRPr="00866089">
        <w:tab/>
        <w:t>The Commission has jurisdiction over the subject matter of this Complaint. 66 Pa.C.S. § 701.</w:t>
      </w:r>
    </w:p>
    <w:p w:rsidR="00772AB6" w:rsidRPr="00866089" w:rsidRDefault="00772AB6" w:rsidP="00876F23">
      <w:pPr>
        <w:jc w:val="left"/>
      </w:pPr>
    </w:p>
    <w:p w:rsidR="00772AB6" w:rsidRPr="00866089" w:rsidRDefault="00772AB6" w:rsidP="00772AB6">
      <w:pPr>
        <w:jc w:val="left"/>
      </w:pPr>
      <w:r w:rsidRPr="00866089">
        <w:tab/>
      </w:r>
      <w:r w:rsidRPr="00866089">
        <w:tab/>
        <w:t>2.</w:t>
      </w:r>
      <w:r w:rsidRPr="00866089">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866089">
        <w:rPr>
          <w:i/>
        </w:rPr>
        <w:t xml:space="preserve">Patterson v. Bell Tel. Co. of PA, </w:t>
      </w:r>
      <w:r w:rsidR="00EF1F71">
        <w:t>72 Pa. PUC</w:t>
      </w:r>
      <w:r w:rsidRPr="00866089">
        <w:t xml:space="preserve"> 196 (1990); </w:t>
      </w:r>
      <w:r w:rsidRPr="00866089">
        <w:rPr>
          <w:i/>
        </w:rPr>
        <w:t xml:space="preserve">Feinstein v. Phila. Suburban Water Co., </w:t>
      </w:r>
      <w:r w:rsidRPr="00866089">
        <w:t>50 Pa.</w:t>
      </w:r>
      <w:r w:rsidR="00EF1F71">
        <w:t xml:space="preserve"> PUC</w:t>
      </w:r>
      <w:r w:rsidRPr="00866089">
        <w:t xml:space="preserve"> 300 (1976).</w:t>
      </w:r>
    </w:p>
    <w:p w:rsidR="00772AB6" w:rsidRPr="00866089" w:rsidRDefault="00772AB6" w:rsidP="00772AB6">
      <w:pPr>
        <w:jc w:val="left"/>
      </w:pPr>
    </w:p>
    <w:p w:rsidR="00772AB6" w:rsidRPr="00866089" w:rsidRDefault="00772AB6" w:rsidP="00772AB6">
      <w:pPr>
        <w:jc w:val="left"/>
      </w:pPr>
      <w:r w:rsidRPr="00866089">
        <w:tab/>
      </w:r>
      <w:r w:rsidRPr="00866089">
        <w:tab/>
        <w:t>3.</w:t>
      </w:r>
      <w:r w:rsidRPr="00866089">
        <w:tab/>
        <w:t>Right to relief must be shown by a p</w:t>
      </w:r>
      <w:r w:rsidR="00DE4E24">
        <w:t xml:space="preserve">reponderance of the evidence.  </w:t>
      </w:r>
      <w:r w:rsidRPr="00866089">
        <w:rPr>
          <w:i/>
        </w:rPr>
        <w:t xml:space="preserve">Samuel J. Lansberry, Inc. v. Pa. Pub. Util. Comm'n, </w:t>
      </w:r>
      <w:r w:rsidRPr="00866089">
        <w:t xml:space="preserve">578 A.2d 600 (1990), </w:t>
      </w:r>
      <w:r w:rsidRPr="00866089">
        <w:rPr>
          <w:i/>
        </w:rPr>
        <w:t>alloc, denied</w:t>
      </w:r>
      <w:r w:rsidRPr="00866089">
        <w:t xml:space="preserve">, 602 A.2d 863 (1992).  A preponderance of evidence is that which is more convincing, by even the smallest amount, than that presented by the other party.  </w:t>
      </w:r>
      <w:r w:rsidRPr="00866089">
        <w:rPr>
          <w:i/>
        </w:rPr>
        <w:t>Se-Ling Hosiery v. Margulies,</w:t>
      </w:r>
      <w:r w:rsidRPr="00866089">
        <w:t xml:space="preserve"> 70 A.2d 854 (1950).</w:t>
      </w:r>
    </w:p>
    <w:p w:rsidR="00772AB6" w:rsidRPr="00866089" w:rsidRDefault="00772AB6" w:rsidP="00772AB6">
      <w:pPr>
        <w:jc w:val="left"/>
      </w:pPr>
    </w:p>
    <w:p w:rsidR="00772AB6" w:rsidRPr="00866089" w:rsidRDefault="00772AB6" w:rsidP="00772AB6">
      <w:pPr>
        <w:jc w:val="left"/>
      </w:pPr>
      <w:r w:rsidRPr="00866089">
        <w:tab/>
      </w:r>
      <w:r w:rsidRPr="00866089">
        <w:tab/>
        <w:t>4.</w:t>
      </w:r>
      <w:r w:rsidRPr="00866089">
        <w:tab/>
        <w:t xml:space="preserve">Any finding of fact necessary to support the Commission's adjudication must be based upon substantial evidence.  </w:t>
      </w:r>
      <w:r w:rsidRPr="00866089">
        <w:rPr>
          <w:i/>
        </w:rPr>
        <w:t>Mill v. Pa. Pub. Util. Comm'n</w:t>
      </w:r>
      <w:r w:rsidRPr="00866089">
        <w:t xml:space="preserve">, 447 A.2d 1100 (Pa.Cmwlth. 1982); </w:t>
      </w:r>
      <w:r w:rsidRPr="00866089">
        <w:rPr>
          <w:i/>
        </w:rPr>
        <w:t xml:space="preserve">Edan Transportation Corp. v. Pa. Pub. Util. Comm'n, </w:t>
      </w:r>
      <w:r w:rsidRPr="00866089">
        <w:t xml:space="preserve">623 A.2d 6 (Pa. Cmwlth. 1993); 2 Pa.C.S. § 704.  More is required than a mere trace of evidence or a suspicion of the existence of a fact sought to be established.  </w:t>
      </w:r>
      <w:r w:rsidRPr="00866089">
        <w:rPr>
          <w:i/>
        </w:rPr>
        <w:t xml:space="preserve">Norfolk and Western Ry. v. Pa. Pub. Util. Comm'n, </w:t>
      </w:r>
      <w:r w:rsidRPr="00866089">
        <w:t xml:space="preserve">489 Pa. 109, 413 A.2d 1037 (1980); </w:t>
      </w:r>
      <w:r w:rsidRPr="00866089">
        <w:rPr>
          <w:i/>
        </w:rPr>
        <w:t xml:space="preserve">Erie Resistor Corp. v. Unemployment Compensation Bd. Of Review, </w:t>
      </w:r>
      <w:r w:rsidRPr="00866089">
        <w:t xml:space="preserve">166 A.2d 96 (Pa.Super. 1960); </w:t>
      </w:r>
      <w:r w:rsidRPr="00866089">
        <w:rPr>
          <w:i/>
        </w:rPr>
        <w:t xml:space="preserve">Murphy v. Dep't. of Public Welfare, White Haven Center, </w:t>
      </w:r>
      <w:r w:rsidR="00374B8B" w:rsidRPr="00866089">
        <w:t>480 A.2d 382 (Pa.</w:t>
      </w:r>
      <w:r w:rsidRPr="00866089">
        <w:t>Cmwlth. 1984).</w:t>
      </w:r>
    </w:p>
    <w:p w:rsidR="00772AB6" w:rsidRPr="00866089" w:rsidRDefault="00772AB6" w:rsidP="00772AB6">
      <w:pPr>
        <w:jc w:val="left"/>
      </w:pPr>
    </w:p>
    <w:p w:rsidR="00772AB6" w:rsidRPr="00866089" w:rsidRDefault="00772AB6" w:rsidP="00772AB6">
      <w:pPr>
        <w:jc w:val="left"/>
      </w:pPr>
      <w:r w:rsidRPr="00866089">
        <w:tab/>
      </w:r>
      <w:r w:rsidRPr="00866089">
        <w:tab/>
        <w:t>5.</w:t>
      </w:r>
      <w:r w:rsidRPr="00866089">
        <w:tab/>
        <w:t>The offense must be a violation of the Public Utility Code, the Commission's regulations, or an outstanding order of the Commission.  66 Pa.C.S. § 701.</w:t>
      </w:r>
    </w:p>
    <w:p w:rsidR="00772AB6" w:rsidRPr="00866089" w:rsidRDefault="00772AB6" w:rsidP="00772AB6">
      <w:pPr>
        <w:jc w:val="left"/>
      </w:pPr>
    </w:p>
    <w:p w:rsidR="00772AB6" w:rsidRPr="00866089" w:rsidRDefault="00772AB6" w:rsidP="00772AB6">
      <w:pPr>
        <w:jc w:val="left"/>
      </w:pPr>
      <w:r w:rsidRPr="00866089">
        <w:lastRenderedPageBreak/>
        <w:tab/>
      </w:r>
      <w:r w:rsidRPr="00866089">
        <w:tab/>
        <w:t>6.</w:t>
      </w:r>
      <w:r w:rsidRPr="00866089">
        <w:tab/>
        <w:t xml:space="preserve">Complainant failed to submit sufficient evidence to establish a </w:t>
      </w:r>
      <w:r w:rsidRPr="00D050A5">
        <w:rPr>
          <w:i/>
        </w:rPr>
        <w:t>prima facie</w:t>
      </w:r>
      <w:r w:rsidRPr="00866089">
        <w:t xml:space="preserve"> case that PGW overcharged his account.</w:t>
      </w:r>
    </w:p>
    <w:p w:rsidR="00772AB6" w:rsidRPr="00866089" w:rsidRDefault="00772AB6" w:rsidP="00772AB6">
      <w:pPr>
        <w:jc w:val="left"/>
      </w:pPr>
    </w:p>
    <w:p w:rsidR="00772AB6" w:rsidRPr="00866089" w:rsidRDefault="00772AB6" w:rsidP="00772AB6">
      <w:pPr>
        <w:jc w:val="left"/>
      </w:pPr>
      <w:r w:rsidRPr="00866089">
        <w:tab/>
      </w:r>
      <w:r w:rsidRPr="00866089">
        <w:tab/>
        <w:t>7.</w:t>
      </w:r>
      <w:r w:rsidRPr="00866089">
        <w:tab/>
        <w:t xml:space="preserve">The burden of proof for “high bill” complaints has been explained in </w:t>
      </w:r>
      <w:r w:rsidRPr="00866089">
        <w:rPr>
          <w:i/>
        </w:rPr>
        <w:t>Waldron v. Philadelphia Electric Company</w:t>
      </w:r>
      <w:r w:rsidR="00D050A5">
        <w:t>, 54 Pa. PUC</w:t>
      </w:r>
      <w:r w:rsidRPr="00866089">
        <w:t xml:space="preserve"> 98 (1980), and its progeny.  In </w:t>
      </w:r>
      <w:r w:rsidRPr="00866089">
        <w:rPr>
          <w:i/>
        </w:rPr>
        <w:t>Waldron</w:t>
      </w:r>
      <w:r w:rsidRPr="00866089">
        <w:t xml:space="preserve">, the Commission adopted the Michigan Public Service Commission’s (PSC’s) policy annunciated in </w:t>
      </w:r>
      <w:r w:rsidRPr="00866089">
        <w:rPr>
          <w:i/>
        </w:rPr>
        <w:t>Hallifax v. O &amp; A Electric Co-Op</w:t>
      </w:r>
      <w:r w:rsidRPr="00866089">
        <w:t>, Case No. U-5825, May 1979,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866089" w:rsidDel="000555B3">
        <w:rPr>
          <w:rFonts w:eastAsiaTheme="minorEastAsia"/>
          <w:vertAlign w:val="superscript"/>
        </w:rPr>
        <w:t xml:space="preserve"> </w:t>
      </w:r>
      <w:r w:rsidRPr="00866089">
        <w:t xml:space="preserve">  </w:t>
      </w:r>
      <w:r w:rsidRPr="00866089">
        <w:rPr>
          <w:i/>
        </w:rPr>
        <w:t>Waldron</w:t>
      </w:r>
      <w:r w:rsidRPr="00866089">
        <w:t xml:space="preserve"> at 100.</w:t>
      </w:r>
    </w:p>
    <w:p w:rsidR="00772AB6" w:rsidRPr="00866089" w:rsidRDefault="00772AB6" w:rsidP="00772AB6">
      <w:pPr>
        <w:ind w:firstLine="1440"/>
        <w:jc w:val="left"/>
      </w:pPr>
    </w:p>
    <w:p w:rsidR="00772AB6" w:rsidRPr="00866089" w:rsidRDefault="00772AB6" w:rsidP="00772AB6">
      <w:pPr>
        <w:ind w:firstLine="720"/>
        <w:jc w:val="left"/>
      </w:pPr>
      <w:r w:rsidRPr="00866089">
        <w:rPr>
          <w:b/>
        </w:rPr>
        <w:tab/>
      </w:r>
      <w:r w:rsidRPr="00866089">
        <w:t>8.</w:t>
      </w:r>
      <w:r w:rsidRPr="00866089">
        <w:rPr>
          <w:b/>
        </w:rPr>
        <w:tab/>
      </w:r>
      <w:r w:rsidRPr="00866089">
        <w:t>C</w:t>
      </w:r>
      <w:r w:rsidRPr="00866089">
        <w:rPr>
          <w:color w:val="000000"/>
        </w:rPr>
        <w:t xml:space="preserve">onsistent with the Commission's holding in </w:t>
      </w:r>
      <w:r w:rsidRPr="00866089">
        <w:rPr>
          <w:i/>
          <w:color w:val="000000"/>
        </w:rPr>
        <w:t>Charisse Bennett v. Peoples Natural Gas Co.</w:t>
      </w:r>
      <w:r w:rsidRPr="00866089">
        <w:rPr>
          <w:color w:val="000000"/>
        </w:rPr>
        <w:t xml:space="preserve">, Docket No. C-2009-2122979 (Order entered October 13, 2010), the </w:t>
      </w:r>
      <w:r w:rsidRPr="00866089">
        <w:rPr>
          <w:i/>
          <w:color w:val="000000"/>
        </w:rPr>
        <w:t xml:space="preserve">Waldron </w:t>
      </w:r>
      <w:r w:rsidRPr="00866089">
        <w:rPr>
          <w:color w:val="000000"/>
        </w:rPr>
        <w:t xml:space="preserve">Rule allows a complainant to establish a </w:t>
      </w:r>
      <w:r w:rsidRPr="00017AFC">
        <w:rPr>
          <w:i/>
          <w:color w:val="000000"/>
        </w:rPr>
        <w:t>prima facie</w:t>
      </w:r>
      <w:r w:rsidRPr="00866089">
        <w:rPr>
          <w:i/>
          <w:color w:val="000000"/>
        </w:rPr>
        <w:t xml:space="preserve"> </w:t>
      </w:r>
      <w:r w:rsidRPr="00866089">
        <w:rPr>
          <w:color w:val="000000"/>
        </w:rPr>
        <w:t>case in a “high bill” complaint by showing that the disputed bill is abnormally high when compared to prior usage patterns and his or her pattern of usage has not changed o</w:t>
      </w:r>
      <w:r w:rsidR="00FE4DA8">
        <w:rPr>
          <w:color w:val="000000"/>
        </w:rPr>
        <w:t xml:space="preserve">r </w:t>
      </w:r>
      <w:r w:rsidRPr="00866089">
        <w:rPr>
          <w:color w:val="000000"/>
        </w:rPr>
        <w:t>by providing other rel</w:t>
      </w:r>
      <w:r w:rsidR="00FE4DA8">
        <w:rPr>
          <w:color w:val="000000"/>
        </w:rPr>
        <w:t xml:space="preserve">evant evidence showing that the disputed bill is </w:t>
      </w:r>
      <w:r w:rsidRPr="00866089">
        <w:rPr>
          <w:color w:val="000000"/>
        </w:rPr>
        <w:t>unreasonably high.  In evaluating a “high bill” complaint,</w:t>
      </w:r>
      <w:r w:rsidRPr="00866089">
        <w:t xml:space="preserve"> the Commission may consider such evidence as “the billing history of the account, any change in usage patterns (such as a change in the number of occupants residing in the household or potential energy utilization), and</w:t>
      </w:r>
      <w:r w:rsidRPr="00866089">
        <w:rPr>
          <w:b/>
        </w:rPr>
        <w:t xml:space="preserve"> </w:t>
      </w:r>
      <w:r w:rsidRPr="00866089">
        <w:t xml:space="preserve">any other relevant facts or circumstances that come to light during the proceeding.”  </w:t>
      </w:r>
      <w:r w:rsidRPr="00866089">
        <w:rPr>
          <w:i/>
        </w:rPr>
        <w:t>Id.</w:t>
      </w:r>
      <w:r w:rsidRPr="00866089">
        <w:t xml:space="preserve"> at 6 (emphasis added).  </w:t>
      </w:r>
      <w:r w:rsidRPr="00866089">
        <w:rPr>
          <w:i/>
        </w:rPr>
        <w:t>See</w:t>
      </w:r>
      <w:r w:rsidRPr="00866089">
        <w:t xml:space="preserve"> </w:t>
      </w:r>
      <w:r w:rsidRPr="00866089">
        <w:rPr>
          <w:i/>
        </w:rPr>
        <w:t>Nehemiah B. Thomas v. PECO Energy Company</w:t>
      </w:r>
      <w:r w:rsidRPr="00866089">
        <w:t xml:space="preserve">, Docket No. C-2010-2187197 (Opinion and Order entered November 15, 2011)(holding that limiting the </w:t>
      </w:r>
      <w:r w:rsidRPr="00866089">
        <w:rPr>
          <w:i/>
        </w:rPr>
        <w:t>Waldron</w:t>
      </w:r>
      <w:r w:rsidRPr="00866089">
        <w:t xml:space="preserve"> Rule to the three factors is too limiting).</w:t>
      </w:r>
    </w:p>
    <w:p w:rsidR="003A4EBE" w:rsidRPr="00866089" w:rsidRDefault="003A4EBE" w:rsidP="00B65C84">
      <w:pPr>
        <w:jc w:val="left"/>
      </w:pPr>
    </w:p>
    <w:p w:rsidR="00124E6C" w:rsidRPr="00866089" w:rsidRDefault="00772AB6" w:rsidP="00B65C84">
      <w:pPr>
        <w:jc w:val="left"/>
      </w:pPr>
      <w:r w:rsidRPr="00866089">
        <w:tab/>
      </w:r>
      <w:r w:rsidRPr="00866089">
        <w:tab/>
        <w:t>9.</w:t>
      </w:r>
      <w:r w:rsidRPr="00866089">
        <w:tab/>
        <w:t xml:space="preserve">Complainant failed to establish a </w:t>
      </w:r>
      <w:r w:rsidRPr="0087651E">
        <w:rPr>
          <w:i/>
        </w:rPr>
        <w:t>prima facie</w:t>
      </w:r>
      <w:r w:rsidRPr="00866089">
        <w:t xml:space="preserve"> case.</w:t>
      </w:r>
    </w:p>
    <w:p w:rsidR="00435F0E" w:rsidRPr="00866089" w:rsidRDefault="00435F0E">
      <w:r w:rsidRPr="00866089">
        <w:br w:type="page"/>
      </w:r>
    </w:p>
    <w:p w:rsidR="00772AB6" w:rsidRPr="00866089" w:rsidRDefault="00772AB6" w:rsidP="00B65C84">
      <w:pPr>
        <w:jc w:val="left"/>
      </w:pPr>
    </w:p>
    <w:p w:rsidR="00772AB6" w:rsidRPr="00866089" w:rsidRDefault="00772AB6" w:rsidP="00772AB6">
      <w:pPr>
        <w:rPr>
          <w:b/>
          <w:u w:val="single"/>
        </w:rPr>
      </w:pPr>
      <w:r w:rsidRPr="00866089">
        <w:rPr>
          <w:b/>
          <w:u w:val="single"/>
        </w:rPr>
        <w:t>ORDER</w:t>
      </w:r>
    </w:p>
    <w:p w:rsidR="00B65C84" w:rsidRPr="00866089" w:rsidRDefault="00B65C84" w:rsidP="00B65C84">
      <w:pPr>
        <w:jc w:val="left"/>
      </w:pPr>
    </w:p>
    <w:p w:rsidR="00E21F22" w:rsidRPr="00866089" w:rsidRDefault="00E21F22" w:rsidP="00E21F22">
      <w:pPr>
        <w:jc w:val="left"/>
      </w:pPr>
    </w:p>
    <w:p w:rsidR="00E21F22" w:rsidRPr="00866089" w:rsidRDefault="00E21F22" w:rsidP="00E21F22">
      <w:pPr>
        <w:jc w:val="left"/>
      </w:pPr>
      <w:r w:rsidRPr="00866089">
        <w:tab/>
      </w:r>
      <w:r w:rsidRPr="00866089">
        <w:tab/>
        <w:t>THEREFORE,</w:t>
      </w:r>
    </w:p>
    <w:p w:rsidR="00E21F22" w:rsidRPr="00866089" w:rsidRDefault="00E21F22" w:rsidP="00E21F22">
      <w:pPr>
        <w:jc w:val="left"/>
      </w:pPr>
    </w:p>
    <w:p w:rsidR="00E21F22" w:rsidRPr="00866089" w:rsidRDefault="00E21F22" w:rsidP="00E21F22">
      <w:pPr>
        <w:jc w:val="left"/>
      </w:pPr>
      <w:r w:rsidRPr="00866089">
        <w:tab/>
      </w:r>
      <w:r w:rsidRPr="00866089">
        <w:tab/>
        <w:t>IT IS ORDERED:</w:t>
      </w:r>
    </w:p>
    <w:p w:rsidR="00E21F22" w:rsidRPr="00866089" w:rsidRDefault="00E21F22" w:rsidP="00E21F22">
      <w:pPr>
        <w:jc w:val="left"/>
      </w:pPr>
    </w:p>
    <w:p w:rsidR="00374B8B" w:rsidRPr="00866089" w:rsidRDefault="00E21F22" w:rsidP="00E21F22">
      <w:pPr>
        <w:jc w:val="left"/>
      </w:pPr>
      <w:r w:rsidRPr="00866089">
        <w:tab/>
      </w:r>
      <w:r w:rsidRPr="00866089">
        <w:tab/>
      </w:r>
      <w:r w:rsidR="00772AB6" w:rsidRPr="00866089">
        <w:t>1.</w:t>
      </w:r>
      <w:r w:rsidR="00772AB6" w:rsidRPr="00866089">
        <w:tab/>
      </w:r>
      <w:r w:rsidR="00374B8B" w:rsidRPr="00866089">
        <w:t xml:space="preserve">That Philadelphia Gas Works Exhibit 5, </w:t>
      </w:r>
      <w:r w:rsidR="00435F0E" w:rsidRPr="00866089">
        <w:t xml:space="preserve">which reflects the </w:t>
      </w:r>
      <w:r w:rsidR="00374B8B" w:rsidRPr="00866089">
        <w:t>results of a meter test performed on November 25, 2013, is admitted</w:t>
      </w:r>
      <w:r w:rsidR="00435F0E" w:rsidRPr="00866089">
        <w:t xml:space="preserve"> without objection</w:t>
      </w:r>
      <w:r w:rsidR="00374B8B" w:rsidRPr="00866089">
        <w:t>.</w:t>
      </w:r>
    </w:p>
    <w:p w:rsidR="00374B8B" w:rsidRPr="00866089" w:rsidRDefault="00374B8B" w:rsidP="00E21F22">
      <w:pPr>
        <w:jc w:val="left"/>
      </w:pPr>
    </w:p>
    <w:p w:rsidR="00E21F22" w:rsidRPr="00866089" w:rsidRDefault="00374B8B" w:rsidP="00E21F22">
      <w:pPr>
        <w:jc w:val="left"/>
      </w:pPr>
      <w:r w:rsidRPr="00866089">
        <w:tab/>
      </w:r>
      <w:r w:rsidRPr="00866089">
        <w:tab/>
        <w:t>2.</w:t>
      </w:r>
      <w:r w:rsidRPr="00866089">
        <w:tab/>
      </w:r>
      <w:r w:rsidR="00772AB6" w:rsidRPr="00866089">
        <w:t xml:space="preserve">That the Complaint filed by Gerald Blum against </w:t>
      </w:r>
      <w:r w:rsidR="00E21F22" w:rsidRPr="00866089">
        <w:t xml:space="preserve">Philadelphia Gas Works </w:t>
      </w:r>
      <w:r w:rsidR="00772AB6" w:rsidRPr="00866089">
        <w:t>at Docket No. C-2013-2382877, is dismissed.</w:t>
      </w:r>
    </w:p>
    <w:p w:rsidR="00E21F22" w:rsidRPr="00866089" w:rsidRDefault="00E21F22" w:rsidP="00E21F22">
      <w:pPr>
        <w:jc w:val="left"/>
      </w:pPr>
    </w:p>
    <w:p w:rsidR="00E21F22" w:rsidRPr="00866089" w:rsidRDefault="00374B8B" w:rsidP="00772AB6">
      <w:pPr>
        <w:jc w:val="left"/>
      </w:pPr>
      <w:r w:rsidRPr="00866089">
        <w:tab/>
      </w:r>
      <w:r w:rsidRPr="00866089">
        <w:tab/>
        <w:t>3</w:t>
      </w:r>
      <w:r w:rsidR="00E21F22" w:rsidRPr="00866089">
        <w:t>.</w:t>
      </w:r>
      <w:r w:rsidR="00E21F22" w:rsidRPr="00866089">
        <w:tab/>
      </w:r>
      <w:r w:rsidR="00772AB6" w:rsidRPr="00866089">
        <w:t>That the Secretary mark this docket closed.</w:t>
      </w:r>
    </w:p>
    <w:p w:rsidR="00E21F22" w:rsidRDefault="00E21F22" w:rsidP="00E21F22">
      <w:pPr>
        <w:jc w:val="left"/>
      </w:pPr>
    </w:p>
    <w:p w:rsidR="0087651E" w:rsidRPr="00866089" w:rsidRDefault="0087651E" w:rsidP="00E21F22">
      <w:pPr>
        <w:jc w:val="left"/>
      </w:pPr>
    </w:p>
    <w:p w:rsidR="00E21F22" w:rsidRPr="00866089" w:rsidRDefault="00E21F22" w:rsidP="00E21F22">
      <w:pPr>
        <w:spacing w:line="240" w:lineRule="auto"/>
        <w:jc w:val="left"/>
      </w:pPr>
      <w:r w:rsidRPr="00866089">
        <w:t>Dated:</w:t>
      </w:r>
      <w:r w:rsidRPr="00866089">
        <w:tab/>
      </w:r>
      <w:r w:rsidR="00772AB6" w:rsidRPr="00866089">
        <w:rPr>
          <w:u w:val="single"/>
        </w:rPr>
        <w:t>March</w:t>
      </w:r>
      <w:r w:rsidR="00435F0E" w:rsidRPr="00866089">
        <w:rPr>
          <w:u w:val="single"/>
        </w:rPr>
        <w:t xml:space="preserve"> 31,</w:t>
      </w:r>
      <w:r w:rsidR="00772AB6" w:rsidRPr="00866089">
        <w:rPr>
          <w:u w:val="single"/>
        </w:rPr>
        <w:t xml:space="preserve"> 2014</w:t>
      </w:r>
      <w:r w:rsidRPr="00866089">
        <w:tab/>
      </w:r>
      <w:r w:rsidRPr="00866089">
        <w:tab/>
      </w:r>
      <w:r w:rsidRPr="00866089">
        <w:tab/>
      </w:r>
      <w:r w:rsidR="00772AB6" w:rsidRPr="00866089">
        <w:tab/>
      </w:r>
      <w:r w:rsidRPr="00866089">
        <w:rPr>
          <w:u w:val="single"/>
        </w:rPr>
        <w:t>____</w:t>
      </w:r>
      <w:r w:rsidR="00655DD8" w:rsidRPr="00866089">
        <w:rPr>
          <w:u w:val="single"/>
        </w:rPr>
        <w:t>/s/</w:t>
      </w:r>
      <w:r w:rsidRPr="00866089">
        <w:rPr>
          <w:u w:val="single"/>
        </w:rPr>
        <w:t>___________________________</w:t>
      </w:r>
    </w:p>
    <w:p w:rsidR="00E21F22" w:rsidRPr="00866089" w:rsidRDefault="00E21F22" w:rsidP="00E21F22">
      <w:pPr>
        <w:spacing w:line="240" w:lineRule="auto"/>
        <w:jc w:val="left"/>
      </w:pPr>
      <w:r w:rsidRPr="00866089">
        <w:tab/>
      </w:r>
      <w:r w:rsidRPr="00866089">
        <w:tab/>
      </w:r>
      <w:r w:rsidRPr="00866089">
        <w:tab/>
      </w:r>
      <w:r w:rsidRPr="00866089">
        <w:tab/>
      </w:r>
      <w:r w:rsidRPr="00866089">
        <w:tab/>
      </w:r>
      <w:r w:rsidRPr="00866089">
        <w:tab/>
      </w:r>
      <w:r w:rsidRPr="00866089">
        <w:tab/>
        <w:t>Susan D. Colwell</w:t>
      </w:r>
    </w:p>
    <w:p w:rsidR="00E21F22" w:rsidRPr="00866089" w:rsidRDefault="00E21F22" w:rsidP="00E21F22">
      <w:pPr>
        <w:spacing w:line="240" w:lineRule="auto"/>
        <w:jc w:val="left"/>
      </w:pPr>
      <w:r w:rsidRPr="00866089">
        <w:tab/>
      </w:r>
      <w:r w:rsidRPr="00866089">
        <w:tab/>
      </w:r>
      <w:r w:rsidRPr="00866089">
        <w:tab/>
      </w:r>
      <w:r w:rsidRPr="00866089">
        <w:tab/>
      </w:r>
      <w:r w:rsidRPr="00866089">
        <w:tab/>
      </w:r>
      <w:r w:rsidRPr="00866089">
        <w:tab/>
      </w:r>
      <w:r w:rsidRPr="00866089">
        <w:tab/>
        <w:t>Administrative Law Judge</w:t>
      </w:r>
    </w:p>
    <w:p w:rsidR="00C04960" w:rsidRPr="00866089" w:rsidRDefault="00C04960" w:rsidP="00E21F22">
      <w:pPr>
        <w:jc w:val="left"/>
      </w:pPr>
    </w:p>
    <w:sectPr w:rsidR="00C04960" w:rsidRPr="00866089" w:rsidSect="00EA66E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4E7" w:rsidRDefault="00C204E7">
      <w:pPr>
        <w:spacing w:line="240" w:lineRule="auto"/>
      </w:pPr>
      <w:r>
        <w:separator/>
      </w:r>
    </w:p>
  </w:endnote>
  <w:endnote w:type="continuationSeparator" w:id="0">
    <w:p w:rsidR="00C204E7" w:rsidRDefault="00C20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34196"/>
      <w:docPartObj>
        <w:docPartGallery w:val="Page Numbers (Bottom of Page)"/>
        <w:docPartUnique/>
      </w:docPartObj>
    </w:sdtPr>
    <w:sdtEndPr>
      <w:rPr>
        <w:noProof/>
        <w:sz w:val="20"/>
        <w:szCs w:val="20"/>
      </w:rPr>
    </w:sdtEndPr>
    <w:sdtContent>
      <w:p w:rsidR="00EA66EA" w:rsidRPr="002D3A0A" w:rsidRDefault="00435F0E" w:rsidP="002D3A0A">
        <w:pPr>
          <w:pStyle w:val="Footer"/>
          <w:rPr>
            <w:sz w:val="20"/>
            <w:szCs w:val="20"/>
          </w:rPr>
        </w:pPr>
        <w:r w:rsidRPr="002D3A0A">
          <w:rPr>
            <w:sz w:val="20"/>
            <w:szCs w:val="20"/>
          </w:rPr>
          <w:fldChar w:fldCharType="begin"/>
        </w:r>
        <w:r w:rsidRPr="002D3A0A">
          <w:rPr>
            <w:sz w:val="20"/>
            <w:szCs w:val="20"/>
          </w:rPr>
          <w:instrText xml:space="preserve"> PAGE   \* MERGEFORMAT </w:instrText>
        </w:r>
        <w:r w:rsidRPr="002D3A0A">
          <w:rPr>
            <w:sz w:val="20"/>
            <w:szCs w:val="20"/>
          </w:rPr>
          <w:fldChar w:fldCharType="separate"/>
        </w:r>
        <w:r w:rsidR="00031848">
          <w:rPr>
            <w:noProof/>
            <w:sz w:val="20"/>
            <w:szCs w:val="20"/>
          </w:rPr>
          <w:t>11</w:t>
        </w:r>
        <w:r w:rsidRPr="002D3A0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4E7" w:rsidRDefault="00C204E7" w:rsidP="001B5D1E">
      <w:pPr>
        <w:spacing w:line="240" w:lineRule="auto"/>
        <w:jc w:val="left"/>
      </w:pPr>
      <w:r>
        <w:separator/>
      </w:r>
    </w:p>
  </w:footnote>
  <w:footnote w:type="continuationSeparator" w:id="0">
    <w:p w:rsidR="00C204E7" w:rsidRDefault="00C204E7">
      <w:pPr>
        <w:spacing w:line="240" w:lineRule="auto"/>
      </w:pPr>
      <w:r>
        <w:continuationSeparator/>
      </w:r>
    </w:p>
  </w:footnote>
  <w:footnote w:id="1">
    <w:p w:rsidR="001739C4" w:rsidRDefault="001739C4" w:rsidP="001739C4">
      <w:pPr>
        <w:pStyle w:val="FootnoteText"/>
        <w:jc w:val="left"/>
      </w:pPr>
      <w:r>
        <w:rPr>
          <w:rStyle w:val="FootnoteReference"/>
        </w:rPr>
        <w:footnoteRef/>
      </w:r>
      <w:r>
        <w:t xml:space="preserve"> November's information was elicited at the hearing and did not include the CCF, degree or cycle days.  Tr. 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F22"/>
    <w:rsid w:val="00001E3A"/>
    <w:rsid w:val="00001EF6"/>
    <w:rsid w:val="000028EA"/>
    <w:rsid w:val="00003D11"/>
    <w:rsid w:val="00004AA3"/>
    <w:rsid w:val="00005558"/>
    <w:rsid w:val="000079FE"/>
    <w:rsid w:val="00012104"/>
    <w:rsid w:val="00012655"/>
    <w:rsid w:val="0001305A"/>
    <w:rsid w:val="00016E55"/>
    <w:rsid w:val="00017AFC"/>
    <w:rsid w:val="0002023D"/>
    <w:rsid w:val="00020760"/>
    <w:rsid w:val="0002105C"/>
    <w:rsid w:val="0002110E"/>
    <w:rsid w:val="00022B3F"/>
    <w:rsid w:val="00025D7A"/>
    <w:rsid w:val="000304BF"/>
    <w:rsid w:val="00031848"/>
    <w:rsid w:val="00032379"/>
    <w:rsid w:val="0003306B"/>
    <w:rsid w:val="00033303"/>
    <w:rsid w:val="00033457"/>
    <w:rsid w:val="000338CD"/>
    <w:rsid w:val="00035BB8"/>
    <w:rsid w:val="000372C5"/>
    <w:rsid w:val="00037484"/>
    <w:rsid w:val="000377F5"/>
    <w:rsid w:val="00037E0F"/>
    <w:rsid w:val="00040EB6"/>
    <w:rsid w:val="0004436F"/>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1AF2"/>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552"/>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4E6C"/>
    <w:rsid w:val="00126739"/>
    <w:rsid w:val="0012770C"/>
    <w:rsid w:val="0013068D"/>
    <w:rsid w:val="00130A2C"/>
    <w:rsid w:val="00135526"/>
    <w:rsid w:val="00140273"/>
    <w:rsid w:val="0014105E"/>
    <w:rsid w:val="00143142"/>
    <w:rsid w:val="00143C25"/>
    <w:rsid w:val="00144D2D"/>
    <w:rsid w:val="00145327"/>
    <w:rsid w:val="001468AD"/>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9C4"/>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28C0"/>
    <w:rsid w:val="001A33F5"/>
    <w:rsid w:val="001A3A31"/>
    <w:rsid w:val="001A3D48"/>
    <w:rsid w:val="001A5421"/>
    <w:rsid w:val="001A6541"/>
    <w:rsid w:val="001A7F95"/>
    <w:rsid w:val="001B06B8"/>
    <w:rsid w:val="001B1B1D"/>
    <w:rsid w:val="001B3572"/>
    <w:rsid w:val="001B3D6F"/>
    <w:rsid w:val="001B477B"/>
    <w:rsid w:val="001B4B2B"/>
    <w:rsid w:val="001B4EC8"/>
    <w:rsid w:val="001B5D1E"/>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3C2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5A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3A0A"/>
    <w:rsid w:val="002D6B36"/>
    <w:rsid w:val="002D7136"/>
    <w:rsid w:val="002D7978"/>
    <w:rsid w:val="002E2283"/>
    <w:rsid w:val="002E24F5"/>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084"/>
    <w:rsid w:val="003643C9"/>
    <w:rsid w:val="003657F1"/>
    <w:rsid w:val="00365826"/>
    <w:rsid w:val="00365A2F"/>
    <w:rsid w:val="00366696"/>
    <w:rsid w:val="0036754C"/>
    <w:rsid w:val="00374B8B"/>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4EBE"/>
    <w:rsid w:val="003A5E83"/>
    <w:rsid w:val="003A645E"/>
    <w:rsid w:val="003A6A5F"/>
    <w:rsid w:val="003A7581"/>
    <w:rsid w:val="003B2E77"/>
    <w:rsid w:val="003B3FDD"/>
    <w:rsid w:val="003B4D40"/>
    <w:rsid w:val="003B5D19"/>
    <w:rsid w:val="003B610B"/>
    <w:rsid w:val="003C0E29"/>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9F3"/>
    <w:rsid w:val="00433AE5"/>
    <w:rsid w:val="0043485A"/>
    <w:rsid w:val="00434FD6"/>
    <w:rsid w:val="00435F0E"/>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4F69C8"/>
    <w:rsid w:val="00500A53"/>
    <w:rsid w:val="00503634"/>
    <w:rsid w:val="00504F92"/>
    <w:rsid w:val="00505551"/>
    <w:rsid w:val="005078B3"/>
    <w:rsid w:val="005103B7"/>
    <w:rsid w:val="00510A28"/>
    <w:rsid w:val="00511C54"/>
    <w:rsid w:val="0051292E"/>
    <w:rsid w:val="00516207"/>
    <w:rsid w:val="00520C27"/>
    <w:rsid w:val="00521B57"/>
    <w:rsid w:val="00522DE9"/>
    <w:rsid w:val="00522EF8"/>
    <w:rsid w:val="005235B5"/>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5251"/>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218"/>
    <w:rsid w:val="005E3768"/>
    <w:rsid w:val="005E448D"/>
    <w:rsid w:val="005F064D"/>
    <w:rsid w:val="005F26F5"/>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5256"/>
    <w:rsid w:val="00616232"/>
    <w:rsid w:val="00620850"/>
    <w:rsid w:val="00620DB5"/>
    <w:rsid w:val="00621A59"/>
    <w:rsid w:val="0062201A"/>
    <w:rsid w:val="006225AC"/>
    <w:rsid w:val="006230A9"/>
    <w:rsid w:val="00623799"/>
    <w:rsid w:val="00624D32"/>
    <w:rsid w:val="0062682E"/>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DD8"/>
    <w:rsid w:val="00655F80"/>
    <w:rsid w:val="00656541"/>
    <w:rsid w:val="00660216"/>
    <w:rsid w:val="006621E9"/>
    <w:rsid w:val="00662904"/>
    <w:rsid w:val="00663A6D"/>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7756"/>
    <w:rsid w:val="006A177A"/>
    <w:rsid w:val="006A1A5D"/>
    <w:rsid w:val="006A3267"/>
    <w:rsid w:val="006A4533"/>
    <w:rsid w:val="006A5968"/>
    <w:rsid w:val="006A5F8B"/>
    <w:rsid w:val="006A600F"/>
    <w:rsid w:val="006A6DA2"/>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2AB6"/>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5269"/>
    <w:rsid w:val="007969E6"/>
    <w:rsid w:val="00796DA1"/>
    <w:rsid w:val="007A2C57"/>
    <w:rsid w:val="007A3440"/>
    <w:rsid w:val="007A34B3"/>
    <w:rsid w:val="007A534A"/>
    <w:rsid w:val="007B1039"/>
    <w:rsid w:val="007B1644"/>
    <w:rsid w:val="007B33F8"/>
    <w:rsid w:val="007B3B6F"/>
    <w:rsid w:val="007B3F3D"/>
    <w:rsid w:val="007B413B"/>
    <w:rsid w:val="007B4FD7"/>
    <w:rsid w:val="007B5461"/>
    <w:rsid w:val="007B6474"/>
    <w:rsid w:val="007B7F0F"/>
    <w:rsid w:val="007C0DE1"/>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0598"/>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089"/>
    <w:rsid w:val="0086621E"/>
    <w:rsid w:val="0086717D"/>
    <w:rsid w:val="0087121E"/>
    <w:rsid w:val="0087651E"/>
    <w:rsid w:val="00876B32"/>
    <w:rsid w:val="00876F23"/>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667"/>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3268"/>
    <w:rsid w:val="009C638A"/>
    <w:rsid w:val="009D3AAC"/>
    <w:rsid w:val="009D5B63"/>
    <w:rsid w:val="009D5E32"/>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BCB"/>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0A55"/>
    <w:rsid w:val="00B55869"/>
    <w:rsid w:val="00B567F1"/>
    <w:rsid w:val="00B569FA"/>
    <w:rsid w:val="00B571D3"/>
    <w:rsid w:val="00B60E2D"/>
    <w:rsid w:val="00B635A5"/>
    <w:rsid w:val="00B63BE5"/>
    <w:rsid w:val="00B64CAA"/>
    <w:rsid w:val="00B65C84"/>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04E7"/>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50A5"/>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12AF"/>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4E24"/>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1F22"/>
    <w:rsid w:val="00E24543"/>
    <w:rsid w:val="00E2457B"/>
    <w:rsid w:val="00E247DE"/>
    <w:rsid w:val="00E257AB"/>
    <w:rsid w:val="00E268BA"/>
    <w:rsid w:val="00E30246"/>
    <w:rsid w:val="00E3212A"/>
    <w:rsid w:val="00E32221"/>
    <w:rsid w:val="00E32512"/>
    <w:rsid w:val="00E333C7"/>
    <w:rsid w:val="00E3374E"/>
    <w:rsid w:val="00E33A7F"/>
    <w:rsid w:val="00E34A79"/>
    <w:rsid w:val="00E376F7"/>
    <w:rsid w:val="00E4104D"/>
    <w:rsid w:val="00E41293"/>
    <w:rsid w:val="00E41C3F"/>
    <w:rsid w:val="00E41CE3"/>
    <w:rsid w:val="00E43074"/>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0936"/>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1F71"/>
    <w:rsid w:val="00EF2966"/>
    <w:rsid w:val="00EF5346"/>
    <w:rsid w:val="00EF7235"/>
    <w:rsid w:val="00EF7A0E"/>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682"/>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60B3"/>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4DA8"/>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1F22"/>
    <w:pPr>
      <w:tabs>
        <w:tab w:val="center" w:pos="4680"/>
        <w:tab w:val="right" w:pos="9360"/>
      </w:tabs>
      <w:spacing w:line="240" w:lineRule="auto"/>
    </w:pPr>
  </w:style>
  <w:style w:type="character" w:customStyle="1" w:styleId="FooterChar">
    <w:name w:val="Footer Char"/>
    <w:basedOn w:val="DefaultParagraphFont"/>
    <w:link w:val="Footer"/>
    <w:uiPriority w:val="99"/>
    <w:rsid w:val="00E21F22"/>
  </w:style>
  <w:style w:type="paragraph" w:styleId="FootnoteText">
    <w:name w:val="footnote text"/>
    <w:basedOn w:val="Normal"/>
    <w:link w:val="FootnoteTextChar"/>
    <w:uiPriority w:val="99"/>
    <w:semiHidden/>
    <w:unhideWhenUsed/>
    <w:rsid w:val="001739C4"/>
    <w:pPr>
      <w:spacing w:line="240" w:lineRule="auto"/>
    </w:pPr>
    <w:rPr>
      <w:sz w:val="20"/>
      <w:szCs w:val="20"/>
    </w:rPr>
  </w:style>
  <w:style w:type="character" w:customStyle="1" w:styleId="FootnoteTextChar">
    <w:name w:val="Footnote Text Char"/>
    <w:basedOn w:val="DefaultParagraphFont"/>
    <w:link w:val="FootnoteText"/>
    <w:uiPriority w:val="99"/>
    <w:semiHidden/>
    <w:rsid w:val="001739C4"/>
    <w:rPr>
      <w:sz w:val="20"/>
      <w:szCs w:val="20"/>
    </w:rPr>
  </w:style>
  <w:style w:type="character" w:styleId="FootnoteReference">
    <w:name w:val="footnote reference"/>
    <w:basedOn w:val="DefaultParagraphFont"/>
    <w:uiPriority w:val="99"/>
    <w:semiHidden/>
    <w:unhideWhenUsed/>
    <w:rsid w:val="001739C4"/>
    <w:rPr>
      <w:vertAlign w:val="superscript"/>
    </w:rPr>
  </w:style>
  <w:style w:type="paragraph" w:styleId="BalloonText">
    <w:name w:val="Balloon Text"/>
    <w:basedOn w:val="Normal"/>
    <w:link w:val="BalloonTextChar"/>
    <w:uiPriority w:val="99"/>
    <w:semiHidden/>
    <w:unhideWhenUsed/>
    <w:rsid w:val="00772A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B6"/>
    <w:rPr>
      <w:rFonts w:ascii="Tahoma" w:hAnsi="Tahoma" w:cs="Tahoma"/>
      <w:sz w:val="16"/>
      <w:szCs w:val="16"/>
    </w:rPr>
  </w:style>
  <w:style w:type="paragraph" w:styleId="Header">
    <w:name w:val="header"/>
    <w:basedOn w:val="Normal"/>
    <w:link w:val="HeaderChar"/>
    <w:uiPriority w:val="99"/>
    <w:unhideWhenUsed/>
    <w:rsid w:val="00435F0E"/>
    <w:pPr>
      <w:tabs>
        <w:tab w:val="center" w:pos="4680"/>
        <w:tab w:val="right" w:pos="9360"/>
      </w:tabs>
      <w:spacing w:line="240" w:lineRule="auto"/>
    </w:pPr>
  </w:style>
  <w:style w:type="character" w:customStyle="1" w:styleId="HeaderChar">
    <w:name w:val="Header Char"/>
    <w:basedOn w:val="DefaultParagraphFont"/>
    <w:link w:val="Header"/>
    <w:uiPriority w:val="99"/>
    <w:rsid w:val="00435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1F22"/>
    <w:pPr>
      <w:tabs>
        <w:tab w:val="center" w:pos="4680"/>
        <w:tab w:val="right" w:pos="9360"/>
      </w:tabs>
      <w:spacing w:line="240" w:lineRule="auto"/>
    </w:pPr>
  </w:style>
  <w:style w:type="character" w:customStyle="1" w:styleId="FooterChar">
    <w:name w:val="Footer Char"/>
    <w:basedOn w:val="DefaultParagraphFont"/>
    <w:link w:val="Footer"/>
    <w:uiPriority w:val="99"/>
    <w:rsid w:val="00E21F22"/>
  </w:style>
  <w:style w:type="paragraph" w:styleId="FootnoteText">
    <w:name w:val="footnote text"/>
    <w:basedOn w:val="Normal"/>
    <w:link w:val="FootnoteTextChar"/>
    <w:uiPriority w:val="99"/>
    <w:semiHidden/>
    <w:unhideWhenUsed/>
    <w:rsid w:val="001739C4"/>
    <w:pPr>
      <w:spacing w:line="240" w:lineRule="auto"/>
    </w:pPr>
    <w:rPr>
      <w:sz w:val="20"/>
      <w:szCs w:val="20"/>
    </w:rPr>
  </w:style>
  <w:style w:type="character" w:customStyle="1" w:styleId="FootnoteTextChar">
    <w:name w:val="Footnote Text Char"/>
    <w:basedOn w:val="DefaultParagraphFont"/>
    <w:link w:val="FootnoteText"/>
    <w:uiPriority w:val="99"/>
    <w:semiHidden/>
    <w:rsid w:val="001739C4"/>
    <w:rPr>
      <w:sz w:val="20"/>
      <w:szCs w:val="20"/>
    </w:rPr>
  </w:style>
  <w:style w:type="character" w:styleId="FootnoteReference">
    <w:name w:val="footnote reference"/>
    <w:basedOn w:val="DefaultParagraphFont"/>
    <w:uiPriority w:val="99"/>
    <w:semiHidden/>
    <w:unhideWhenUsed/>
    <w:rsid w:val="001739C4"/>
    <w:rPr>
      <w:vertAlign w:val="superscript"/>
    </w:rPr>
  </w:style>
  <w:style w:type="paragraph" w:styleId="BalloonText">
    <w:name w:val="Balloon Text"/>
    <w:basedOn w:val="Normal"/>
    <w:link w:val="BalloonTextChar"/>
    <w:uiPriority w:val="99"/>
    <w:semiHidden/>
    <w:unhideWhenUsed/>
    <w:rsid w:val="00772A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B6"/>
    <w:rPr>
      <w:rFonts w:ascii="Tahoma" w:hAnsi="Tahoma" w:cs="Tahoma"/>
      <w:sz w:val="16"/>
      <w:szCs w:val="16"/>
    </w:rPr>
  </w:style>
  <w:style w:type="paragraph" w:styleId="Header">
    <w:name w:val="header"/>
    <w:basedOn w:val="Normal"/>
    <w:link w:val="HeaderChar"/>
    <w:uiPriority w:val="99"/>
    <w:unhideWhenUsed/>
    <w:rsid w:val="00435F0E"/>
    <w:pPr>
      <w:tabs>
        <w:tab w:val="center" w:pos="4680"/>
        <w:tab w:val="right" w:pos="9360"/>
      </w:tabs>
      <w:spacing w:line="240" w:lineRule="auto"/>
    </w:pPr>
  </w:style>
  <w:style w:type="character" w:customStyle="1" w:styleId="HeaderChar">
    <w:name w:val="Header Char"/>
    <w:basedOn w:val="DefaultParagraphFont"/>
    <w:link w:val="Header"/>
    <w:uiPriority w:val="99"/>
    <w:rsid w:val="0043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7CD3-87B2-49EE-8813-C0A6A446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2014-04-02T11:48:00Z</cp:lastPrinted>
  <dcterms:created xsi:type="dcterms:W3CDTF">2014-04-02T12:34:00Z</dcterms:created>
  <dcterms:modified xsi:type="dcterms:W3CDTF">2014-04-02T12:34:00Z</dcterms:modified>
</cp:coreProperties>
</file>