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7E" w:rsidRPr="009A52FA" w:rsidRDefault="00815D7E" w:rsidP="00815D7E">
      <w:pPr>
        <w:widowControl w:val="0"/>
        <w:spacing w:line="240" w:lineRule="auto"/>
        <w:rPr>
          <w:b/>
          <w:bCs/>
        </w:rPr>
      </w:pPr>
      <w:r w:rsidRPr="009A52FA">
        <w:rPr>
          <w:b/>
          <w:bCs/>
        </w:rPr>
        <w:t>BEFORE THE</w:t>
      </w:r>
    </w:p>
    <w:p w:rsidR="00815D7E" w:rsidRPr="009A52FA" w:rsidRDefault="00815D7E" w:rsidP="00815D7E">
      <w:pPr>
        <w:widowControl w:val="0"/>
        <w:rPr>
          <w:b/>
          <w:bCs/>
        </w:rPr>
      </w:pPr>
      <w:r w:rsidRPr="009A52FA">
        <w:rPr>
          <w:b/>
          <w:bCs/>
        </w:rPr>
        <w:t>PENNSYLVANIA PUBLIC UTILITY COMMISSION</w:t>
      </w:r>
    </w:p>
    <w:p w:rsidR="00815D7E" w:rsidRPr="009A52FA" w:rsidRDefault="00815D7E" w:rsidP="00815D7E">
      <w:pPr>
        <w:widowControl w:val="0"/>
        <w:jc w:val="left"/>
        <w:rPr>
          <w:b/>
          <w:bCs/>
        </w:rPr>
      </w:pPr>
    </w:p>
    <w:p w:rsidR="00815D7E" w:rsidRPr="009A52FA" w:rsidRDefault="00815D7E" w:rsidP="00815D7E">
      <w:pPr>
        <w:widowControl w:val="0"/>
        <w:jc w:val="left"/>
        <w:rPr>
          <w:b/>
          <w:bCs/>
        </w:rPr>
      </w:pPr>
    </w:p>
    <w:p w:rsidR="00815D7E" w:rsidRDefault="00815D7E" w:rsidP="00815D7E">
      <w:pPr>
        <w:widowControl w:val="0"/>
        <w:spacing w:line="240" w:lineRule="auto"/>
        <w:contextualSpacing/>
        <w:jc w:val="left"/>
        <w:rPr>
          <w:bCs/>
        </w:rPr>
      </w:pPr>
      <w:r>
        <w:rPr>
          <w:bCs/>
        </w:rPr>
        <w:t>Insurance Company of Greater New York</w:t>
      </w:r>
      <w:r>
        <w:rPr>
          <w:bCs/>
        </w:rPr>
        <w:tab/>
      </w:r>
      <w:r>
        <w:rPr>
          <w:bCs/>
        </w:rPr>
        <w:tab/>
        <w:t>:</w:t>
      </w:r>
    </w:p>
    <w:p w:rsidR="00815D7E" w:rsidRDefault="00815D7E" w:rsidP="00815D7E">
      <w:pPr>
        <w:widowControl w:val="0"/>
        <w:spacing w:line="240" w:lineRule="auto"/>
        <w:contextualSpacing/>
        <w:jc w:val="left"/>
        <w:rPr>
          <w:bCs/>
        </w:rPr>
      </w:pPr>
      <w:proofErr w:type="gramStart"/>
      <w:r>
        <w:rPr>
          <w:bCs/>
        </w:rPr>
        <w:t>a/s/o</w:t>
      </w:r>
      <w:proofErr w:type="gramEnd"/>
      <w:r>
        <w:rPr>
          <w:bCs/>
        </w:rPr>
        <w:t xml:space="preserve"> Quail Run Real Estate L.P. d/b/a</w:t>
      </w:r>
      <w:r>
        <w:rPr>
          <w:bCs/>
        </w:rPr>
        <w:tab/>
      </w:r>
      <w:r>
        <w:rPr>
          <w:bCs/>
        </w:rPr>
        <w:tab/>
        <w:t>:</w:t>
      </w:r>
    </w:p>
    <w:p w:rsidR="00815D7E" w:rsidRDefault="00815D7E" w:rsidP="00815D7E">
      <w:pPr>
        <w:widowControl w:val="0"/>
        <w:spacing w:line="240" w:lineRule="auto"/>
        <w:contextualSpacing/>
        <w:jc w:val="left"/>
        <w:rPr>
          <w:bCs/>
        </w:rPr>
      </w:pPr>
      <w:r>
        <w:rPr>
          <w:bCs/>
        </w:rPr>
        <w:t>Quail Run Apartments</w:t>
      </w:r>
      <w:r>
        <w:rPr>
          <w:bCs/>
        </w:rPr>
        <w:tab/>
      </w:r>
      <w:r>
        <w:rPr>
          <w:bCs/>
        </w:rPr>
        <w:tab/>
      </w:r>
      <w:r>
        <w:rPr>
          <w:bCs/>
        </w:rPr>
        <w:tab/>
      </w:r>
      <w:r>
        <w:rPr>
          <w:bCs/>
        </w:rPr>
        <w:tab/>
        <w:t>:</w:t>
      </w:r>
    </w:p>
    <w:p w:rsidR="00815D7E" w:rsidRDefault="00815D7E" w:rsidP="00815D7E">
      <w:pPr>
        <w:widowControl w:val="0"/>
        <w:spacing w:line="240" w:lineRule="auto"/>
        <w:contextualSpacing/>
        <w:jc w:val="left"/>
        <w:rPr>
          <w:bCs/>
        </w:rPr>
      </w:pPr>
      <w:r>
        <w:rPr>
          <w:bCs/>
        </w:rPr>
        <w:tab/>
      </w:r>
      <w:r>
        <w:rPr>
          <w:bCs/>
        </w:rPr>
        <w:tab/>
      </w:r>
      <w:r>
        <w:rPr>
          <w:bCs/>
        </w:rPr>
        <w:tab/>
      </w:r>
      <w:r>
        <w:rPr>
          <w:bCs/>
        </w:rPr>
        <w:tab/>
      </w:r>
      <w:r>
        <w:rPr>
          <w:bCs/>
        </w:rPr>
        <w:tab/>
      </w:r>
      <w:r>
        <w:rPr>
          <w:bCs/>
        </w:rPr>
        <w:tab/>
      </w:r>
      <w:r>
        <w:rPr>
          <w:bCs/>
        </w:rPr>
        <w:tab/>
        <w:t>:</w:t>
      </w:r>
    </w:p>
    <w:p w:rsidR="00815D7E" w:rsidRDefault="00815D7E" w:rsidP="00815D7E">
      <w:pPr>
        <w:widowControl w:val="0"/>
        <w:spacing w:line="240" w:lineRule="auto"/>
        <w:contextualSpacing/>
        <w:jc w:val="left"/>
        <w:rPr>
          <w:bCs/>
        </w:rPr>
      </w:pPr>
      <w:r>
        <w:rPr>
          <w:bCs/>
        </w:rPr>
        <w:tab/>
        <w:t>v.</w:t>
      </w:r>
      <w:r>
        <w:rPr>
          <w:bCs/>
        </w:rPr>
        <w:tab/>
      </w:r>
      <w:r>
        <w:rPr>
          <w:bCs/>
        </w:rPr>
        <w:tab/>
      </w:r>
      <w:r>
        <w:rPr>
          <w:bCs/>
        </w:rPr>
        <w:tab/>
      </w:r>
      <w:r>
        <w:rPr>
          <w:bCs/>
        </w:rPr>
        <w:tab/>
      </w:r>
      <w:r>
        <w:rPr>
          <w:bCs/>
        </w:rPr>
        <w:tab/>
      </w:r>
      <w:r>
        <w:rPr>
          <w:bCs/>
        </w:rPr>
        <w:tab/>
        <w:t>:</w:t>
      </w:r>
      <w:r>
        <w:rPr>
          <w:bCs/>
        </w:rPr>
        <w:tab/>
      </w:r>
      <w:r>
        <w:rPr>
          <w:bCs/>
        </w:rPr>
        <w:tab/>
        <w:t>C-2013-2393832</w:t>
      </w:r>
    </w:p>
    <w:p w:rsidR="00815D7E" w:rsidRDefault="00815D7E" w:rsidP="00815D7E">
      <w:pPr>
        <w:widowControl w:val="0"/>
        <w:spacing w:line="240" w:lineRule="auto"/>
        <w:contextualSpacing/>
        <w:jc w:val="left"/>
        <w:rPr>
          <w:bCs/>
        </w:rPr>
      </w:pPr>
      <w:r>
        <w:rPr>
          <w:bCs/>
        </w:rPr>
        <w:tab/>
      </w:r>
      <w:r>
        <w:rPr>
          <w:bCs/>
        </w:rPr>
        <w:tab/>
      </w:r>
      <w:r>
        <w:rPr>
          <w:bCs/>
        </w:rPr>
        <w:tab/>
      </w:r>
      <w:r>
        <w:rPr>
          <w:bCs/>
        </w:rPr>
        <w:tab/>
      </w:r>
      <w:r>
        <w:rPr>
          <w:bCs/>
        </w:rPr>
        <w:tab/>
      </w:r>
      <w:r>
        <w:rPr>
          <w:bCs/>
        </w:rPr>
        <w:tab/>
      </w:r>
      <w:r>
        <w:rPr>
          <w:bCs/>
        </w:rPr>
        <w:tab/>
        <w:t>:</w:t>
      </w:r>
    </w:p>
    <w:p w:rsidR="00815D7E" w:rsidRPr="00D66A31" w:rsidRDefault="00815D7E" w:rsidP="00815D7E">
      <w:pPr>
        <w:widowControl w:val="0"/>
        <w:spacing w:line="240" w:lineRule="auto"/>
        <w:contextualSpacing/>
        <w:jc w:val="left"/>
      </w:pPr>
      <w:r>
        <w:rPr>
          <w:bCs/>
        </w:rPr>
        <w:t>United Water Company</w:t>
      </w:r>
      <w:r>
        <w:rPr>
          <w:bCs/>
        </w:rPr>
        <w:tab/>
      </w:r>
      <w:r>
        <w:rPr>
          <w:bCs/>
        </w:rPr>
        <w:tab/>
      </w:r>
      <w:r>
        <w:rPr>
          <w:bCs/>
        </w:rPr>
        <w:tab/>
      </w:r>
      <w:r>
        <w:rPr>
          <w:bCs/>
        </w:rPr>
        <w:tab/>
        <w:t>:</w:t>
      </w:r>
      <w:r>
        <w:rPr>
          <w:bCs/>
        </w:rPr>
        <w:br/>
      </w:r>
      <w:r>
        <w:rPr>
          <w:bCs/>
        </w:rPr>
        <w:tab/>
      </w:r>
      <w:r>
        <w:rPr>
          <w:bCs/>
        </w:rPr>
        <w:tab/>
      </w:r>
      <w:r>
        <w:rPr>
          <w:bCs/>
        </w:rPr>
        <w:tab/>
      </w:r>
    </w:p>
    <w:p w:rsidR="00815D7E" w:rsidRDefault="00815D7E" w:rsidP="00815D7E">
      <w:pPr>
        <w:widowControl w:val="0"/>
        <w:jc w:val="left"/>
      </w:pPr>
    </w:p>
    <w:p w:rsidR="00815D7E" w:rsidRPr="009A52FA" w:rsidRDefault="00383000" w:rsidP="00815D7E">
      <w:pPr>
        <w:widowControl w:val="0"/>
        <w:rPr>
          <w:b/>
          <w:bCs/>
          <w:u w:val="single"/>
        </w:rPr>
      </w:pPr>
      <w:r>
        <w:rPr>
          <w:b/>
          <w:bCs/>
          <w:u w:val="single"/>
        </w:rPr>
        <w:t xml:space="preserve">REVISED </w:t>
      </w:r>
      <w:r w:rsidR="00815D7E">
        <w:rPr>
          <w:b/>
          <w:bCs/>
          <w:u w:val="single"/>
        </w:rPr>
        <w:t xml:space="preserve">SCHEDULING </w:t>
      </w:r>
      <w:r w:rsidR="00815D7E" w:rsidRPr="009A52FA">
        <w:rPr>
          <w:b/>
          <w:bCs/>
          <w:u w:val="single"/>
        </w:rPr>
        <w:t>ORDER</w:t>
      </w:r>
    </w:p>
    <w:p w:rsidR="00815D7E" w:rsidRDefault="00383000" w:rsidP="00815D7E">
      <w:pPr>
        <w:widowControl w:val="0"/>
        <w:rPr>
          <w:b/>
          <w:bCs/>
        </w:rPr>
      </w:pPr>
      <w:r>
        <w:rPr>
          <w:b/>
          <w:bCs/>
        </w:rPr>
        <w:t>Third</w:t>
      </w:r>
      <w:r w:rsidR="00815D7E">
        <w:rPr>
          <w:b/>
          <w:bCs/>
        </w:rPr>
        <w:t xml:space="preserve"> </w:t>
      </w:r>
      <w:r w:rsidR="00815D7E" w:rsidRPr="007F38EC">
        <w:rPr>
          <w:b/>
          <w:bCs/>
        </w:rPr>
        <w:t>Prehearing Order</w:t>
      </w:r>
    </w:p>
    <w:p w:rsidR="00383000" w:rsidRDefault="00383000" w:rsidP="00815D7E">
      <w:pPr>
        <w:widowControl w:val="0"/>
        <w:rPr>
          <w:b/>
          <w:bCs/>
        </w:rPr>
      </w:pPr>
    </w:p>
    <w:p w:rsidR="00383000" w:rsidRDefault="00383000" w:rsidP="00383000">
      <w:pPr>
        <w:widowControl w:val="0"/>
        <w:jc w:val="left"/>
        <w:rPr>
          <w:bCs/>
        </w:rPr>
      </w:pPr>
      <w:r>
        <w:rPr>
          <w:bCs/>
        </w:rPr>
        <w:tab/>
      </w:r>
      <w:r>
        <w:rPr>
          <w:bCs/>
        </w:rPr>
        <w:tab/>
        <w:t xml:space="preserve">The following </w:t>
      </w:r>
      <w:r w:rsidRPr="005C2101">
        <w:rPr>
          <w:bCs/>
        </w:rPr>
        <w:t>changes</w:t>
      </w:r>
      <w:r>
        <w:rPr>
          <w:bCs/>
        </w:rPr>
        <w:t xml:space="preserve"> were made to the </w:t>
      </w:r>
      <w:r w:rsidR="005C2101">
        <w:rPr>
          <w:bCs/>
        </w:rPr>
        <w:t>Second Prehearing Order:</w:t>
      </w:r>
    </w:p>
    <w:p w:rsidR="005C2101" w:rsidRDefault="005C2101" w:rsidP="00383000">
      <w:pPr>
        <w:widowControl w:val="0"/>
        <w:jc w:val="left"/>
        <w:rPr>
          <w:bCs/>
        </w:rPr>
      </w:pPr>
      <w:r>
        <w:rPr>
          <w:bCs/>
        </w:rPr>
        <w:tab/>
        <w:t>1.</w:t>
      </w:r>
      <w:r>
        <w:rPr>
          <w:bCs/>
        </w:rPr>
        <w:tab/>
        <w:t>Spacing was revised on page two to correct the quote from the District Court.</w:t>
      </w:r>
    </w:p>
    <w:p w:rsidR="005C2101" w:rsidRDefault="005C2101" w:rsidP="00383000">
      <w:pPr>
        <w:widowControl w:val="0"/>
        <w:jc w:val="left"/>
        <w:rPr>
          <w:bCs/>
        </w:rPr>
      </w:pPr>
      <w:r>
        <w:rPr>
          <w:bCs/>
        </w:rPr>
        <w:tab/>
        <w:t>2.</w:t>
      </w:r>
      <w:r>
        <w:rPr>
          <w:bCs/>
        </w:rPr>
        <w:tab/>
        <w:t>The date for service of the Complaint on page 3 was changed to November 22, 2013.</w:t>
      </w:r>
    </w:p>
    <w:p w:rsidR="005C2101" w:rsidRDefault="005C2101" w:rsidP="00383000">
      <w:pPr>
        <w:widowControl w:val="0"/>
        <w:jc w:val="left"/>
        <w:rPr>
          <w:bCs/>
        </w:rPr>
      </w:pPr>
      <w:r>
        <w:rPr>
          <w:bCs/>
        </w:rPr>
        <w:tab/>
        <w:t>3.</w:t>
      </w:r>
      <w:r>
        <w:rPr>
          <w:bCs/>
        </w:rPr>
        <w:tab/>
        <w:t xml:space="preserve">The litigation schedule adopted in the ordering paragraph was changed to provide that main and reply briefs of both parties will be filed simultaneously, as agreed upon at the prehearing conference. </w:t>
      </w:r>
    </w:p>
    <w:p w:rsidR="005C2101" w:rsidRDefault="005C2101" w:rsidP="00383000">
      <w:pPr>
        <w:widowControl w:val="0"/>
        <w:jc w:val="left"/>
        <w:rPr>
          <w:bCs/>
        </w:rPr>
      </w:pPr>
    </w:p>
    <w:p w:rsidR="005C2101" w:rsidRPr="00383000" w:rsidRDefault="005C2101" w:rsidP="00383000">
      <w:pPr>
        <w:widowControl w:val="0"/>
        <w:jc w:val="left"/>
        <w:rPr>
          <w:bCs/>
        </w:rPr>
      </w:pPr>
      <w:r>
        <w:rPr>
          <w:bCs/>
        </w:rPr>
        <w:tab/>
      </w:r>
      <w:r>
        <w:rPr>
          <w:bCs/>
        </w:rPr>
        <w:tab/>
        <w:t>All other provisions of the Scheduling Order remain the same.  I note that the recommendations for changes to the listing of allegations have not been adopted here.  These can be addressed in the parties' briefs.</w:t>
      </w:r>
    </w:p>
    <w:p w:rsidR="00815D7E" w:rsidRDefault="00815D7E" w:rsidP="00815D7E">
      <w:pPr>
        <w:widowControl w:val="0"/>
        <w:jc w:val="left"/>
        <w:rPr>
          <w:b/>
          <w:bCs/>
          <w:u w:val="single"/>
        </w:rPr>
      </w:pPr>
    </w:p>
    <w:p w:rsidR="00CC1147" w:rsidRDefault="00CC1147" w:rsidP="00815D7E">
      <w:pPr>
        <w:widowControl w:val="0"/>
        <w:jc w:val="left"/>
        <w:rPr>
          <w:b/>
          <w:bCs/>
          <w:u w:val="single"/>
        </w:rPr>
      </w:pPr>
      <w:r>
        <w:rPr>
          <w:bCs/>
        </w:rPr>
        <w:tab/>
      </w:r>
      <w:r>
        <w:rPr>
          <w:bCs/>
        </w:rPr>
        <w:tab/>
        <w:t xml:space="preserve">The purpose of this Order is to schedule the litigation of a case sent to the Commission from the U.S. District Court for the Middle District of Pennsylvania.  </w:t>
      </w:r>
      <w:r>
        <w:rPr>
          <w:b/>
          <w:bCs/>
          <w:u w:val="single"/>
        </w:rPr>
        <w:br/>
      </w:r>
    </w:p>
    <w:p w:rsidR="00632718" w:rsidRPr="000A0703" w:rsidRDefault="00815D7E" w:rsidP="00815D7E">
      <w:pPr>
        <w:widowControl w:val="0"/>
        <w:jc w:val="left"/>
        <w:rPr>
          <w:bCs/>
        </w:rPr>
      </w:pPr>
      <w:r>
        <w:rPr>
          <w:bCs/>
        </w:rPr>
        <w:tab/>
      </w:r>
      <w:r>
        <w:rPr>
          <w:bCs/>
        </w:rPr>
        <w:tab/>
      </w:r>
      <w:r w:rsidR="00B157C7">
        <w:rPr>
          <w:bCs/>
        </w:rPr>
        <w:t xml:space="preserve">On July 17, 2014, Judge Lawrence F. Stengel of the U.S. District Court for the Middle District of Pennsylvania issued a Memorandum </w:t>
      </w:r>
      <w:r w:rsidR="002537DA">
        <w:rPr>
          <w:bCs/>
        </w:rPr>
        <w:t xml:space="preserve">in the case captioned </w:t>
      </w:r>
      <w:r w:rsidR="002537DA">
        <w:rPr>
          <w:bCs/>
          <w:i/>
        </w:rPr>
        <w:t>State Farm Fire and Casualty Company a/s/o Brittany Lehman and Nathan Becker, Charles K. Powe</w:t>
      </w:r>
      <w:r w:rsidR="00C12C9B">
        <w:rPr>
          <w:bCs/>
          <w:i/>
        </w:rPr>
        <w:t>ll</w:t>
      </w:r>
      <w:r w:rsidR="002537DA">
        <w:rPr>
          <w:bCs/>
          <w:i/>
        </w:rPr>
        <w:t>,</w:t>
      </w:r>
      <w:r w:rsidR="00C12C9B">
        <w:rPr>
          <w:bCs/>
          <w:i/>
        </w:rPr>
        <w:t xml:space="preserve"> </w:t>
      </w:r>
      <w:r w:rsidR="002537DA">
        <w:rPr>
          <w:bCs/>
          <w:i/>
        </w:rPr>
        <w:t xml:space="preserve">Jr., and </w:t>
      </w:r>
      <w:r w:rsidR="00C12C9B">
        <w:rPr>
          <w:bCs/>
          <w:i/>
        </w:rPr>
        <w:lastRenderedPageBreak/>
        <w:t xml:space="preserve">Anthony </w:t>
      </w:r>
      <w:proofErr w:type="spellStart"/>
      <w:r w:rsidR="00C12C9B">
        <w:rPr>
          <w:bCs/>
          <w:i/>
        </w:rPr>
        <w:t>Cuthbertson</w:t>
      </w:r>
      <w:proofErr w:type="spellEnd"/>
      <w:r w:rsidR="00C12C9B">
        <w:rPr>
          <w:bCs/>
          <w:i/>
        </w:rPr>
        <w:t>, Plaintiff, v. Tina Jefferson, Andre Drayton, Symone Scott, and United Water Company, Defendants,</w:t>
      </w:r>
      <w:r w:rsidR="000A0703">
        <w:rPr>
          <w:rStyle w:val="FootnoteReference"/>
          <w:bCs/>
          <w:i/>
        </w:rPr>
        <w:footnoteReference w:id="1"/>
      </w:r>
      <w:r w:rsidR="00C12C9B">
        <w:rPr>
          <w:bCs/>
          <w:i/>
        </w:rPr>
        <w:t xml:space="preserve"> </w:t>
      </w:r>
      <w:r w:rsidR="00C12C9B">
        <w:rPr>
          <w:bCs/>
        </w:rPr>
        <w:t>Civil Action No. 12-1107, 2013 U.S. Dist. LEXIS 100160 (July 13, 2013</w:t>
      </w:r>
      <w:proofErr w:type="gramStart"/>
      <w:r w:rsidR="00C12C9B">
        <w:rPr>
          <w:bCs/>
        </w:rPr>
        <w:t>)</w:t>
      </w:r>
      <w:r w:rsidR="00CE110B">
        <w:rPr>
          <w:bCs/>
        </w:rPr>
        <w:t>(</w:t>
      </w:r>
      <w:proofErr w:type="gramEnd"/>
      <w:r w:rsidR="00CE110B">
        <w:rPr>
          <w:bCs/>
        </w:rPr>
        <w:t>District Court Memo)</w:t>
      </w:r>
      <w:r w:rsidR="00C12C9B">
        <w:rPr>
          <w:bCs/>
        </w:rPr>
        <w:t>.</w:t>
      </w:r>
      <w:r w:rsidR="00CE110B">
        <w:rPr>
          <w:bCs/>
        </w:rPr>
        <w:t xml:space="preserve">  The District Court Memo was issued in response to a United Water</w:t>
      </w:r>
      <w:r w:rsidR="00632718">
        <w:rPr>
          <w:bCs/>
        </w:rPr>
        <w:t xml:space="preserve"> motion to dismiss for lack of subject matter jurisdiction or, in the alternative, to bifurcate and stay the case pursuant to the primary jurisdiction doctrine.  </w:t>
      </w:r>
      <w:r w:rsidR="000A0703">
        <w:rPr>
          <w:bCs/>
        </w:rPr>
        <w:t xml:space="preserve">Footnote 1 of the Court's Order advises the Commission that case of </w:t>
      </w:r>
      <w:r w:rsidR="000A0703">
        <w:rPr>
          <w:bCs/>
          <w:i/>
        </w:rPr>
        <w:t xml:space="preserve">Insurance Company of Greater New York, Inc. v. Jefferson et al., </w:t>
      </w:r>
      <w:r w:rsidR="00BE1EBD">
        <w:rPr>
          <w:bCs/>
        </w:rPr>
        <w:t>No. 11-545 (M.D. Pa. filed Mar. 23, 2011) is being contemporaneously transferred to the Commission.</w:t>
      </w:r>
      <w:r w:rsidR="00BE1EBD">
        <w:rPr>
          <w:rStyle w:val="FootnoteReference"/>
          <w:bCs/>
        </w:rPr>
        <w:footnoteReference w:id="2"/>
      </w:r>
      <w:r w:rsidR="00BE1EBD">
        <w:rPr>
          <w:bCs/>
        </w:rPr>
        <w:t xml:space="preserve">  </w:t>
      </w:r>
    </w:p>
    <w:p w:rsidR="00632718" w:rsidRDefault="00632718" w:rsidP="00815D7E">
      <w:pPr>
        <w:widowControl w:val="0"/>
        <w:jc w:val="left"/>
        <w:rPr>
          <w:bCs/>
        </w:rPr>
      </w:pPr>
    </w:p>
    <w:p w:rsidR="008C5F60" w:rsidRDefault="00632718" w:rsidP="00815D7E">
      <w:pPr>
        <w:widowControl w:val="0"/>
        <w:jc w:val="left"/>
        <w:rPr>
          <w:bCs/>
        </w:rPr>
      </w:pPr>
      <w:r>
        <w:rPr>
          <w:bCs/>
        </w:rPr>
        <w:tab/>
      </w:r>
      <w:r>
        <w:rPr>
          <w:bCs/>
        </w:rPr>
        <w:tab/>
        <w:t xml:space="preserve">In ruling on the motion, Judge Stengel found that in Pennsylvania, the doctrine of primary jurisdiction was developed to accommodate the adjudicatory authority of the Commonwealth's administrative agencies and common pleas courts.  Referral to a state agency is appropriate where the subject matter is within an agency's jurisdiction and it is a complex matter requiring special competence that the referring judge does not possess.  </w:t>
      </w:r>
      <w:proofErr w:type="spellStart"/>
      <w:proofErr w:type="gramStart"/>
      <w:r>
        <w:rPr>
          <w:bCs/>
          <w:i/>
        </w:rPr>
        <w:t>DeFrancesco</w:t>
      </w:r>
      <w:proofErr w:type="spellEnd"/>
      <w:r>
        <w:rPr>
          <w:bCs/>
          <w:i/>
        </w:rPr>
        <w:t xml:space="preserve"> v. W. Pennsylvania Water Co., </w:t>
      </w:r>
      <w:r w:rsidR="008C5F60">
        <w:rPr>
          <w:bCs/>
        </w:rPr>
        <w:t>499 Pa. 374, 453 A.2d 595, 597 no. 5 (Pa. 1982); District Court Memo at 4.</w:t>
      </w:r>
      <w:proofErr w:type="gramEnd"/>
      <w:r w:rsidR="008C5F60">
        <w:rPr>
          <w:bCs/>
        </w:rPr>
        <w:t xml:space="preserve">  </w:t>
      </w:r>
    </w:p>
    <w:p w:rsidR="008C5F60" w:rsidRDefault="008C5F60" w:rsidP="00815D7E">
      <w:pPr>
        <w:widowControl w:val="0"/>
        <w:jc w:val="left"/>
        <w:rPr>
          <w:bCs/>
        </w:rPr>
      </w:pPr>
    </w:p>
    <w:p w:rsidR="008C5F60" w:rsidRDefault="008C5F60" w:rsidP="00383000">
      <w:pPr>
        <w:widowControl w:val="0"/>
        <w:jc w:val="left"/>
        <w:rPr>
          <w:bCs/>
        </w:rPr>
      </w:pPr>
      <w:r>
        <w:rPr>
          <w:bCs/>
        </w:rPr>
        <w:tab/>
        <w:t>The District Court Memo grants United Water's motion to bifurcate by transferring to the Commission the determination of whether United Water supplied enough water pressure to the fire hydrants to extinguish the fire that is the subject of the District Court suit, consistent with the United Water tariff.  The District Court Memo states:</w:t>
      </w:r>
    </w:p>
    <w:p w:rsidR="00383000" w:rsidRDefault="00383000" w:rsidP="005D1082">
      <w:pPr>
        <w:widowControl w:val="0"/>
        <w:spacing w:line="240" w:lineRule="auto"/>
        <w:ind w:left="1440" w:right="1440"/>
        <w:jc w:val="left"/>
        <w:rPr>
          <w:bCs/>
        </w:rPr>
      </w:pPr>
    </w:p>
    <w:p w:rsidR="008C5F60" w:rsidRDefault="008C5F60" w:rsidP="005D1082">
      <w:pPr>
        <w:widowControl w:val="0"/>
        <w:spacing w:line="240" w:lineRule="auto"/>
        <w:ind w:left="1440" w:right="1440"/>
        <w:jc w:val="left"/>
        <w:rPr>
          <w:bCs/>
        </w:rPr>
      </w:pPr>
      <w:r>
        <w:rPr>
          <w:bCs/>
        </w:rPr>
        <w:t xml:space="preserve">In accordance with the bifurcated procedure adopted by the Pennsylvania Supreme Court, Elkin, </w:t>
      </w:r>
      <w:proofErr w:type="gramStart"/>
      <w:r>
        <w:rPr>
          <w:bCs/>
        </w:rPr>
        <w:t>420</w:t>
      </w:r>
      <w:proofErr w:type="gramEnd"/>
      <w:r>
        <w:rPr>
          <w:bCs/>
        </w:rPr>
        <w:t xml:space="preserve"> A.2d at 376-77, I will transfer this matter to the Commission for a determination of United Water's compliance with its tariff, as indicated above.  The Commission is directed to address any other issue within its expertise that will aid in resolving this dispute.  This case will be stayed pending receipt of the Commission's findings and conclusions, at which time it "may continue, guided in scope and direction by the nature and outcome of the agency determination."  </w:t>
      </w:r>
      <w:r>
        <w:rPr>
          <w:bCs/>
        </w:rPr>
        <w:lastRenderedPageBreak/>
        <w:t xml:space="preserve">Elkin, </w:t>
      </w:r>
      <w:proofErr w:type="gramStart"/>
      <w:r>
        <w:rPr>
          <w:bCs/>
        </w:rPr>
        <w:t>420 A.2d at 377</w:t>
      </w:r>
      <w:proofErr w:type="gramEnd"/>
      <w:r>
        <w:rPr>
          <w:bCs/>
        </w:rPr>
        <w:t>.</w:t>
      </w:r>
    </w:p>
    <w:p w:rsidR="005D1082" w:rsidRDefault="008C5F60" w:rsidP="00815D7E">
      <w:pPr>
        <w:widowControl w:val="0"/>
        <w:jc w:val="left"/>
        <w:rPr>
          <w:bCs/>
        </w:rPr>
      </w:pPr>
      <w:r>
        <w:rPr>
          <w:bCs/>
        </w:rPr>
        <w:t xml:space="preserve">District Court Memo at </w:t>
      </w:r>
      <w:r w:rsidR="005D1082">
        <w:rPr>
          <w:bCs/>
        </w:rPr>
        <w:t>9.</w:t>
      </w:r>
    </w:p>
    <w:p w:rsidR="005D1082" w:rsidRDefault="005D1082" w:rsidP="00815D7E">
      <w:pPr>
        <w:widowControl w:val="0"/>
        <w:jc w:val="left"/>
        <w:rPr>
          <w:bCs/>
        </w:rPr>
      </w:pPr>
    </w:p>
    <w:p w:rsidR="00AF62D5" w:rsidRDefault="00AF62D5" w:rsidP="00815D7E">
      <w:pPr>
        <w:widowControl w:val="0"/>
        <w:jc w:val="left"/>
        <w:rPr>
          <w:bCs/>
        </w:rPr>
      </w:pPr>
      <w:r>
        <w:rPr>
          <w:bCs/>
        </w:rPr>
        <w:tab/>
      </w:r>
      <w:r>
        <w:rPr>
          <w:bCs/>
        </w:rPr>
        <w:tab/>
        <w:t xml:space="preserve">Pursuant to inquiry, on August 5, 2013, chief counsel to the Commission Bohdan R. Pankiw, Esq., issued a letter informing the parties that they needed to initiate the administrative process here by the filing of a formal complaint for each case pursuant to Section 701 of the Public Utility Code, also referencing 52 Pa.Code §§ 5.21 and 5.22.  </w:t>
      </w:r>
    </w:p>
    <w:p w:rsidR="00AF62D5" w:rsidRDefault="00AF62D5" w:rsidP="00815D7E">
      <w:pPr>
        <w:widowControl w:val="0"/>
        <w:jc w:val="left"/>
        <w:rPr>
          <w:bCs/>
        </w:rPr>
      </w:pPr>
    </w:p>
    <w:p w:rsidR="00AF62D5" w:rsidRDefault="00AF62D5" w:rsidP="00815D7E">
      <w:pPr>
        <w:widowControl w:val="0"/>
        <w:jc w:val="left"/>
        <w:rPr>
          <w:bCs/>
        </w:rPr>
      </w:pPr>
      <w:r>
        <w:rPr>
          <w:bCs/>
        </w:rPr>
        <w:tab/>
      </w:r>
      <w:r>
        <w:rPr>
          <w:bCs/>
        </w:rPr>
        <w:tab/>
        <w:t xml:space="preserve">Accordingly, on November 18, 2013, the Insurance Company of Greater New York, a/s/o Quail Run Real Estate L.P. d/b/a Quail Run Apartments (INSCO or Complainant), filed a formal Complaint against </w:t>
      </w:r>
      <w:r w:rsidR="009B6607">
        <w:rPr>
          <w:bCs/>
        </w:rPr>
        <w:t>United Water Company of Pennsylvania, Inc. (United Water or Respondent or utility) alleging that United had failed to supply sufficient water pressure to hydrants serving the Quail Run Apartments to fight a fire that occurred there on June 11, 2010; that United knew or should have known of the issue in advance because of the significant growth in population and commercial ventures; that insufficient water had been a problem in the past; and that United's failure to rectify the situation constituted wanton, wilful and reckless behavior.</w:t>
      </w:r>
      <w:r w:rsidR="00121AC7">
        <w:rPr>
          <w:bCs/>
        </w:rPr>
        <w:t xml:space="preserve">  </w:t>
      </w:r>
      <w:r w:rsidR="00383000">
        <w:rPr>
          <w:bCs/>
        </w:rPr>
        <w:t>The Complaint was served on Nove</w:t>
      </w:r>
      <w:r w:rsidR="00121AC7">
        <w:rPr>
          <w:bCs/>
        </w:rPr>
        <w:t>mber 22, 2013 by the Commission's Secretary.</w:t>
      </w:r>
    </w:p>
    <w:p w:rsidR="009B6607" w:rsidRDefault="009B6607" w:rsidP="00815D7E">
      <w:pPr>
        <w:widowControl w:val="0"/>
        <w:jc w:val="left"/>
        <w:rPr>
          <w:bCs/>
        </w:rPr>
      </w:pPr>
    </w:p>
    <w:p w:rsidR="009B6607" w:rsidRDefault="009B6607" w:rsidP="00815D7E">
      <w:pPr>
        <w:widowControl w:val="0"/>
        <w:jc w:val="left"/>
        <w:rPr>
          <w:bCs/>
        </w:rPr>
      </w:pPr>
      <w:r>
        <w:rPr>
          <w:bCs/>
        </w:rPr>
        <w:tab/>
      </w:r>
      <w:r>
        <w:rPr>
          <w:bCs/>
        </w:rPr>
        <w:tab/>
        <w:t>On December 12, 201</w:t>
      </w:r>
      <w:r w:rsidR="00121AC7">
        <w:rPr>
          <w:bCs/>
        </w:rPr>
        <w:t xml:space="preserve">3, United filed its Answer, which denies that it acted in any way that would constitute a violation of the Public Utility Code, or the regulations or orders of the Commission.  In New Matter, Respondent raises affirmative defenses, including that it acted at all time in compliance with its tariff and that its potential liability if limited pursuant to the tariff provisions.  </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On January 2, 2014, INSCO filed an Answer to New Matter which denied the factual allegations of the New Matter.</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 xml:space="preserve">On February 12, 2014, a Hearing Notice was issued which scheduled the initial evidentiary hearing for Thursday, March 27, 2014 and assigned the matter to me.  After reviewing the pleadings, I emailed the counsel for both parties and inquired whether they would prefer that the hearing be converted to a prehearing conference.  Both indicated that they did, and </w:t>
      </w:r>
      <w:r>
        <w:rPr>
          <w:bCs/>
        </w:rPr>
        <w:lastRenderedPageBreak/>
        <w:t>by Notice issued February 24, 2014, the hearing was converted to a prehearing conference.  I issued a prehearing conference order on February 24, 2014, directing the parties to submit prehearing memos.</w:t>
      </w:r>
    </w:p>
    <w:p w:rsidR="00121AC7" w:rsidRDefault="00121AC7" w:rsidP="00815D7E">
      <w:pPr>
        <w:widowControl w:val="0"/>
        <w:jc w:val="left"/>
        <w:rPr>
          <w:bCs/>
        </w:rPr>
      </w:pPr>
    </w:p>
    <w:p w:rsidR="00121AC7" w:rsidRDefault="00121AC7" w:rsidP="00815D7E">
      <w:pPr>
        <w:widowControl w:val="0"/>
        <w:jc w:val="left"/>
        <w:rPr>
          <w:bCs/>
        </w:rPr>
      </w:pPr>
      <w:r>
        <w:rPr>
          <w:bCs/>
        </w:rPr>
        <w:tab/>
      </w:r>
      <w:r>
        <w:rPr>
          <w:bCs/>
        </w:rPr>
        <w:tab/>
        <w:t>Both parties submitted prehearing memos, and the prehearing conference was held on Thursday, March 27, 2014.  The parties agreed upon a litigation schedule, which is adopted in the ordering paragraphs below.  In addition, the following informal email list was established:</w:t>
      </w:r>
    </w:p>
    <w:p w:rsidR="00121AC7" w:rsidRDefault="00CE110B" w:rsidP="00121AC7">
      <w:pPr>
        <w:jc w:val="left"/>
      </w:pPr>
      <w:r>
        <w:rPr>
          <w:bCs/>
        </w:rPr>
        <w:t xml:space="preserve">  </w:t>
      </w:r>
      <w:r w:rsidR="00C12C9B">
        <w:rPr>
          <w:bCs/>
        </w:rPr>
        <w:t xml:space="preserve">  </w:t>
      </w:r>
      <w:r w:rsidR="002537DA">
        <w:rPr>
          <w:bCs/>
          <w:i/>
        </w:rPr>
        <w:t xml:space="preserve"> </w:t>
      </w:r>
    </w:p>
    <w:p w:rsidR="00121AC7" w:rsidRDefault="00121AC7" w:rsidP="00121AC7">
      <w:pPr>
        <w:jc w:val="left"/>
      </w:pPr>
      <w:r>
        <w:t>Thomas T. Niesen</w:t>
      </w:r>
      <w:r>
        <w:tab/>
      </w:r>
      <w:hyperlink r:id="rId8" w:history="1">
        <w:r w:rsidRPr="00C977DD">
          <w:rPr>
            <w:rStyle w:val="Hyperlink"/>
          </w:rPr>
          <w:t>tniesen@thomaslonglaw.com</w:t>
        </w:r>
      </w:hyperlink>
    </w:p>
    <w:p w:rsidR="00121AC7" w:rsidRDefault="00121AC7" w:rsidP="00121AC7">
      <w:pPr>
        <w:jc w:val="left"/>
      </w:pPr>
      <w:r>
        <w:t>Charles E. Thomas</w:t>
      </w:r>
      <w:r>
        <w:tab/>
      </w:r>
      <w:hyperlink r:id="rId9" w:history="1">
        <w:r w:rsidRPr="00C977DD">
          <w:rPr>
            <w:rStyle w:val="Hyperlink"/>
          </w:rPr>
          <w:t>cet3@thomaslonglaw.com</w:t>
        </w:r>
      </w:hyperlink>
    </w:p>
    <w:p w:rsidR="00121AC7" w:rsidRDefault="00121AC7" w:rsidP="00121AC7">
      <w:pPr>
        <w:jc w:val="left"/>
      </w:pPr>
      <w:r>
        <w:t>Brooks R. Roland</w:t>
      </w:r>
      <w:r>
        <w:tab/>
      </w:r>
      <w:proofErr w:type="spellStart"/>
      <w:r>
        <w:t>BRFoland</w:t>
      </w:r>
      <w:proofErr w:type="spellEnd"/>
      <w:r>
        <w:t>@ MDWCG.com</w:t>
      </w:r>
    </w:p>
    <w:p w:rsidR="00121AC7" w:rsidRDefault="00121AC7" w:rsidP="00121AC7">
      <w:pPr>
        <w:jc w:val="left"/>
      </w:pPr>
      <w:r>
        <w:t xml:space="preserve">James M. </w:t>
      </w:r>
      <w:proofErr w:type="spellStart"/>
      <w:r>
        <w:t>Terranova</w:t>
      </w:r>
      <w:proofErr w:type="spellEnd"/>
      <w:r>
        <w:tab/>
      </w:r>
      <w:hyperlink r:id="rId10" w:history="1">
        <w:r w:rsidRPr="00C977DD">
          <w:rPr>
            <w:rStyle w:val="Hyperlink"/>
          </w:rPr>
          <w:t>James.Terranova@UnitedWater.com</w:t>
        </w:r>
      </w:hyperlink>
    </w:p>
    <w:p w:rsidR="00121AC7" w:rsidRDefault="00121AC7" w:rsidP="00121AC7">
      <w:pPr>
        <w:jc w:val="left"/>
      </w:pPr>
    </w:p>
    <w:p w:rsidR="00121AC7" w:rsidRDefault="00121AC7" w:rsidP="00121AC7">
      <w:pPr>
        <w:jc w:val="left"/>
      </w:pPr>
      <w:r>
        <w:t xml:space="preserve">Matthew D. </w:t>
      </w:r>
      <w:proofErr w:type="spellStart"/>
      <w:r>
        <w:t>Matkov</w:t>
      </w:r>
      <w:proofErr w:type="spellEnd"/>
      <w:r>
        <w:tab/>
      </w:r>
      <w:hyperlink r:id="rId11" w:history="1">
        <w:r w:rsidRPr="00C977DD">
          <w:rPr>
            <w:rStyle w:val="Hyperlink"/>
          </w:rPr>
          <w:t>MMATKOV@SALTZMATKOV.COM</w:t>
        </w:r>
      </w:hyperlink>
    </w:p>
    <w:p w:rsidR="00121AC7" w:rsidRDefault="00121AC7" w:rsidP="00121AC7">
      <w:pPr>
        <w:jc w:val="left"/>
      </w:pPr>
      <w:r>
        <w:t>Gary L. Bailey</w:t>
      </w:r>
      <w:r>
        <w:tab/>
      </w:r>
      <w:r>
        <w:tab/>
      </w:r>
      <w:hyperlink r:id="rId12" w:history="1">
        <w:r w:rsidRPr="00C977DD">
          <w:rPr>
            <w:rStyle w:val="Hyperlink"/>
          </w:rPr>
          <w:t>GBAILEY@SALTZMATKOV.COM</w:t>
        </w:r>
      </w:hyperlink>
    </w:p>
    <w:p w:rsidR="00121AC7" w:rsidRDefault="00121AC7" w:rsidP="00121AC7">
      <w:pPr>
        <w:jc w:val="left"/>
      </w:pPr>
    </w:p>
    <w:p w:rsidR="00121AC7" w:rsidRDefault="00121AC7" w:rsidP="00121AC7">
      <w:pPr>
        <w:jc w:val="left"/>
      </w:pPr>
      <w:r>
        <w:tab/>
      </w:r>
      <w:r>
        <w:tab/>
        <w:t xml:space="preserve">Neither party requested modifications to the Commission's discovery rules nor </w:t>
      </w:r>
      <w:r w:rsidR="00CC1147">
        <w:t xml:space="preserve">did either seek </w:t>
      </w:r>
      <w:r>
        <w:t>expedited t</w:t>
      </w:r>
      <w:r w:rsidR="00CC1147">
        <w:t>urn-around</w:t>
      </w:r>
      <w:r>
        <w:t xml:space="preserve"> for the transcript.  </w:t>
      </w:r>
    </w:p>
    <w:p w:rsidR="00121AC7" w:rsidRDefault="00121AC7" w:rsidP="00121AC7">
      <w:pPr>
        <w:jc w:val="left"/>
      </w:pPr>
    </w:p>
    <w:p w:rsidR="00121AC7" w:rsidRDefault="00121AC7" w:rsidP="00121AC7">
      <w:pPr>
        <w:jc w:val="left"/>
      </w:pPr>
      <w:r>
        <w:tab/>
      </w:r>
      <w:r>
        <w:tab/>
        <w:t>THEREFORE,</w:t>
      </w:r>
    </w:p>
    <w:p w:rsidR="00121AC7" w:rsidRDefault="00121AC7" w:rsidP="00121AC7">
      <w:pPr>
        <w:jc w:val="left"/>
      </w:pPr>
    </w:p>
    <w:p w:rsidR="00121AC7" w:rsidRDefault="00121AC7" w:rsidP="00121AC7">
      <w:pPr>
        <w:jc w:val="left"/>
      </w:pPr>
      <w:r>
        <w:tab/>
      </w:r>
      <w:r>
        <w:tab/>
        <w:t>IT IS ORDERED:</w:t>
      </w:r>
    </w:p>
    <w:p w:rsidR="00121AC7" w:rsidRDefault="00121AC7" w:rsidP="00121AC7">
      <w:pPr>
        <w:jc w:val="left"/>
      </w:pPr>
    </w:p>
    <w:p w:rsidR="00121AC7" w:rsidRDefault="00121AC7" w:rsidP="00121AC7">
      <w:pPr>
        <w:jc w:val="left"/>
      </w:pPr>
      <w:r>
        <w:tab/>
      </w:r>
      <w:r>
        <w:tab/>
        <w:t>1.</w:t>
      </w:r>
      <w:r>
        <w:tab/>
        <w:t>That the following litigation schedule is adopted:</w:t>
      </w:r>
    </w:p>
    <w:p w:rsidR="00121AC7" w:rsidRDefault="00121AC7" w:rsidP="00121AC7">
      <w:pPr>
        <w:jc w:val="left"/>
      </w:pPr>
    </w:p>
    <w:p w:rsidR="000A0703" w:rsidRDefault="000A0703" w:rsidP="000A0703">
      <w:pPr>
        <w:adjustRightInd w:val="0"/>
        <w:ind w:firstLine="1440"/>
        <w:jc w:val="left"/>
      </w:pPr>
      <w:r w:rsidRPr="009A52FA">
        <w:tab/>
      </w:r>
      <w:r>
        <w:t>Complainant direct testimony</w:t>
      </w:r>
      <w:r>
        <w:tab/>
      </w:r>
      <w:r>
        <w:tab/>
      </w:r>
      <w:r>
        <w:tab/>
        <w:t>June 2, 2014</w:t>
      </w:r>
    </w:p>
    <w:p w:rsidR="000A0703" w:rsidRDefault="000A0703" w:rsidP="000A0703">
      <w:pPr>
        <w:adjustRightInd w:val="0"/>
        <w:ind w:firstLine="1440"/>
        <w:jc w:val="left"/>
      </w:pPr>
      <w:r>
        <w:tab/>
        <w:t>Respondent direct testimony</w:t>
      </w:r>
      <w:r>
        <w:tab/>
      </w:r>
      <w:r>
        <w:tab/>
      </w:r>
      <w:r>
        <w:tab/>
        <w:t>August 1, 2014</w:t>
      </w:r>
    </w:p>
    <w:p w:rsidR="000A0703" w:rsidRPr="009A52FA" w:rsidRDefault="000A0703" w:rsidP="000A0703">
      <w:pPr>
        <w:adjustRightInd w:val="0"/>
        <w:ind w:firstLine="1440"/>
        <w:jc w:val="left"/>
      </w:pPr>
      <w:r>
        <w:tab/>
        <w:t>Complainant rebuttal</w:t>
      </w:r>
      <w:r>
        <w:tab/>
      </w:r>
      <w:r>
        <w:tab/>
      </w:r>
      <w:r>
        <w:tab/>
      </w:r>
      <w:r>
        <w:tab/>
        <w:t>September 2, 2014</w:t>
      </w:r>
    </w:p>
    <w:p w:rsidR="000A0703" w:rsidRDefault="000A0703" w:rsidP="000A0703">
      <w:pPr>
        <w:adjustRightInd w:val="0"/>
        <w:ind w:firstLine="1440"/>
        <w:jc w:val="left"/>
      </w:pPr>
      <w:r w:rsidRPr="009A52FA">
        <w:tab/>
        <w:t>Evidentiary hearings</w:t>
      </w:r>
      <w:r w:rsidRPr="009A52FA">
        <w:tab/>
      </w:r>
      <w:r w:rsidRPr="009A52FA">
        <w:tab/>
      </w:r>
      <w:r w:rsidRPr="009A52FA">
        <w:tab/>
      </w:r>
      <w:r w:rsidRPr="009A52FA">
        <w:tab/>
      </w:r>
      <w:r>
        <w:t>October 21 and 22, 2014</w:t>
      </w:r>
    </w:p>
    <w:p w:rsidR="000A0703" w:rsidRDefault="000A0703" w:rsidP="000A0703">
      <w:pPr>
        <w:adjustRightInd w:val="0"/>
        <w:ind w:firstLine="1440"/>
        <w:jc w:val="left"/>
      </w:pPr>
      <w:r>
        <w:tab/>
        <w:t>Main brief</w:t>
      </w:r>
      <w:r w:rsidR="00383000">
        <w:t>s</w:t>
      </w:r>
      <w:r w:rsidR="00383000">
        <w:tab/>
      </w:r>
      <w:r w:rsidR="00383000">
        <w:tab/>
      </w:r>
      <w:r>
        <w:tab/>
      </w:r>
      <w:r>
        <w:tab/>
      </w:r>
      <w:r>
        <w:tab/>
        <w:t>December 17, 2014</w:t>
      </w:r>
    </w:p>
    <w:p w:rsidR="000A0703" w:rsidRDefault="000A0703" w:rsidP="000A0703">
      <w:pPr>
        <w:adjustRightInd w:val="0"/>
        <w:ind w:firstLine="1440"/>
        <w:jc w:val="left"/>
      </w:pPr>
      <w:r>
        <w:lastRenderedPageBreak/>
        <w:tab/>
        <w:t>Reply brief</w:t>
      </w:r>
      <w:r w:rsidR="00383000">
        <w:t>s</w:t>
      </w:r>
      <w:r w:rsidR="00383000">
        <w:tab/>
      </w:r>
      <w:r w:rsidR="00383000">
        <w:tab/>
      </w:r>
      <w:r w:rsidR="00383000">
        <w:tab/>
      </w:r>
      <w:r>
        <w:tab/>
      </w:r>
      <w:r>
        <w:tab/>
        <w:t>January 16, 2015</w:t>
      </w:r>
    </w:p>
    <w:p w:rsidR="000A0703" w:rsidRDefault="000A0703" w:rsidP="000A0703">
      <w:pPr>
        <w:adjustRightInd w:val="0"/>
        <w:ind w:firstLine="1440"/>
        <w:jc w:val="left"/>
      </w:pPr>
    </w:p>
    <w:p w:rsidR="000A0703" w:rsidRDefault="000A0703" w:rsidP="000A0703">
      <w:pPr>
        <w:jc w:val="left"/>
      </w:pPr>
      <w:r>
        <w:tab/>
      </w:r>
      <w:r>
        <w:tab/>
        <w:t>2.</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0A0703" w:rsidRDefault="000A0703" w:rsidP="000A0703">
      <w:pPr>
        <w:jc w:val="left"/>
      </w:pPr>
    </w:p>
    <w:p w:rsidR="000A0703" w:rsidRDefault="000A0703" w:rsidP="000A0703">
      <w:pPr>
        <w:jc w:val="left"/>
      </w:pPr>
      <w:r>
        <w:tab/>
      </w:r>
      <w:r>
        <w:tab/>
        <w:t>3.</w:t>
      </w:r>
      <w:r>
        <w:tab/>
        <w:t>That discovery disputes may be resolved via telephone conference with the presiding officer without need of a motion to compel, although the propounding party may choose to file a formal motion to compel.</w:t>
      </w:r>
    </w:p>
    <w:p w:rsidR="000A0703" w:rsidRDefault="000A0703" w:rsidP="000A0703">
      <w:pPr>
        <w:jc w:val="left"/>
      </w:pPr>
    </w:p>
    <w:p w:rsidR="000A0703" w:rsidRDefault="000A0703" w:rsidP="000A0703">
      <w:pPr>
        <w:jc w:val="left"/>
      </w:pPr>
      <w:r>
        <w:tab/>
      </w:r>
      <w:r>
        <w:tab/>
        <w:t>4.</w:t>
      </w:r>
      <w:r>
        <w:tab/>
      </w:r>
      <w:r w:rsidR="00CC1147">
        <w:t>That o</w:t>
      </w:r>
      <w:r>
        <w:t xml:space="preserve">ne week prior to the start of the evidentiary hearings, Complainant shall provide a completed witness listing and cross-examination grid to the presiding officer.  Parties shall complete the witness listing and cross-examination grid as developed by the Complainant.  </w:t>
      </w:r>
    </w:p>
    <w:p w:rsidR="000A0703" w:rsidRDefault="000A0703" w:rsidP="000A0703">
      <w:pPr>
        <w:jc w:val="left"/>
      </w:pPr>
    </w:p>
    <w:p w:rsidR="000A0703" w:rsidRDefault="000A0703" w:rsidP="000A0703">
      <w:pPr>
        <w:jc w:val="left"/>
      </w:pPr>
      <w:r>
        <w:tab/>
      </w:r>
      <w:r>
        <w:tab/>
        <w:t>5.</w:t>
      </w:r>
      <w:r>
        <w:tab/>
      </w:r>
      <w:r w:rsidR="00CC1147">
        <w:t>That p</w:t>
      </w:r>
      <w:r>
        <w:t xml:space="preserve">arties are directed to comply with the provisions of 52 Pa. Code </w:t>
      </w:r>
    </w:p>
    <w:p w:rsidR="000A0703" w:rsidRDefault="000A0703" w:rsidP="000A0703">
      <w:pPr>
        <w:jc w:val="left"/>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0A0703" w:rsidRDefault="000A0703" w:rsidP="000A0703">
      <w:pPr>
        <w:jc w:val="left"/>
      </w:pPr>
    </w:p>
    <w:p w:rsidR="000A0703" w:rsidRDefault="000A0703" w:rsidP="000A0703">
      <w:pPr>
        <w:jc w:val="left"/>
      </w:pPr>
      <w:r>
        <w:tab/>
      </w:r>
      <w:r>
        <w:tab/>
      </w:r>
    </w:p>
    <w:p w:rsidR="000A0703" w:rsidRDefault="000A0703" w:rsidP="000A0703">
      <w:pPr>
        <w:spacing w:line="240" w:lineRule="auto"/>
        <w:jc w:val="left"/>
      </w:pPr>
      <w:r>
        <w:t xml:space="preserve">Dated: </w:t>
      </w:r>
      <w:r>
        <w:tab/>
      </w:r>
      <w:r w:rsidR="005C2101">
        <w:rPr>
          <w:u w:val="single"/>
        </w:rPr>
        <w:t>April 4</w:t>
      </w:r>
      <w:r>
        <w:rPr>
          <w:u w:val="single"/>
        </w:rPr>
        <w:t>, 2014</w:t>
      </w:r>
      <w:r>
        <w:tab/>
      </w:r>
      <w:r>
        <w:tab/>
      </w:r>
      <w:r>
        <w:tab/>
      </w:r>
      <w:r w:rsidR="005C2101">
        <w:tab/>
      </w:r>
      <w:r>
        <w:t>__________________________________</w:t>
      </w:r>
    </w:p>
    <w:p w:rsidR="000A0703" w:rsidRDefault="000A0703" w:rsidP="000A0703">
      <w:pPr>
        <w:spacing w:line="240" w:lineRule="auto"/>
        <w:jc w:val="left"/>
      </w:pPr>
      <w:r>
        <w:tab/>
      </w:r>
      <w:r>
        <w:tab/>
      </w:r>
      <w:r>
        <w:tab/>
      </w:r>
      <w:r>
        <w:tab/>
      </w:r>
      <w:r>
        <w:tab/>
      </w:r>
      <w:r>
        <w:tab/>
        <w:t>Susan D. Colwell</w:t>
      </w:r>
    </w:p>
    <w:p w:rsidR="000A0703" w:rsidRDefault="000A0703" w:rsidP="000A0703">
      <w:pPr>
        <w:spacing w:line="240" w:lineRule="auto"/>
        <w:jc w:val="left"/>
      </w:pPr>
      <w:r>
        <w:tab/>
      </w:r>
      <w:r>
        <w:tab/>
      </w:r>
      <w:r>
        <w:tab/>
      </w:r>
      <w:r>
        <w:tab/>
      </w:r>
      <w:r>
        <w:tab/>
      </w:r>
      <w:r>
        <w:tab/>
        <w:t>Administrative Law Judge</w:t>
      </w:r>
    </w:p>
    <w:p w:rsidR="000A0703" w:rsidRDefault="000A0703" w:rsidP="000A0703">
      <w:pPr>
        <w:spacing w:line="240" w:lineRule="auto"/>
        <w:jc w:val="left"/>
      </w:pPr>
    </w:p>
    <w:p w:rsidR="000A0703" w:rsidRDefault="000A0703" w:rsidP="000A0703">
      <w:pPr>
        <w:pStyle w:val="BodyTextIndent"/>
      </w:pPr>
    </w:p>
    <w:p w:rsidR="000A0703" w:rsidRDefault="000A0703" w:rsidP="000A0703">
      <w:pPr>
        <w:adjustRightInd w:val="0"/>
        <w:ind w:firstLine="1440"/>
        <w:jc w:val="left"/>
      </w:pPr>
    </w:p>
    <w:p w:rsidR="000A0703" w:rsidRDefault="000A0703" w:rsidP="000A0703">
      <w:pPr>
        <w:adjustRightInd w:val="0"/>
        <w:ind w:firstLine="1440"/>
        <w:jc w:val="left"/>
      </w:pPr>
      <w:r>
        <w:tab/>
      </w:r>
      <w:r>
        <w:tab/>
      </w:r>
    </w:p>
    <w:p w:rsidR="00550B76" w:rsidRDefault="00550B76" w:rsidP="00A90C90">
      <w:pPr>
        <w:jc w:val="left"/>
        <w:sectPr w:rsidR="00550B76" w:rsidSect="00BE1EBD">
          <w:footerReference w:type="default" r:id="rId13"/>
          <w:pgSz w:w="12240" w:h="15840"/>
          <w:pgMar w:top="1440" w:right="1440" w:bottom="1440" w:left="1440" w:header="720" w:footer="720" w:gutter="0"/>
          <w:cols w:space="720"/>
          <w:titlePg/>
          <w:docGrid w:linePitch="360"/>
        </w:sectPr>
      </w:pPr>
    </w:p>
    <w:p w:rsidR="00550B76" w:rsidRDefault="00550B76" w:rsidP="00550B76">
      <w:pPr>
        <w:spacing w:line="240" w:lineRule="auto"/>
        <w:contextualSpacing/>
        <w:jc w:val="left"/>
        <w:rPr>
          <w:rFonts w:ascii="Microsoft Sans Serif"/>
        </w:rPr>
      </w:pPr>
      <w:r>
        <w:rPr>
          <w:rFonts w:ascii="Microsoft Sans Serif"/>
          <w:b/>
          <w:u w:val="single"/>
        </w:rPr>
        <w:lastRenderedPageBreak/>
        <w:t>C-2013-2393832 - INSURANCE COMPANY OF GREATER NEW YORK v. UNITED WATER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L BAILEY ESQUIRE</w:t>
      </w:r>
    </w:p>
    <w:p w:rsidR="00550B76" w:rsidRDefault="00550B76" w:rsidP="00550B76">
      <w:pPr>
        <w:spacing w:line="240" w:lineRule="auto"/>
        <w:contextualSpacing/>
        <w:jc w:val="left"/>
        <w:rPr>
          <w:rFonts w:ascii="Microsoft Sans Serif"/>
          <w:b/>
          <w:i/>
          <w:u w:val="single"/>
        </w:rPr>
      </w:pPr>
      <w:r>
        <w:rPr>
          <w:rFonts w:ascii="Microsoft Sans Serif"/>
        </w:rPr>
        <w:t>MATTHEW D MATKOV ESQUIRE</w:t>
      </w:r>
      <w:r>
        <w:rPr>
          <w:rFonts w:ascii="Microsoft Sans Serif"/>
        </w:rPr>
        <w:cr/>
        <w:t>SALTZ MATKOV PC</w:t>
      </w:r>
      <w:r>
        <w:rPr>
          <w:rFonts w:ascii="Microsoft Sans Serif"/>
        </w:rPr>
        <w:cr/>
        <w:t>998 OLD EAGLE SCHOOL ROAD SUITE 1206</w:t>
      </w:r>
      <w:r>
        <w:rPr>
          <w:rFonts w:ascii="Microsoft Sans Serif"/>
        </w:rPr>
        <w:cr/>
        <w:t>WAYNE PA  19087</w:t>
      </w:r>
      <w:r>
        <w:rPr>
          <w:rFonts w:ascii="Microsoft Sans Serif"/>
        </w:rPr>
        <w:cr/>
        <w:t>484.318.7225</w:t>
      </w:r>
      <w:r>
        <w:rPr>
          <w:rFonts w:ascii="Microsoft Sans Serif"/>
        </w:rPr>
        <w:cr/>
      </w:r>
      <w:r>
        <w:rPr>
          <w:rFonts w:ascii="Microsoft Sans Serif"/>
        </w:rPr>
        <w:cr/>
        <w:t>THOMAS T NIESEN ESQUIRE</w:t>
      </w:r>
      <w:r>
        <w:rPr>
          <w:rFonts w:ascii="Microsoft Sans Serif"/>
        </w:rPr>
        <w:cr/>
        <w:t>THOMAS LONG NIESEN &amp; KENNARD</w:t>
      </w:r>
      <w:r>
        <w:rPr>
          <w:rFonts w:ascii="Microsoft Sans Serif"/>
        </w:rPr>
        <w:cr/>
        <w:t>PO BOX 9500</w:t>
      </w:r>
      <w:r>
        <w:rPr>
          <w:rFonts w:ascii="Microsoft Sans Serif"/>
        </w:rPr>
        <w:cr/>
        <w:t>HARRISBURG PA  17108-9500</w:t>
      </w:r>
      <w:r>
        <w:rPr>
          <w:rFonts w:ascii="Microsoft Sans Serif"/>
        </w:rPr>
        <w:cr/>
        <w:t>717.255.7600</w:t>
      </w:r>
      <w:r>
        <w:rPr>
          <w:rFonts w:ascii="Microsoft Sans Serif"/>
        </w:rPr>
        <w:cr/>
      </w:r>
      <w:r>
        <w:rPr>
          <w:rFonts w:ascii="Microsoft Sans Serif"/>
          <w:b/>
          <w:i/>
          <w:u w:val="single"/>
        </w:rPr>
        <w:t>E-Serve</w:t>
      </w:r>
    </w:p>
    <w:p w:rsidR="00550B76" w:rsidRPr="002F1FE5" w:rsidRDefault="00550B76" w:rsidP="00550B76">
      <w:pPr>
        <w:spacing w:line="240" w:lineRule="auto"/>
        <w:contextualSpacing/>
        <w:jc w:val="left"/>
        <w:rPr>
          <w:b/>
          <w:i/>
          <w:u w:val="single"/>
        </w:rPr>
      </w:pPr>
    </w:p>
    <w:p w:rsidR="00550B76" w:rsidRDefault="00550B76" w:rsidP="00550B76">
      <w:pPr>
        <w:spacing w:line="240" w:lineRule="auto"/>
        <w:contextualSpacing/>
        <w:jc w:val="left"/>
      </w:pPr>
      <w:bookmarkStart w:id="0" w:name="_GoBack"/>
      <w:r>
        <w:rPr>
          <w:rFonts w:ascii="Microsoft Sans Serif"/>
        </w:rPr>
        <w:t>CYNDI MEACHAM</w:t>
      </w:r>
      <w:r>
        <w:rPr>
          <w:rFonts w:ascii="Microsoft Sans Serif"/>
        </w:rPr>
        <w:cr/>
        <w:t>UNITED WATER PENNSYLVANIA INC</w:t>
      </w:r>
      <w:r>
        <w:rPr>
          <w:rFonts w:ascii="Microsoft Sans Serif"/>
        </w:rPr>
        <w:cr/>
        <w:t>8189 ADAMS DRIVE</w:t>
      </w:r>
      <w:r>
        <w:rPr>
          <w:rFonts w:ascii="Microsoft Sans Serif"/>
        </w:rPr>
        <w:cr/>
        <w:t>HUMMELSTOWN PA  17036</w:t>
      </w:r>
      <w:bookmarkEnd w:id="0"/>
      <w:r>
        <w:rPr>
          <w:rFonts w:ascii="Microsoft Sans Serif"/>
        </w:rPr>
        <w:cr/>
        <w:t>717.564.3662</w:t>
      </w:r>
      <w:r>
        <w:rPr>
          <w:rFonts w:ascii="Microsoft Sans Serif"/>
        </w:rPr>
        <w:cr/>
      </w:r>
    </w:p>
    <w:p w:rsidR="00A90C90" w:rsidRDefault="00A90C90" w:rsidP="00A90C90">
      <w:pPr>
        <w:jc w:val="left"/>
      </w:pPr>
    </w:p>
    <w:sectPr w:rsidR="00A90C9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1B" w:rsidRDefault="002C0D1B" w:rsidP="000A0703">
      <w:pPr>
        <w:spacing w:line="240" w:lineRule="auto"/>
      </w:pPr>
      <w:r>
        <w:separator/>
      </w:r>
    </w:p>
  </w:endnote>
  <w:endnote w:type="continuationSeparator" w:id="0">
    <w:p w:rsidR="002C0D1B" w:rsidRDefault="002C0D1B" w:rsidP="000A0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445409"/>
      <w:docPartObj>
        <w:docPartGallery w:val="Page Numbers (Bottom of Page)"/>
        <w:docPartUnique/>
      </w:docPartObj>
    </w:sdtPr>
    <w:sdtEndPr>
      <w:rPr>
        <w:noProof/>
      </w:rPr>
    </w:sdtEndPr>
    <w:sdtContent>
      <w:p w:rsidR="00BE1EBD" w:rsidRDefault="00BE1EBD">
        <w:pPr>
          <w:pStyle w:val="Footer"/>
        </w:pPr>
        <w:r>
          <w:fldChar w:fldCharType="begin"/>
        </w:r>
        <w:r>
          <w:instrText xml:space="preserve"> PAGE   \* MERGEFORMAT </w:instrText>
        </w:r>
        <w:r>
          <w:fldChar w:fldCharType="separate"/>
        </w:r>
        <w:r w:rsidR="00550B76">
          <w:rPr>
            <w:noProof/>
          </w:rPr>
          <w:t>5</w:t>
        </w:r>
        <w:r>
          <w:rPr>
            <w:noProof/>
          </w:rPr>
          <w:fldChar w:fldCharType="end"/>
        </w:r>
      </w:p>
    </w:sdtContent>
  </w:sdt>
  <w:p w:rsidR="00BE1EBD" w:rsidRDefault="00BE1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76" w:rsidRDefault="00550B76">
    <w:pPr>
      <w:pStyle w:val="Footer"/>
    </w:pPr>
  </w:p>
  <w:p w:rsidR="00550B76" w:rsidRDefault="0055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1B" w:rsidRDefault="002C0D1B" w:rsidP="000A0703">
      <w:pPr>
        <w:spacing w:line="240" w:lineRule="auto"/>
      </w:pPr>
      <w:r>
        <w:separator/>
      </w:r>
    </w:p>
  </w:footnote>
  <w:footnote w:type="continuationSeparator" w:id="0">
    <w:p w:rsidR="002C0D1B" w:rsidRDefault="002C0D1B" w:rsidP="000A0703">
      <w:pPr>
        <w:spacing w:line="240" w:lineRule="auto"/>
      </w:pPr>
      <w:r>
        <w:continuationSeparator/>
      </w:r>
    </w:p>
  </w:footnote>
  <w:footnote w:id="1">
    <w:p w:rsidR="000A0703" w:rsidRDefault="000A0703" w:rsidP="000A0703">
      <w:pPr>
        <w:pStyle w:val="FootnoteText"/>
        <w:jc w:val="left"/>
      </w:pPr>
      <w:r>
        <w:rPr>
          <w:rStyle w:val="FootnoteReference"/>
        </w:rPr>
        <w:footnoteRef/>
      </w:r>
      <w:r>
        <w:t xml:space="preserve"> Footnote 1 to the District Court Memorandum indicates that Tina Jefferson, Andre Dayton and Symone Scott were dismissed from the case.  </w:t>
      </w:r>
    </w:p>
  </w:footnote>
  <w:footnote w:id="2">
    <w:p w:rsidR="00BE1EBD" w:rsidRDefault="00BE1EBD" w:rsidP="00BE1EBD">
      <w:pPr>
        <w:pStyle w:val="FootnoteText"/>
        <w:jc w:val="left"/>
      </w:pPr>
      <w:r>
        <w:rPr>
          <w:rStyle w:val="FootnoteReference"/>
        </w:rPr>
        <w:footnoteRef/>
      </w:r>
      <w:r>
        <w:t xml:space="preserve"> Commission records do not reflect a filing from the State Farm Fire and Casualty Company; therefore, they are being served with a copy of this Scheduling Order to ensure that they know that this case is being litigated before the Commission.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9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0703"/>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1AC7"/>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37DA"/>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0D1B"/>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177C7"/>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000"/>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78C1"/>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4AD"/>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0B76"/>
    <w:rsid w:val="0055122B"/>
    <w:rsid w:val="00552915"/>
    <w:rsid w:val="00552FCE"/>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2101"/>
    <w:rsid w:val="005C373B"/>
    <w:rsid w:val="005C3DD2"/>
    <w:rsid w:val="005C4AAA"/>
    <w:rsid w:val="005C610A"/>
    <w:rsid w:val="005D1082"/>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2718"/>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3B0"/>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D7E"/>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8746F"/>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5F6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07"/>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0C90"/>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00C"/>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62D5"/>
    <w:rsid w:val="00AF70FF"/>
    <w:rsid w:val="00B01BE5"/>
    <w:rsid w:val="00B02385"/>
    <w:rsid w:val="00B03878"/>
    <w:rsid w:val="00B06DDF"/>
    <w:rsid w:val="00B07809"/>
    <w:rsid w:val="00B079A5"/>
    <w:rsid w:val="00B11C89"/>
    <w:rsid w:val="00B134C7"/>
    <w:rsid w:val="00B136CC"/>
    <w:rsid w:val="00B143BA"/>
    <w:rsid w:val="00B157C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044"/>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1EB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C9B"/>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147"/>
    <w:rsid w:val="00CC1659"/>
    <w:rsid w:val="00CC3092"/>
    <w:rsid w:val="00CC30C3"/>
    <w:rsid w:val="00CC363A"/>
    <w:rsid w:val="00CC3D4E"/>
    <w:rsid w:val="00CC4003"/>
    <w:rsid w:val="00CC74BD"/>
    <w:rsid w:val="00CD0768"/>
    <w:rsid w:val="00CD3CC4"/>
    <w:rsid w:val="00CD788F"/>
    <w:rsid w:val="00CE047D"/>
    <w:rsid w:val="00CE1017"/>
    <w:rsid w:val="00CE110B"/>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6DB"/>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8C1"/>
    <w:rPr>
      <w:color w:val="0000FF" w:themeColor="hyperlink"/>
      <w:u w:val="single"/>
    </w:rPr>
  </w:style>
  <w:style w:type="paragraph" w:styleId="BodyTextIndent">
    <w:name w:val="Body Text Indent"/>
    <w:basedOn w:val="Normal"/>
    <w:link w:val="BodyTextIndentChar"/>
    <w:rsid w:val="007433B0"/>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7433B0"/>
    <w:rPr>
      <w:rFonts w:eastAsia="Times New Roman"/>
      <w:sz w:val="26"/>
      <w:szCs w:val="26"/>
    </w:rPr>
  </w:style>
  <w:style w:type="paragraph" w:styleId="BalloonText">
    <w:name w:val="Balloon Text"/>
    <w:basedOn w:val="Normal"/>
    <w:link w:val="BalloonTextChar"/>
    <w:uiPriority w:val="99"/>
    <w:semiHidden/>
    <w:unhideWhenUsed/>
    <w:rsid w:val="00815D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7E"/>
    <w:rPr>
      <w:rFonts w:ascii="Tahoma" w:hAnsi="Tahoma" w:cs="Tahoma"/>
      <w:sz w:val="16"/>
      <w:szCs w:val="16"/>
    </w:rPr>
  </w:style>
  <w:style w:type="paragraph" w:customStyle="1" w:styleId="p6">
    <w:name w:val="p6"/>
    <w:basedOn w:val="Normal"/>
    <w:rsid w:val="00815D7E"/>
    <w:pPr>
      <w:widowControl w:val="0"/>
      <w:tabs>
        <w:tab w:val="left" w:pos="1513"/>
        <w:tab w:val="left" w:pos="2239"/>
      </w:tabs>
      <w:autoSpaceDE w:val="0"/>
      <w:autoSpaceDN w:val="0"/>
      <w:adjustRightInd w:val="0"/>
      <w:spacing w:line="240" w:lineRule="auto"/>
      <w:ind w:firstLine="1513"/>
      <w:jc w:val="left"/>
    </w:pPr>
    <w:rPr>
      <w:rFonts w:eastAsia="Times New Roman"/>
    </w:rPr>
  </w:style>
  <w:style w:type="paragraph" w:styleId="FootnoteText">
    <w:name w:val="footnote text"/>
    <w:basedOn w:val="Normal"/>
    <w:link w:val="FootnoteTextChar"/>
    <w:uiPriority w:val="99"/>
    <w:semiHidden/>
    <w:unhideWhenUsed/>
    <w:rsid w:val="000A0703"/>
    <w:pPr>
      <w:spacing w:line="240" w:lineRule="auto"/>
    </w:pPr>
    <w:rPr>
      <w:sz w:val="20"/>
      <w:szCs w:val="20"/>
    </w:rPr>
  </w:style>
  <w:style w:type="character" w:customStyle="1" w:styleId="FootnoteTextChar">
    <w:name w:val="Footnote Text Char"/>
    <w:basedOn w:val="DefaultParagraphFont"/>
    <w:link w:val="FootnoteText"/>
    <w:uiPriority w:val="99"/>
    <w:semiHidden/>
    <w:rsid w:val="000A0703"/>
    <w:rPr>
      <w:sz w:val="20"/>
      <w:szCs w:val="20"/>
    </w:rPr>
  </w:style>
  <w:style w:type="character" w:styleId="FootnoteReference">
    <w:name w:val="footnote reference"/>
    <w:basedOn w:val="DefaultParagraphFont"/>
    <w:uiPriority w:val="99"/>
    <w:semiHidden/>
    <w:unhideWhenUsed/>
    <w:rsid w:val="000A0703"/>
    <w:rPr>
      <w:vertAlign w:val="superscript"/>
    </w:rPr>
  </w:style>
  <w:style w:type="paragraph" w:styleId="Header">
    <w:name w:val="header"/>
    <w:basedOn w:val="Normal"/>
    <w:link w:val="HeaderChar"/>
    <w:uiPriority w:val="99"/>
    <w:unhideWhenUsed/>
    <w:rsid w:val="00BE1EBD"/>
    <w:pPr>
      <w:tabs>
        <w:tab w:val="center" w:pos="4680"/>
        <w:tab w:val="right" w:pos="9360"/>
      </w:tabs>
      <w:spacing w:line="240" w:lineRule="auto"/>
    </w:pPr>
  </w:style>
  <w:style w:type="character" w:customStyle="1" w:styleId="HeaderChar">
    <w:name w:val="Header Char"/>
    <w:basedOn w:val="DefaultParagraphFont"/>
    <w:link w:val="Header"/>
    <w:uiPriority w:val="99"/>
    <w:rsid w:val="00BE1EBD"/>
  </w:style>
  <w:style w:type="paragraph" w:styleId="Footer">
    <w:name w:val="footer"/>
    <w:basedOn w:val="Normal"/>
    <w:link w:val="FooterChar"/>
    <w:uiPriority w:val="99"/>
    <w:unhideWhenUsed/>
    <w:rsid w:val="00BE1EBD"/>
    <w:pPr>
      <w:tabs>
        <w:tab w:val="center" w:pos="4680"/>
        <w:tab w:val="right" w:pos="9360"/>
      </w:tabs>
      <w:spacing w:line="240" w:lineRule="auto"/>
    </w:pPr>
  </w:style>
  <w:style w:type="character" w:customStyle="1" w:styleId="FooterChar">
    <w:name w:val="Footer Char"/>
    <w:basedOn w:val="DefaultParagraphFont"/>
    <w:link w:val="Footer"/>
    <w:uiPriority w:val="99"/>
    <w:rsid w:val="00BE1E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8C1"/>
    <w:rPr>
      <w:color w:val="0000FF" w:themeColor="hyperlink"/>
      <w:u w:val="single"/>
    </w:rPr>
  </w:style>
  <w:style w:type="paragraph" w:styleId="BodyTextIndent">
    <w:name w:val="Body Text Indent"/>
    <w:basedOn w:val="Normal"/>
    <w:link w:val="BodyTextIndentChar"/>
    <w:rsid w:val="007433B0"/>
    <w:pPr>
      <w:widowControl w:val="0"/>
      <w:autoSpaceDE w:val="0"/>
      <w:autoSpaceDN w:val="0"/>
      <w:ind w:firstLine="1440"/>
      <w:jc w:val="left"/>
    </w:pPr>
    <w:rPr>
      <w:rFonts w:eastAsia="Times New Roman"/>
      <w:sz w:val="26"/>
      <w:szCs w:val="26"/>
    </w:rPr>
  </w:style>
  <w:style w:type="character" w:customStyle="1" w:styleId="BodyTextIndentChar">
    <w:name w:val="Body Text Indent Char"/>
    <w:basedOn w:val="DefaultParagraphFont"/>
    <w:link w:val="BodyTextIndent"/>
    <w:rsid w:val="007433B0"/>
    <w:rPr>
      <w:rFonts w:eastAsia="Times New Roman"/>
      <w:sz w:val="26"/>
      <w:szCs w:val="26"/>
    </w:rPr>
  </w:style>
  <w:style w:type="paragraph" w:styleId="BalloonText">
    <w:name w:val="Balloon Text"/>
    <w:basedOn w:val="Normal"/>
    <w:link w:val="BalloonTextChar"/>
    <w:uiPriority w:val="99"/>
    <w:semiHidden/>
    <w:unhideWhenUsed/>
    <w:rsid w:val="00815D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7E"/>
    <w:rPr>
      <w:rFonts w:ascii="Tahoma" w:hAnsi="Tahoma" w:cs="Tahoma"/>
      <w:sz w:val="16"/>
      <w:szCs w:val="16"/>
    </w:rPr>
  </w:style>
  <w:style w:type="paragraph" w:customStyle="1" w:styleId="p6">
    <w:name w:val="p6"/>
    <w:basedOn w:val="Normal"/>
    <w:rsid w:val="00815D7E"/>
    <w:pPr>
      <w:widowControl w:val="0"/>
      <w:tabs>
        <w:tab w:val="left" w:pos="1513"/>
        <w:tab w:val="left" w:pos="2239"/>
      </w:tabs>
      <w:autoSpaceDE w:val="0"/>
      <w:autoSpaceDN w:val="0"/>
      <w:adjustRightInd w:val="0"/>
      <w:spacing w:line="240" w:lineRule="auto"/>
      <w:ind w:firstLine="1513"/>
      <w:jc w:val="left"/>
    </w:pPr>
    <w:rPr>
      <w:rFonts w:eastAsia="Times New Roman"/>
    </w:rPr>
  </w:style>
  <w:style w:type="paragraph" w:styleId="FootnoteText">
    <w:name w:val="footnote text"/>
    <w:basedOn w:val="Normal"/>
    <w:link w:val="FootnoteTextChar"/>
    <w:uiPriority w:val="99"/>
    <w:semiHidden/>
    <w:unhideWhenUsed/>
    <w:rsid w:val="000A0703"/>
    <w:pPr>
      <w:spacing w:line="240" w:lineRule="auto"/>
    </w:pPr>
    <w:rPr>
      <w:sz w:val="20"/>
      <w:szCs w:val="20"/>
    </w:rPr>
  </w:style>
  <w:style w:type="character" w:customStyle="1" w:styleId="FootnoteTextChar">
    <w:name w:val="Footnote Text Char"/>
    <w:basedOn w:val="DefaultParagraphFont"/>
    <w:link w:val="FootnoteText"/>
    <w:uiPriority w:val="99"/>
    <w:semiHidden/>
    <w:rsid w:val="000A0703"/>
    <w:rPr>
      <w:sz w:val="20"/>
      <w:szCs w:val="20"/>
    </w:rPr>
  </w:style>
  <w:style w:type="character" w:styleId="FootnoteReference">
    <w:name w:val="footnote reference"/>
    <w:basedOn w:val="DefaultParagraphFont"/>
    <w:uiPriority w:val="99"/>
    <w:semiHidden/>
    <w:unhideWhenUsed/>
    <w:rsid w:val="000A0703"/>
    <w:rPr>
      <w:vertAlign w:val="superscript"/>
    </w:rPr>
  </w:style>
  <w:style w:type="paragraph" w:styleId="Header">
    <w:name w:val="header"/>
    <w:basedOn w:val="Normal"/>
    <w:link w:val="HeaderChar"/>
    <w:uiPriority w:val="99"/>
    <w:unhideWhenUsed/>
    <w:rsid w:val="00BE1EBD"/>
    <w:pPr>
      <w:tabs>
        <w:tab w:val="center" w:pos="4680"/>
        <w:tab w:val="right" w:pos="9360"/>
      </w:tabs>
      <w:spacing w:line="240" w:lineRule="auto"/>
    </w:pPr>
  </w:style>
  <w:style w:type="character" w:customStyle="1" w:styleId="HeaderChar">
    <w:name w:val="Header Char"/>
    <w:basedOn w:val="DefaultParagraphFont"/>
    <w:link w:val="Header"/>
    <w:uiPriority w:val="99"/>
    <w:rsid w:val="00BE1EBD"/>
  </w:style>
  <w:style w:type="paragraph" w:styleId="Footer">
    <w:name w:val="footer"/>
    <w:basedOn w:val="Normal"/>
    <w:link w:val="FooterChar"/>
    <w:uiPriority w:val="99"/>
    <w:unhideWhenUsed/>
    <w:rsid w:val="00BE1EBD"/>
    <w:pPr>
      <w:tabs>
        <w:tab w:val="center" w:pos="4680"/>
        <w:tab w:val="right" w:pos="9360"/>
      </w:tabs>
      <w:spacing w:line="240" w:lineRule="auto"/>
    </w:pPr>
  </w:style>
  <w:style w:type="character" w:customStyle="1" w:styleId="FooterChar">
    <w:name w:val="Footer Char"/>
    <w:basedOn w:val="DefaultParagraphFont"/>
    <w:link w:val="Footer"/>
    <w:uiPriority w:val="99"/>
    <w:rsid w:val="00BE1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iesen@thomaslonglaw.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GBAILEY@SALTZMATKOV.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TKOV@SALTZMATKO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mes.Terranova@UnitedWater.com" TargetMode="External"/><Relationship Id="rId4" Type="http://schemas.openxmlformats.org/officeDocument/2006/relationships/settings" Target="settings.xml"/><Relationship Id="rId9" Type="http://schemas.openxmlformats.org/officeDocument/2006/relationships/hyperlink" Target="mailto:cet3@thomaslonglaw.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F29F-F77B-4779-9207-EC1996E4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2014-04-04T12:30:00Z</cp:lastPrinted>
  <dcterms:created xsi:type="dcterms:W3CDTF">2014-04-04T12:27:00Z</dcterms:created>
  <dcterms:modified xsi:type="dcterms:W3CDTF">2014-04-04T12:35:00Z</dcterms:modified>
</cp:coreProperties>
</file>