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bookmarkStart w:id="0" w:name="_GoBack"/>
      <w:bookmarkEnd w:id="0"/>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D477A8" w:rsidP="00F9732A">
      <w:r>
        <w:t>John J. Janos</w:t>
      </w:r>
      <w:r w:rsidR="00CD7291">
        <w:tab/>
      </w:r>
      <w:r w:rsidR="00CD7291">
        <w:tab/>
      </w:r>
      <w:r w:rsidR="00BC7989">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B50BB3">
        <w:t>C-</w:t>
      </w:r>
      <w:r w:rsidR="00D477A8">
        <w:t>2013-2366243</w:t>
      </w:r>
    </w:p>
    <w:p w:rsidR="00F9732A" w:rsidRPr="008B455C" w:rsidRDefault="00F9732A" w:rsidP="00F9732A">
      <w:pPr>
        <w:ind w:left="5040"/>
      </w:pPr>
      <w:r w:rsidRPr="008B455C">
        <w:t>:</w:t>
      </w:r>
    </w:p>
    <w:p w:rsidR="00F9732A" w:rsidRPr="008B455C" w:rsidRDefault="00D477A8" w:rsidP="00F9732A">
      <w:r>
        <w:t>West Penn Power</w:t>
      </w:r>
      <w:r w:rsidR="00F9732A" w:rsidRPr="008B455C">
        <w:t xml:space="preserve"> Company</w:t>
      </w:r>
      <w:r w:rsidR="00F9732A" w:rsidRPr="008B455C">
        <w:tab/>
      </w:r>
      <w:r w:rsidR="00F9732A" w:rsidRPr="008B455C">
        <w:tab/>
        <w:t xml:space="preserve"> </w:t>
      </w:r>
      <w:r w:rsidR="00F9732A" w:rsidRPr="008B455C">
        <w:tab/>
      </w:r>
      <w:r w:rsidR="00F9732A" w:rsidRPr="008B455C">
        <w:tab/>
        <w:t>:</w:t>
      </w:r>
    </w:p>
    <w:p w:rsidR="00F9732A" w:rsidRPr="008B455C" w:rsidRDefault="00F9732A" w:rsidP="00F9732A">
      <w:r w:rsidRPr="008B455C">
        <w:tab/>
      </w:r>
      <w:r w:rsidRPr="008B455C">
        <w:tab/>
      </w:r>
      <w:r w:rsidRPr="008B455C">
        <w:tab/>
      </w:r>
      <w:r w:rsidRPr="008B455C">
        <w:tab/>
      </w:r>
      <w:r w:rsidRPr="008B455C">
        <w:tab/>
      </w:r>
      <w:r w:rsidRPr="008B455C">
        <w:tab/>
      </w:r>
      <w:r w:rsidRPr="008B455C">
        <w:tab/>
      </w:r>
    </w:p>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126B45">
      <w:pPr>
        <w:spacing w:line="360" w:lineRule="auto"/>
        <w:jc w:val="center"/>
      </w:pPr>
    </w:p>
    <w:p w:rsidR="00126B45" w:rsidRPr="000B0551" w:rsidRDefault="00126B45" w:rsidP="00126B45">
      <w:pPr>
        <w:spacing w:line="360" w:lineRule="auto"/>
        <w:jc w:val="center"/>
        <w:rPr>
          <w:u w:val="single"/>
        </w:rPr>
      </w:pPr>
      <w:r w:rsidRPr="000B0551">
        <w:rPr>
          <w:u w:val="single"/>
        </w:rPr>
        <w:t>INTRODUCTION</w:t>
      </w:r>
    </w:p>
    <w:p w:rsidR="00126B45" w:rsidRDefault="00126B45" w:rsidP="00126B45">
      <w:pPr>
        <w:spacing w:line="360" w:lineRule="auto"/>
      </w:pPr>
    </w:p>
    <w:p w:rsidR="00126B45" w:rsidRDefault="00126B45" w:rsidP="00126B45">
      <w:pPr>
        <w:spacing w:line="360" w:lineRule="auto"/>
      </w:pPr>
      <w:r>
        <w:tab/>
      </w:r>
      <w:r>
        <w:tab/>
        <w:t xml:space="preserve">This decision denies the complaint </w:t>
      </w:r>
      <w:r w:rsidR="00DA1ED0">
        <w:t xml:space="preserve">and denies Complainant’s </w:t>
      </w:r>
      <w:r>
        <w:t xml:space="preserve">request for </w:t>
      </w:r>
      <w:r w:rsidR="003937E3">
        <w:t xml:space="preserve">damages.  </w:t>
      </w:r>
    </w:p>
    <w:p w:rsidR="00126B45" w:rsidRDefault="00126B45" w:rsidP="00126B45">
      <w:pPr>
        <w:spacing w:line="360" w:lineRule="auto"/>
      </w:pPr>
    </w:p>
    <w:p w:rsidR="00126B45" w:rsidRPr="00FB448C" w:rsidRDefault="00126B45" w:rsidP="00126B45">
      <w:pPr>
        <w:pStyle w:val="Heading1"/>
        <w:spacing w:line="360" w:lineRule="auto"/>
        <w:rPr>
          <w:sz w:val="24"/>
          <w:szCs w:val="24"/>
          <w:u w:val="none"/>
        </w:rPr>
      </w:pPr>
      <w:r w:rsidRPr="00FB448C">
        <w:rPr>
          <w:sz w:val="24"/>
          <w:szCs w:val="24"/>
        </w:rPr>
        <w:t>HISTORY OF THE PROCEEDING</w:t>
      </w:r>
    </w:p>
    <w:p w:rsidR="00126B45" w:rsidRPr="00B73D10" w:rsidRDefault="00126B45" w:rsidP="00126B45">
      <w:pPr>
        <w:spacing w:line="360" w:lineRule="auto"/>
        <w:ind w:firstLine="1440"/>
      </w:pPr>
    </w:p>
    <w:p w:rsidR="00126B45" w:rsidRPr="00B73D10" w:rsidRDefault="00126B45" w:rsidP="00126B45">
      <w:pPr>
        <w:spacing w:line="360" w:lineRule="auto"/>
        <w:ind w:firstLine="1440"/>
      </w:pPr>
      <w:r w:rsidRPr="00B73D10">
        <w:t xml:space="preserve">On </w:t>
      </w:r>
      <w:r>
        <w:t>May 9, 2013</w:t>
      </w:r>
      <w:r w:rsidRPr="00B73D10">
        <w:t xml:space="preserve">, </w:t>
      </w:r>
      <w:r>
        <w:t>John J. Janos (</w:t>
      </w:r>
      <w:r w:rsidRPr="00B73D10">
        <w:t>Compla</w:t>
      </w:r>
      <w:r>
        <w:t xml:space="preserve">inant) filed a formal complaint </w:t>
      </w:r>
      <w:r w:rsidRPr="00B73D10">
        <w:t xml:space="preserve">against </w:t>
      </w:r>
      <w:r>
        <w:t>West Penn Power Company (</w:t>
      </w:r>
      <w:r w:rsidRPr="00B73D10">
        <w:t xml:space="preserve">Respondent or </w:t>
      </w:r>
      <w:r>
        <w:t>West Penn</w:t>
      </w:r>
      <w:r w:rsidRPr="00B73D10">
        <w:t>) alleging</w:t>
      </w:r>
      <w:r>
        <w:t xml:space="preserve"> a reliability, safety or quality problem with his electric service provided by West Penn.  Complainant alleged numerous power surges and complained West Penn would not help him to prevent damage from future power surges.  Complainant requested payment for damages caused by the surges plus the cost of installing whole house surge protectors and ground rods.  </w:t>
      </w:r>
      <w:r w:rsidRPr="00B73D10">
        <w:t xml:space="preserve">On </w:t>
      </w:r>
      <w:r>
        <w:t>June 20, 2013</w:t>
      </w:r>
      <w:r w:rsidRPr="00B73D10">
        <w:t xml:space="preserve">, Respondent filed an </w:t>
      </w:r>
      <w:r w:rsidR="00101AB8">
        <w:t>A</w:t>
      </w:r>
      <w:r w:rsidRPr="00B73D10">
        <w:t>nswer in response to Complainant’s formal complaint</w:t>
      </w:r>
      <w:r>
        <w:t>, in which R</w:t>
      </w:r>
      <w:r w:rsidRPr="00B73D10">
        <w:t xml:space="preserve">espondent </w:t>
      </w:r>
      <w:r w:rsidR="00A96A71">
        <w:t>generally denied the averments and asserted West Penn had provided reasonable and adequate service in how it maintained its facilities</w:t>
      </w:r>
      <w:r>
        <w:t xml:space="preserve">.  </w:t>
      </w:r>
    </w:p>
    <w:p w:rsidR="00126B45" w:rsidRPr="00B73D10" w:rsidRDefault="00126B45" w:rsidP="00126B45">
      <w:pPr>
        <w:spacing w:line="360" w:lineRule="auto"/>
      </w:pPr>
    </w:p>
    <w:p w:rsidR="00126B45" w:rsidRDefault="00126B45" w:rsidP="00126B45">
      <w:pPr>
        <w:spacing w:line="360" w:lineRule="auto"/>
      </w:pPr>
      <w:r w:rsidRPr="00B73D10">
        <w:lastRenderedPageBreak/>
        <w:tab/>
      </w:r>
      <w:r w:rsidRPr="00B73D10">
        <w:tab/>
        <w:t xml:space="preserve">On </w:t>
      </w:r>
      <w:r w:rsidR="00A96A71">
        <w:t>October 18</w:t>
      </w:r>
      <w:r>
        <w:t>, 2013</w:t>
      </w:r>
      <w:r w:rsidRPr="00B73D10">
        <w:t xml:space="preserve">, the Office of Administrative Law Judge issued a Telephone Hearing Notice, which scheduled </w:t>
      </w:r>
      <w:r>
        <w:t xml:space="preserve">a telephonic </w:t>
      </w:r>
      <w:r w:rsidRPr="00B73D10">
        <w:t xml:space="preserve">initial hearing to be conducted on </w:t>
      </w:r>
      <w:r w:rsidR="00A96A71">
        <w:t>December 17</w:t>
      </w:r>
      <w:r>
        <w:t>, 2013.</w:t>
      </w:r>
      <w:r w:rsidR="0080315B">
        <w:t xml:space="preserve">  </w:t>
      </w:r>
      <w:r>
        <w:t xml:space="preserve">On </w:t>
      </w:r>
      <w:r w:rsidR="00A96A71">
        <w:t>October 22</w:t>
      </w:r>
      <w:r>
        <w:t>, 2013, the presiding officer issued</w:t>
      </w:r>
      <w:r w:rsidRPr="00B73D10">
        <w:t xml:space="preserve"> a Prehearing Order.  </w:t>
      </w:r>
    </w:p>
    <w:p w:rsidR="00126B45" w:rsidRDefault="00126B45" w:rsidP="00126B45">
      <w:pPr>
        <w:spacing w:line="360" w:lineRule="auto"/>
      </w:pPr>
    </w:p>
    <w:p w:rsidR="00126B45" w:rsidRDefault="00126B45" w:rsidP="00126B45">
      <w:pPr>
        <w:spacing w:line="360" w:lineRule="auto"/>
      </w:pPr>
      <w:r>
        <w:tab/>
      </w:r>
      <w:r>
        <w:tab/>
        <w:t xml:space="preserve">The presiding officer convened the initial hearing as scheduled on </w:t>
      </w:r>
      <w:r w:rsidR="00A96A71">
        <w:t>December 17</w:t>
      </w:r>
      <w:r>
        <w:t>, 2013.  Complainant</w:t>
      </w:r>
      <w:r w:rsidR="00A96A71">
        <w:t xml:space="preserve"> </w:t>
      </w:r>
      <w:r>
        <w:t xml:space="preserve">appeared </w:t>
      </w:r>
      <w:r w:rsidR="00A96A71" w:rsidRPr="00A96A71">
        <w:rPr>
          <w:i/>
        </w:rPr>
        <w:t>pro se</w:t>
      </w:r>
      <w:r w:rsidR="00A96A71">
        <w:t xml:space="preserve"> and testified </w:t>
      </w:r>
      <w:r>
        <w:t xml:space="preserve">on </w:t>
      </w:r>
      <w:r w:rsidR="00A96A71">
        <w:t>his own behalf</w:t>
      </w:r>
      <w:r>
        <w:t>.</w:t>
      </w:r>
      <w:r w:rsidR="00A96A71">
        <w:t xml:space="preserve">  Complainant offered four</w:t>
      </w:r>
      <w:r w:rsidR="00E65950">
        <w:t> </w:t>
      </w:r>
      <w:r w:rsidR="00A96A71">
        <w:t>(4) exhibits, which were marked Complainant Exhibits B, C, R and S.</w:t>
      </w:r>
      <w:r>
        <w:t xml:space="preserve">  Respondent was represented by </w:t>
      </w:r>
      <w:r w:rsidR="00A96A71">
        <w:t xml:space="preserve">John L. </w:t>
      </w:r>
      <w:proofErr w:type="spellStart"/>
      <w:r w:rsidR="00A96A71">
        <w:t>Munsch</w:t>
      </w:r>
      <w:proofErr w:type="spellEnd"/>
      <w:r>
        <w:t xml:space="preserve">, Esquire.  </w:t>
      </w:r>
      <w:r w:rsidR="00A96A71" w:rsidRPr="00B73D10">
        <w:t xml:space="preserve">Attorney </w:t>
      </w:r>
      <w:proofErr w:type="spellStart"/>
      <w:r w:rsidR="00A96A71">
        <w:t>Munsch</w:t>
      </w:r>
      <w:proofErr w:type="spellEnd"/>
      <w:r w:rsidR="00A96A71" w:rsidRPr="00B73D10">
        <w:t xml:space="preserve"> presented the testimony of </w:t>
      </w:r>
      <w:r w:rsidR="00A96A71">
        <w:t>two witnesses</w:t>
      </w:r>
      <w:r w:rsidR="00A96A71" w:rsidRPr="00B73D10">
        <w:t xml:space="preserve">, and offered </w:t>
      </w:r>
      <w:r w:rsidR="00A96A71">
        <w:t>three (3)</w:t>
      </w:r>
      <w:r w:rsidR="00A96A71" w:rsidRPr="00B73D10">
        <w:t xml:space="preserve"> exhibits, </w:t>
      </w:r>
      <w:r w:rsidR="00A96A71">
        <w:t xml:space="preserve">which were </w:t>
      </w:r>
      <w:r w:rsidR="00A96A71" w:rsidRPr="00B73D10">
        <w:t xml:space="preserve">marked </w:t>
      </w:r>
      <w:r w:rsidR="00A96A71">
        <w:t xml:space="preserve">West Penn Exhibits 6, 8 and 9, and were </w:t>
      </w:r>
      <w:r w:rsidR="00A96A71" w:rsidRPr="00B73D10">
        <w:t>admitted into evidence.  The transcript of the hearing</w:t>
      </w:r>
      <w:r w:rsidR="00A96A71">
        <w:t>,</w:t>
      </w:r>
      <w:r w:rsidR="00A96A71" w:rsidRPr="00B73D10">
        <w:t xml:space="preserve"> contain</w:t>
      </w:r>
      <w:r w:rsidR="00A96A71">
        <w:t>ing</w:t>
      </w:r>
      <w:r w:rsidR="00A96A71" w:rsidRPr="00B73D10">
        <w:t xml:space="preserve"> </w:t>
      </w:r>
      <w:r w:rsidR="00A96A71">
        <w:t xml:space="preserve">86 </w:t>
      </w:r>
      <w:r w:rsidR="00A96A71" w:rsidRPr="00B73D10">
        <w:t>pages</w:t>
      </w:r>
      <w:r w:rsidR="00A96A71">
        <w:t>, was received in the Commission’s offices on January 9, 2014 and was received in the presiding officer’s office on January 13, 2014.</w:t>
      </w:r>
      <w:r w:rsidR="00A96A71" w:rsidRPr="00B73D10">
        <w:t xml:space="preserve">  Complainant and Respondent issued final statements on the hearing record in lieu of filing briefs.</w:t>
      </w:r>
    </w:p>
    <w:p w:rsidR="00126B45" w:rsidRDefault="00126B45" w:rsidP="00126B45">
      <w:pPr>
        <w:spacing w:line="360" w:lineRule="auto"/>
      </w:pPr>
    </w:p>
    <w:p w:rsidR="00126B45" w:rsidRPr="00B73D10" w:rsidRDefault="00126B45" w:rsidP="00126B45">
      <w:pPr>
        <w:tabs>
          <w:tab w:val="left" w:pos="2160"/>
        </w:tabs>
        <w:spacing w:line="360" w:lineRule="auto"/>
        <w:ind w:firstLine="1440"/>
      </w:pPr>
      <w:r w:rsidRPr="00B73D10">
        <w:t xml:space="preserve">On </w:t>
      </w:r>
      <w:r w:rsidR="00A96A71">
        <w:t>January 14, 2014</w:t>
      </w:r>
      <w:r>
        <w:t>,</w:t>
      </w:r>
      <w:r w:rsidRPr="00B73D10">
        <w:t xml:space="preserve"> the </w:t>
      </w:r>
      <w:r w:rsidR="00A96A71">
        <w:t xml:space="preserve">presiding officer closed the hearing by </w:t>
      </w:r>
      <w:r w:rsidRPr="00B73D10">
        <w:t>Interim Order Closing the Hearing Record.</w:t>
      </w:r>
    </w:p>
    <w:p w:rsidR="00126B45" w:rsidRPr="00B73D10" w:rsidRDefault="00126B45" w:rsidP="00126B45">
      <w:pPr>
        <w:tabs>
          <w:tab w:val="left" w:pos="2160"/>
        </w:tabs>
        <w:spacing w:line="360" w:lineRule="auto"/>
        <w:ind w:firstLine="1440"/>
      </w:pPr>
    </w:p>
    <w:p w:rsidR="00126B45" w:rsidRPr="00B73D10" w:rsidRDefault="00126B45" w:rsidP="00126B45">
      <w:pPr>
        <w:tabs>
          <w:tab w:val="left" w:pos="2160"/>
        </w:tabs>
        <w:spacing w:line="360" w:lineRule="auto"/>
        <w:jc w:val="center"/>
        <w:rPr>
          <w:u w:val="single"/>
        </w:rPr>
      </w:pPr>
      <w:r w:rsidRPr="00B73D10">
        <w:rPr>
          <w:u w:val="single"/>
        </w:rPr>
        <w:t xml:space="preserve">FINDINGS OF </w:t>
      </w:r>
      <w:smartTag w:uri="urn:schemas-microsoft-com:office:smarttags" w:element="stockticker">
        <w:r w:rsidRPr="00B73D10">
          <w:rPr>
            <w:u w:val="single"/>
          </w:rPr>
          <w:t>FACT</w:t>
        </w:r>
      </w:smartTag>
    </w:p>
    <w:p w:rsidR="00126B45" w:rsidRPr="00B73D10" w:rsidRDefault="00126B45" w:rsidP="00126B45">
      <w:pPr>
        <w:tabs>
          <w:tab w:val="left" w:pos="2160"/>
        </w:tabs>
        <w:spacing w:line="360" w:lineRule="auto"/>
        <w:rPr>
          <w:u w:val="single"/>
        </w:rPr>
      </w:pPr>
    </w:p>
    <w:p w:rsidR="00126B45" w:rsidRPr="00B73D10" w:rsidRDefault="00126B45" w:rsidP="00126B45">
      <w:pPr>
        <w:tabs>
          <w:tab w:val="left" w:pos="2160"/>
        </w:tabs>
        <w:spacing w:line="360" w:lineRule="auto"/>
        <w:ind w:firstLine="1440"/>
      </w:pPr>
      <w:r w:rsidRPr="00B73D10">
        <w:t>1.</w:t>
      </w:r>
      <w:r w:rsidRPr="00B73D10">
        <w:tab/>
        <w:t xml:space="preserve">Complainant, </w:t>
      </w:r>
      <w:r w:rsidR="00A96A71">
        <w:t>John J. Janos</w:t>
      </w:r>
      <w:r>
        <w:t xml:space="preserve">, resides at </w:t>
      </w:r>
      <w:r w:rsidR="004A0254">
        <w:t>193 Reduction Road, Smithton</w:t>
      </w:r>
      <w:r>
        <w:t>, Pennsylvania (service address)</w:t>
      </w:r>
      <w:r w:rsidR="003C1F6E">
        <w:t>,</w:t>
      </w:r>
      <w:r w:rsidR="004A0254">
        <w:t xml:space="preserve"> where he has resided since 1970</w:t>
      </w:r>
      <w:r>
        <w:t xml:space="preserve">.  </w:t>
      </w:r>
      <w:proofErr w:type="gramStart"/>
      <w:r w:rsidRPr="00B73D10">
        <w:t xml:space="preserve">(Tr. </w:t>
      </w:r>
      <w:r w:rsidR="004A0254">
        <w:t>13</w:t>
      </w:r>
      <w:r w:rsidRPr="00B73D10">
        <w:t>).</w:t>
      </w:r>
      <w:proofErr w:type="gramEnd"/>
      <w:r w:rsidRPr="00B73D10">
        <w:t xml:space="preserve"> </w:t>
      </w:r>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2.</w:t>
      </w:r>
      <w:r>
        <w:tab/>
        <w:t xml:space="preserve">Respondent </w:t>
      </w:r>
      <w:r w:rsidR="004A0254">
        <w:t xml:space="preserve">has </w:t>
      </w:r>
      <w:r>
        <w:t>provide</w:t>
      </w:r>
      <w:r w:rsidR="004A0254">
        <w:t>d</w:t>
      </w:r>
      <w:r>
        <w:t xml:space="preserve"> electric services to Complainant at the service address</w:t>
      </w:r>
      <w:r w:rsidR="004A0254">
        <w:t xml:space="preserve"> since 1980</w:t>
      </w:r>
      <w:r>
        <w:t xml:space="preserve">.  </w:t>
      </w:r>
      <w:proofErr w:type="gramStart"/>
      <w:r>
        <w:t xml:space="preserve">(Tr. </w:t>
      </w:r>
      <w:r w:rsidR="004A0254">
        <w:t>13</w:t>
      </w:r>
      <w:r>
        <w:t>).</w:t>
      </w:r>
      <w:proofErr w:type="gramEnd"/>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 xml:space="preserve">3. </w:t>
      </w:r>
      <w:r>
        <w:tab/>
      </w:r>
      <w:r w:rsidR="00CE3A66">
        <w:t>O</w:t>
      </w:r>
      <w:r w:rsidR="00E941A4">
        <w:t>n</w:t>
      </w:r>
      <w:r w:rsidR="00CE3A66">
        <w:t xml:space="preserve"> May 22,</w:t>
      </w:r>
      <w:r w:rsidR="00E941A4">
        <w:t xml:space="preserve"> 2012 and </w:t>
      </w:r>
      <w:r w:rsidR="00CE3A66">
        <w:t xml:space="preserve">March 25, </w:t>
      </w:r>
      <w:r w:rsidR="00E941A4">
        <w:t xml:space="preserve">2013, Complainant experienced power surges at the service address.  </w:t>
      </w:r>
      <w:proofErr w:type="gramStart"/>
      <w:r w:rsidR="00E941A4">
        <w:t>(Tr. 14</w:t>
      </w:r>
      <w:r w:rsidR="00CE3A66">
        <w:t>, 17</w:t>
      </w:r>
      <w:r w:rsidR="00E941A4">
        <w:t>).</w:t>
      </w:r>
      <w:proofErr w:type="gramEnd"/>
    </w:p>
    <w:p w:rsidR="004A0254" w:rsidRDefault="004A0254" w:rsidP="00126B45">
      <w:pPr>
        <w:tabs>
          <w:tab w:val="left" w:pos="2160"/>
        </w:tabs>
        <w:spacing w:line="360" w:lineRule="auto"/>
        <w:ind w:firstLine="1440"/>
      </w:pPr>
    </w:p>
    <w:p w:rsidR="00E941A4" w:rsidRDefault="00126B45" w:rsidP="00126B45">
      <w:pPr>
        <w:tabs>
          <w:tab w:val="left" w:pos="2160"/>
        </w:tabs>
        <w:spacing w:line="360" w:lineRule="auto"/>
        <w:ind w:firstLine="1440"/>
      </w:pPr>
      <w:r>
        <w:t xml:space="preserve">4. </w:t>
      </w:r>
      <w:r>
        <w:tab/>
      </w:r>
      <w:r w:rsidR="00E941A4">
        <w:t xml:space="preserve">Having seen the effects of a prior power surge in 2011, Complainant took the following actions in order to protect the service address from any damage after 2011:  </w:t>
      </w:r>
    </w:p>
    <w:p w:rsidR="00E941A4" w:rsidRDefault="00E941A4" w:rsidP="00126B45">
      <w:pPr>
        <w:tabs>
          <w:tab w:val="left" w:pos="2160"/>
        </w:tabs>
        <w:spacing w:line="360" w:lineRule="auto"/>
        <w:ind w:firstLine="1440"/>
      </w:pPr>
      <w:r>
        <w:lastRenderedPageBreak/>
        <w:tab/>
      </w:r>
      <w:proofErr w:type="gramStart"/>
      <w:r>
        <w:t>a</w:t>
      </w:r>
      <w:proofErr w:type="gramEnd"/>
      <w:r>
        <w:t xml:space="preserve">. </w:t>
      </w:r>
      <w:r>
        <w:tab/>
        <w:t xml:space="preserve">he purchased a main panel surge protector and had it installed by an electrician;  </w:t>
      </w:r>
    </w:p>
    <w:p w:rsidR="009A6585" w:rsidRDefault="00E941A4" w:rsidP="00126B45">
      <w:pPr>
        <w:tabs>
          <w:tab w:val="left" w:pos="2160"/>
        </w:tabs>
        <w:spacing w:line="360" w:lineRule="auto"/>
        <w:ind w:firstLine="1440"/>
      </w:pPr>
      <w:r>
        <w:tab/>
      </w:r>
      <w:proofErr w:type="gramStart"/>
      <w:r>
        <w:t>b</w:t>
      </w:r>
      <w:proofErr w:type="gramEnd"/>
      <w:r>
        <w:t xml:space="preserve">. </w:t>
      </w:r>
      <w:r>
        <w:tab/>
        <w:t>he purchased and had installed a lightening arrestor;</w:t>
      </w:r>
    </w:p>
    <w:p w:rsidR="00E941A4" w:rsidRDefault="00E941A4" w:rsidP="00126B45">
      <w:pPr>
        <w:tabs>
          <w:tab w:val="left" w:pos="2160"/>
        </w:tabs>
        <w:spacing w:line="360" w:lineRule="auto"/>
        <w:ind w:firstLine="1440"/>
      </w:pPr>
      <w:r>
        <w:tab/>
      </w:r>
      <w:proofErr w:type="gramStart"/>
      <w:r>
        <w:t>c</w:t>
      </w:r>
      <w:proofErr w:type="gramEnd"/>
      <w:r>
        <w:t xml:space="preserve">. </w:t>
      </w:r>
      <w:r>
        <w:tab/>
        <w:t xml:space="preserve">he purchased and installed additional power strips for his electrical appliances and equipment; </w:t>
      </w:r>
    </w:p>
    <w:p w:rsidR="00E941A4" w:rsidRDefault="00E941A4" w:rsidP="00126B45">
      <w:pPr>
        <w:tabs>
          <w:tab w:val="left" w:pos="2160"/>
        </w:tabs>
        <w:spacing w:line="360" w:lineRule="auto"/>
        <w:ind w:firstLine="1440"/>
      </w:pPr>
      <w:r>
        <w:tab/>
      </w:r>
      <w:proofErr w:type="gramStart"/>
      <w:r>
        <w:t>d</w:t>
      </w:r>
      <w:proofErr w:type="gramEnd"/>
      <w:r>
        <w:t xml:space="preserve">. </w:t>
      </w:r>
      <w:r>
        <w:tab/>
        <w:t xml:space="preserve">he purchased and installed a separate power strip for his garage door opener; </w:t>
      </w:r>
    </w:p>
    <w:p w:rsidR="00E941A4" w:rsidRDefault="00E941A4" w:rsidP="00126B45">
      <w:pPr>
        <w:tabs>
          <w:tab w:val="left" w:pos="2160"/>
        </w:tabs>
        <w:spacing w:line="360" w:lineRule="auto"/>
        <w:ind w:firstLine="1440"/>
      </w:pPr>
      <w:r>
        <w:tab/>
      </w:r>
      <w:proofErr w:type="gramStart"/>
      <w:r>
        <w:t>e</w:t>
      </w:r>
      <w:proofErr w:type="gramEnd"/>
      <w:r>
        <w:t xml:space="preserve">. </w:t>
      </w:r>
      <w:r>
        <w:tab/>
        <w:t xml:space="preserve">he obtained advice from an electrician on how to protect his residence, and to inspect his electrical system; </w:t>
      </w:r>
    </w:p>
    <w:p w:rsidR="00E941A4" w:rsidRDefault="00E941A4" w:rsidP="00126B45">
      <w:pPr>
        <w:tabs>
          <w:tab w:val="left" w:pos="2160"/>
        </w:tabs>
        <w:spacing w:line="360" w:lineRule="auto"/>
        <w:ind w:firstLine="1440"/>
      </w:pPr>
      <w:r>
        <w:tab/>
      </w:r>
      <w:proofErr w:type="gramStart"/>
      <w:r>
        <w:t>f</w:t>
      </w:r>
      <w:proofErr w:type="gramEnd"/>
      <w:r>
        <w:t xml:space="preserve">. </w:t>
      </w:r>
      <w:r>
        <w:tab/>
        <w:t xml:space="preserve">he installed ground rods at the service address.  </w:t>
      </w:r>
    </w:p>
    <w:p w:rsidR="00126B45" w:rsidRDefault="00E941A4" w:rsidP="00E941A4">
      <w:pPr>
        <w:tabs>
          <w:tab w:val="left" w:pos="2160"/>
        </w:tabs>
        <w:spacing w:line="360" w:lineRule="auto"/>
      </w:pPr>
      <w:r>
        <w:t>(Tr. 14-16).</w:t>
      </w:r>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5.</w:t>
      </w:r>
      <w:r>
        <w:tab/>
      </w:r>
      <w:r w:rsidR="00CE3A66">
        <w:t>The power surge on May 22, 2012 damaged the garage door opener, the power strips in use at the service address, and the main panel surge arrestor installed after the 2011 power surge.  (Tr. 17-19).</w:t>
      </w:r>
    </w:p>
    <w:p w:rsidR="00126B45" w:rsidRDefault="00126B45" w:rsidP="00126B45">
      <w:pPr>
        <w:tabs>
          <w:tab w:val="left" w:pos="2160"/>
        </w:tabs>
        <w:spacing w:line="360" w:lineRule="auto"/>
        <w:ind w:firstLine="1440"/>
      </w:pPr>
    </w:p>
    <w:p w:rsidR="00126B45" w:rsidRDefault="00CE3A66" w:rsidP="00126B45">
      <w:pPr>
        <w:tabs>
          <w:tab w:val="left" w:pos="2160"/>
        </w:tabs>
        <w:spacing w:line="360" w:lineRule="auto"/>
        <w:ind w:firstLine="1440"/>
      </w:pPr>
      <w:r>
        <w:t xml:space="preserve">6.  </w:t>
      </w:r>
      <w:r>
        <w:tab/>
        <w:t xml:space="preserve">Respondent refused Complainant’s claim for damages resulting from the power surge on May 22, 2012.  </w:t>
      </w:r>
      <w:proofErr w:type="gramStart"/>
      <w:r>
        <w:t>(Tr. 17; West Penn Exhibit C).</w:t>
      </w:r>
      <w:proofErr w:type="gramEnd"/>
    </w:p>
    <w:p w:rsidR="00126B45" w:rsidRDefault="00126B45" w:rsidP="00126B45">
      <w:pPr>
        <w:tabs>
          <w:tab w:val="left" w:pos="2160"/>
        </w:tabs>
        <w:spacing w:line="360" w:lineRule="auto"/>
        <w:ind w:firstLine="1440"/>
      </w:pPr>
    </w:p>
    <w:p w:rsidR="00126B45" w:rsidRDefault="00CE3A66" w:rsidP="00126B45">
      <w:pPr>
        <w:tabs>
          <w:tab w:val="left" w:pos="2160"/>
        </w:tabs>
        <w:spacing w:line="360" w:lineRule="auto"/>
        <w:ind w:firstLine="1440"/>
      </w:pPr>
      <w:r>
        <w:t>7.</w:t>
      </w:r>
      <w:r>
        <w:tab/>
        <w:t>The power surge on March 25, 2013 damage</w:t>
      </w:r>
      <w:r w:rsidR="001406D8">
        <w:t>d</w:t>
      </w:r>
      <w:r>
        <w:t xml:space="preserve"> the computer, television, power strips, the main panel surge protector, and a sewage pump called an </w:t>
      </w:r>
      <w:proofErr w:type="spellStart"/>
      <w:r>
        <w:t>upflush</w:t>
      </w:r>
      <w:proofErr w:type="spellEnd"/>
      <w:r>
        <w:t xml:space="preserve"> commode.  </w:t>
      </w:r>
      <w:proofErr w:type="gramStart"/>
      <w:r>
        <w:t>(Tr. 18).</w:t>
      </w:r>
      <w:proofErr w:type="gramEnd"/>
      <w:r>
        <w:t xml:space="preserve">  </w:t>
      </w:r>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 xml:space="preserve">8. </w:t>
      </w:r>
      <w:r>
        <w:tab/>
      </w:r>
      <w:r w:rsidR="00CE3A66">
        <w:t xml:space="preserve">The damage to the sewage pump resulted in sewage overflowing into the basement bathroom, which damaged items in the bathroom and in an adjoining room.  </w:t>
      </w:r>
      <w:proofErr w:type="gramStart"/>
      <w:r w:rsidR="00CE3A66">
        <w:t>(Tr. 18).</w:t>
      </w:r>
      <w:proofErr w:type="gramEnd"/>
    </w:p>
    <w:p w:rsidR="00126B45" w:rsidRDefault="00126B45" w:rsidP="00126B45">
      <w:pPr>
        <w:tabs>
          <w:tab w:val="left" w:pos="2160"/>
        </w:tabs>
        <w:spacing w:line="360" w:lineRule="auto"/>
        <w:ind w:firstLine="1440"/>
      </w:pPr>
    </w:p>
    <w:p w:rsidR="00126B45" w:rsidRDefault="00CE3A66" w:rsidP="00126B45">
      <w:pPr>
        <w:tabs>
          <w:tab w:val="left" w:pos="2160"/>
        </w:tabs>
        <w:spacing w:line="360" w:lineRule="auto"/>
        <w:ind w:firstLine="1440"/>
      </w:pPr>
      <w:r>
        <w:t>9.</w:t>
      </w:r>
      <w:r>
        <w:tab/>
        <w:t>Complainant’s homeowners</w:t>
      </w:r>
      <w:r w:rsidR="00334639">
        <w:t>’</w:t>
      </w:r>
      <w:r>
        <w:t xml:space="preserve"> insurance company paid both claims submitted for damages caused by the power surges in May </w:t>
      </w:r>
      <w:r w:rsidR="00334639">
        <w:t xml:space="preserve">2012 and March 2013.  </w:t>
      </w:r>
      <w:proofErr w:type="gramStart"/>
      <w:r w:rsidR="00334639">
        <w:t>(Tr. 16-23</w:t>
      </w:r>
      <w:r w:rsidR="00680930">
        <w:t xml:space="preserve">, </w:t>
      </w:r>
      <w:r w:rsidR="00957F48">
        <w:t>40</w:t>
      </w:r>
      <w:r>
        <w:t>).</w:t>
      </w:r>
      <w:proofErr w:type="gramEnd"/>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lastRenderedPageBreak/>
        <w:t xml:space="preserve">10. </w:t>
      </w:r>
      <w:r>
        <w:tab/>
      </w:r>
      <w:r w:rsidR="009E5767">
        <w:t>Subsequent to</w:t>
      </w:r>
      <w:r w:rsidR="00334639">
        <w:t xml:space="preserve"> each power surge </w:t>
      </w:r>
      <w:r w:rsidR="009E5767">
        <w:t xml:space="preserve">that </w:t>
      </w:r>
      <w:r w:rsidR="00334639">
        <w:t>occurred</w:t>
      </w:r>
      <w:r w:rsidR="009E5767">
        <w:t xml:space="preserve"> at the service address</w:t>
      </w:r>
      <w:r w:rsidR="00334639">
        <w:t xml:space="preserve"> (in May 2012 and in March 2013), Complainant contacted West Penn</w:t>
      </w:r>
      <w:r w:rsidR="009E5767">
        <w:t xml:space="preserve"> to complain about the power surges.  </w:t>
      </w:r>
      <w:proofErr w:type="gramStart"/>
      <w:r w:rsidR="009E5767">
        <w:t>(Tr. 23, 24).</w:t>
      </w:r>
      <w:proofErr w:type="gramEnd"/>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 xml:space="preserve">11. </w:t>
      </w:r>
      <w:r>
        <w:tab/>
      </w:r>
      <w:r w:rsidR="009E5767">
        <w:t xml:space="preserve">On June 21, 2012, West Penn sent a letter to Complainant in which West Penn indicated it was denying Complainant’s claim for damages.  West Penn indicated the claim resulted from a </w:t>
      </w:r>
      <w:r w:rsidR="005C050D">
        <w:t>bad arrester, which required repairs to West Penn’s facilities</w:t>
      </w:r>
      <w:r w:rsidR="009E5767">
        <w:t xml:space="preserve"> on May 23, 2012</w:t>
      </w:r>
      <w:r w:rsidR="005C050D">
        <w:t xml:space="preserve">.  West Penn asserted it could not predict when its equipment will fail and asserted it found no evidence to suggest West Penn was negligent.  </w:t>
      </w:r>
      <w:r w:rsidR="009E5767">
        <w:t xml:space="preserve"> </w:t>
      </w:r>
      <w:proofErr w:type="gramStart"/>
      <w:r w:rsidR="009E5767">
        <w:t>(Tr.</w:t>
      </w:r>
      <w:r w:rsidR="005C050D">
        <w:t xml:space="preserve"> 26</w:t>
      </w:r>
      <w:r w:rsidR="00E3691B">
        <w:t>-</w:t>
      </w:r>
      <w:r w:rsidR="009E5767">
        <w:t xml:space="preserve"> </w:t>
      </w:r>
      <w:r w:rsidR="005C050D">
        <w:t>27,</w:t>
      </w:r>
      <w:r w:rsidR="009E5767">
        <w:t xml:space="preserve"> Complainant Exhibit B).</w:t>
      </w:r>
      <w:proofErr w:type="gramEnd"/>
      <w:r w:rsidR="009E5767">
        <w:t xml:space="preserve"> </w:t>
      </w:r>
    </w:p>
    <w:p w:rsidR="00126B45" w:rsidRDefault="00126B45" w:rsidP="00126B45">
      <w:pPr>
        <w:tabs>
          <w:tab w:val="left" w:pos="2160"/>
        </w:tabs>
        <w:spacing w:line="360" w:lineRule="auto"/>
        <w:ind w:firstLine="1440"/>
      </w:pPr>
    </w:p>
    <w:p w:rsidR="00F82A4B" w:rsidRDefault="00F82A4B" w:rsidP="00F82A4B">
      <w:pPr>
        <w:tabs>
          <w:tab w:val="left" w:pos="2160"/>
        </w:tabs>
        <w:spacing w:line="360" w:lineRule="auto"/>
        <w:ind w:firstLine="1440"/>
      </w:pPr>
      <w:r>
        <w:t>1</w:t>
      </w:r>
      <w:r w:rsidR="003540A7">
        <w:t>2</w:t>
      </w:r>
      <w:r>
        <w:t xml:space="preserve">. </w:t>
      </w:r>
      <w:r>
        <w:tab/>
        <w:t xml:space="preserve"> On March 25, 2013, the power surge involved a double circuit construction known as the </w:t>
      </w:r>
      <w:proofErr w:type="spellStart"/>
      <w:r>
        <w:t>Fitzhenry</w:t>
      </w:r>
      <w:proofErr w:type="spellEnd"/>
      <w:r>
        <w:t xml:space="preserve"> 12 kilovolt (</w:t>
      </w:r>
      <w:proofErr w:type="spellStart"/>
      <w:proofErr w:type="gramStart"/>
      <w:r>
        <w:t>kv</w:t>
      </w:r>
      <w:proofErr w:type="spellEnd"/>
      <w:proofErr w:type="gramEnd"/>
      <w:r>
        <w:t xml:space="preserve">) circuit, along the Charleroi-Madison 25 </w:t>
      </w:r>
      <w:proofErr w:type="spellStart"/>
      <w:r>
        <w:t>kv</w:t>
      </w:r>
      <w:proofErr w:type="spellEnd"/>
      <w:r>
        <w:t xml:space="preserve"> Junction where the same pole contains a 25 </w:t>
      </w:r>
      <w:proofErr w:type="spellStart"/>
      <w:r>
        <w:t>kv</w:t>
      </w:r>
      <w:proofErr w:type="spellEnd"/>
      <w:r>
        <w:t xml:space="preserve"> wire above a 12 </w:t>
      </w:r>
      <w:proofErr w:type="spellStart"/>
      <w:r>
        <w:t>kv</w:t>
      </w:r>
      <w:proofErr w:type="spellEnd"/>
      <w:r>
        <w:t xml:space="preserve"> wire.  The power surge occurred during a wind storm when a tree located outside the right-of-way came into contact with the more powerful 25 </w:t>
      </w:r>
      <w:proofErr w:type="spellStart"/>
      <w:proofErr w:type="gramStart"/>
      <w:r>
        <w:t>kv</w:t>
      </w:r>
      <w:proofErr w:type="spellEnd"/>
      <w:proofErr w:type="gramEnd"/>
      <w:r>
        <w:t xml:space="preserve"> wire.  </w:t>
      </w:r>
      <w:proofErr w:type="gramStart"/>
      <w:r>
        <w:t>(Tr. 51-57; West Penn Exhibits 8 &amp; 9).</w:t>
      </w:r>
      <w:proofErr w:type="gramEnd"/>
      <w:r>
        <w:t xml:space="preserve">  </w:t>
      </w:r>
    </w:p>
    <w:p w:rsidR="00F82A4B" w:rsidRDefault="00F82A4B" w:rsidP="00126B45">
      <w:pPr>
        <w:tabs>
          <w:tab w:val="left" w:pos="2160"/>
        </w:tabs>
        <w:spacing w:line="360" w:lineRule="auto"/>
        <w:ind w:firstLine="1440"/>
      </w:pPr>
    </w:p>
    <w:p w:rsidR="00126B45" w:rsidRDefault="00126B45" w:rsidP="00126B45">
      <w:pPr>
        <w:tabs>
          <w:tab w:val="left" w:pos="2160"/>
        </w:tabs>
        <w:spacing w:line="360" w:lineRule="auto"/>
        <w:ind w:firstLine="1440"/>
      </w:pPr>
      <w:r>
        <w:t>1</w:t>
      </w:r>
      <w:r w:rsidR="003540A7">
        <w:t>3</w:t>
      </w:r>
      <w:r>
        <w:t xml:space="preserve">. </w:t>
      </w:r>
      <w:r>
        <w:tab/>
      </w:r>
      <w:r w:rsidR="009E5767">
        <w:t xml:space="preserve">On April 16, 2013, West Penn sent a letter to Complainant in which West Penn indicated it was denying Complainant’s claim for damages.  West Penn indicated the claim resulted from a power surge on March 25, 2013 due to conditions beyond West Penn’s control.  West Penn indicated the power surge occurred when a tree located outside West Penn’s right-of-way fell into West Penn’s power line.  </w:t>
      </w:r>
      <w:proofErr w:type="gramStart"/>
      <w:r w:rsidR="009E5767">
        <w:t>(Tr. 2</w:t>
      </w:r>
      <w:r w:rsidR="005C050D">
        <w:t>5</w:t>
      </w:r>
      <w:r w:rsidR="00E3691B">
        <w:t>;</w:t>
      </w:r>
      <w:r w:rsidR="009E5767">
        <w:t xml:space="preserve"> Complainant Exhibit C).</w:t>
      </w:r>
      <w:proofErr w:type="gramEnd"/>
    </w:p>
    <w:p w:rsidR="00126B45" w:rsidRDefault="00126B45" w:rsidP="00126B45">
      <w:pPr>
        <w:tabs>
          <w:tab w:val="left" w:pos="2160"/>
        </w:tabs>
        <w:spacing w:line="360" w:lineRule="auto"/>
        <w:ind w:firstLine="1440"/>
      </w:pPr>
    </w:p>
    <w:p w:rsidR="00126B45" w:rsidRDefault="005C050D" w:rsidP="00126B45">
      <w:pPr>
        <w:tabs>
          <w:tab w:val="left" w:pos="2160"/>
        </w:tabs>
        <w:spacing w:line="360" w:lineRule="auto"/>
        <w:ind w:firstLine="1440"/>
      </w:pPr>
      <w:r>
        <w:t>1</w:t>
      </w:r>
      <w:r w:rsidR="003540A7">
        <w:t>4</w:t>
      </w:r>
      <w:r>
        <w:t>.</w:t>
      </w:r>
      <w:r>
        <w:tab/>
        <w:t xml:space="preserve">On </w:t>
      </w:r>
      <w:r w:rsidR="001F2B65">
        <w:t>November 7, 2013</w:t>
      </w:r>
      <w:r>
        <w:t xml:space="preserve">, Complainant asked West Penn to install a </w:t>
      </w:r>
      <w:r w:rsidR="001F2B65">
        <w:t xml:space="preserve">surge protector or arrestor </w:t>
      </w:r>
      <w:r>
        <w:t xml:space="preserve">on his meter socket as an additional protection from power surges after West Penn’s personnel advised him the device would help.  The device would cost $4.83 per month and would only protect </w:t>
      </w:r>
      <w:r w:rsidR="00952FEB">
        <w:t xml:space="preserve">larger appliances, known as </w:t>
      </w:r>
      <w:r>
        <w:t>“</w:t>
      </w:r>
      <w:r w:rsidR="0012001F">
        <w:t>white appli</w:t>
      </w:r>
      <w:r>
        <w:t>ances”</w:t>
      </w:r>
      <w:r w:rsidR="00952FEB">
        <w:t>,</w:t>
      </w:r>
      <w:r>
        <w:t xml:space="preserve"> but would not protect any other electronics.  </w:t>
      </w:r>
      <w:proofErr w:type="gramStart"/>
      <w:r>
        <w:t>(Tr. 28</w:t>
      </w:r>
      <w:r w:rsidR="006228C5">
        <w:t>, 36-38</w:t>
      </w:r>
      <w:r w:rsidR="001F2B65">
        <w:t>, 47</w:t>
      </w:r>
      <w:r w:rsidR="006228C5">
        <w:t>; Complainant Exhibit S</w:t>
      </w:r>
      <w:r>
        <w:t>).</w:t>
      </w:r>
      <w:proofErr w:type="gramEnd"/>
    </w:p>
    <w:p w:rsidR="00126B45" w:rsidRDefault="00126B45" w:rsidP="00126B45">
      <w:pPr>
        <w:tabs>
          <w:tab w:val="left" w:pos="2160"/>
        </w:tabs>
        <w:spacing w:line="360" w:lineRule="auto"/>
        <w:ind w:firstLine="1440"/>
      </w:pPr>
    </w:p>
    <w:p w:rsidR="00126B45" w:rsidRDefault="00126B45" w:rsidP="00126B45">
      <w:pPr>
        <w:pStyle w:val="BodyText"/>
        <w:jc w:val="left"/>
        <w:rPr>
          <w:sz w:val="24"/>
          <w:szCs w:val="24"/>
        </w:rPr>
      </w:pPr>
      <w:r w:rsidRPr="00B73D10">
        <w:rPr>
          <w:sz w:val="24"/>
          <w:szCs w:val="24"/>
        </w:rPr>
        <w:tab/>
      </w:r>
      <w:r w:rsidRPr="00B73D10">
        <w:rPr>
          <w:sz w:val="24"/>
          <w:szCs w:val="24"/>
        </w:rPr>
        <w:tab/>
      </w:r>
      <w:r>
        <w:rPr>
          <w:sz w:val="24"/>
          <w:szCs w:val="24"/>
        </w:rPr>
        <w:t>15</w:t>
      </w:r>
      <w:r w:rsidRPr="00B73D10">
        <w:rPr>
          <w:sz w:val="24"/>
          <w:szCs w:val="24"/>
        </w:rPr>
        <w:t>.</w:t>
      </w:r>
      <w:r w:rsidRPr="00B73D10">
        <w:rPr>
          <w:sz w:val="24"/>
          <w:szCs w:val="24"/>
        </w:rPr>
        <w:tab/>
      </w:r>
      <w:r w:rsidR="009D0A13">
        <w:rPr>
          <w:sz w:val="24"/>
          <w:szCs w:val="24"/>
        </w:rPr>
        <w:t xml:space="preserve"> Complainant has installed or taken as many precautions with his electronic equipment as he can.  There is no product, surge protector, surge suppressor or surge resister available currently which will protect a consumer’s electronic equipment from the </w:t>
      </w:r>
      <w:r w:rsidR="009D0A13">
        <w:rPr>
          <w:sz w:val="24"/>
          <w:szCs w:val="24"/>
        </w:rPr>
        <w:lastRenderedPageBreak/>
        <w:t xml:space="preserve">instantaneous rise in voltage experienced when a 25 </w:t>
      </w:r>
      <w:proofErr w:type="spellStart"/>
      <w:proofErr w:type="gramStart"/>
      <w:r w:rsidR="009D0A13">
        <w:rPr>
          <w:sz w:val="24"/>
          <w:szCs w:val="24"/>
        </w:rPr>
        <w:t>kv</w:t>
      </w:r>
      <w:proofErr w:type="spellEnd"/>
      <w:proofErr w:type="gramEnd"/>
      <w:r w:rsidR="009D0A13">
        <w:rPr>
          <w:sz w:val="24"/>
          <w:szCs w:val="24"/>
        </w:rPr>
        <w:t xml:space="preserve"> wire comes into contact with a 12 </w:t>
      </w:r>
      <w:proofErr w:type="spellStart"/>
      <w:r w:rsidR="009D0A13">
        <w:rPr>
          <w:sz w:val="24"/>
          <w:szCs w:val="24"/>
        </w:rPr>
        <w:t>kv</w:t>
      </w:r>
      <w:proofErr w:type="spellEnd"/>
      <w:r w:rsidR="009D0A13">
        <w:rPr>
          <w:sz w:val="24"/>
          <w:szCs w:val="24"/>
        </w:rPr>
        <w:t xml:space="preserve"> wire.  (Tr. 67-70).</w:t>
      </w:r>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16.</w:t>
      </w:r>
      <w:r>
        <w:tab/>
      </w:r>
      <w:r w:rsidR="009D0A13">
        <w:t xml:space="preserve">The surge suppressor Complainant had installed on his electric panel plus the surge strips he uses with his electronic equipment will protect his equipment from a lightning strike to his home.  Lightning causes a massive increase in voltage but for a short period of time.  Massive surges caused when a 25 </w:t>
      </w:r>
      <w:proofErr w:type="spellStart"/>
      <w:proofErr w:type="gramStart"/>
      <w:r w:rsidR="009D0A13">
        <w:t>kv</w:t>
      </w:r>
      <w:proofErr w:type="spellEnd"/>
      <w:proofErr w:type="gramEnd"/>
      <w:r w:rsidR="009D0A13">
        <w:t xml:space="preserve"> wire contacts a 12 </w:t>
      </w:r>
      <w:proofErr w:type="spellStart"/>
      <w:r w:rsidR="009D0A13">
        <w:t>kv</w:t>
      </w:r>
      <w:proofErr w:type="spellEnd"/>
      <w:r w:rsidR="009D0A13">
        <w:t xml:space="preserve"> wire doubles the voltage in the line over a longer period of time.  (Tr. 67-70).</w:t>
      </w:r>
    </w:p>
    <w:p w:rsidR="00126B45" w:rsidRDefault="00126B45" w:rsidP="00126B45">
      <w:pPr>
        <w:tabs>
          <w:tab w:val="left" w:pos="2160"/>
        </w:tabs>
        <w:spacing w:line="360" w:lineRule="auto"/>
        <w:ind w:firstLine="1440"/>
      </w:pPr>
    </w:p>
    <w:p w:rsidR="00126B45" w:rsidRPr="00FB448C" w:rsidRDefault="00126B45" w:rsidP="00126B45">
      <w:pPr>
        <w:spacing w:line="360" w:lineRule="auto"/>
        <w:jc w:val="center"/>
      </w:pPr>
      <w:r w:rsidRPr="00FB448C">
        <w:rPr>
          <w:u w:val="single"/>
        </w:rPr>
        <w:t>DISCUSSION</w:t>
      </w:r>
    </w:p>
    <w:p w:rsidR="00126B45" w:rsidRDefault="00126B45" w:rsidP="00126B45">
      <w:pPr>
        <w:spacing w:line="360" w:lineRule="auto"/>
      </w:pPr>
    </w:p>
    <w:p w:rsidR="004A0254" w:rsidRDefault="004A0254" w:rsidP="00126B45">
      <w:pPr>
        <w:spacing w:line="360" w:lineRule="auto"/>
      </w:pPr>
      <w:r>
        <w:tab/>
      </w:r>
      <w:r>
        <w:tab/>
        <w:t xml:space="preserve">Complainant alleges a reliability, safety or quality problem with his electric service provided by West Penn because there have been numerous power surges resulting in extensive damage to his residence.  </w:t>
      </w:r>
      <w:r w:rsidR="006C773F">
        <w:t xml:space="preserve">Complainant asserts Respondent should be responsible for the failure of its own equipment.  </w:t>
      </w:r>
      <w:r>
        <w:t>Complainant requested payment for damages</w:t>
      </w:r>
      <w:r w:rsidR="002432E9">
        <w:rPr>
          <w:rStyle w:val="FootnoteReference"/>
        </w:rPr>
        <w:footnoteReference w:id="1"/>
      </w:r>
      <w:r>
        <w:t xml:space="preserve"> and requested the Commission order West Penn to provide advice on how to prevent damage from future power surges.   </w:t>
      </w:r>
    </w:p>
    <w:p w:rsidR="006C773F" w:rsidRPr="00B524A4" w:rsidRDefault="006C773F" w:rsidP="006C773F">
      <w:pPr>
        <w:pStyle w:val="BodyText"/>
        <w:jc w:val="left"/>
        <w:rPr>
          <w:sz w:val="24"/>
          <w:szCs w:val="24"/>
        </w:rPr>
      </w:pPr>
    </w:p>
    <w:p w:rsidR="006C773F" w:rsidRPr="008B455C" w:rsidRDefault="006C773F" w:rsidP="006C773F">
      <w:pPr>
        <w:spacing w:line="360" w:lineRule="auto"/>
      </w:pPr>
      <w:r w:rsidRPr="008B455C">
        <w:tab/>
      </w:r>
      <w:r w:rsidRPr="008B455C">
        <w:tab/>
      </w:r>
      <w:r w:rsidRPr="00B73D10">
        <w:t xml:space="preserve">Respondent </w:t>
      </w:r>
      <w:r>
        <w:t xml:space="preserve">contends it has provided reasonable and adequate service in how it maintained its facilities.  </w:t>
      </w:r>
      <w:r w:rsidRPr="008B455C">
        <w:t>Respondent</w:t>
      </w:r>
      <w:r>
        <w:t xml:space="preserve"> argues its equipment was not defective and it was not negligent in how it maintained its equipment or in how it maintained the right-of-way around its facilities.    </w:t>
      </w:r>
    </w:p>
    <w:p w:rsidR="006C773F" w:rsidRDefault="006C773F" w:rsidP="006C773F">
      <w:pPr>
        <w:pStyle w:val="BodyText"/>
        <w:jc w:val="left"/>
        <w:rPr>
          <w:sz w:val="24"/>
          <w:szCs w:val="24"/>
        </w:rPr>
      </w:pPr>
    </w:p>
    <w:p w:rsidR="00126B45" w:rsidRPr="00A41132" w:rsidRDefault="00126B45" w:rsidP="00126B45">
      <w:pPr>
        <w:spacing w:line="360" w:lineRule="auto"/>
        <w:rPr>
          <w:u w:val="single"/>
        </w:rPr>
      </w:pPr>
      <w:r w:rsidRPr="00A41132">
        <w:rPr>
          <w:u w:val="single"/>
        </w:rPr>
        <w:t>Burden of Proof</w:t>
      </w:r>
    </w:p>
    <w:p w:rsidR="00126B45" w:rsidRPr="00A41132" w:rsidRDefault="00126B45" w:rsidP="00126B45">
      <w:pPr>
        <w:spacing w:line="360" w:lineRule="auto"/>
      </w:pPr>
    </w:p>
    <w:p w:rsidR="004A0254" w:rsidRDefault="00126B45" w:rsidP="004A0254">
      <w:pPr>
        <w:spacing w:line="360" w:lineRule="auto"/>
        <w:ind w:firstLine="1440"/>
      </w:pPr>
      <w:r w:rsidRPr="00A41132">
        <w:t>As the party seeking affirmative relief from the Commission, Complainant bears the burden of provin</w:t>
      </w:r>
      <w:r>
        <w:t xml:space="preserve">g by substantial evidence </w:t>
      </w:r>
      <w:r w:rsidRPr="00A41132">
        <w:t xml:space="preserve">he is entitled to the requested relief.  </w:t>
      </w:r>
      <w:proofErr w:type="gramStart"/>
      <w:r w:rsidRPr="00A41132">
        <w:t xml:space="preserve">66 </w:t>
      </w:r>
      <w:proofErr w:type="spellStart"/>
      <w:r w:rsidRPr="00A41132">
        <w:t>Pa.C.S.</w:t>
      </w:r>
      <w:r>
        <w:t>A</w:t>
      </w:r>
      <w:proofErr w:type="spellEnd"/>
      <w:r>
        <w:t>.</w:t>
      </w:r>
      <w:proofErr w:type="gramEnd"/>
      <w:r w:rsidRPr="00A41132">
        <w:t xml:space="preserve"> § 332(a).  To satisfy this burden, Complainant must show </w:t>
      </w:r>
      <w:r>
        <w:t>Respondent utility</w:t>
      </w:r>
      <w:r w:rsidRPr="00A41132">
        <w:t xml:space="preserve"> is responsible or </w:t>
      </w:r>
      <w:r w:rsidRPr="00A41132">
        <w:lastRenderedPageBreak/>
        <w:t>accountable for the problem described.</w:t>
      </w:r>
      <w:r>
        <w:rPr>
          <w:rStyle w:val="FootnoteReference"/>
        </w:rPr>
        <w:footnoteReference w:id="2"/>
      </w:r>
      <w:r w:rsidRPr="00A41132">
        <w:t xml:space="preserve">  </w:t>
      </w:r>
      <w:r>
        <w:t xml:space="preserve">Complainant must show this fact to be true </w:t>
      </w:r>
      <w:r w:rsidRPr="00A41132">
        <w:t xml:space="preserve">by a preponderance of the evidence, that is, by presenting evidence more convincing, by even the smallest amount, than that </w:t>
      </w:r>
      <w:r>
        <w:t xml:space="preserve">evidence </w:t>
      </w:r>
      <w:r w:rsidRPr="00A41132">
        <w:t>presented by the other party.</w:t>
      </w:r>
      <w:r>
        <w:rPr>
          <w:rStyle w:val="FootnoteReference"/>
        </w:rPr>
        <w:footnoteReference w:id="3"/>
      </w:r>
      <w:r w:rsidRPr="00A41132">
        <w:t xml:space="preserve">  Additionally, any finding of fact necessary to support the Commission’s adjudication must be based upon substantial evidence.</w:t>
      </w:r>
      <w:r>
        <w:rPr>
          <w:rStyle w:val="FootnoteReference"/>
        </w:rPr>
        <w:footnoteReference w:id="4"/>
      </w:r>
      <w:r w:rsidRPr="00A41132">
        <w:t xml:space="preserve">  </w:t>
      </w:r>
      <w:r>
        <w:t xml:space="preserve">Furthermore, more evidence </w:t>
      </w:r>
      <w:r w:rsidRPr="00A41132">
        <w:t>is required than a mere trace of evidence or a suspicion of the existence of a fact sought to be established.</w:t>
      </w:r>
      <w:r>
        <w:rPr>
          <w:rStyle w:val="FootnoteReference"/>
        </w:rPr>
        <w:footnoteReference w:id="5"/>
      </w:r>
      <w:r w:rsidRPr="00A41132">
        <w:t xml:space="preserve">  </w:t>
      </w:r>
      <w:r w:rsidR="004A0254" w:rsidRPr="004E7308">
        <w:t>As the party seeking affirmative relief from the Commission, Complainant bears the burden of proof</w:t>
      </w:r>
      <w:r w:rsidR="004A0254">
        <w:t xml:space="preserve"> by substantial evidence</w:t>
      </w:r>
      <w:r w:rsidR="004A0254" w:rsidRPr="004E7308">
        <w:t xml:space="preserve">.  </w:t>
      </w:r>
      <w:proofErr w:type="gramStart"/>
      <w:r w:rsidR="004A0254" w:rsidRPr="004E7308">
        <w:t xml:space="preserve">66 </w:t>
      </w:r>
      <w:proofErr w:type="spellStart"/>
      <w:r w:rsidR="004A0254" w:rsidRPr="004E7308">
        <w:t>Pa.C.S.</w:t>
      </w:r>
      <w:r w:rsidR="004A0254">
        <w:t>A</w:t>
      </w:r>
      <w:proofErr w:type="spellEnd"/>
      <w:r w:rsidR="004A0254">
        <w:t>.</w:t>
      </w:r>
      <w:proofErr w:type="gramEnd"/>
      <w:r w:rsidR="004A0254" w:rsidRPr="004E7308">
        <w:t xml:space="preserve"> §</w:t>
      </w:r>
      <w:r w:rsidR="0028164C">
        <w:t> </w:t>
      </w:r>
      <w:r w:rsidR="004A0254" w:rsidRPr="004E7308">
        <w:t>332(a).</w:t>
      </w:r>
      <w:r w:rsidR="004A0254">
        <w:t xml:space="preserve">  </w:t>
      </w:r>
    </w:p>
    <w:p w:rsidR="004A0254" w:rsidRDefault="004A0254" w:rsidP="007E48E1">
      <w:pPr>
        <w:pStyle w:val="BodyText"/>
        <w:jc w:val="left"/>
        <w:rPr>
          <w:sz w:val="24"/>
          <w:szCs w:val="24"/>
        </w:rPr>
      </w:pPr>
    </w:p>
    <w:p w:rsidR="00B32996" w:rsidRPr="004A0254" w:rsidRDefault="004A0254" w:rsidP="007E48E1">
      <w:pPr>
        <w:pStyle w:val="BodyText"/>
        <w:jc w:val="left"/>
        <w:rPr>
          <w:sz w:val="24"/>
          <w:szCs w:val="24"/>
          <w:u w:val="single"/>
        </w:rPr>
      </w:pPr>
      <w:r w:rsidRPr="004A0254">
        <w:rPr>
          <w:sz w:val="24"/>
          <w:szCs w:val="24"/>
          <w:u w:val="single"/>
        </w:rPr>
        <w:t>Responsibility of Public Utility Companies</w:t>
      </w:r>
    </w:p>
    <w:p w:rsidR="004A0254" w:rsidRPr="008B455C" w:rsidRDefault="004A0254" w:rsidP="007E48E1">
      <w:pPr>
        <w:pStyle w:val="BodyText"/>
        <w:jc w:val="left"/>
        <w:rPr>
          <w:sz w:val="24"/>
          <w:szCs w:val="24"/>
        </w:rPr>
      </w:pPr>
    </w:p>
    <w:p w:rsidR="007E48E1" w:rsidRDefault="007E48E1" w:rsidP="007E48E1">
      <w:pPr>
        <w:pStyle w:val="BodyText"/>
        <w:ind w:firstLine="144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w:t>
      </w:r>
      <w:proofErr w:type="spellStart"/>
      <w:r>
        <w:rPr>
          <w:sz w:val="24"/>
          <w:szCs w:val="24"/>
        </w:rPr>
        <w:t>Pa.C.S.A</w:t>
      </w:r>
      <w:proofErr w:type="spellEnd"/>
      <w:r>
        <w:rPr>
          <w:sz w:val="24"/>
          <w:szCs w:val="24"/>
        </w:rPr>
        <w:t>. §</w:t>
      </w:r>
      <w:r w:rsidR="0093152B">
        <w:rPr>
          <w:sz w:val="24"/>
          <w:szCs w:val="24"/>
        </w:rPr>
        <w:t xml:space="preserve"> </w:t>
      </w:r>
      <w:r>
        <w:rPr>
          <w:sz w:val="24"/>
          <w:szCs w:val="24"/>
        </w:rPr>
        <w:t>1501.</w:t>
      </w:r>
    </w:p>
    <w:p w:rsidR="007E48E1" w:rsidRDefault="007E48E1" w:rsidP="007E48E1">
      <w:pPr>
        <w:pStyle w:val="BodyText"/>
        <w:ind w:firstLine="1440"/>
        <w:jc w:val="left"/>
        <w:rPr>
          <w:sz w:val="24"/>
          <w:szCs w:val="24"/>
        </w:rPr>
      </w:pPr>
    </w:p>
    <w:p w:rsidR="00E9204D" w:rsidRDefault="007E48E1" w:rsidP="00E9204D">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  </w:t>
      </w:r>
      <w:proofErr w:type="gramStart"/>
      <w:r w:rsidRPr="00BF51E4">
        <w:rPr>
          <w:sz w:val="24"/>
          <w:szCs w:val="24"/>
        </w:rPr>
        <w:t xml:space="preserve">66 </w:t>
      </w:r>
      <w:proofErr w:type="spellStart"/>
      <w:r w:rsidRPr="00BF51E4">
        <w:rPr>
          <w:sz w:val="24"/>
          <w:szCs w:val="24"/>
        </w:rPr>
        <w:t>Pa.C.S.</w:t>
      </w:r>
      <w:r>
        <w:rPr>
          <w:sz w:val="24"/>
          <w:szCs w:val="24"/>
        </w:rPr>
        <w:t>A</w:t>
      </w:r>
      <w:proofErr w:type="spellEnd"/>
      <w:r>
        <w:rPr>
          <w:sz w:val="24"/>
          <w:szCs w:val="24"/>
        </w:rPr>
        <w:t>.</w:t>
      </w:r>
      <w:proofErr w:type="gramEnd"/>
      <w:r w:rsidRPr="00BF51E4">
        <w:rPr>
          <w:sz w:val="24"/>
          <w:szCs w:val="24"/>
        </w:rPr>
        <w:t xml:space="preserve"> §</w:t>
      </w:r>
      <w:r w:rsidR="0093152B">
        <w:rPr>
          <w:sz w:val="24"/>
          <w:szCs w:val="24"/>
        </w:rPr>
        <w:t xml:space="preserve"> </w:t>
      </w:r>
      <w:r w:rsidRPr="00BF51E4">
        <w:rPr>
          <w:sz w:val="24"/>
          <w:szCs w:val="24"/>
        </w:rPr>
        <w:t>1501</w:t>
      </w:r>
      <w:r>
        <w:rPr>
          <w:sz w:val="24"/>
          <w:szCs w:val="24"/>
        </w:rPr>
        <w:t xml:space="preserve"> and §</w:t>
      </w:r>
      <w:r w:rsidR="0093152B">
        <w:rPr>
          <w:sz w:val="24"/>
          <w:szCs w:val="24"/>
        </w:rPr>
        <w:t xml:space="preserve"> </w:t>
      </w:r>
      <w:r w:rsidRPr="00BF51E4">
        <w:rPr>
          <w:sz w:val="24"/>
          <w:szCs w:val="24"/>
        </w:rPr>
        <w:t xml:space="preserve">1502.  The Commission approves the cost of providing a utility </w:t>
      </w:r>
      <w:r w:rsidRPr="00BF51E4">
        <w:rPr>
          <w:sz w:val="24"/>
          <w:szCs w:val="24"/>
        </w:rPr>
        <w:lastRenderedPageBreak/>
        <w:t xml:space="preserve">system that is designed to provide reasonable service at reasonable rates </w:t>
      </w:r>
      <w:r w:rsidR="0093152B">
        <w:rPr>
          <w:sz w:val="24"/>
          <w:szCs w:val="24"/>
        </w:rPr>
        <w:t>–</w:t>
      </w:r>
      <w:r w:rsidRPr="00BF51E4">
        <w:rPr>
          <w:sz w:val="24"/>
          <w:szCs w:val="24"/>
        </w:rPr>
        <w:t xml:space="preserve"> not perfect service without regard to cost.  Since reasonable service may result in occasional loss of service or property damage, the Commission </w:t>
      </w:r>
      <w:r>
        <w:rPr>
          <w:sz w:val="24"/>
          <w:szCs w:val="24"/>
        </w:rPr>
        <w:t xml:space="preserve">is permitted </w:t>
      </w:r>
      <w:r w:rsidRPr="00BF51E4">
        <w:rPr>
          <w:sz w:val="24"/>
          <w:szCs w:val="24"/>
        </w:rPr>
        <w:t>to limit liability.</w:t>
      </w:r>
      <w:r w:rsidR="00A6043D">
        <w:rPr>
          <w:rStyle w:val="FootnoteReference"/>
          <w:sz w:val="24"/>
          <w:szCs w:val="24"/>
        </w:rPr>
        <w:footnoteReference w:id="6"/>
      </w:r>
      <w:r w:rsidRPr="00BF51E4">
        <w:rPr>
          <w:sz w:val="24"/>
          <w:szCs w:val="24"/>
        </w:rPr>
        <w:t xml:space="preserve">  </w:t>
      </w:r>
      <w:r>
        <w:rPr>
          <w:sz w:val="24"/>
          <w:szCs w:val="24"/>
        </w:rPr>
        <w:t xml:space="preserve">  </w:t>
      </w:r>
    </w:p>
    <w:p w:rsidR="004A0254" w:rsidRDefault="004A0254" w:rsidP="004A0254">
      <w:pPr>
        <w:pStyle w:val="BodyText"/>
        <w:jc w:val="left"/>
        <w:rPr>
          <w:sz w:val="24"/>
          <w:szCs w:val="24"/>
        </w:rPr>
      </w:pPr>
    </w:p>
    <w:p w:rsidR="004A0254" w:rsidRPr="004A0254" w:rsidRDefault="004A0254" w:rsidP="004A0254">
      <w:pPr>
        <w:pStyle w:val="BodyText"/>
        <w:jc w:val="left"/>
        <w:rPr>
          <w:sz w:val="24"/>
          <w:szCs w:val="24"/>
          <w:u w:val="single"/>
        </w:rPr>
      </w:pPr>
      <w:r w:rsidRPr="004A0254">
        <w:rPr>
          <w:sz w:val="24"/>
          <w:szCs w:val="24"/>
          <w:u w:val="single"/>
        </w:rPr>
        <w:t>Analysis</w:t>
      </w:r>
    </w:p>
    <w:p w:rsidR="004A0254" w:rsidRDefault="004A0254" w:rsidP="004A0254">
      <w:pPr>
        <w:pStyle w:val="BodyText"/>
        <w:jc w:val="left"/>
        <w:rPr>
          <w:sz w:val="24"/>
          <w:szCs w:val="24"/>
        </w:rPr>
      </w:pPr>
    </w:p>
    <w:p w:rsidR="006C773F" w:rsidRDefault="007E48E1" w:rsidP="006C773F">
      <w:pPr>
        <w:pStyle w:val="BodyText"/>
        <w:ind w:firstLine="1440"/>
        <w:jc w:val="left"/>
        <w:rPr>
          <w:sz w:val="24"/>
          <w:szCs w:val="24"/>
        </w:rPr>
      </w:pPr>
      <w:r>
        <w:rPr>
          <w:sz w:val="24"/>
          <w:szCs w:val="24"/>
        </w:rPr>
        <w:t xml:space="preserve">The testimony presented sufficiently proved </w:t>
      </w:r>
      <w:r w:rsidR="006C773F">
        <w:rPr>
          <w:sz w:val="24"/>
          <w:szCs w:val="24"/>
        </w:rPr>
        <w:t xml:space="preserve">Complainant experienced two costly power surges in two separate years.  The testimony also sufficiently proved the power surges were caused by forces beyond the control of the electric utility company.  Complainant has not provided more evidence than Respondent did to prove that the power surge was the direct result of a failure by Respondent to provide reasonable and adequate service.  The existence of damaged appliances and electronic equipment is not enough evidence to prove Respondent’s equipment was faulty and caused the damage, or that Respondent’s service was unreasonable or inadequate.  </w:t>
      </w:r>
      <w:r w:rsidR="006C773F" w:rsidRPr="00BF51E4">
        <w:rPr>
          <w:sz w:val="24"/>
          <w:szCs w:val="24"/>
        </w:rPr>
        <w:t xml:space="preserve">Therefore, Complainant has not met </w:t>
      </w:r>
      <w:r w:rsidR="006C773F">
        <w:rPr>
          <w:sz w:val="24"/>
          <w:szCs w:val="24"/>
        </w:rPr>
        <w:t>his</w:t>
      </w:r>
      <w:r w:rsidR="006C773F" w:rsidRPr="00BF51E4">
        <w:rPr>
          <w:sz w:val="24"/>
          <w:szCs w:val="24"/>
        </w:rPr>
        <w:t xml:space="preserve"> burden of proving Respondent violated the Commission’s regulations by failing to provide reasonable and adequate customer service when the power surge</w:t>
      </w:r>
      <w:r w:rsidR="006C773F">
        <w:rPr>
          <w:sz w:val="24"/>
          <w:szCs w:val="24"/>
        </w:rPr>
        <w:t>s</w:t>
      </w:r>
      <w:r w:rsidR="006C773F" w:rsidRPr="00BF51E4">
        <w:rPr>
          <w:sz w:val="24"/>
          <w:szCs w:val="24"/>
        </w:rPr>
        <w:t xml:space="preserve"> occurred.  </w:t>
      </w:r>
    </w:p>
    <w:p w:rsidR="006C773F" w:rsidRDefault="006C773F" w:rsidP="00DC090B">
      <w:pPr>
        <w:pStyle w:val="BodyText"/>
        <w:jc w:val="center"/>
        <w:rPr>
          <w:u w:val="single"/>
        </w:rPr>
      </w:pPr>
    </w:p>
    <w:p w:rsidR="00D63F09" w:rsidRPr="00D63F09" w:rsidRDefault="00E906EF" w:rsidP="00D63F09">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63F09" w:rsidRPr="00D63F09">
        <w:rPr>
          <w:rFonts w:ascii="Times New Roman" w:hAnsi="Times New Roman" w:cs="Times New Roman"/>
          <w:sz w:val="24"/>
          <w:szCs w:val="24"/>
        </w:rPr>
        <w:t xml:space="preserve">In addition, Complainant’s requests for the Commission to order West Penn (1) to install whole house surge protectors and ground rods, and (2) to provide advice on how to prevent future damage from power surges, are denied.  West Penn’s witness credibly testified that Complainant has installed all of the technology currently available to prevent or limit damage from future surges.  In fact, West Penn’s witness indicated the surge arrestor which Complainant requested West Penn install in November 2013 would not provide any additional protection and would be a duplication of the protection provided by the surge protectors currently in place at the service address.  West Penn had not installed that arrestor as of the date of the hearing but if installed it would provide Complainant with no greater level of surge protection than the whole house surge protection Complainant installed previously.  Complainant’s request for advice from West Penn is denied because West Penn already provided Complainant with advice.  Unfortunately, electricity is a dangerous product and West Penn </w:t>
      </w:r>
      <w:r w:rsidR="00D63F09" w:rsidRPr="00D63F09">
        <w:rPr>
          <w:rFonts w:ascii="Times New Roman" w:hAnsi="Times New Roman" w:cs="Times New Roman"/>
          <w:sz w:val="24"/>
          <w:szCs w:val="24"/>
        </w:rPr>
        <w:lastRenderedPageBreak/>
        <w:t xml:space="preserve">cannot provide a guaranteed protection system from all future power surges.  To succeed in his complaint, Complainant had to show West Penn failed to provide reasonable customer service in how it built and maintained its facilities, and that the failure to do so resulted in Complainant suffering damage to his property.  In this proceeding, Complainant did not show </w:t>
      </w:r>
      <w:r w:rsidR="00836D5A">
        <w:rPr>
          <w:rFonts w:ascii="Times New Roman" w:hAnsi="Times New Roman" w:cs="Times New Roman"/>
          <w:sz w:val="24"/>
          <w:szCs w:val="24"/>
        </w:rPr>
        <w:t>Respondent failed</w:t>
      </w:r>
      <w:r w:rsidR="00D63F09" w:rsidRPr="00D63F09">
        <w:rPr>
          <w:rFonts w:ascii="Times New Roman" w:hAnsi="Times New Roman" w:cs="Times New Roman"/>
          <w:sz w:val="24"/>
          <w:szCs w:val="24"/>
        </w:rPr>
        <w:t xml:space="preserve"> to provide reasonable customer service.  Therefore his complaint will be denied, and dismissed in the ordering paragraphs below.</w:t>
      </w:r>
    </w:p>
    <w:p w:rsidR="00D63F09" w:rsidRDefault="00D63F09" w:rsidP="00DC090B">
      <w:pPr>
        <w:pStyle w:val="BodyText"/>
        <w:jc w:val="center"/>
        <w:rPr>
          <w:u w:val="single"/>
        </w:rPr>
      </w:pPr>
    </w:p>
    <w:p w:rsidR="007E48E1" w:rsidRPr="008B455C" w:rsidRDefault="007E48E1" w:rsidP="00DC090B">
      <w:pPr>
        <w:pStyle w:val="BodyText"/>
        <w:jc w:val="center"/>
        <w:rPr>
          <w:u w:val="single"/>
        </w:rPr>
      </w:pPr>
      <w:r w:rsidRPr="008B455C">
        <w:rPr>
          <w:u w:val="single"/>
        </w:rPr>
        <w:t>CONCLUSIONS OF LAW</w:t>
      </w:r>
    </w:p>
    <w:p w:rsidR="007E48E1" w:rsidRPr="008B455C" w:rsidRDefault="007E48E1" w:rsidP="007E48E1">
      <w:pPr>
        <w:spacing w:line="360" w:lineRule="auto"/>
        <w:ind w:firstLine="1440"/>
      </w:pPr>
    </w:p>
    <w:p w:rsidR="007E48E1" w:rsidRPr="008B455C"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w:t>
      </w:r>
      <w:proofErr w:type="gramStart"/>
      <w:r w:rsidRPr="008B455C">
        <w:t xml:space="preserve">66 </w:t>
      </w:r>
      <w:proofErr w:type="spellStart"/>
      <w:r w:rsidRPr="008B455C">
        <w:t>Pa.C.S</w:t>
      </w:r>
      <w:proofErr w:type="spellEnd"/>
      <w:r w:rsidRPr="008B455C">
        <w:t>.</w:t>
      </w:r>
      <w:proofErr w:type="gramEnd"/>
      <w:r w:rsidRPr="008B455C">
        <w:t xml:space="preserve"> §</w:t>
      </w:r>
      <w:r w:rsidR="00E561DC">
        <w:t xml:space="preserve"> </w:t>
      </w:r>
      <w:r w:rsidRPr="008B455C">
        <w:t>701.</w:t>
      </w:r>
    </w:p>
    <w:p w:rsidR="007E48E1" w:rsidRPr="008B455C" w:rsidRDefault="007E48E1" w:rsidP="007E48E1">
      <w:pPr>
        <w:tabs>
          <w:tab w:val="num" w:pos="2160"/>
        </w:tabs>
        <w:spacing w:line="360" w:lineRule="auto"/>
        <w:ind w:firstLine="1260"/>
      </w:pPr>
    </w:p>
    <w:p w:rsidR="007E48E1" w:rsidRPr="008B455C" w:rsidRDefault="007E48E1" w:rsidP="007E48E1">
      <w:pPr>
        <w:spacing w:line="360" w:lineRule="auto"/>
      </w:pPr>
      <w:r w:rsidRPr="008B455C">
        <w:tab/>
      </w:r>
      <w:r w:rsidRPr="008B455C">
        <w:tab/>
        <w:t>2.</w:t>
      </w:r>
      <w:r w:rsidRPr="008B455C">
        <w:tab/>
      </w:r>
      <w:r>
        <w:t>Complainant</w:t>
      </w:r>
      <w:r w:rsidRPr="008B455C">
        <w:t xml:space="preserve"> carr</w:t>
      </w:r>
      <w:r>
        <w:t>ies</w:t>
      </w:r>
      <w:r w:rsidRPr="008B455C">
        <w:t xml:space="preserve"> the burden of proving Respondent</w:t>
      </w:r>
      <w:r>
        <w:t xml:space="preserve"> did not provide reasonable and adequate service</w:t>
      </w:r>
      <w:r w:rsidRPr="008B455C">
        <w:t xml:space="preserve">.  </w:t>
      </w:r>
      <w:proofErr w:type="gramStart"/>
      <w:r w:rsidRPr="008B455C">
        <w:t xml:space="preserve">66 </w:t>
      </w:r>
      <w:proofErr w:type="spellStart"/>
      <w:r w:rsidRPr="008B455C">
        <w:t>Pa.C.S.A</w:t>
      </w:r>
      <w:proofErr w:type="spellEnd"/>
      <w:r w:rsidRPr="008B455C">
        <w:t>.</w:t>
      </w:r>
      <w:proofErr w:type="gramEnd"/>
      <w:r w:rsidRPr="008B455C">
        <w:t xml:space="preserve"> §</w:t>
      </w:r>
      <w:r w:rsidR="00E561DC">
        <w:t xml:space="preserve"> </w:t>
      </w:r>
      <w:r w:rsidRPr="008B455C">
        <w:t>332(a).</w:t>
      </w:r>
    </w:p>
    <w:p w:rsidR="007E48E1" w:rsidRPr="008B455C" w:rsidRDefault="007E48E1" w:rsidP="007E48E1">
      <w:pPr>
        <w:spacing w:line="360" w:lineRule="auto"/>
      </w:pPr>
    </w:p>
    <w:p w:rsidR="007E48E1" w:rsidRDefault="007E48E1" w:rsidP="007E48E1">
      <w:pPr>
        <w:pStyle w:val="FootnoteText"/>
        <w:spacing w:line="360" w:lineRule="auto"/>
        <w:rPr>
          <w:sz w:val="24"/>
          <w:szCs w:val="24"/>
        </w:rPr>
      </w:pPr>
      <w:r w:rsidRPr="008B455C">
        <w:rPr>
          <w:sz w:val="24"/>
          <w:szCs w:val="24"/>
        </w:rPr>
        <w:tab/>
      </w:r>
      <w:r w:rsidRPr="008B455C">
        <w:rPr>
          <w:sz w:val="24"/>
          <w:szCs w:val="24"/>
        </w:rPr>
        <w:tab/>
        <w:t>3.</w:t>
      </w:r>
      <w:r w:rsidRPr="008B455C">
        <w:rPr>
          <w:sz w:val="24"/>
          <w:szCs w:val="24"/>
        </w:rPr>
        <w:tab/>
      </w:r>
      <w:r>
        <w:rPr>
          <w:sz w:val="24"/>
          <w:szCs w:val="24"/>
        </w:rPr>
        <w:t>Respondent provided Complainant with reasonable and adequate customer service in its provision of electrical services</w:t>
      </w:r>
      <w:r w:rsidRPr="008B455C">
        <w:rPr>
          <w:sz w:val="24"/>
          <w:szCs w:val="24"/>
        </w:rPr>
        <w:t xml:space="preserve">.  </w:t>
      </w:r>
    </w:p>
    <w:p w:rsidR="0066793C" w:rsidRPr="008B455C" w:rsidRDefault="0066793C" w:rsidP="007E48E1">
      <w:pPr>
        <w:pStyle w:val="FootnoteText"/>
        <w:spacing w:line="360" w:lineRule="auto"/>
        <w:rPr>
          <w:sz w:val="24"/>
          <w:szCs w:val="24"/>
        </w:rPr>
      </w:pPr>
    </w:p>
    <w:p w:rsidR="007E48E1" w:rsidRDefault="007E48E1" w:rsidP="007E48E1">
      <w:pPr>
        <w:spacing w:line="360" w:lineRule="auto"/>
      </w:pPr>
      <w:r w:rsidRPr="008B455C">
        <w:tab/>
      </w:r>
      <w:r w:rsidRPr="008B455C">
        <w:tab/>
        <w:t>4.</w:t>
      </w:r>
      <w:r w:rsidRPr="008B455C">
        <w:tab/>
      </w:r>
      <w:r>
        <w:t>Complainant</w:t>
      </w:r>
      <w:r w:rsidRPr="008B455C">
        <w:t xml:space="preserve"> </w:t>
      </w:r>
      <w:r>
        <w:t>failed to meet</w:t>
      </w:r>
      <w:r w:rsidRPr="008B455C">
        <w:t xml:space="preserve"> the burden of proving Respondent</w:t>
      </w:r>
      <w:r>
        <w:t xml:space="preserve"> did not provide reasonable and adequate service.  </w:t>
      </w:r>
      <w:r w:rsidRPr="008B455C">
        <w:t xml:space="preserve">  </w:t>
      </w:r>
    </w:p>
    <w:p w:rsidR="007E48E1" w:rsidRDefault="007E48E1" w:rsidP="007E48E1">
      <w:pPr>
        <w:spacing w:line="360" w:lineRule="auto"/>
      </w:pPr>
    </w:p>
    <w:p w:rsidR="007E48E1" w:rsidRPr="008B455C" w:rsidRDefault="007E48E1" w:rsidP="007E48E1">
      <w:pPr>
        <w:spacing w:line="360" w:lineRule="auto"/>
      </w:pPr>
      <w:r>
        <w:tab/>
      </w:r>
      <w:r>
        <w:tab/>
        <w:t>5.</w:t>
      </w:r>
      <w:r>
        <w:tab/>
        <w:t xml:space="preserve">The Commission is without jurisdiction to consider negligence issues.  </w:t>
      </w:r>
      <w:proofErr w:type="spellStart"/>
      <w:proofErr w:type="gramStart"/>
      <w:r>
        <w:rPr>
          <w:u w:val="single"/>
        </w:rPr>
        <w:t>Poorbaugh</w:t>
      </w:r>
      <w:proofErr w:type="spellEnd"/>
      <w:r>
        <w:rPr>
          <w:u w:val="single"/>
        </w:rPr>
        <w:t xml:space="preserve"> v. P</w:t>
      </w:r>
      <w:r w:rsidR="005944A4">
        <w:rPr>
          <w:u w:val="single"/>
        </w:rPr>
        <w:t>a. Pub.</w:t>
      </w:r>
      <w:proofErr w:type="gramEnd"/>
      <w:r w:rsidR="005944A4">
        <w:rPr>
          <w:u w:val="single"/>
        </w:rPr>
        <w:t xml:space="preserve"> Util. </w:t>
      </w:r>
      <w:proofErr w:type="spellStart"/>
      <w:r w:rsidR="005944A4">
        <w:rPr>
          <w:u w:val="single"/>
        </w:rPr>
        <w:t>Comm’n</w:t>
      </w:r>
      <w:proofErr w:type="spellEnd"/>
      <w:r>
        <w:t>, 666 A.2d 744 (</w:t>
      </w:r>
      <w:proofErr w:type="spellStart"/>
      <w:r>
        <w:t>Pa.Cmw</w:t>
      </w:r>
      <w:r w:rsidR="005944A4">
        <w:t>lth</w:t>
      </w:r>
      <w:proofErr w:type="spellEnd"/>
      <w:r>
        <w:t>. 1995).</w:t>
      </w:r>
      <w:r w:rsidRPr="008B455C">
        <w:tab/>
      </w:r>
    </w:p>
    <w:p w:rsidR="006A005D" w:rsidRDefault="006A005D" w:rsidP="007E48E1">
      <w:pPr>
        <w:spacing w:line="360" w:lineRule="auto"/>
        <w:jc w:val="center"/>
        <w:rPr>
          <w:u w:val="single"/>
        </w:rPr>
      </w:pPr>
    </w:p>
    <w:p w:rsidR="006A005D" w:rsidRDefault="006A005D">
      <w:pPr>
        <w:rPr>
          <w:u w:val="single"/>
        </w:rPr>
      </w:pPr>
      <w:r>
        <w:rPr>
          <w:u w:val="single"/>
        </w:rPr>
        <w:br w:type="page"/>
      </w:r>
    </w:p>
    <w:p w:rsidR="007E48E1" w:rsidRPr="008B455C" w:rsidRDefault="007E48E1" w:rsidP="007E48E1">
      <w:pPr>
        <w:spacing w:line="360" w:lineRule="auto"/>
        <w:jc w:val="center"/>
        <w:rPr>
          <w:u w:val="single"/>
        </w:rPr>
      </w:pPr>
      <w:r w:rsidRPr="008B455C">
        <w:rPr>
          <w:u w:val="single"/>
        </w:rPr>
        <w:lastRenderedPageBreak/>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7E48E1" w:rsidRPr="008B455C" w:rsidRDefault="007E48E1" w:rsidP="007E48E1">
      <w:pPr>
        <w:tabs>
          <w:tab w:val="num" w:pos="2160"/>
        </w:tabs>
        <w:spacing w:line="360" w:lineRule="auto"/>
        <w:rPr>
          <w:b/>
        </w:rPr>
      </w:pPr>
    </w:p>
    <w:p w:rsidR="007E48E1" w:rsidRDefault="007E48E1" w:rsidP="00DE391B">
      <w:pPr>
        <w:pStyle w:val="ListParagraph"/>
        <w:numPr>
          <w:ilvl w:val="0"/>
          <w:numId w:val="8"/>
        </w:numPr>
        <w:tabs>
          <w:tab w:val="num" w:pos="2160"/>
        </w:tabs>
        <w:spacing w:line="360" w:lineRule="auto"/>
        <w:ind w:left="0" w:firstLine="1440"/>
      </w:pPr>
      <w:r w:rsidRPr="008B455C">
        <w:t xml:space="preserve">That the complaint </w:t>
      </w:r>
      <w:r w:rsidRPr="002F64FF">
        <w:t xml:space="preserve">of </w:t>
      </w:r>
      <w:r w:rsidR="009A4572">
        <w:t>John J. Janos</w:t>
      </w:r>
      <w:r w:rsidRPr="002F64FF">
        <w:t xml:space="preserve"> versus </w:t>
      </w:r>
      <w:r w:rsidR="009A4572">
        <w:t>West Penn Power</w:t>
      </w:r>
      <w:r w:rsidRPr="002F64FF">
        <w:t xml:space="preserve"> Company</w:t>
      </w:r>
      <w:r w:rsidRPr="00055267">
        <w:t xml:space="preserve"> </w:t>
      </w:r>
      <w:r w:rsidRPr="008B455C">
        <w:t xml:space="preserve">at </w:t>
      </w:r>
      <w:r>
        <w:t>Docket No. C</w:t>
      </w:r>
      <w:r w:rsidRPr="008B455C">
        <w:noBreakHyphen/>
      </w:r>
      <w:r w:rsidR="009A4572">
        <w:t>2013-2366243</w:t>
      </w:r>
      <w:r w:rsidRPr="008B455C">
        <w:t xml:space="preserve"> </w:t>
      </w:r>
      <w:r w:rsidRPr="00EA1625">
        <w:t>hereby</w:t>
      </w:r>
      <w:r>
        <w:t xml:space="preserve"> is</w:t>
      </w:r>
      <w:r w:rsidRPr="00EA1625">
        <w:t xml:space="preserve"> </w:t>
      </w:r>
      <w:r>
        <w:t xml:space="preserve">denied because Complainant failed to prove </w:t>
      </w:r>
      <w:r w:rsidRPr="008B455C">
        <w:t>Respondent</w:t>
      </w:r>
      <w:r>
        <w:t xml:space="preserve"> did not provide reasonable and adequate service in its p</w:t>
      </w:r>
      <w:r w:rsidR="006C773F">
        <w:t>rovision of electrical services</w:t>
      </w:r>
      <w:r w:rsidRPr="008B455C">
        <w:t>.</w:t>
      </w:r>
    </w:p>
    <w:p w:rsidR="00DE391B" w:rsidRDefault="00DE391B" w:rsidP="00DE391B">
      <w:pPr>
        <w:spacing w:line="360" w:lineRule="auto"/>
        <w:ind w:firstLine="1440"/>
      </w:pPr>
    </w:p>
    <w:p w:rsidR="00DE391B" w:rsidRPr="00DE391B" w:rsidRDefault="00DE391B" w:rsidP="00DE391B">
      <w:pPr>
        <w:pStyle w:val="ListParagraph"/>
        <w:numPr>
          <w:ilvl w:val="0"/>
          <w:numId w:val="8"/>
        </w:numPr>
        <w:tabs>
          <w:tab w:val="left" w:pos="-1440"/>
          <w:tab w:val="left" w:pos="-720"/>
        </w:tabs>
        <w:suppressAutoHyphens/>
        <w:ind w:left="0" w:firstLine="1440"/>
        <w:rPr>
          <w:spacing w:val="-3"/>
        </w:rPr>
      </w:pPr>
      <w:r w:rsidRPr="00DE391B">
        <w:rPr>
          <w:spacing w:val="-3"/>
        </w:rPr>
        <w:t>That this docket be marked closed and discontinued.</w:t>
      </w:r>
    </w:p>
    <w:p w:rsidR="00DE391B" w:rsidRDefault="00DE391B" w:rsidP="00DE391B">
      <w:pPr>
        <w:tabs>
          <w:tab w:val="num" w:pos="2160"/>
        </w:tabs>
        <w:spacing w:line="360" w:lineRule="auto"/>
        <w:ind w:firstLine="1440"/>
      </w:pPr>
    </w:p>
    <w:p w:rsidR="007E48E1" w:rsidRPr="008B455C" w:rsidRDefault="007E48E1" w:rsidP="007E48E1">
      <w:pPr>
        <w:tabs>
          <w:tab w:val="num" w:pos="2160"/>
        </w:tabs>
        <w:spacing w:line="360" w:lineRule="auto"/>
      </w:pPr>
      <w:r>
        <w:tab/>
      </w:r>
    </w:p>
    <w:p w:rsidR="007E48E1" w:rsidRPr="008B455C" w:rsidRDefault="007E48E1" w:rsidP="007E48E1">
      <w:pPr>
        <w:tabs>
          <w:tab w:val="num" w:pos="2160"/>
        </w:tabs>
        <w:spacing w:line="360" w:lineRule="auto"/>
        <w:ind w:firstLine="1440"/>
      </w:pPr>
      <w:r w:rsidRPr="008B455C">
        <w:tab/>
        <w:t xml:space="preserve"> </w:t>
      </w:r>
    </w:p>
    <w:p w:rsidR="00C04092" w:rsidRDefault="00B86EF4" w:rsidP="00C04092">
      <w:r>
        <w:t xml:space="preserve"> </w:t>
      </w:r>
      <w:r w:rsidR="00FE5CE7">
        <w:t xml:space="preserve">Date:  </w:t>
      </w:r>
      <w:r w:rsidR="00FE5CE7" w:rsidRPr="00FE5CE7">
        <w:rPr>
          <w:u w:val="single"/>
        </w:rPr>
        <w:t>April 1, 2014</w:t>
      </w:r>
      <w:r w:rsidR="00C04092">
        <w:tab/>
      </w:r>
      <w:r w:rsidR="00C04092">
        <w:tab/>
      </w:r>
      <w:r w:rsidR="00C04092">
        <w:tab/>
      </w:r>
      <w:r w:rsidR="00C04092">
        <w:tab/>
      </w:r>
      <w:r w:rsidR="00C04092">
        <w:tab/>
      </w:r>
      <w:r w:rsidR="00C04092">
        <w:tab/>
      </w:r>
      <w:r w:rsidR="00C04092">
        <w:rPr>
          <w:u w:val="single"/>
        </w:rPr>
        <w:tab/>
      </w:r>
      <w:r w:rsidR="00C04092">
        <w:rPr>
          <w:u w:val="single"/>
        </w:rPr>
        <w:tab/>
        <w:t>/s/</w:t>
      </w:r>
      <w:r w:rsidR="00C04092">
        <w:rPr>
          <w:u w:val="single"/>
        </w:rPr>
        <w:tab/>
      </w:r>
      <w:r w:rsidR="00C04092">
        <w:rPr>
          <w:u w:val="single"/>
        </w:rPr>
        <w:tab/>
      </w:r>
      <w:r w:rsidR="00C04092">
        <w:rPr>
          <w:u w:val="single"/>
        </w:rPr>
        <w:tab/>
      </w:r>
    </w:p>
    <w:p w:rsidR="007E48E1" w:rsidRPr="008B455C" w:rsidRDefault="007E48E1" w:rsidP="007E48E1">
      <w:pPr>
        <w:tabs>
          <w:tab w:val="num" w:pos="2160"/>
        </w:tabs>
      </w:pPr>
      <w:r w:rsidRPr="008B455C">
        <w:tab/>
      </w:r>
      <w:r w:rsidRPr="008B455C">
        <w:tab/>
      </w:r>
      <w:r w:rsidRPr="008B455C">
        <w:tab/>
      </w:r>
      <w:r w:rsidRPr="008B455C">
        <w:tab/>
      </w:r>
      <w:r w:rsidR="004A7777">
        <w:tab/>
      </w:r>
      <w:r w:rsidR="001D78CA">
        <w:tab/>
      </w:r>
      <w:r w:rsidRPr="008B455C">
        <w:t>Katrina L. Dunderdale</w:t>
      </w:r>
    </w:p>
    <w:p w:rsidR="009A4572" w:rsidRPr="008B455C" w:rsidRDefault="007E48E1" w:rsidP="00EA12C1">
      <w:pPr>
        <w:tabs>
          <w:tab w:val="num" w:pos="2160"/>
        </w:tabs>
      </w:pPr>
      <w:r w:rsidRPr="008B455C">
        <w:tab/>
      </w:r>
      <w:r w:rsidRPr="008B455C">
        <w:tab/>
      </w:r>
      <w:r w:rsidRPr="008B455C">
        <w:tab/>
      </w:r>
      <w:r w:rsidRPr="008B455C">
        <w:tab/>
      </w:r>
      <w:r w:rsidR="004A7777">
        <w:tab/>
      </w:r>
      <w:r w:rsidR="001D78CA">
        <w:tab/>
      </w:r>
      <w:r w:rsidR="009A4572">
        <w:t>Administrative Law Judge</w:t>
      </w:r>
    </w:p>
    <w:sectPr w:rsidR="009A4572" w:rsidRPr="008B455C" w:rsidSect="00E3691B">
      <w:footerReference w:type="even" r:id="rId9"/>
      <w:footerReference w:type="default" r:id="rId10"/>
      <w:pgSz w:w="12240" w:h="15840" w:code="1"/>
      <w:pgMar w:top="1440" w:right="1440" w:bottom="1440" w:left="1440" w:header="720" w:footer="720" w:gutter="0"/>
      <w:paperSrc w:first="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4C7" w:rsidRDefault="003F64C7">
      <w:r>
        <w:separator/>
      </w:r>
    </w:p>
  </w:endnote>
  <w:endnote w:type="continuationSeparator" w:id="0">
    <w:p w:rsidR="003F64C7" w:rsidRDefault="003F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E52929"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14242F" w:rsidRDefault="00E52929"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DE391B">
      <w:rPr>
        <w:rStyle w:val="PageNumber"/>
        <w:noProof/>
        <w:sz w:val="20"/>
        <w:szCs w:val="20"/>
      </w:rPr>
      <w:t>9</w:t>
    </w:r>
    <w:r w:rsidRPr="0014242F">
      <w:rPr>
        <w:rStyle w:val="PageNumber"/>
        <w:sz w:val="20"/>
        <w:szCs w:val="20"/>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4C7" w:rsidRDefault="003F64C7">
      <w:r>
        <w:separator/>
      </w:r>
    </w:p>
  </w:footnote>
  <w:footnote w:type="continuationSeparator" w:id="0">
    <w:p w:rsidR="003F64C7" w:rsidRDefault="003F64C7">
      <w:r>
        <w:continuationSeparator/>
      </w:r>
    </w:p>
  </w:footnote>
  <w:footnote w:id="1">
    <w:p w:rsidR="002432E9" w:rsidRDefault="00E147FA">
      <w:pPr>
        <w:pStyle w:val="FootnoteText"/>
      </w:pPr>
      <w:r>
        <w:tab/>
      </w:r>
      <w:r w:rsidR="002432E9">
        <w:rPr>
          <w:rStyle w:val="FootnoteReference"/>
        </w:rPr>
        <w:footnoteRef/>
      </w:r>
      <w:r w:rsidR="002432E9">
        <w:t xml:space="preserve"> </w:t>
      </w:r>
      <w:r w:rsidR="002432E9">
        <w:tab/>
        <w:t xml:space="preserve">A request for damages must be denied as outside the Commission’s jurisdiction.  See </w:t>
      </w:r>
      <w:proofErr w:type="spellStart"/>
      <w:r w:rsidR="002432E9" w:rsidRPr="002432E9">
        <w:rPr>
          <w:u w:val="single"/>
        </w:rPr>
        <w:t>Poorbaugh</w:t>
      </w:r>
      <w:proofErr w:type="spellEnd"/>
      <w:r>
        <w:rPr>
          <w:u w:val="single"/>
        </w:rPr>
        <w:t> </w:t>
      </w:r>
      <w:r w:rsidR="002432E9" w:rsidRPr="002432E9">
        <w:rPr>
          <w:u w:val="single"/>
        </w:rPr>
        <w:t xml:space="preserve">v. Pa. Pub. Util. </w:t>
      </w:r>
      <w:proofErr w:type="spellStart"/>
      <w:r w:rsidR="002432E9" w:rsidRPr="002432E9">
        <w:rPr>
          <w:u w:val="single"/>
        </w:rPr>
        <w:t>Comm’n</w:t>
      </w:r>
      <w:proofErr w:type="spellEnd"/>
      <w:r w:rsidR="002432E9">
        <w:t>, 666 A</w:t>
      </w:r>
      <w:r w:rsidR="00EA2B83">
        <w:t>.</w:t>
      </w:r>
      <w:r w:rsidR="002432E9">
        <w:t>2d 744 (</w:t>
      </w:r>
      <w:proofErr w:type="spellStart"/>
      <w:r w:rsidR="002432E9">
        <w:t>Pa</w:t>
      </w:r>
      <w:r w:rsidR="00EA2B83">
        <w:t>.</w:t>
      </w:r>
      <w:r w:rsidR="002432E9">
        <w:t>Cmwlth</w:t>
      </w:r>
      <w:proofErr w:type="spellEnd"/>
      <w:r w:rsidR="002432E9">
        <w:t>. 1995).</w:t>
      </w:r>
    </w:p>
  </w:footnote>
  <w:footnote w:id="2">
    <w:p w:rsidR="00126B45"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Patterson v. Bell Telephone Co. of Pa.</w:t>
      </w:r>
      <w:r>
        <w:t>, 72 Pa. P</w:t>
      </w:r>
      <w:r w:rsidRPr="00A41132">
        <w:t xml:space="preserve">UC 196 (1990); </w:t>
      </w:r>
      <w:r w:rsidRPr="00A41132">
        <w:rPr>
          <w:u w:val="single"/>
        </w:rPr>
        <w:t>Feinstein v. Philadelphia Suburban Water Co.</w:t>
      </w:r>
      <w:r w:rsidRPr="00A41132">
        <w:t>, 50 Pa. PUC 300 (1976).</w:t>
      </w:r>
      <w:proofErr w:type="gramEnd"/>
      <w:r w:rsidRPr="00A41132">
        <w:t xml:space="preserve">  </w:t>
      </w:r>
    </w:p>
    <w:p w:rsidR="00B30601" w:rsidRPr="00A41132" w:rsidRDefault="00B30601" w:rsidP="00126B45">
      <w:pPr>
        <w:pStyle w:val="FootnoteText"/>
        <w:ind w:firstLine="720"/>
      </w:pPr>
    </w:p>
  </w:footnote>
  <w:footnote w:id="3">
    <w:p w:rsidR="00126B45" w:rsidRPr="00A41132"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 xml:space="preserve">Samuel J. </w:t>
      </w:r>
      <w:proofErr w:type="spellStart"/>
      <w:r w:rsidRPr="00A41132">
        <w:rPr>
          <w:u w:val="single"/>
        </w:rPr>
        <w:t>Lansberry</w:t>
      </w:r>
      <w:proofErr w:type="spellEnd"/>
      <w:r w:rsidRPr="00A41132">
        <w:rPr>
          <w:u w:val="single"/>
        </w:rPr>
        <w:t>, Inc. v. Pa. Pub</w:t>
      </w:r>
      <w:r>
        <w:rPr>
          <w:u w:val="single"/>
        </w:rPr>
        <w:t>.</w:t>
      </w:r>
      <w:proofErr w:type="gramEnd"/>
      <w:r>
        <w:rPr>
          <w:u w:val="single"/>
        </w:rPr>
        <w:t xml:space="preserve"> </w:t>
      </w:r>
      <w:proofErr w:type="gramStart"/>
      <w:r w:rsidRPr="00A41132">
        <w:rPr>
          <w:u w:val="single"/>
        </w:rPr>
        <w:t>Util</w:t>
      </w:r>
      <w:r>
        <w:rPr>
          <w:u w:val="single"/>
        </w:rPr>
        <w:t xml:space="preserve">. </w:t>
      </w:r>
      <w:proofErr w:type="spellStart"/>
      <w:r w:rsidRPr="00A41132">
        <w:rPr>
          <w:u w:val="single"/>
        </w:rPr>
        <w:t>Comm</w:t>
      </w:r>
      <w:r>
        <w:rPr>
          <w:u w:val="single"/>
        </w:rPr>
        <w:t>’n</w:t>
      </w:r>
      <w:proofErr w:type="spellEnd"/>
      <w:r w:rsidRPr="00A41132">
        <w:t>, 578 A.2d 600 (</w:t>
      </w:r>
      <w:proofErr w:type="spellStart"/>
      <w:r w:rsidRPr="00A41132">
        <w:t>Pa.Cmwlth</w:t>
      </w:r>
      <w:proofErr w:type="spellEnd"/>
      <w:r w:rsidRPr="00A41132">
        <w:t xml:space="preserve">. 1990), </w:t>
      </w:r>
      <w:proofErr w:type="spellStart"/>
      <w:r w:rsidRPr="00A41132">
        <w:rPr>
          <w:u w:val="single"/>
        </w:rPr>
        <w:t>alloc</w:t>
      </w:r>
      <w:proofErr w:type="spellEnd"/>
      <w:r w:rsidRPr="00A41132">
        <w:rPr>
          <w:u w:val="single"/>
        </w:rPr>
        <w:t>.</w:t>
      </w:r>
      <w:proofErr w:type="gramEnd"/>
      <w:r w:rsidRPr="00A41132">
        <w:rPr>
          <w:u w:val="single"/>
        </w:rPr>
        <w:t xml:space="preserve"> </w:t>
      </w:r>
      <w:proofErr w:type="gramStart"/>
      <w:r w:rsidRPr="00A41132">
        <w:rPr>
          <w:u w:val="single"/>
        </w:rPr>
        <w:t>den.</w:t>
      </w:r>
      <w:r w:rsidRPr="00A41132">
        <w:t xml:space="preserve">, 602 A.2d 863 (Pa. 1992); </w:t>
      </w:r>
      <w:r w:rsidRPr="00A41132">
        <w:rPr>
          <w:u w:val="single"/>
        </w:rPr>
        <w:t xml:space="preserve">Se-Ling Hosiery v. </w:t>
      </w:r>
      <w:r w:rsidRPr="00A41132">
        <w:rPr>
          <w:spacing w:val="-3"/>
          <w:u w:val="single"/>
        </w:rPr>
        <w:t>Margulies</w:t>
      </w:r>
      <w:r w:rsidRPr="00A41132">
        <w:t>, 70 A.2d 854 (Pa. 1950).</w:t>
      </w:r>
      <w:proofErr w:type="gramEnd"/>
      <w:r w:rsidRPr="00A41132">
        <w:t xml:space="preserve">  </w:t>
      </w:r>
    </w:p>
  </w:footnote>
  <w:footnote w:id="4">
    <w:p w:rsidR="00126B45" w:rsidRPr="00A41132" w:rsidRDefault="00126B45" w:rsidP="00126B45">
      <w:pPr>
        <w:pStyle w:val="FootnoteText"/>
      </w:pPr>
    </w:p>
    <w:p w:rsidR="00126B45" w:rsidRPr="00A41132"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Mill v. Pa. Pub</w:t>
      </w:r>
      <w:r>
        <w:rPr>
          <w:u w:val="single"/>
        </w:rPr>
        <w:t>.</w:t>
      </w:r>
      <w:proofErr w:type="gramEnd"/>
      <w:r w:rsidRPr="00A41132">
        <w:rPr>
          <w:u w:val="single"/>
        </w:rPr>
        <w:t xml:space="preserve"> </w:t>
      </w:r>
      <w:proofErr w:type="gramStart"/>
      <w:r w:rsidRPr="00A41132">
        <w:rPr>
          <w:u w:val="single"/>
        </w:rPr>
        <w:t>Util</w:t>
      </w:r>
      <w:r>
        <w:rPr>
          <w:u w:val="single"/>
        </w:rPr>
        <w:t xml:space="preserve">. </w:t>
      </w:r>
      <w:proofErr w:type="spellStart"/>
      <w:r w:rsidRPr="00A41132">
        <w:rPr>
          <w:u w:val="single"/>
        </w:rPr>
        <w:t>Comm</w:t>
      </w:r>
      <w:r>
        <w:rPr>
          <w:u w:val="single"/>
        </w:rPr>
        <w:t>’n</w:t>
      </w:r>
      <w:proofErr w:type="spellEnd"/>
      <w:r w:rsidRPr="00A41132">
        <w:t>, 447 A.2d 1100 (</w:t>
      </w:r>
      <w:proofErr w:type="spellStart"/>
      <w:r w:rsidRPr="00A41132">
        <w:t>Pa.Cmwlth</w:t>
      </w:r>
      <w:proofErr w:type="spellEnd"/>
      <w:r w:rsidRPr="00A41132">
        <w:t xml:space="preserve">. 1982); </w:t>
      </w:r>
      <w:proofErr w:type="spellStart"/>
      <w:r w:rsidRPr="00A41132">
        <w:rPr>
          <w:u w:val="single"/>
        </w:rPr>
        <w:t>Edan</w:t>
      </w:r>
      <w:proofErr w:type="spellEnd"/>
      <w:r w:rsidRPr="00A41132">
        <w:rPr>
          <w:u w:val="single"/>
        </w:rPr>
        <w:t xml:space="preserve"> Transportation Corp. v. Pa. Pub</w:t>
      </w:r>
      <w:r>
        <w:rPr>
          <w:u w:val="single"/>
        </w:rPr>
        <w:t>.</w:t>
      </w:r>
      <w:proofErr w:type="gramEnd"/>
      <w:r w:rsidRPr="00A41132">
        <w:rPr>
          <w:u w:val="single"/>
        </w:rPr>
        <w:t xml:space="preserve"> </w:t>
      </w:r>
      <w:proofErr w:type="gramStart"/>
      <w:r w:rsidRPr="00A41132">
        <w:rPr>
          <w:u w:val="single"/>
        </w:rPr>
        <w:t>Util</w:t>
      </w:r>
      <w:r>
        <w:rPr>
          <w:u w:val="single"/>
        </w:rPr>
        <w:t>.</w:t>
      </w:r>
      <w:r w:rsidRPr="00A41132">
        <w:rPr>
          <w:u w:val="single"/>
        </w:rPr>
        <w:t xml:space="preserve"> </w:t>
      </w:r>
      <w:proofErr w:type="spellStart"/>
      <w:r w:rsidRPr="00A41132">
        <w:rPr>
          <w:u w:val="single"/>
        </w:rPr>
        <w:t>Comm</w:t>
      </w:r>
      <w:r>
        <w:rPr>
          <w:u w:val="single"/>
        </w:rPr>
        <w:t>’n</w:t>
      </w:r>
      <w:proofErr w:type="spellEnd"/>
      <w:r w:rsidRPr="00A41132">
        <w:t>, 623 A</w:t>
      </w:r>
      <w:r>
        <w:t>.2d 6 (</w:t>
      </w:r>
      <w:proofErr w:type="spellStart"/>
      <w:r>
        <w:t>Pa.Cmwlth</w:t>
      </w:r>
      <w:proofErr w:type="spellEnd"/>
      <w:r>
        <w:t xml:space="preserve">. 1993); 2 </w:t>
      </w:r>
      <w:proofErr w:type="spellStart"/>
      <w:r>
        <w:t>Pa.</w:t>
      </w:r>
      <w:r w:rsidRPr="00A41132">
        <w:t>C.S.A</w:t>
      </w:r>
      <w:proofErr w:type="spellEnd"/>
      <w:r w:rsidRPr="00A41132">
        <w:t>.</w:t>
      </w:r>
      <w:proofErr w:type="gramEnd"/>
      <w:r w:rsidRPr="00A41132">
        <w:t xml:space="preserve"> § 704.  </w:t>
      </w:r>
    </w:p>
  </w:footnote>
  <w:footnote w:id="5">
    <w:p w:rsidR="00126B45" w:rsidRPr="00A41132" w:rsidRDefault="00126B45" w:rsidP="00126B45">
      <w:pPr>
        <w:pStyle w:val="FootnoteText"/>
      </w:pPr>
    </w:p>
    <w:p w:rsidR="00126B45" w:rsidRPr="00A41132" w:rsidRDefault="00126B45" w:rsidP="00126B45">
      <w:pPr>
        <w:ind w:firstLine="720"/>
        <w:rPr>
          <w:sz w:val="20"/>
        </w:rPr>
      </w:pPr>
      <w:r w:rsidRPr="00A41132">
        <w:rPr>
          <w:rStyle w:val="FootnoteReference"/>
          <w:sz w:val="20"/>
        </w:rPr>
        <w:footnoteRef/>
      </w:r>
      <w:r w:rsidRPr="00A41132">
        <w:rPr>
          <w:sz w:val="20"/>
        </w:rPr>
        <w:t xml:space="preserve"> </w:t>
      </w:r>
      <w:r w:rsidRPr="00A41132">
        <w:rPr>
          <w:sz w:val="20"/>
        </w:rPr>
        <w:tab/>
      </w:r>
      <w:proofErr w:type="gramStart"/>
      <w:r w:rsidRPr="00A41132">
        <w:rPr>
          <w:sz w:val="20"/>
          <w:u w:val="single"/>
        </w:rPr>
        <w:t>Norfolk and Western Ry. v. Pa. Pub</w:t>
      </w:r>
      <w:r>
        <w:rPr>
          <w:sz w:val="20"/>
          <w:u w:val="single"/>
        </w:rPr>
        <w:t>.</w:t>
      </w:r>
      <w:proofErr w:type="gramEnd"/>
      <w:r w:rsidR="00D925D7">
        <w:rPr>
          <w:sz w:val="20"/>
          <w:u w:val="single"/>
        </w:rPr>
        <w:t xml:space="preserve"> </w:t>
      </w:r>
      <w:proofErr w:type="gramStart"/>
      <w:r w:rsidRPr="00A41132">
        <w:rPr>
          <w:sz w:val="20"/>
          <w:u w:val="single"/>
        </w:rPr>
        <w:t>Util</w:t>
      </w:r>
      <w:r>
        <w:rPr>
          <w:sz w:val="20"/>
          <w:u w:val="single"/>
        </w:rPr>
        <w:t xml:space="preserve">. </w:t>
      </w:r>
      <w:proofErr w:type="spellStart"/>
      <w:r w:rsidRPr="00A41132">
        <w:rPr>
          <w:sz w:val="20"/>
          <w:u w:val="single"/>
        </w:rPr>
        <w:t>Comm</w:t>
      </w:r>
      <w:r>
        <w:rPr>
          <w:sz w:val="20"/>
          <w:u w:val="single"/>
        </w:rPr>
        <w:t>’n</w:t>
      </w:r>
      <w:proofErr w:type="spellEnd"/>
      <w:r w:rsidRPr="00A41132">
        <w:rPr>
          <w:sz w:val="20"/>
        </w:rPr>
        <w:t xml:space="preserve">, 413 A.2d 1037 (Pa. 1980); </w:t>
      </w:r>
      <w:r w:rsidRPr="00A41132">
        <w:rPr>
          <w:sz w:val="20"/>
          <w:u w:val="single"/>
        </w:rPr>
        <w:t>Erie Resistor Corp.</w:t>
      </w:r>
      <w:r>
        <w:rPr>
          <w:sz w:val="20"/>
          <w:u w:val="single"/>
        </w:rPr>
        <w:t> </w:t>
      </w:r>
      <w:r w:rsidRPr="00A41132">
        <w:rPr>
          <w:sz w:val="20"/>
          <w:u w:val="single"/>
        </w:rPr>
        <w:t>v. Unemployment Compensation Bd. of Review</w:t>
      </w:r>
      <w:r w:rsidRPr="00A41132">
        <w:rPr>
          <w:sz w:val="20"/>
        </w:rPr>
        <w:t xml:space="preserve">, 166 A.2d 96 (Pa. Super. 1960); </w:t>
      </w:r>
      <w:r w:rsidRPr="00A41132">
        <w:rPr>
          <w:sz w:val="20"/>
          <w:u w:val="single"/>
        </w:rPr>
        <w:t>Murphy v. Dep’t.</w:t>
      </w:r>
      <w:proofErr w:type="gramEnd"/>
      <w:r w:rsidRPr="00A41132">
        <w:rPr>
          <w:sz w:val="20"/>
          <w:u w:val="single"/>
        </w:rPr>
        <w:t xml:space="preserve"> </w:t>
      </w:r>
      <w:proofErr w:type="gramStart"/>
      <w:r w:rsidRPr="00A41132">
        <w:rPr>
          <w:sz w:val="20"/>
          <w:u w:val="single"/>
        </w:rPr>
        <w:t>of</w:t>
      </w:r>
      <w:proofErr w:type="gramEnd"/>
      <w:r w:rsidRPr="00A41132">
        <w:rPr>
          <w:sz w:val="20"/>
          <w:u w:val="single"/>
        </w:rPr>
        <w:t xml:space="preserve"> Public Welfare, White Haven Center</w:t>
      </w:r>
      <w:r w:rsidRPr="00A41132">
        <w:rPr>
          <w:sz w:val="20"/>
        </w:rPr>
        <w:t>, 480 A.2d 382 (</w:t>
      </w:r>
      <w:proofErr w:type="spellStart"/>
      <w:r w:rsidRPr="00A41132">
        <w:rPr>
          <w:sz w:val="20"/>
        </w:rPr>
        <w:t>Pa.Cmwlth</w:t>
      </w:r>
      <w:proofErr w:type="spellEnd"/>
      <w:r w:rsidRPr="00A41132">
        <w:rPr>
          <w:sz w:val="20"/>
        </w:rPr>
        <w:t>. 1984).</w:t>
      </w:r>
    </w:p>
    <w:p w:rsidR="00126B45" w:rsidRPr="00A41132" w:rsidRDefault="00126B45" w:rsidP="00126B45">
      <w:pPr>
        <w:pStyle w:val="FootnoteText"/>
        <w:ind w:firstLine="720"/>
      </w:pPr>
    </w:p>
  </w:footnote>
  <w:footnote w:id="6">
    <w:p w:rsidR="00A6043D" w:rsidRDefault="00A6043D" w:rsidP="00A6043D">
      <w:pPr>
        <w:pStyle w:val="FootnoteText"/>
        <w:ind w:firstLine="720"/>
      </w:pPr>
      <w:r>
        <w:rPr>
          <w:rStyle w:val="FootnoteReference"/>
        </w:rPr>
        <w:footnoteRef/>
      </w:r>
      <w:r w:rsidR="00C058F6">
        <w:tab/>
      </w:r>
      <w:r w:rsidRPr="00A6043D">
        <w:t xml:space="preserve">See </w:t>
      </w:r>
      <w:proofErr w:type="spellStart"/>
      <w:r w:rsidRPr="00A6043D">
        <w:rPr>
          <w:u w:val="single"/>
        </w:rPr>
        <w:t>DeFranscesco</w:t>
      </w:r>
      <w:proofErr w:type="spellEnd"/>
      <w:r w:rsidRPr="00A6043D">
        <w:rPr>
          <w:u w:val="single"/>
        </w:rPr>
        <w:t xml:space="preserve"> v. West Penn Power Company</w:t>
      </w:r>
      <w:r w:rsidRPr="00A6043D">
        <w:t xml:space="preserve">, 329 Pa. Superior Ct. 508, </w:t>
      </w:r>
      <w:proofErr w:type="gramStart"/>
      <w:r w:rsidRPr="00A6043D">
        <w:t>478 A.2d 1295</w:t>
      </w:r>
      <w:proofErr w:type="gramEnd"/>
      <w:r w:rsidRPr="00A6043D">
        <w:t xml:space="preserve"> (1984).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24579C3"/>
    <w:multiLevelType w:val="hybridMultilevel"/>
    <w:tmpl w:val="E7D8CD02"/>
    <w:lvl w:ilvl="0" w:tplc="78AE25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6"/>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E5F"/>
    <w:rsid w:val="00002933"/>
    <w:rsid w:val="00004CAB"/>
    <w:rsid w:val="00010C1B"/>
    <w:rsid w:val="00014CD9"/>
    <w:rsid w:val="00015B93"/>
    <w:rsid w:val="00015E77"/>
    <w:rsid w:val="000218E1"/>
    <w:rsid w:val="0002562B"/>
    <w:rsid w:val="0002677E"/>
    <w:rsid w:val="00027DAB"/>
    <w:rsid w:val="00030A0C"/>
    <w:rsid w:val="00032447"/>
    <w:rsid w:val="0003254A"/>
    <w:rsid w:val="0003345F"/>
    <w:rsid w:val="00034688"/>
    <w:rsid w:val="00034D3C"/>
    <w:rsid w:val="0003750C"/>
    <w:rsid w:val="00042684"/>
    <w:rsid w:val="00051FFD"/>
    <w:rsid w:val="000539E5"/>
    <w:rsid w:val="00055267"/>
    <w:rsid w:val="00060974"/>
    <w:rsid w:val="00065B67"/>
    <w:rsid w:val="00066099"/>
    <w:rsid w:val="00067DC6"/>
    <w:rsid w:val="00081933"/>
    <w:rsid w:val="0008418F"/>
    <w:rsid w:val="000841E3"/>
    <w:rsid w:val="00091995"/>
    <w:rsid w:val="000919E3"/>
    <w:rsid w:val="000920B0"/>
    <w:rsid w:val="000943A5"/>
    <w:rsid w:val="00094EC4"/>
    <w:rsid w:val="00095A48"/>
    <w:rsid w:val="000A7A4C"/>
    <w:rsid w:val="000A7A7E"/>
    <w:rsid w:val="000A7DE2"/>
    <w:rsid w:val="000B0443"/>
    <w:rsid w:val="000B1450"/>
    <w:rsid w:val="000B4044"/>
    <w:rsid w:val="000B575F"/>
    <w:rsid w:val="000B7C98"/>
    <w:rsid w:val="000C22D0"/>
    <w:rsid w:val="000C39FB"/>
    <w:rsid w:val="000C639E"/>
    <w:rsid w:val="000C6633"/>
    <w:rsid w:val="000C736C"/>
    <w:rsid w:val="000D4E83"/>
    <w:rsid w:val="000D6424"/>
    <w:rsid w:val="000D7D68"/>
    <w:rsid w:val="000E0DDA"/>
    <w:rsid w:val="000E33AA"/>
    <w:rsid w:val="000E4C15"/>
    <w:rsid w:val="000E4D29"/>
    <w:rsid w:val="000F0F3C"/>
    <w:rsid w:val="000F45A3"/>
    <w:rsid w:val="000F4D6B"/>
    <w:rsid w:val="0010040A"/>
    <w:rsid w:val="00101AB8"/>
    <w:rsid w:val="00103B9D"/>
    <w:rsid w:val="0010437D"/>
    <w:rsid w:val="00106746"/>
    <w:rsid w:val="001130C8"/>
    <w:rsid w:val="001140BC"/>
    <w:rsid w:val="001161AA"/>
    <w:rsid w:val="00116E78"/>
    <w:rsid w:val="0011788E"/>
    <w:rsid w:val="0012001F"/>
    <w:rsid w:val="0012141F"/>
    <w:rsid w:val="00121AE5"/>
    <w:rsid w:val="0012478B"/>
    <w:rsid w:val="00125CCD"/>
    <w:rsid w:val="00126B45"/>
    <w:rsid w:val="00130E27"/>
    <w:rsid w:val="001339E0"/>
    <w:rsid w:val="00133A47"/>
    <w:rsid w:val="00133B41"/>
    <w:rsid w:val="001354D6"/>
    <w:rsid w:val="00137307"/>
    <w:rsid w:val="001375AA"/>
    <w:rsid w:val="001406D8"/>
    <w:rsid w:val="00142A80"/>
    <w:rsid w:val="00143FA7"/>
    <w:rsid w:val="00144748"/>
    <w:rsid w:val="00144BDA"/>
    <w:rsid w:val="00145EBF"/>
    <w:rsid w:val="001509CF"/>
    <w:rsid w:val="001513EC"/>
    <w:rsid w:val="00152853"/>
    <w:rsid w:val="00153C2A"/>
    <w:rsid w:val="00153E19"/>
    <w:rsid w:val="00156938"/>
    <w:rsid w:val="00156A90"/>
    <w:rsid w:val="0016133D"/>
    <w:rsid w:val="00165400"/>
    <w:rsid w:val="00165B98"/>
    <w:rsid w:val="00166F22"/>
    <w:rsid w:val="00167534"/>
    <w:rsid w:val="0017741E"/>
    <w:rsid w:val="00182EDA"/>
    <w:rsid w:val="0018379D"/>
    <w:rsid w:val="00183AE1"/>
    <w:rsid w:val="00185EF9"/>
    <w:rsid w:val="00190788"/>
    <w:rsid w:val="00195561"/>
    <w:rsid w:val="00196E40"/>
    <w:rsid w:val="001B283D"/>
    <w:rsid w:val="001B3B0D"/>
    <w:rsid w:val="001B436F"/>
    <w:rsid w:val="001B5AF2"/>
    <w:rsid w:val="001C0836"/>
    <w:rsid w:val="001C3008"/>
    <w:rsid w:val="001C5F76"/>
    <w:rsid w:val="001D1195"/>
    <w:rsid w:val="001D1DC6"/>
    <w:rsid w:val="001D5E87"/>
    <w:rsid w:val="001D67F3"/>
    <w:rsid w:val="001D6F49"/>
    <w:rsid w:val="001D7070"/>
    <w:rsid w:val="001D78CA"/>
    <w:rsid w:val="001D79FF"/>
    <w:rsid w:val="001E2C24"/>
    <w:rsid w:val="001E2CD6"/>
    <w:rsid w:val="001F030C"/>
    <w:rsid w:val="001F2B65"/>
    <w:rsid w:val="001F758E"/>
    <w:rsid w:val="00200D48"/>
    <w:rsid w:val="00200ED0"/>
    <w:rsid w:val="00203C61"/>
    <w:rsid w:val="00206B04"/>
    <w:rsid w:val="002075E6"/>
    <w:rsid w:val="00210334"/>
    <w:rsid w:val="00210460"/>
    <w:rsid w:val="002132C0"/>
    <w:rsid w:val="00214A19"/>
    <w:rsid w:val="002154B5"/>
    <w:rsid w:val="002165A2"/>
    <w:rsid w:val="00216A05"/>
    <w:rsid w:val="00230C81"/>
    <w:rsid w:val="0023169E"/>
    <w:rsid w:val="00234C5A"/>
    <w:rsid w:val="002432E9"/>
    <w:rsid w:val="00244AD1"/>
    <w:rsid w:val="002520A5"/>
    <w:rsid w:val="00254BFC"/>
    <w:rsid w:val="00254FD1"/>
    <w:rsid w:val="0025557F"/>
    <w:rsid w:val="00263EFE"/>
    <w:rsid w:val="00264C6D"/>
    <w:rsid w:val="00265108"/>
    <w:rsid w:val="0026526F"/>
    <w:rsid w:val="002659FC"/>
    <w:rsid w:val="00271E72"/>
    <w:rsid w:val="00271FF1"/>
    <w:rsid w:val="00280380"/>
    <w:rsid w:val="00280AF0"/>
    <w:rsid w:val="0028164C"/>
    <w:rsid w:val="00283A3F"/>
    <w:rsid w:val="00284FA9"/>
    <w:rsid w:val="00286074"/>
    <w:rsid w:val="002867AD"/>
    <w:rsid w:val="002904BB"/>
    <w:rsid w:val="00291917"/>
    <w:rsid w:val="00293E92"/>
    <w:rsid w:val="00295403"/>
    <w:rsid w:val="002A625C"/>
    <w:rsid w:val="002A78AC"/>
    <w:rsid w:val="002B433A"/>
    <w:rsid w:val="002B4996"/>
    <w:rsid w:val="002B4DFA"/>
    <w:rsid w:val="002C703F"/>
    <w:rsid w:val="002C7AB0"/>
    <w:rsid w:val="002D04F8"/>
    <w:rsid w:val="002D29E7"/>
    <w:rsid w:val="002E2B6E"/>
    <w:rsid w:val="002E597B"/>
    <w:rsid w:val="002E5A74"/>
    <w:rsid w:val="002E6B15"/>
    <w:rsid w:val="002F15F6"/>
    <w:rsid w:val="002F1743"/>
    <w:rsid w:val="002F4F6F"/>
    <w:rsid w:val="002F6CA8"/>
    <w:rsid w:val="002F6DFB"/>
    <w:rsid w:val="002F7ADF"/>
    <w:rsid w:val="00302C62"/>
    <w:rsid w:val="00302D41"/>
    <w:rsid w:val="00307FF8"/>
    <w:rsid w:val="00311588"/>
    <w:rsid w:val="003121E7"/>
    <w:rsid w:val="00324C80"/>
    <w:rsid w:val="00324D48"/>
    <w:rsid w:val="00326059"/>
    <w:rsid w:val="00330B01"/>
    <w:rsid w:val="0033183D"/>
    <w:rsid w:val="00334639"/>
    <w:rsid w:val="00334D84"/>
    <w:rsid w:val="0034231B"/>
    <w:rsid w:val="00342B49"/>
    <w:rsid w:val="0034410D"/>
    <w:rsid w:val="0034692A"/>
    <w:rsid w:val="003540A7"/>
    <w:rsid w:val="0035629D"/>
    <w:rsid w:val="003603C7"/>
    <w:rsid w:val="00360442"/>
    <w:rsid w:val="00360EB9"/>
    <w:rsid w:val="00361EAC"/>
    <w:rsid w:val="003649AC"/>
    <w:rsid w:val="00365F7C"/>
    <w:rsid w:val="00370128"/>
    <w:rsid w:val="0037050A"/>
    <w:rsid w:val="00373245"/>
    <w:rsid w:val="00373E26"/>
    <w:rsid w:val="00373ECC"/>
    <w:rsid w:val="0037694C"/>
    <w:rsid w:val="00380F4B"/>
    <w:rsid w:val="00383822"/>
    <w:rsid w:val="00386C1C"/>
    <w:rsid w:val="00387E50"/>
    <w:rsid w:val="003908EE"/>
    <w:rsid w:val="00391096"/>
    <w:rsid w:val="003937E3"/>
    <w:rsid w:val="00394A82"/>
    <w:rsid w:val="00396353"/>
    <w:rsid w:val="00396518"/>
    <w:rsid w:val="003B045F"/>
    <w:rsid w:val="003B3294"/>
    <w:rsid w:val="003B3FB0"/>
    <w:rsid w:val="003B4F65"/>
    <w:rsid w:val="003B7783"/>
    <w:rsid w:val="003C1053"/>
    <w:rsid w:val="003C13E7"/>
    <w:rsid w:val="003C1F6E"/>
    <w:rsid w:val="003C2777"/>
    <w:rsid w:val="003C417D"/>
    <w:rsid w:val="003C4E1D"/>
    <w:rsid w:val="003C7776"/>
    <w:rsid w:val="003D0DEF"/>
    <w:rsid w:val="003D374F"/>
    <w:rsid w:val="003D500A"/>
    <w:rsid w:val="003D5173"/>
    <w:rsid w:val="003D67D8"/>
    <w:rsid w:val="003E1EE5"/>
    <w:rsid w:val="003E2BB0"/>
    <w:rsid w:val="003E2D32"/>
    <w:rsid w:val="003E5E0F"/>
    <w:rsid w:val="003E60E7"/>
    <w:rsid w:val="003F1BC1"/>
    <w:rsid w:val="003F56DB"/>
    <w:rsid w:val="003F64C7"/>
    <w:rsid w:val="003F6E27"/>
    <w:rsid w:val="0040104B"/>
    <w:rsid w:val="0040125C"/>
    <w:rsid w:val="004035B1"/>
    <w:rsid w:val="00411416"/>
    <w:rsid w:val="0041637D"/>
    <w:rsid w:val="00421585"/>
    <w:rsid w:val="004219BD"/>
    <w:rsid w:val="00424E72"/>
    <w:rsid w:val="00430437"/>
    <w:rsid w:val="00431883"/>
    <w:rsid w:val="004322BD"/>
    <w:rsid w:val="00440B6B"/>
    <w:rsid w:val="004455C4"/>
    <w:rsid w:val="00446EE8"/>
    <w:rsid w:val="004564BF"/>
    <w:rsid w:val="00462770"/>
    <w:rsid w:val="0046290B"/>
    <w:rsid w:val="004635FD"/>
    <w:rsid w:val="00465878"/>
    <w:rsid w:val="0046652F"/>
    <w:rsid w:val="00470AFC"/>
    <w:rsid w:val="00472A21"/>
    <w:rsid w:val="00474C53"/>
    <w:rsid w:val="0047665F"/>
    <w:rsid w:val="00477B44"/>
    <w:rsid w:val="004819B5"/>
    <w:rsid w:val="00483A4C"/>
    <w:rsid w:val="004859D0"/>
    <w:rsid w:val="00487AE0"/>
    <w:rsid w:val="00493BBB"/>
    <w:rsid w:val="004970DA"/>
    <w:rsid w:val="004A0254"/>
    <w:rsid w:val="004A26B6"/>
    <w:rsid w:val="004A47A6"/>
    <w:rsid w:val="004A6673"/>
    <w:rsid w:val="004A7777"/>
    <w:rsid w:val="004B34C6"/>
    <w:rsid w:val="004B422F"/>
    <w:rsid w:val="004B4B53"/>
    <w:rsid w:val="004B6A2B"/>
    <w:rsid w:val="004B7FA4"/>
    <w:rsid w:val="004C32C0"/>
    <w:rsid w:val="004C5FA9"/>
    <w:rsid w:val="004C6202"/>
    <w:rsid w:val="004D0CBE"/>
    <w:rsid w:val="004D2634"/>
    <w:rsid w:val="004D3826"/>
    <w:rsid w:val="004D3A14"/>
    <w:rsid w:val="004D454A"/>
    <w:rsid w:val="004D477D"/>
    <w:rsid w:val="004D75D5"/>
    <w:rsid w:val="004E01BD"/>
    <w:rsid w:val="004E3B20"/>
    <w:rsid w:val="004E4252"/>
    <w:rsid w:val="004E605F"/>
    <w:rsid w:val="004E7B43"/>
    <w:rsid w:val="0050181E"/>
    <w:rsid w:val="0050497A"/>
    <w:rsid w:val="00504A1A"/>
    <w:rsid w:val="00507ECF"/>
    <w:rsid w:val="00515DD0"/>
    <w:rsid w:val="00517217"/>
    <w:rsid w:val="00522985"/>
    <w:rsid w:val="00531E4E"/>
    <w:rsid w:val="00537506"/>
    <w:rsid w:val="005375AF"/>
    <w:rsid w:val="0053772F"/>
    <w:rsid w:val="00540E3A"/>
    <w:rsid w:val="00543B7C"/>
    <w:rsid w:val="00543F98"/>
    <w:rsid w:val="005447FE"/>
    <w:rsid w:val="00544F7E"/>
    <w:rsid w:val="00545043"/>
    <w:rsid w:val="005451B0"/>
    <w:rsid w:val="00547948"/>
    <w:rsid w:val="00550F87"/>
    <w:rsid w:val="00552C73"/>
    <w:rsid w:val="00553E91"/>
    <w:rsid w:val="00557326"/>
    <w:rsid w:val="00560A07"/>
    <w:rsid w:val="00563142"/>
    <w:rsid w:val="00563254"/>
    <w:rsid w:val="005637DF"/>
    <w:rsid w:val="00563FC3"/>
    <w:rsid w:val="005647C7"/>
    <w:rsid w:val="005763CB"/>
    <w:rsid w:val="00577567"/>
    <w:rsid w:val="00580981"/>
    <w:rsid w:val="00580D5E"/>
    <w:rsid w:val="0058201B"/>
    <w:rsid w:val="005900D4"/>
    <w:rsid w:val="0059029B"/>
    <w:rsid w:val="00592DDB"/>
    <w:rsid w:val="005944A4"/>
    <w:rsid w:val="00595806"/>
    <w:rsid w:val="00596262"/>
    <w:rsid w:val="0059631D"/>
    <w:rsid w:val="005A3E08"/>
    <w:rsid w:val="005A77D0"/>
    <w:rsid w:val="005B64BD"/>
    <w:rsid w:val="005C050D"/>
    <w:rsid w:val="005C6D4A"/>
    <w:rsid w:val="005D03F4"/>
    <w:rsid w:val="005D4345"/>
    <w:rsid w:val="005E1CC5"/>
    <w:rsid w:val="005E2935"/>
    <w:rsid w:val="005E636D"/>
    <w:rsid w:val="005E6DB5"/>
    <w:rsid w:val="005F4120"/>
    <w:rsid w:val="00600AE4"/>
    <w:rsid w:val="00600EE9"/>
    <w:rsid w:val="0060359F"/>
    <w:rsid w:val="00607B04"/>
    <w:rsid w:val="00613AE9"/>
    <w:rsid w:val="00616E73"/>
    <w:rsid w:val="00616FE9"/>
    <w:rsid w:val="00617C29"/>
    <w:rsid w:val="006220FF"/>
    <w:rsid w:val="006228C5"/>
    <w:rsid w:val="00623177"/>
    <w:rsid w:val="00632562"/>
    <w:rsid w:val="00633976"/>
    <w:rsid w:val="00633E89"/>
    <w:rsid w:val="0063487E"/>
    <w:rsid w:val="006354D3"/>
    <w:rsid w:val="00636459"/>
    <w:rsid w:val="00641052"/>
    <w:rsid w:val="00644349"/>
    <w:rsid w:val="00645FE8"/>
    <w:rsid w:val="0065019D"/>
    <w:rsid w:val="006515DB"/>
    <w:rsid w:val="00651AB0"/>
    <w:rsid w:val="0065346D"/>
    <w:rsid w:val="00653FDE"/>
    <w:rsid w:val="006552C8"/>
    <w:rsid w:val="00655B18"/>
    <w:rsid w:val="0066212D"/>
    <w:rsid w:val="00664032"/>
    <w:rsid w:val="006663CA"/>
    <w:rsid w:val="0066791C"/>
    <w:rsid w:val="0066793C"/>
    <w:rsid w:val="00674B93"/>
    <w:rsid w:val="006771E3"/>
    <w:rsid w:val="006772A2"/>
    <w:rsid w:val="00680930"/>
    <w:rsid w:val="00682B76"/>
    <w:rsid w:val="006869B5"/>
    <w:rsid w:val="00687C7C"/>
    <w:rsid w:val="00691FDA"/>
    <w:rsid w:val="00692E3E"/>
    <w:rsid w:val="00694153"/>
    <w:rsid w:val="0069460C"/>
    <w:rsid w:val="006954BC"/>
    <w:rsid w:val="006A005D"/>
    <w:rsid w:val="006A0714"/>
    <w:rsid w:val="006A7864"/>
    <w:rsid w:val="006B0612"/>
    <w:rsid w:val="006B2DFE"/>
    <w:rsid w:val="006B50E8"/>
    <w:rsid w:val="006B629F"/>
    <w:rsid w:val="006B7DE7"/>
    <w:rsid w:val="006C13BF"/>
    <w:rsid w:val="006C773F"/>
    <w:rsid w:val="006C7D49"/>
    <w:rsid w:val="006D2CFC"/>
    <w:rsid w:val="006D2E25"/>
    <w:rsid w:val="006D2F3E"/>
    <w:rsid w:val="006D3697"/>
    <w:rsid w:val="006D384B"/>
    <w:rsid w:val="006D38B1"/>
    <w:rsid w:val="006D68C8"/>
    <w:rsid w:val="006E0E78"/>
    <w:rsid w:val="006E12A1"/>
    <w:rsid w:val="006E175B"/>
    <w:rsid w:val="006E59A8"/>
    <w:rsid w:val="006F0249"/>
    <w:rsid w:val="006F10EA"/>
    <w:rsid w:val="006F2B77"/>
    <w:rsid w:val="006F324E"/>
    <w:rsid w:val="006F5FE7"/>
    <w:rsid w:val="006F60DA"/>
    <w:rsid w:val="006F6520"/>
    <w:rsid w:val="006F7393"/>
    <w:rsid w:val="00700704"/>
    <w:rsid w:val="00700E85"/>
    <w:rsid w:val="00701501"/>
    <w:rsid w:val="00710B17"/>
    <w:rsid w:val="00710CE3"/>
    <w:rsid w:val="0071171E"/>
    <w:rsid w:val="007121EF"/>
    <w:rsid w:val="0071586C"/>
    <w:rsid w:val="007172D2"/>
    <w:rsid w:val="00720A51"/>
    <w:rsid w:val="00720C39"/>
    <w:rsid w:val="007272A7"/>
    <w:rsid w:val="00732CDD"/>
    <w:rsid w:val="00736DBA"/>
    <w:rsid w:val="00740BC6"/>
    <w:rsid w:val="007454F2"/>
    <w:rsid w:val="007516D0"/>
    <w:rsid w:val="00751CE0"/>
    <w:rsid w:val="007535C9"/>
    <w:rsid w:val="00753A3F"/>
    <w:rsid w:val="0075421A"/>
    <w:rsid w:val="00754FD3"/>
    <w:rsid w:val="00757A01"/>
    <w:rsid w:val="00762CDE"/>
    <w:rsid w:val="00766B36"/>
    <w:rsid w:val="0077246E"/>
    <w:rsid w:val="00772949"/>
    <w:rsid w:val="00772CFC"/>
    <w:rsid w:val="00776CD8"/>
    <w:rsid w:val="0078110D"/>
    <w:rsid w:val="00781A81"/>
    <w:rsid w:val="00783095"/>
    <w:rsid w:val="00785AF3"/>
    <w:rsid w:val="00787193"/>
    <w:rsid w:val="007923F1"/>
    <w:rsid w:val="0079328F"/>
    <w:rsid w:val="007939B6"/>
    <w:rsid w:val="00794EFF"/>
    <w:rsid w:val="00794F1B"/>
    <w:rsid w:val="007A32D3"/>
    <w:rsid w:val="007A40D1"/>
    <w:rsid w:val="007A5552"/>
    <w:rsid w:val="007A5EEF"/>
    <w:rsid w:val="007B6775"/>
    <w:rsid w:val="007C06FD"/>
    <w:rsid w:val="007C404E"/>
    <w:rsid w:val="007D2958"/>
    <w:rsid w:val="007D2DA0"/>
    <w:rsid w:val="007D79D2"/>
    <w:rsid w:val="007E48E1"/>
    <w:rsid w:val="007E7B4E"/>
    <w:rsid w:val="007F02A4"/>
    <w:rsid w:val="007F479E"/>
    <w:rsid w:val="0080315B"/>
    <w:rsid w:val="00806E0D"/>
    <w:rsid w:val="00823FCA"/>
    <w:rsid w:val="00824890"/>
    <w:rsid w:val="008251D8"/>
    <w:rsid w:val="00836D5A"/>
    <w:rsid w:val="00836E65"/>
    <w:rsid w:val="008418E5"/>
    <w:rsid w:val="008418FC"/>
    <w:rsid w:val="0084410C"/>
    <w:rsid w:val="00851E2B"/>
    <w:rsid w:val="0085780E"/>
    <w:rsid w:val="008618BE"/>
    <w:rsid w:val="00861DA4"/>
    <w:rsid w:val="00861DF9"/>
    <w:rsid w:val="00862D6B"/>
    <w:rsid w:val="0086399B"/>
    <w:rsid w:val="00863BD5"/>
    <w:rsid w:val="00863CD4"/>
    <w:rsid w:val="00864EB7"/>
    <w:rsid w:val="0086657E"/>
    <w:rsid w:val="00867F55"/>
    <w:rsid w:val="008733E6"/>
    <w:rsid w:val="00873D8A"/>
    <w:rsid w:val="00874177"/>
    <w:rsid w:val="00874953"/>
    <w:rsid w:val="00890D5E"/>
    <w:rsid w:val="00891035"/>
    <w:rsid w:val="008927B5"/>
    <w:rsid w:val="00892EA3"/>
    <w:rsid w:val="00894816"/>
    <w:rsid w:val="008A28F8"/>
    <w:rsid w:val="008A63E2"/>
    <w:rsid w:val="008B3879"/>
    <w:rsid w:val="008B445B"/>
    <w:rsid w:val="008B455C"/>
    <w:rsid w:val="008B6587"/>
    <w:rsid w:val="008B6F28"/>
    <w:rsid w:val="008C17E6"/>
    <w:rsid w:val="008C36F2"/>
    <w:rsid w:val="008C666D"/>
    <w:rsid w:val="008C7936"/>
    <w:rsid w:val="008D0326"/>
    <w:rsid w:val="008D0D31"/>
    <w:rsid w:val="008D6CA9"/>
    <w:rsid w:val="008D6E2C"/>
    <w:rsid w:val="008D7DC6"/>
    <w:rsid w:val="008E09C6"/>
    <w:rsid w:val="008E0B49"/>
    <w:rsid w:val="008E0E89"/>
    <w:rsid w:val="008E10FA"/>
    <w:rsid w:val="008E450B"/>
    <w:rsid w:val="008E4FD6"/>
    <w:rsid w:val="008E5C99"/>
    <w:rsid w:val="008F4EF2"/>
    <w:rsid w:val="008F7C99"/>
    <w:rsid w:val="009001C9"/>
    <w:rsid w:val="00906FD4"/>
    <w:rsid w:val="009101FF"/>
    <w:rsid w:val="00910A53"/>
    <w:rsid w:val="00917283"/>
    <w:rsid w:val="0092068A"/>
    <w:rsid w:val="00921285"/>
    <w:rsid w:val="009252B2"/>
    <w:rsid w:val="009310EE"/>
    <w:rsid w:val="0093152B"/>
    <w:rsid w:val="00933485"/>
    <w:rsid w:val="0094142D"/>
    <w:rsid w:val="00943CC8"/>
    <w:rsid w:val="00943E53"/>
    <w:rsid w:val="009445CA"/>
    <w:rsid w:val="00944A1C"/>
    <w:rsid w:val="00952FEB"/>
    <w:rsid w:val="00957F48"/>
    <w:rsid w:val="00960580"/>
    <w:rsid w:val="00962EE7"/>
    <w:rsid w:val="00966C36"/>
    <w:rsid w:val="00970027"/>
    <w:rsid w:val="009760CB"/>
    <w:rsid w:val="009901A1"/>
    <w:rsid w:val="009A3FA2"/>
    <w:rsid w:val="009A4572"/>
    <w:rsid w:val="009A5AF8"/>
    <w:rsid w:val="009A6585"/>
    <w:rsid w:val="009A6CC7"/>
    <w:rsid w:val="009B446B"/>
    <w:rsid w:val="009C05E9"/>
    <w:rsid w:val="009C27D2"/>
    <w:rsid w:val="009C3132"/>
    <w:rsid w:val="009C4526"/>
    <w:rsid w:val="009C5EB5"/>
    <w:rsid w:val="009D0A13"/>
    <w:rsid w:val="009D227B"/>
    <w:rsid w:val="009D2B67"/>
    <w:rsid w:val="009D47A5"/>
    <w:rsid w:val="009D69B6"/>
    <w:rsid w:val="009E17C2"/>
    <w:rsid w:val="009E5767"/>
    <w:rsid w:val="009E6876"/>
    <w:rsid w:val="009F38D7"/>
    <w:rsid w:val="009F579E"/>
    <w:rsid w:val="009F6130"/>
    <w:rsid w:val="00A00793"/>
    <w:rsid w:val="00A02454"/>
    <w:rsid w:val="00A04076"/>
    <w:rsid w:val="00A10010"/>
    <w:rsid w:val="00A10E1F"/>
    <w:rsid w:val="00A114B1"/>
    <w:rsid w:val="00A128E0"/>
    <w:rsid w:val="00A15866"/>
    <w:rsid w:val="00A16D50"/>
    <w:rsid w:val="00A23CCA"/>
    <w:rsid w:val="00A248FB"/>
    <w:rsid w:val="00A2609D"/>
    <w:rsid w:val="00A2772F"/>
    <w:rsid w:val="00A334E4"/>
    <w:rsid w:val="00A33661"/>
    <w:rsid w:val="00A33DF5"/>
    <w:rsid w:val="00A40462"/>
    <w:rsid w:val="00A4355E"/>
    <w:rsid w:val="00A469B4"/>
    <w:rsid w:val="00A46AA1"/>
    <w:rsid w:val="00A511AD"/>
    <w:rsid w:val="00A52673"/>
    <w:rsid w:val="00A55F7C"/>
    <w:rsid w:val="00A6043D"/>
    <w:rsid w:val="00A61835"/>
    <w:rsid w:val="00A64AC5"/>
    <w:rsid w:val="00A705C1"/>
    <w:rsid w:val="00A70C75"/>
    <w:rsid w:val="00A733A2"/>
    <w:rsid w:val="00A7499F"/>
    <w:rsid w:val="00A801E7"/>
    <w:rsid w:val="00A806BC"/>
    <w:rsid w:val="00A80E4E"/>
    <w:rsid w:val="00A831C5"/>
    <w:rsid w:val="00A848BA"/>
    <w:rsid w:val="00A86E3D"/>
    <w:rsid w:val="00A90619"/>
    <w:rsid w:val="00A914E9"/>
    <w:rsid w:val="00A93EC0"/>
    <w:rsid w:val="00A94A48"/>
    <w:rsid w:val="00A94E36"/>
    <w:rsid w:val="00A96447"/>
    <w:rsid w:val="00A96A71"/>
    <w:rsid w:val="00AA70E2"/>
    <w:rsid w:val="00AB30CF"/>
    <w:rsid w:val="00AB40A9"/>
    <w:rsid w:val="00AC1113"/>
    <w:rsid w:val="00AC1F4C"/>
    <w:rsid w:val="00AC3C83"/>
    <w:rsid w:val="00AC6067"/>
    <w:rsid w:val="00AC6745"/>
    <w:rsid w:val="00AC6E5D"/>
    <w:rsid w:val="00AD40B2"/>
    <w:rsid w:val="00AE20FB"/>
    <w:rsid w:val="00AE290D"/>
    <w:rsid w:val="00AE3923"/>
    <w:rsid w:val="00AF4238"/>
    <w:rsid w:val="00AF5FC0"/>
    <w:rsid w:val="00AF63EA"/>
    <w:rsid w:val="00B010E8"/>
    <w:rsid w:val="00B051A8"/>
    <w:rsid w:val="00B16875"/>
    <w:rsid w:val="00B219F2"/>
    <w:rsid w:val="00B23445"/>
    <w:rsid w:val="00B241DE"/>
    <w:rsid w:val="00B30601"/>
    <w:rsid w:val="00B32996"/>
    <w:rsid w:val="00B33E15"/>
    <w:rsid w:val="00B371BC"/>
    <w:rsid w:val="00B37A46"/>
    <w:rsid w:val="00B406E2"/>
    <w:rsid w:val="00B40E5D"/>
    <w:rsid w:val="00B41507"/>
    <w:rsid w:val="00B428F4"/>
    <w:rsid w:val="00B44FB1"/>
    <w:rsid w:val="00B46636"/>
    <w:rsid w:val="00B50814"/>
    <w:rsid w:val="00B50BB3"/>
    <w:rsid w:val="00B5162C"/>
    <w:rsid w:val="00B524A4"/>
    <w:rsid w:val="00B55DDC"/>
    <w:rsid w:val="00B66DDD"/>
    <w:rsid w:val="00B67B97"/>
    <w:rsid w:val="00B7377B"/>
    <w:rsid w:val="00B77E42"/>
    <w:rsid w:val="00B81FED"/>
    <w:rsid w:val="00B845F6"/>
    <w:rsid w:val="00B85EE4"/>
    <w:rsid w:val="00B86EF4"/>
    <w:rsid w:val="00B91AD9"/>
    <w:rsid w:val="00B93A4F"/>
    <w:rsid w:val="00B946B2"/>
    <w:rsid w:val="00B94FFF"/>
    <w:rsid w:val="00B97032"/>
    <w:rsid w:val="00BA1C5C"/>
    <w:rsid w:val="00BA3DE1"/>
    <w:rsid w:val="00BA45E7"/>
    <w:rsid w:val="00BA4C2A"/>
    <w:rsid w:val="00BA5695"/>
    <w:rsid w:val="00BB036D"/>
    <w:rsid w:val="00BB1AB4"/>
    <w:rsid w:val="00BB1FC4"/>
    <w:rsid w:val="00BB4907"/>
    <w:rsid w:val="00BB6201"/>
    <w:rsid w:val="00BB70B3"/>
    <w:rsid w:val="00BB7D46"/>
    <w:rsid w:val="00BC1B4F"/>
    <w:rsid w:val="00BC1FD7"/>
    <w:rsid w:val="00BC360E"/>
    <w:rsid w:val="00BC6CA5"/>
    <w:rsid w:val="00BC7989"/>
    <w:rsid w:val="00BD11FD"/>
    <w:rsid w:val="00BD3085"/>
    <w:rsid w:val="00BD6511"/>
    <w:rsid w:val="00BD76C8"/>
    <w:rsid w:val="00BD7A50"/>
    <w:rsid w:val="00BE36AA"/>
    <w:rsid w:val="00BE55BE"/>
    <w:rsid w:val="00BE5FCB"/>
    <w:rsid w:val="00BE723C"/>
    <w:rsid w:val="00BF28AB"/>
    <w:rsid w:val="00C01EA5"/>
    <w:rsid w:val="00C03561"/>
    <w:rsid w:val="00C0376D"/>
    <w:rsid w:val="00C03919"/>
    <w:rsid w:val="00C04092"/>
    <w:rsid w:val="00C04B60"/>
    <w:rsid w:val="00C0572F"/>
    <w:rsid w:val="00C058F6"/>
    <w:rsid w:val="00C12C25"/>
    <w:rsid w:val="00C13DF0"/>
    <w:rsid w:val="00C14193"/>
    <w:rsid w:val="00C14FBB"/>
    <w:rsid w:val="00C17738"/>
    <w:rsid w:val="00C17AD8"/>
    <w:rsid w:val="00C2330B"/>
    <w:rsid w:val="00C23A79"/>
    <w:rsid w:val="00C23DE7"/>
    <w:rsid w:val="00C26323"/>
    <w:rsid w:val="00C3358D"/>
    <w:rsid w:val="00C378D0"/>
    <w:rsid w:val="00C37FDB"/>
    <w:rsid w:val="00C40364"/>
    <w:rsid w:val="00C4390C"/>
    <w:rsid w:val="00C44AC9"/>
    <w:rsid w:val="00C45F56"/>
    <w:rsid w:val="00C518D5"/>
    <w:rsid w:val="00C61317"/>
    <w:rsid w:val="00C63894"/>
    <w:rsid w:val="00C655E8"/>
    <w:rsid w:val="00C7117A"/>
    <w:rsid w:val="00C74183"/>
    <w:rsid w:val="00C800CB"/>
    <w:rsid w:val="00C803A5"/>
    <w:rsid w:val="00C82C14"/>
    <w:rsid w:val="00C85078"/>
    <w:rsid w:val="00C862F8"/>
    <w:rsid w:val="00C908DB"/>
    <w:rsid w:val="00C931B6"/>
    <w:rsid w:val="00C93B23"/>
    <w:rsid w:val="00CA0FA9"/>
    <w:rsid w:val="00CA1D85"/>
    <w:rsid w:val="00CA262F"/>
    <w:rsid w:val="00CA57BA"/>
    <w:rsid w:val="00CB54CC"/>
    <w:rsid w:val="00CB7EF0"/>
    <w:rsid w:val="00CC069F"/>
    <w:rsid w:val="00CC4851"/>
    <w:rsid w:val="00CD4ED5"/>
    <w:rsid w:val="00CD53CA"/>
    <w:rsid w:val="00CD7291"/>
    <w:rsid w:val="00CE02D2"/>
    <w:rsid w:val="00CE1628"/>
    <w:rsid w:val="00CE3A66"/>
    <w:rsid w:val="00CE3AFA"/>
    <w:rsid w:val="00CF2BAB"/>
    <w:rsid w:val="00CF54D1"/>
    <w:rsid w:val="00D010F1"/>
    <w:rsid w:val="00D01109"/>
    <w:rsid w:val="00D02CF4"/>
    <w:rsid w:val="00D06971"/>
    <w:rsid w:val="00D06B34"/>
    <w:rsid w:val="00D07E03"/>
    <w:rsid w:val="00D13BDB"/>
    <w:rsid w:val="00D2288B"/>
    <w:rsid w:val="00D27A8A"/>
    <w:rsid w:val="00D30F60"/>
    <w:rsid w:val="00D354FD"/>
    <w:rsid w:val="00D3570E"/>
    <w:rsid w:val="00D41A38"/>
    <w:rsid w:val="00D422B1"/>
    <w:rsid w:val="00D45250"/>
    <w:rsid w:val="00D45488"/>
    <w:rsid w:val="00D467C6"/>
    <w:rsid w:val="00D477A8"/>
    <w:rsid w:val="00D50006"/>
    <w:rsid w:val="00D51E05"/>
    <w:rsid w:val="00D57B37"/>
    <w:rsid w:val="00D63F09"/>
    <w:rsid w:val="00D654B3"/>
    <w:rsid w:val="00D65923"/>
    <w:rsid w:val="00D65D16"/>
    <w:rsid w:val="00D66AFA"/>
    <w:rsid w:val="00D74CB8"/>
    <w:rsid w:val="00D761B6"/>
    <w:rsid w:val="00D76D1C"/>
    <w:rsid w:val="00D76DB8"/>
    <w:rsid w:val="00D838A7"/>
    <w:rsid w:val="00D85A3F"/>
    <w:rsid w:val="00D868FB"/>
    <w:rsid w:val="00D86C43"/>
    <w:rsid w:val="00D86FEA"/>
    <w:rsid w:val="00D90360"/>
    <w:rsid w:val="00D925D7"/>
    <w:rsid w:val="00D94038"/>
    <w:rsid w:val="00DA1ED0"/>
    <w:rsid w:val="00DA3335"/>
    <w:rsid w:val="00DA3D69"/>
    <w:rsid w:val="00DA430D"/>
    <w:rsid w:val="00DA5163"/>
    <w:rsid w:val="00DA66D7"/>
    <w:rsid w:val="00DA72B7"/>
    <w:rsid w:val="00DB1053"/>
    <w:rsid w:val="00DB192A"/>
    <w:rsid w:val="00DB40BF"/>
    <w:rsid w:val="00DB7463"/>
    <w:rsid w:val="00DC090B"/>
    <w:rsid w:val="00DC297D"/>
    <w:rsid w:val="00DC3243"/>
    <w:rsid w:val="00DC5620"/>
    <w:rsid w:val="00DC6EA0"/>
    <w:rsid w:val="00DD020B"/>
    <w:rsid w:val="00DD2547"/>
    <w:rsid w:val="00DD6D12"/>
    <w:rsid w:val="00DD7859"/>
    <w:rsid w:val="00DE391B"/>
    <w:rsid w:val="00DE608E"/>
    <w:rsid w:val="00DE775F"/>
    <w:rsid w:val="00DF08BA"/>
    <w:rsid w:val="00DF0974"/>
    <w:rsid w:val="00DF2688"/>
    <w:rsid w:val="00DF26E1"/>
    <w:rsid w:val="00DF3972"/>
    <w:rsid w:val="00DF39F5"/>
    <w:rsid w:val="00DF4B76"/>
    <w:rsid w:val="00DF4D13"/>
    <w:rsid w:val="00E05C97"/>
    <w:rsid w:val="00E109B6"/>
    <w:rsid w:val="00E11F39"/>
    <w:rsid w:val="00E14394"/>
    <w:rsid w:val="00E14693"/>
    <w:rsid w:val="00E147FA"/>
    <w:rsid w:val="00E14AE5"/>
    <w:rsid w:val="00E16E1F"/>
    <w:rsid w:val="00E16E9D"/>
    <w:rsid w:val="00E305D1"/>
    <w:rsid w:val="00E31B73"/>
    <w:rsid w:val="00E323A1"/>
    <w:rsid w:val="00E34A6F"/>
    <w:rsid w:val="00E3691B"/>
    <w:rsid w:val="00E36F96"/>
    <w:rsid w:val="00E41DD8"/>
    <w:rsid w:val="00E47B98"/>
    <w:rsid w:val="00E52929"/>
    <w:rsid w:val="00E52B61"/>
    <w:rsid w:val="00E52BA8"/>
    <w:rsid w:val="00E561DC"/>
    <w:rsid w:val="00E56F54"/>
    <w:rsid w:val="00E57675"/>
    <w:rsid w:val="00E645B5"/>
    <w:rsid w:val="00E65950"/>
    <w:rsid w:val="00E73280"/>
    <w:rsid w:val="00E75181"/>
    <w:rsid w:val="00E75573"/>
    <w:rsid w:val="00E7573A"/>
    <w:rsid w:val="00E76081"/>
    <w:rsid w:val="00E7797A"/>
    <w:rsid w:val="00E8182E"/>
    <w:rsid w:val="00E86BB6"/>
    <w:rsid w:val="00E87654"/>
    <w:rsid w:val="00E9039A"/>
    <w:rsid w:val="00E906EF"/>
    <w:rsid w:val="00E90BC9"/>
    <w:rsid w:val="00E9204D"/>
    <w:rsid w:val="00E941A4"/>
    <w:rsid w:val="00E95158"/>
    <w:rsid w:val="00E96CE7"/>
    <w:rsid w:val="00EA075C"/>
    <w:rsid w:val="00EA12C1"/>
    <w:rsid w:val="00EA1752"/>
    <w:rsid w:val="00EA1EDF"/>
    <w:rsid w:val="00EA2B83"/>
    <w:rsid w:val="00EA5CC6"/>
    <w:rsid w:val="00EB08F3"/>
    <w:rsid w:val="00EB0E90"/>
    <w:rsid w:val="00EB2F3A"/>
    <w:rsid w:val="00EB5786"/>
    <w:rsid w:val="00EB6518"/>
    <w:rsid w:val="00EB7303"/>
    <w:rsid w:val="00EC1213"/>
    <w:rsid w:val="00EC1C81"/>
    <w:rsid w:val="00EC6DA3"/>
    <w:rsid w:val="00ED0A26"/>
    <w:rsid w:val="00ED13BB"/>
    <w:rsid w:val="00ED6AF6"/>
    <w:rsid w:val="00ED7A75"/>
    <w:rsid w:val="00EE2926"/>
    <w:rsid w:val="00EF0B42"/>
    <w:rsid w:val="00EF0F65"/>
    <w:rsid w:val="00EF2B87"/>
    <w:rsid w:val="00EF49DF"/>
    <w:rsid w:val="00EF5386"/>
    <w:rsid w:val="00EF6B54"/>
    <w:rsid w:val="00EF6D7D"/>
    <w:rsid w:val="00EF7458"/>
    <w:rsid w:val="00EF7BB1"/>
    <w:rsid w:val="00F06B97"/>
    <w:rsid w:val="00F12CBF"/>
    <w:rsid w:val="00F1611B"/>
    <w:rsid w:val="00F17004"/>
    <w:rsid w:val="00F17080"/>
    <w:rsid w:val="00F205AD"/>
    <w:rsid w:val="00F21839"/>
    <w:rsid w:val="00F24DEF"/>
    <w:rsid w:val="00F2639D"/>
    <w:rsid w:val="00F2792A"/>
    <w:rsid w:val="00F27D7F"/>
    <w:rsid w:val="00F27E5E"/>
    <w:rsid w:val="00F30562"/>
    <w:rsid w:val="00F31764"/>
    <w:rsid w:val="00F31BDE"/>
    <w:rsid w:val="00F328CD"/>
    <w:rsid w:val="00F3411A"/>
    <w:rsid w:val="00F35726"/>
    <w:rsid w:val="00F35B71"/>
    <w:rsid w:val="00F40F30"/>
    <w:rsid w:val="00F42A12"/>
    <w:rsid w:val="00F556B2"/>
    <w:rsid w:val="00F606DA"/>
    <w:rsid w:val="00F650AC"/>
    <w:rsid w:val="00F6612B"/>
    <w:rsid w:val="00F668A8"/>
    <w:rsid w:val="00F67901"/>
    <w:rsid w:val="00F73AC5"/>
    <w:rsid w:val="00F7580A"/>
    <w:rsid w:val="00F768B3"/>
    <w:rsid w:val="00F76C9B"/>
    <w:rsid w:val="00F81937"/>
    <w:rsid w:val="00F82A4B"/>
    <w:rsid w:val="00F83DE6"/>
    <w:rsid w:val="00F8480C"/>
    <w:rsid w:val="00F84B51"/>
    <w:rsid w:val="00F85392"/>
    <w:rsid w:val="00F863BA"/>
    <w:rsid w:val="00F866E9"/>
    <w:rsid w:val="00F86FB9"/>
    <w:rsid w:val="00F872F3"/>
    <w:rsid w:val="00F9451C"/>
    <w:rsid w:val="00F9542E"/>
    <w:rsid w:val="00F95F05"/>
    <w:rsid w:val="00F9732A"/>
    <w:rsid w:val="00FA2D82"/>
    <w:rsid w:val="00FA766D"/>
    <w:rsid w:val="00FA7693"/>
    <w:rsid w:val="00FB12D4"/>
    <w:rsid w:val="00FB13F3"/>
    <w:rsid w:val="00FB6200"/>
    <w:rsid w:val="00FC0796"/>
    <w:rsid w:val="00FC23D6"/>
    <w:rsid w:val="00FC4468"/>
    <w:rsid w:val="00FC53AC"/>
    <w:rsid w:val="00FD73AA"/>
    <w:rsid w:val="00FE3E04"/>
    <w:rsid w:val="00FE558E"/>
    <w:rsid w:val="00FE5CE7"/>
    <w:rsid w:val="00FF021A"/>
    <w:rsid w:val="00FF0E78"/>
    <w:rsid w:val="00FF31A7"/>
    <w:rsid w:val="00FF467D"/>
    <w:rsid w:val="00FF46A9"/>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basedOn w:val="DefaultParagraphFont"/>
    <w:link w:val="FootnoteText"/>
    <w:semiHidden/>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basedOn w:val="DefaultParagraphFont"/>
    <w:link w:val="FootnoteText"/>
    <w:semiHidden/>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0775">
      <w:bodyDiv w:val="1"/>
      <w:marLeft w:val="0"/>
      <w:marRight w:val="0"/>
      <w:marTop w:val="0"/>
      <w:marBottom w:val="0"/>
      <w:divBdr>
        <w:top w:val="none" w:sz="0" w:space="0" w:color="auto"/>
        <w:left w:val="none" w:sz="0" w:space="0" w:color="auto"/>
        <w:bottom w:val="none" w:sz="0" w:space="0" w:color="auto"/>
        <w:right w:val="none" w:sz="0" w:space="0" w:color="auto"/>
      </w:divBdr>
    </w:div>
    <w:div w:id="527137889">
      <w:bodyDiv w:val="1"/>
      <w:marLeft w:val="0"/>
      <w:marRight w:val="0"/>
      <w:marTop w:val="0"/>
      <w:marBottom w:val="0"/>
      <w:divBdr>
        <w:top w:val="none" w:sz="0" w:space="0" w:color="auto"/>
        <w:left w:val="none" w:sz="0" w:space="0" w:color="auto"/>
        <w:bottom w:val="none" w:sz="0" w:space="0" w:color="auto"/>
        <w:right w:val="none" w:sz="0" w:space="0" w:color="auto"/>
      </w:divBdr>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8479B-8501-47BD-85F6-DD34A1FB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bfaccenda</cp:lastModifiedBy>
  <cp:revision>52</cp:revision>
  <cp:lastPrinted>2014-04-08T13:13:00Z</cp:lastPrinted>
  <dcterms:created xsi:type="dcterms:W3CDTF">2014-03-24T19:08:00Z</dcterms:created>
  <dcterms:modified xsi:type="dcterms:W3CDTF">2014-04-08T13:14:00Z</dcterms:modified>
</cp:coreProperties>
</file>