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5AB" w:rsidRDefault="009905AB" w:rsidP="009905AB">
      <w:pPr>
        <w:spacing w:line="240" w:lineRule="auto"/>
        <w:rPr>
          <w:b/>
        </w:rPr>
      </w:pPr>
      <w:r>
        <w:rPr>
          <w:b/>
        </w:rPr>
        <w:t>BEFORE THE</w:t>
      </w:r>
    </w:p>
    <w:p w:rsidR="009905AB" w:rsidRDefault="009905AB" w:rsidP="009905AB">
      <w:pPr>
        <w:spacing w:line="240" w:lineRule="auto"/>
        <w:rPr>
          <w:b/>
        </w:rPr>
      </w:pPr>
      <w:r>
        <w:rPr>
          <w:b/>
        </w:rPr>
        <w:t>PENNSYLVANIA PUBLIC UTILITY COMMISSION</w:t>
      </w:r>
    </w:p>
    <w:p w:rsidR="009905AB" w:rsidRDefault="009905AB" w:rsidP="009905AB">
      <w:pPr>
        <w:spacing w:line="240" w:lineRule="auto"/>
        <w:rPr>
          <w:b/>
        </w:rPr>
      </w:pPr>
    </w:p>
    <w:p w:rsidR="00D10AB3" w:rsidRDefault="00D10AB3" w:rsidP="009905AB">
      <w:pPr>
        <w:spacing w:line="240" w:lineRule="auto"/>
        <w:rPr>
          <w:b/>
        </w:rPr>
      </w:pPr>
    </w:p>
    <w:p w:rsidR="009905AB" w:rsidRDefault="009905AB" w:rsidP="009905AB">
      <w:pPr>
        <w:spacing w:line="240" w:lineRule="auto"/>
        <w:rPr>
          <w:b/>
        </w:rPr>
      </w:pPr>
    </w:p>
    <w:p w:rsidR="009905AB" w:rsidRDefault="009905AB" w:rsidP="009905AB">
      <w:pPr>
        <w:spacing w:line="240" w:lineRule="auto"/>
        <w:jc w:val="left"/>
      </w:pPr>
      <w:r>
        <w:t>Jeffrey and Diana Smith</w:t>
      </w:r>
      <w:r>
        <w:tab/>
      </w:r>
      <w:r>
        <w:tab/>
      </w:r>
      <w:r>
        <w:tab/>
      </w:r>
      <w:r>
        <w:tab/>
        <w:t>:</w:t>
      </w:r>
    </w:p>
    <w:p w:rsidR="009905AB" w:rsidRDefault="009905AB" w:rsidP="009905AB">
      <w:pPr>
        <w:spacing w:line="240" w:lineRule="auto"/>
        <w:jc w:val="left"/>
      </w:pPr>
      <w:r>
        <w:tab/>
      </w:r>
      <w:r>
        <w:tab/>
      </w:r>
      <w:r>
        <w:tab/>
      </w:r>
      <w:r>
        <w:tab/>
      </w:r>
      <w:r>
        <w:tab/>
      </w:r>
      <w:r>
        <w:tab/>
      </w:r>
      <w:r>
        <w:tab/>
        <w:t>:</w:t>
      </w:r>
    </w:p>
    <w:p w:rsidR="009905AB" w:rsidRDefault="009905AB" w:rsidP="009905AB">
      <w:pPr>
        <w:spacing w:line="240" w:lineRule="auto"/>
        <w:jc w:val="left"/>
      </w:pPr>
      <w:r>
        <w:tab/>
        <w:t>v.</w:t>
      </w:r>
      <w:r>
        <w:tab/>
      </w:r>
      <w:r>
        <w:tab/>
      </w:r>
      <w:r>
        <w:tab/>
      </w:r>
      <w:r>
        <w:tab/>
      </w:r>
      <w:r>
        <w:tab/>
      </w:r>
      <w:r>
        <w:tab/>
        <w:t>:</w:t>
      </w:r>
      <w:r>
        <w:tab/>
      </w:r>
      <w:r>
        <w:tab/>
      </w:r>
      <w:r>
        <w:tab/>
        <w:t>C-2013-2390683</w:t>
      </w:r>
    </w:p>
    <w:p w:rsidR="009905AB" w:rsidRDefault="009905AB" w:rsidP="009905AB">
      <w:pPr>
        <w:spacing w:line="240" w:lineRule="auto"/>
        <w:jc w:val="left"/>
      </w:pPr>
      <w:r>
        <w:tab/>
      </w:r>
      <w:r>
        <w:tab/>
      </w:r>
      <w:r>
        <w:tab/>
      </w:r>
      <w:r>
        <w:tab/>
      </w:r>
      <w:r>
        <w:tab/>
      </w:r>
      <w:r>
        <w:tab/>
      </w:r>
      <w:r>
        <w:tab/>
        <w:t>:</w:t>
      </w:r>
    </w:p>
    <w:p w:rsidR="009905AB" w:rsidRDefault="009905AB" w:rsidP="009905AB">
      <w:pPr>
        <w:spacing w:line="240" w:lineRule="auto"/>
        <w:jc w:val="left"/>
      </w:pPr>
      <w:r>
        <w:t>PPL Electric Utilities Corporation</w:t>
      </w:r>
      <w:r>
        <w:tab/>
      </w:r>
      <w:r>
        <w:tab/>
      </w:r>
      <w:r>
        <w:tab/>
        <w:t>:</w:t>
      </w:r>
    </w:p>
    <w:p w:rsidR="009905AB" w:rsidRDefault="009905AB" w:rsidP="009905AB">
      <w:pPr>
        <w:spacing w:line="240" w:lineRule="auto"/>
        <w:jc w:val="left"/>
      </w:pPr>
    </w:p>
    <w:p w:rsidR="009905AB" w:rsidRDefault="009905AB" w:rsidP="009905AB">
      <w:pPr>
        <w:spacing w:line="240" w:lineRule="auto"/>
        <w:jc w:val="left"/>
      </w:pPr>
    </w:p>
    <w:p w:rsidR="00D10AB3" w:rsidRDefault="00D10AB3" w:rsidP="009905AB">
      <w:pPr>
        <w:spacing w:line="240" w:lineRule="auto"/>
        <w:jc w:val="left"/>
      </w:pPr>
    </w:p>
    <w:p w:rsidR="009905AB" w:rsidRPr="00B1035F" w:rsidRDefault="009905AB" w:rsidP="009905AB">
      <w:pPr>
        <w:spacing w:line="240" w:lineRule="auto"/>
        <w:rPr>
          <w:b/>
          <w:u w:val="single"/>
        </w:rPr>
      </w:pPr>
      <w:r w:rsidRPr="00B1035F">
        <w:rPr>
          <w:b/>
          <w:u w:val="single"/>
        </w:rPr>
        <w:t>ORDER GRANTING MOTION FOR CONTINUANCE</w:t>
      </w:r>
    </w:p>
    <w:p w:rsidR="009905AB" w:rsidRDefault="009905AB" w:rsidP="009905AB">
      <w:pPr>
        <w:spacing w:line="240" w:lineRule="auto"/>
        <w:rPr>
          <w:b/>
        </w:rPr>
      </w:pPr>
    </w:p>
    <w:p w:rsidR="009905AB" w:rsidRDefault="009905AB" w:rsidP="009905AB">
      <w:pPr>
        <w:spacing w:line="240" w:lineRule="auto"/>
        <w:rPr>
          <w:u w:val="single"/>
        </w:rPr>
      </w:pPr>
    </w:p>
    <w:p w:rsidR="009905AB" w:rsidRDefault="009905AB" w:rsidP="009905AB">
      <w:pPr>
        <w:jc w:val="left"/>
      </w:pPr>
      <w:r>
        <w:tab/>
      </w:r>
      <w:r>
        <w:tab/>
        <w:t xml:space="preserve">On October 9, 2013, Jeffrey and Diana Smith (Complainants) filed a formal Complaint against PPL Electric Utilities Corporation (PPL or Respondent or Company) alleging that PPL has been harassing them for the last fifteen years because of a 100 foot right-of-way running through the Complainants' property which carries a 69 kV transmission line.  Complainants allege that the Company has tried to widen the right-of-way beyond the 100 feet permitted in the deed which would result in the destruction of hundreds of healthy and irreplaceable trees.  They claim that the Company has caused major damage to the Complainants' driveway and has ignored the no trespassing signs and locked gates.  Respondent purposely intimidates and harasses the Complainants, and their blatant disregard for soil erosion issues result in repeated flooding of the Complainants' basement.  Complainants seek to have the Company's behavior cease, as well as to be compensated for the damages to their home's foundation, basement and well water system, and 15 years of harassment. Complainants claim that PPL should also be told not to change the geology of the area and not to retaliate against the Complainants, especially not by raising their electric bill which is currently over $300 per month.     </w:t>
      </w:r>
    </w:p>
    <w:p w:rsidR="009905AB" w:rsidRDefault="009905AB" w:rsidP="009905AB">
      <w:pPr>
        <w:jc w:val="left"/>
      </w:pPr>
    </w:p>
    <w:p w:rsidR="009905AB" w:rsidRDefault="009905AB" w:rsidP="009905AB">
      <w:pPr>
        <w:jc w:val="left"/>
      </w:pPr>
      <w:r>
        <w:tab/>
      </w:r>
      <w:r>
        <w:tab/>
        <w:t xml:space="preserve">The Complaint was served on November 9, 2013, and on November 27, 2013, PPL filed its Answer and New Matter as well as Preliminary Objections (POs).  The Answer states that its right-of-way permits it to operate and maintain the Quakertown 1-Upper Hanover 929 69 kV transmission line, which provides service to approximately 5,100 PPL Electric customers in Bucks and Montgomery Counties, as well as to the Boroughs of Perkasie and Quakertown.  The maintenance includes re-clearing the right-of-way of brush, tree removal, tree </w:t>
      </w:r>
      <w:r>
        <w:lastRenderedPageBreak/>
        <w:t xml:space="preserve">pruning, herbicide application, and the identification and removal of "danger trees," which are those located adjacent to the right-of-way and are classified as at risk of falling onto the right-of-way and striking the electric facilities.  </w:t>
      </w:r>
    </w:p>
    <w:p w:rsidR="009905AB" w:rsidRDefault="009905AB" w:rsidP="009905AB">
      <w:pPr>
        <w:jc w:val="left"/>
      </w:pPr>
    </w:p>
    <w:p w:rsidR="009905AB" w:rsidRDefault="009905AB" w:rsidP="009905AB">
      <w:pPr>
        <w:jc w:val="left"/>
      </w:pPr>
      <w:r>
        <w:tab/>
      </w:r>
      <w:r>
        <w:tab/>
        <w:t xml:space="preserve">The Answer continues by stating that a 100 foot right-of-way is sufficient for a 69 kV line, and that the Company neither needs nor seeks a wider right-of-way.  When carrying out the maintenance, the Company or its contractor will attempt to contact property owners to notify them of scheduled work in advance.  However, the Answer avers that the Complainants have denied PPL access to the right-of-way to perform the maintenance, despite the numerous outages due to hazard trees making contact with the transmission line that traverses the Complainants' property.  The portion of right-of-way on Complainants' property has been accessed via the right-of-way crossing an adjacent property.  The Complainants' driveway is not used by heavy equipment, and any PPL vehicle using it would be to provide vegetation management information, not to access the right-of-way located 200 feet away.  No work which would result in soil erosion has been performed in the prior three years.  </w:t>
      </w:r>
      <w:r>
        <w:tab/>
        <w:t xml:space="preserve">In New Matter, PPL avers that the stated claims arise from a property dispute over which the Commission does not exercise jurisdiction, including the interpretation of right-of-way and easement agreements.  In addition, the Complainants have requested relief for which the Commission has no authority to grant, including monetary compensation.  </w:t>
      </w:r>
    </w:p>
    <w:p w:rsidR="009905AB" w:rsidRDefault="009905AB" w:rsidP="009905AB">
      <w:pPr>
        <w:jc w:val="left"/>
      </w:pPr>
    </w:p>
    <w:p w:rsidR="00DD3337" w:rsidRDefault="009905AB" w:rsidP="009905AB">
      <w:pPr>
        <w:jc w:val="left"/>
      </w:pPr>
      <w:r>
        <w:tab/>
      </w:r>
      <w:r>
        <w:tab/>
        <w:t xml:space="preserve">The POs state that the Complaint's claims of trespass, property damage, and other claims associated with the valid and irrevocable right-of-way and easement agreements by and between PPL Electric and Complainants' predecessors in interest, including the request for injunctive relief, are beyond the subject matter of the Commission to grant and should, therefore, be dismissed.  </w:t>
      </w:r>
    </w:p>
    <w:p w:rsidR="009905AB" w:rsidRDefault="009905AB" w:rsidP="009905AB">
      <w:pPr>
        <w:jc w:val="left"/>
      </w:pPr>
    </w:p>
    <w:p w:rsidR="009905AB" w:rsidRDefault="009905AB" w:rsidP="009905AB">
      <w:pPr>
        <w:jc w:val="left"/>
      </w:pPr>
      <w:r>
        <w:tab/>
      </w:r>
      <w:r>
        <w:tab/>
        <w:t>On December 31, 2013, the matter was assigned to me.  On January 7, 2013, I issued an Order which granted the POs insofar as they sought a determination that the Commission will neither award monetary damages nor interpret the right-of-way or easement instrument but denied the POs insofar as they sought dismissal of the Complaint.  Rather, the remaining issue of whether specific actions of the utility within a stated time frame were violations over which the Commission can exercise jurisdiction were directed to be set for hearing.</w:t>
      </w:r>
    </w:p>
    <w:p w:rsidR="009905AB" w:rsidRDefault="009905AB" w:rsidP="009905AB">
      <w:pPr>
        <w:jc w:val="left"/>
      </w:pPr>
    </w:p>
    <w:p w:rsidR="009905AB" w:rsidRDefault="009905AB" w:rsidP="009905AB">
      <w:pPr>
        <w:jc w:val="left"/>
      </w:pPr>
      <w:r>
        <w:tab/>
      </w:r>
      <w:r>
        <w:tab/>
        <w:t xml:space="preserve">On February 28, 2014, a telephone hearing notice was issued which set the evidentiary hearing for April 22, 2014.  </w:t>
      </w:r>
    </w:p>
    <w:p w:rsidR="009905AB" w:rsidRDefault="009905AB" w:rsidP="009905AB">
      <w:pPr>
        <w:jc w:val="left"/>
      </w:pPr>
    </w:p>
    <w:p w:rsidR="009905AB" w:rsidRDefault="009905AB" w:rsidP="009905AB">
      <w:pPr>
        <w:jc w:val="left"/>
      </w:pPr>
      <w:r>
        <w:tab/>
      </w:r>
      <w:r>
        <w:tab/>
        <w:t xml:space="preserve">On April 11, 2014, counsel for the utility filed a Motion for Continuance, averring that the parties are actively seeking to settle the matter but need additional time.  The Motion represents that counsel for Complainants agrees with this request and presents three dates in July that the parties agree to be available for rescheduling.  </w:t>
      </w:r>
    </w:p>
    <w:p w:rsidR="00D253D6" w:rsidRDefault="00D253D6" w:rsidP="009905AB">
      <w:pPr>
        <w:jc w:val="left"/>
      </w:pPr>
    </w:p>
    <w:p w:rsidR="00D253D6" w:rsidRDefault="00D253D6" w:rsidP="009905AB">
      <w:pPr>
        <w:jc w:val="left"/>
      </w:pPr>
      <w:r>
        <w:tab/>
      </w:r>
      <w:r>
        <w:tab/>
        <w:t>As the parties agree and the Commission encourages settlements, the Motion is granted, and the evidentiary hearing will be rescheduled for Tuesday, July 22, 2014.  Should settlement be reached, the parties are asked to notify me as soon as possible so that the appropriate change can be made to the hearing calendar.</w:t>
      </w:r>
    </w:p>
    <w:p w:rsidR="00D253D6" w:rsidRDefault="00D253D6" w:rsidP="009905AB">
      <w:pPr>
        <w:jc w:val="left"/>
      </w:pPr>
    </w:p>
    <w:p w:rsidR="00D253D6" w:rsidRDefault="00D253D6" w:rsidP="009905AB">
      <w:pPr>
        <w:jc w:val="left"/>
      </w:pPr>
      <w:r>
        <w:tab/>
      </w:r>
      <w:r>
        <w:tab/>
        <w:t>THEREFORE,</w:t>
      </w:r>
    </w:p>
    <w:p w:rsidR="00D253D6" w:rsidRDefault="00D253D6" w:rsidP="009905AB">
      <w:pPr>
        <w:jc w:val="left"/>
      </w:pPr>
    </w:p>
    <w:p w:rsidR="00D253D6" w:rsidRDefault="00D253D6" w:rsidP="009905AB">
      <w:pPr>
        <w:jc w:val="left"/>
      </w:pPr>
      <w:r>
        <w:tab/>
      </w:r>
      <w:r>
        <w:tab/>
        <w:t>IT IS ORDERED:</w:t>
      </w:r>
    </w:p>
    <w:p w:rsidR="00D253D6" w:rsidRDefault="00D253D6" w:rsidP="009905AB">
      <w:pPr>
        <w:jc w:val="left"/>
      </w:pPr>
    </w:p>
    <w:p w:rsidR="00D253D6" w:rsidRDefault="00D253D6" w:rsidP="009905AB">
      <w:pPr>
        <w:jc w:val="left"/>
      </w:pPr>
      <w:r>
        <w:tab/>
      </w:r>
      <w:r>
        <w:tab/>
        <w:t>1.</w:t>
      </w:r>
      <w:r>
        <w:tab/>
        <w:t xml:space="preserve">That the Motion for Continuance filed by PPL Electric Utilities Corporation in the case captioned </w:t>
      </w:r>
      <w:r>
        <w:rPr>
          <w:i/>
        </w:rPr>
        <w:t>Jeffrey &amp; Diana Smith v. PPL Electric Utilities Corporation</w:t>
      </w:r>
      <w:r w:rsidR="00DD3337">
        <w:t xml:space="preserve"> at Docket No. C-2013-2390683, is granted.</w:t>
      </w:r>
    </w:p>
    <w:p w:rsidR="00DD3337" w:rsidRDefault="00DD3337" w:rsidP="009905AB">
      <w:pPr>
        <w:jc w:val="left"/>
      </w:pPr>
    </w:p>
    <w:p w:rsidR="00DD3337" w:rsidRDefault="00DD3337" w:rsidP="009905AB">
      <w:pPr>
        <w:jc w:val="left"/>
      </w:pPr>
      <w:r>
        <w:tab/>
      </w:r>
      <w:r>
        <w:tab/>
        <w:t>2.</w:t>
      </w:r>
      <w:r>
        <w:tab/>
        <w:t>That the matter be set for hearing on July 22, 2014.</w:t>
      </w:r>
    </w:p>
    <w:p w:rsidR="00DD3337" w:rsidRDefault="00DD3337" w:rsidP="009905AB">
      <w:pPr>
        <w:jc w:val="left"/>
      </w:pPr>
    </w:p>
    <w:p w:rsidR="009D248A" w:rsidRDefault="009D248A" w:rsidP="009905AB">
      <w:pPr>
        <w:jc w:val="left"/>
      </w:pPr>
    </w:p>
    <w:p w:rsidR="00DD3337" w:rsidRDefault="00DD3337" w:rsidP="00DD3337">
      <w:pPr>
        <w:spacing w:line="240" w:lineRule="auto"/>
        <w:jc w:val="left"/>
      </w:pPr>
      <w:r>
        <w:t>Dated:</w:t>
      </w:r>
      <w:r>
        <w:tab/>
      </w:r>
      <w:r>
        <w:rPr>
          <w:u w:val="single"/>
        </w:rPr>
        <w:t>April 11, 2014</w:t>
      </w:r>
      <w:r>
        <w:tab/>
      </w:r>
      <w:r>
        <w:tab/>
      </w:r>
      <w:r>
        <w:tab/>
      </w:r>
      <w:r>
        <w:tab/>
      </w:r>
      <w:r w:rsidR="006851AF">
        <w:tab/>
      </w:r>
      <w:r w:rsidR="006851AF">
        <w:rPr>
          <w:u w:val="single"/>
        </w:rPr>
        <w:tab/>
      </w:r>
      <w:r w:rsidR="006851AF">
        <w:rPr>
          <w:u w:val="single"/>
        </w:rPr>
        <w:tab/>
        <w:t>/s/</w:t>
      </w:r>
      <w:r w:rsidR="006851AF">
        <w:rPr>
          <w:u w:val="single"/>
        </w:rPr>
        <w:tab/>
      </w:r>
      <w:r w:rsidR="006851AF">
        <w:rPr>
          <w:u w:val="single"/>
        </w:rPr>
        <w:tab/>
      </w:r>
      <w:r w:rsidR="006851AF">
        <w:rPr>
          <w:u w:val="single"/>
        </w:rPr>
        <w:tab/>
      </w:r>
      <w:r w:rsidR="006851AF">
        <w:rPr>
          <w:u w:val="single"/>
        </w:rPr>
        <w:tab/>
      </w:r>
    </w:p>
    <w:p w:rsidR="00DD3337" w:rsidRDefault="00DD3337" w:rsidP="00DD3337">
      <w:pPr>
        <w:spacing w:line="240" w:lineRule="auto"/>
        <w:jc w:val="left"/>
      </w:pPr>
      <w:r>
        <w:tab/>
      </w:r>
      <w:r>
        <w:tab/>
      </w:r>
      <w:r>
        <w:tab/>
      </w:r>
      <w:r>
        <w:tab/>
      </w:r>
      <w:r>
        <w:tab/>
      </w:r>
      <w:r>
        <w:tab/>
      </w:r>
      <w:r w:rsidR="006851AF">
        <w:tab/>
      </w:r>
      <w:r>
        <w:t>Susan D. Colwell</w:t>
      </w:r>
    </w:p>
    <w:p w:rsidR="00DD3337" w:rsidRPr="00DD3337" w:rsidRDefault="00DD3337" w:rsidP="00DD3337">
      <w:pPr>
        <w:spacing w:line="240" w:lineRule="auto"/>
        <w:jc w:val="left"/>
      </w:pPr>
      <w:r>
        <w:tab/>
      </w:r>
      <w:r>
        <w:tab/>
      </w:r>
      <w:r>
        <w:tab/>
      </w:r>
      <w:r>
        <w:tab/>
      </w:r>
      <w:r>
        <w:tab/>
      </w:r>
      <w:r>
        <w:tab/>
      </w:r>
      <w:r w:rsidR="006851AF">
        <w:tab/>
      </w:r>
      <w:r>
        <w:t>Administrative Law Judge</w:t>
      </w:r>
      <w:r>
        <w:tab/>
      </w:r>
    </w:p>
    <w:p w:rsidR="009905AB" w:rsidRDefault="009905AB" w:rsidP="009905AB">
      <w:pPr>
        <w:jc w:val="left"/>
      </w:pPr>
    </w:p>
    <w:p w:rsidR="002427EE" w:rsidRDefault="002427EE" w:rsidP="009905AB">
      <w:pPr>
        <w:jc w:val="left"/>
        <w:sectPr w:rsidR="002427EE" w:rsidSect="009D248A">
          <w:footerReference w:type="default" r:id="rId7"/>
          <w:pgSz w:w="12240" w:h="15840"/>
          <w:pgMar w:top="1296" w:right="1440" w:bottom="1296" w:left="1440" w:header="720" w:footer="720" w:gutter="0"/>
          <w:cols w:space="720"/>
          <w:titlePg/>
          <w:docGrid w:linePitch="360"/>
        </w:sectPr>
      </w:pPr>
    </w:p>
    <w:p w:rsidR="002427EE" w:rsidRDefault="002427EE" w:rsidP="002427EE">
      <w:pPr>
        <w:jc w:val="left"/>
        <w:rPr>
          <w:rFonts w:ascii="Microsoft Sans Serif"/>
          <w:b/>
          <w:u w:val="single"/>
        </w:rPr>
      </w:pPr>
      <w:r>
        <w:rPr>
          <w:rFonts w:ascii="Microsoft Sans Serif"/>
          <w:b/>
          <w:u w:val="single"/>
        </w:rPr>
        <w:t>C-2013-2390683 - JEFFREY &amp; DIANA SMITH v. PPL ELECTRIC UTILITIES CORP</w:t>
      </w:r>
    </w:p>
    <w:p w:rsidR="002427EE" w:rsidRDefault="002427EE" w:rsidP="002427EE">
      <w:pPr>
        <w:jc w:val="left"/>
        <w:rPr>
          <w:rFonts w:ascii="Microsoft Sans Serif"/>
          <w:b/>
          <w:u w:val="single"/>
        </w:rPr>
      </w:pPr>
    </w:p>
    <w:p w:rsidR="002427EE" w:rsidRDefault="002427EE" w:rsidP="002427EE">
      <w:pPr>
        <w:spacing w:after="100" w:afterAutospacing="1" w:line="240" w:lineRule="auto"/>
        <w:contextualSpacing/>
        <w:jc w:val="left"/>
        <w:rPr>
          <w:rFonts w:ascii="Microsoft Sans Serif"/>
          <w:szCs w:val="20"/>
        </w:rPr>
      </w:pPr>
      <w:r>
        <w:rPr>
          <w:rFonts w:ascii="Microsoft Sans Serif"/>
        </w:rPr>
        <w:t>RICHARD BERLINGER ESQUIRE</w:t>
      </w:r>
    </w:p>
    <w:p w:rsidR="002427EE" w:rsidRDefault="002427EE" w:rsidP="002427EE">
      <w:pPr>
        <w:spacing w:after="100" w:afterAutospacing="1" w:line="240" w:lineRule="auto"/>
        <w:contextualSpacing/>
        <w:jc w:val="left"/>
        <w:rPr>
          <w:rFonts w:ascii="Microsoft Sans Serif" w:hAnsiTheme="minorHAnsi"/>
          <w:szCs w:val="22"/>
        </w:rPr>
      </w:pPr>
      <w:r>
        <w:rPr>
          <w:rFonts w:ascii="Microsoft Sans Serif"/>
        </w:rPr>
        <w:t>BERLINGER LAW</w:t>
      </w:r>
    </w:p>
    <w:p w:rsidR="002427EE" w:rsidRDefault="002427EE" w:rsidP="002427EE">
      <w:pPr>
        <w:spacing w:after="100" w:afterAutospacing="1" w:line="240" w:lineRule="auto"/>
        <w:contextualSpacing/>
        <w:jc w:val="left"/>
        <w:rPr>
          <w:rFonts w:ascii="Microsoft Sans Serif"/>
        </w:rPr>
      </w:pPr>
      <w:r>
        <w:rPr>
          <w:rFonts w:ascii="Microsoft Sans Serif"/>
        </w:rPr>
        <w:t>1494 OLD YORK RD SUITE 200</w:t>
      </w:r>
    </w:p>
    <w:p w:rsidR="002427EE" w:rsidRDefault="002427EE" w:rsidP="002427EE">
      <w:pPr>
        <w:spacing w:after="100" w:afterAutospacing="1" w:line="240" w:lineRule="auto"/>
        <w:contextualSpacing/>
        <w:jc w:val="left"/>
        <w:rPr>
          <w:rFonts w:ascii="Microsoft Sans Serif"/>
        </w:rPr>
      </w:pPr>
      <w:r>
        <w:rPr>
          <w:rFonts w:ascii="Microsoft Sans Serif"/>
        </w:rPr>
        <w:t>ABINGTON PA  19001</w:t>
      </w:r>
    </w:p>
    <w:p w:rsidR="002427EE" w:rsidRDefault="002427EE" w:rsidP="002427EE">
      <w:pPr>
        <w:spacing w:after="100" w:afterAutospacing="1" w:line="240" w:lineRule="auto"/>
        <w:contextualSpacing/>
        <w:jc w:val="left"/>
        <w:rPr>
          <w:rFonts w:ascii="Microsoft Sans Serif"/>
        </w:rPr>
      </w:pPr>
      <w:r>
        <w:rPr>
          <w:rFonts w:ascii="Microsoft Sans Serif"/>
        </w:rPr>
        <w:t>215-736-6500</w:t>
      </w:r>
    </w:p>
    <w:p w:rsidR="002427EE" w:rsidRDefault="002427EE" w:rsidP="002427EE">
      <w:pPr>
        <w:spacing w:after="100" w:afterAutospacing="1" w:line="240" w:lineRule="auto"/>
        <w:contextualSpacing/>
        <w:jc w:val="left"/>
        <w:rPr>
          <w:rFonts w:ascii="Microsoft Sans Serif"/>
          <w:i/>
        </w:rPr>
      </w:pPr>
      <w:r>
        <w:rPr>
          <w:rFonts w:ascii="Microsoft Sans Serif"/>
          <w:i/>
        </w:rPr>
        <w:t>Representing Jeffrey &amp; Diana Smith</w:t>
      </w:r>
    </w:p>
    <w:p w:rsidR="002427EE" w:rsidRDefault="002427EE" w:rsidP="002427EE">
      <w:pPr>
        <w:spacing w:after="100" w:afterAutospacing="1" w:line="240" w:lineRule="auto"/>
        <w:contextualSpacing/>
        <w:jc w:val="left"/>
        <w:rPr>
          <w:rFonts w:ascii="Microsoft Sans Serif"/>
        </w:rPr>
      </w:pPr>
    </w:p>
    <w:p w:rsidR="002427EE" w:rsidRDefault="002427EE" w:rsidP="002427EE">
      <w:pPr>
        <w:spacing w:after="100" w:afterAutospacing="1" w:line="240" w:lineRule="auto"/>
        <w:contextualSpacing/>
        <w:jc w:val="left"/>
        <w:rPr>
          <w:rFonts w:ascii="Microsoft Sans Serif" w:hAnsi="Calibri"/>
        </w:rPr>
      </w:pPr>
      <w:r>
        <w:rPr>
          <w:rFonts w:ascii="Microsoft Sans Serif" w:hAnsi="Calibri"/>
        </w:rPr>
        <w:t>JESSICA R ROGERS ESQUIRE</w:t>
      </w:r>
    </w:p>
    <w:p w:rsidR="002427EE" w:rsidRDefault="002427EE" w:rsidP="002427EE">
      <w:pPr>
        <w:spacing w:after="100" w:afterAutospacing="1" w:line="240" w:lineRule="auto"/>
        <w:contextualSpacing/>
        <w:jc w:val="left"/>
        <w:rPr>
          <w:rFonts w:ascii="Microsoft Sans Serif" w:hAnsi="Calibri"/>
        </w:rPr>
      </w:pPr>
      <w:r>
        <w:rPr>
          <w:rFonts w:ascii="Microsoft Sans Serif" w:hAnsi="Calibri"/>
        </w:rPr>
        <w:t>POST &amp; SCHELL</w:t>
      </w:r>
    </w:p>
    <w:p w:rsidR="002427EE" w:rsidRDefault="002427EE" w:rsidP="002427EE">
      <w:pPr>
        <w:spacing w:after="100" w:afterAutospacing="1" w:line="240" w:lineRule="auto"/>
        <w:contextualSpacing/>
        <w:jc w:val="left"/>
        <w:rPr>
          <w:rFonts w:ascii="Microsoft Sans Serif" w:hAnsi="Calibri"/>
        </w:rPr>
      </w:pPr>
      <w:r>
        <w:rPr>
          <w:rFonts w:ascii="Microsoft Sans Serif" w:hAnsi="Calibri"/>
        </w:rPr>
        <w:t>17 N SECOND ST</w:t>
      </w:r>
      <w:r>
        <w:rPr>
          <w:rFonts w:ascii="Microsoft Sans Serif" w:hAnsi="Calibri"/>
        </w:rPr>
        <w:t xml:space="preserve">REET </w:t>
      </w:r>
      <w:r>
        <w:rPr>
          <w:rFonts w:ascii="Microsoft Sans Serif" w:hAnsi="Calibri"/>
        </w:rPr>
        <w:t>12TH FL</w:t>
      </w:r>
    </w:p>
    <w:p w:rsidR="002427EE" w:rsidRDefault="002427EE" w:rsidP="002427EE">
      <w:pPr>
        <w:spacing w:after="100" w:afterAutospacing="1" w:line="240" w:lineRule="auto"/>
        <w:contextualSpacing/>
        <w:jc w:val="left"/>
        <w:rPr>
          <w:rFonts w:ascii="Microsoft Sans Serif" w:hAnsi="Calibri"/>
        </w:rPr>
      </w:pPr>
      <w:r>
        <w:rPr>
          <w:rFonts w:ascii="Microsoft Sans Serif" w:hAnsi="Calibri"/>
        </w:rPr>
        <w:t>HARRISBURG PA  17101-1601</w:t>
      </w:r>
    </w:p>
    <w:p w:rsidR="002427EE" w:rsidRDefault="002427EE" w:rsidP="002427EE">
      <w:pPr>
        <w:spacing w:after="100" w:afterAutospacing="1" w:line="240" w:lineRule="auto"/>
        <w:contextualSpacing/>
        <w:jc w:val="left"/>
        <w:rPr>
          <w:rFonts w:ascii="Microsoft Sans Serif" w:hAnsi="Calibri"/>
        </w:rPr>
      </w:pPr>
      <w:r>
        <w:rPr>
          <w:rFonts w:ascii="Microsoft Sans Serif" w:hAnsi="Calibri"/>
        </w:rPr>
        <w:t>717-612-6018</w:t>
      </w:r>
    </w:p>
    <w:p w:rsidR="002427EE" w:rsidRDefault="002427EE" w:rsidP="002427EE">
      <w:pPr>
        <w:spacing w:after="100" w:afterAutospacing="1" w:line="240" w:lineRule="auto"/>
        <w:contextualSpacing/>
        <w:jc w:val="left"/>
        <w:rPr>
          <w:rFonts w:ascii="Microsoft Sans Serif" w:hAnsi="Calibri"/>
          <w:b/>
          <w:i/>
        </w:rPr>
      </w:pPr>
      <w:r>
        <w:rPr>
          <w:rFonts w:ascii="Microsoft Sans Serif" w:hAnsi="Calibri"/>
          <w:b/>
          <w:i/>
        </w:rPr>
        <w:t>E-Serve</w:t>
      </w:r>
    </w:p>
    <w:p w:rsidR="00C04960" w:rsidRDefault="00C04960" w:rsidP="002427EE">
      <w:pPr>
        <w:jc w:val="left"/>
      </w:pPr>
      <w:bookmarkStart w:id="0" w:name="_GoBack"/>
      <w:bookmarkEnd w:id="0"/>
    </w:p>
    <w:sectPr w:rsidR="00C04960" w:rsidSect="009D248A">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33A" w:rsidRDefault="005A633A" w:rsidP="00DD3337">
      <w:pPr>
        <w:spacing w:line="240" w:lineRule="auto"/>
      </w:pPr>
      <w:r>
        <w:separator/>
      </w:r>
    </w:p>
  </w:endnote>
  <w:endnote w:type="continuationSeparator" w:id="0">
    <w:p w:rsidR="005A633A" w:rsidRDefault="005A633A" w:rsidP="00DD33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69083"/>
      <w:docPartObj>
        <w:docPartGallery w:val="Page Numbers (Bottom of Page)"/>
        <w:docPartUnique/>
      </w:docPartObj>
    </w:sdtPr>
    <w:sdtEndPr>
      <w:rPr>
        <w:noProof/>
      </w:rPr>
    </w:sdtEndPr>
    <w:sdtContent>
      <w:p w:rsidR="00DD3337" w:rsidRDefault="00DD3337">
        <w:pPr>
          <w:pStyle w:val="Footer"/>
        </w:pPr>
        <w:r>
          <w:fldChar w:fldCharType="begin"/>
        </w:r>
        <w:r>
          <w:instrText xml:space="preserve"> PAGE   \* MERGEFORMAT </w:instrText>
        </w:r>
        <w:r>
          <w:fldChar w:fldCharType="separate"/>
        </w:r>
        <w:r w:rsidR="002427EE">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33A" w:rsidRDefault="005A633A" w:rsidP="00DD3337">
      <w:pPr>
        <w:spacing w:line="240" w:lineRule="auto"/>
      </w:pPr>
      <w:r>
        <w:separator/>
      </w:r>
    </w:p>
  </w:footnote>
  <w:footnote w:type="continuationSeparator" w:id="0">
    <w:p w:rsidR="005A633A" w:rsidRDefault="005A633A" w:rsidP="00DD33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5AB"/>
    <w:rsid w:val="00001E3A"/>
    <w:rsid w:val="00001EF6"/>
    <w:rsid w:val="000028EA"/>
    <w:rsid w:val="00003D11"/>
    <w:rsid w:val="00004AA3"/>
    <w:rsid w:val="00005558"/>
    <w:rsid w:val="000079FE"/>
    <w:rsid w:val="00012104"/>
    <w:rsid w:val="00012655"/>
    <w:rsid w:val="0001305A"/>
    <w:rsid w:val="00016E55"/>
    <w:rsid w:val="0002023D"/>
    <w:rsid w:val="00020760"/>
    <w:rsid w:val="00020DA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27EE"/>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0C4D"/>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484"/>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33A"/>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1AF"/>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5AB"/>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24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035F"/>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0AB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53D6"/>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3337"/>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3188"/>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337"/>
    <w:pPr>
      <w:tabs>
        <w:tab w:val="center" w:pos="4680"/>
        <w:tab w:val="right" w:pos="9360"/>
      </w:tabs>
      <w:spacing w:line="240" w:lineRule="auto"/>
    </w:pPr>
  </w:style>
  <w:style w:type="character" w:customStyle="1" w:styleId="HeaderChar">
    <w:name w:val="Header Char"/>
    <w:basedOn w:val="DefaultParagraphFont"/>
    <w:link w:val="Header"/>
    <w:uiPriority w:val="99"/>
    <w:rsid w:val="00DD3337"/>
  </w:style>
  <w:style w:type="paragraph" w:styleId="Footer">
    <w:name w:val="footer"/>
    <w:basedOn w:val="Normal"/>
    <w:link w:val="FooterChar"/>
    <w:uiPriority w:val="99"/>
    <w:unhideWhenUsed/>
    <w:rsid w:val="00DD3337"/>
    <w:pPr>
      <w:tabs>
        <w:tab w:val="center" w:pos="4680"/>
        <w:tab w:val="right" w:pos="9360"/>
      </w:tabs>
      <w:spacing w:line="240" w:lineRule="auto"/>
    </w:pPr>
  </w:style>
  <w:style w:type="character" w:customStyle="1" w:styleId="FooterChar">
    <w:name w:val="Footer Char"/>
    <w:basedOn w:val="DefaultParagraphFont"/>
    <w:link w:val="Footer"/>
    <w:uiPriority w:val="99"/>
    <w:rsid w:val="00DD33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337"/>
    <w:pPr>
      <w:tabs>
        <w:tab w:val="center" w:pos="4680"/>
        <w:tab w:val="right" w:pos="9360"/>
      </w:tabs>
      <w:spacing w:line="240" w:lineRule="auto"/>
    </w:pPr>
  </w:style>
  <w:style w:type="character" w:customStyle="1" w:styleId="HeaderChar">
    <w:name w:val="Header Char"/>
    <w:basedOn w:val="DefaultParagraphFont"/>
    <w:link w:val="Header"/>
    <w:uiPriority w:val="99"/>
    <w:rsid w:val="00DD3337"/>
  </w:style>
  <w:style w:type="paragraph" w:styleId="Footer">
    <w:name w:val="footer"/>
    <w:basedOn w:val="Normal"/>
    <w:link w:val="FooterChar"/>
    <w:uiPriority w:val="99"/>
    <w:unhideWhenUsed/>
    <w:rsid w:val="00DD3337"/>
    <w:pPr>
      <w:tabs>
        <w:tab w:val="center" w:pos="4680"/>
        <w:tab w:val="right" w:pos="9360"/>
      </w:tabs>
      <w:spacing w:line="240" w:lineRule="auto"/>
    </w:pPr>
  </w:style>
  <w:style w:type="character" w:customStyle="1" w:styleId="FooterChar">
    <w:name w:val="Footer Char"/>
    <w:basedOn w:val="DefaultParagraphFont"/>
    <w:link w:val="Footer"/>
    <w:uiPriority w:val="99"/>
    <w:rsid w:val="00DD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14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5</cp:revision>
  <cp:lastPrinted>2014-04-11T13:15:00Z</cp:lastPrinted>
  <dcterms:created xsi:type="dcterms:W3CDTF">2014-04-11T13:39:00Z</dcterms:created>
  <dcterms:modified xsi:type="dcterms:W3CDTF">2014-04-11T16:14:00Z</dcterms:modified>
</cp:coreProperties>
</file>