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87"/>
        <w:gridCol w:w="1440"/>
      </w:tblGrid>
      <w:tr w:rsidR="00C74A51">
        <w:trPr>
          <w:trHeight w:val="990"/>
        </w:trPr>
        <w:tc>
          <w:tcPr>
            <w:tcW w:w="1363" w:type="dxa"/>
          </w:tcPr>
          <w:p w:rsidR="00C74A51" w:rsidRDefault="00C00B85">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8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4F32B3" w:rsidRDefault="004F32B3">
            <w:pPr>
              <w:jc w:val="right"/>
              <w:rPr>
                <w:sz w:val="16"/>
                <w:szCs w:val="16"/>
              </w:rPr>
            </w:pPr>
          </w:p>
          <w:p w:rsidR="003569E8" w:rsidRPr="00170283" w:rsidRDefault="00C00B85" w:rsidP="00284E35">
            <w:pPr>
              <w:jc w:val="right"/>
              <w:rPr>
                <w:rFonts w:ascii="Arial" w:hAnsi="Arial"/>
                <w:sz w:val="16"/>
                <w:szCs w:val="16"/>
              </w:rPr>
            </w:pPr>
            <w:r>
              <w:rPr>
                <w:sz w:val="16"/>
                <w:szCs w:val="16"/>
              </w:rPr>
              <w:t>M-2012-2290911</w:t>
            </w:r>
            <w:r w:rsidR="00FA244D">
              <w:rPr>
                <w:sz w:val="16"/>
                <w:szCs w:val="16"/>
              </w:rPr>
              <w:t xml:space="preserve">     </w:t>
            </w:r>
          </w:p>
        </w:tc>
      </w:tr>
    </w:tbl>
    <w:p w:rsidR="00C74A51" w:rsidRDefault="00C74A51">
      <w:pPr>
        <w:rPr>
          <w:sz w:val="24"/>
        </w:rPr>
        <w:sectPr w:rsidR="00C74A51" w:rsidSect="00BF6F03">
          <w:footerReference w:type="even" r:id="rId10"/>
          <w:footerReference w:type="default" r:id="rId11"/>
          <w:pgSz w:w="12240" w:h="15840"/>
          <w:pgMar w:top="504" w:right="1440" w:bottom="1440" w:left="1440" w:header="720" w:footer="720" w:gutter="0"/>
          <w:cols w:space="720"/>
          <w:titlePg/>
        </w:sectPr>
      </w:pPr>
    </w:p>
    <w:p w:rsidR="00FA0E37" w:rsidRDefault="00FA0E37" w:rsidP="00FA0E37">
      <w:pPr>
        <w:jc w:val="center"/>
        <w:rPr>
          <w:b/>
          <w:sz w:val="26"/>
          <w:szCs w:val="26"/>
        </w:rPr>
      </w:pPr>
    </w:p>
    <w:p w:rsidR="001E1BF3" w:rsidRPr="003C56E2" w:rsidRDefault="001E1BF3" w:rsidP="00FA0E37">
      <w:pPr>
        <w:jc w:val="center"/>
        <w:rPr>
          <w:b/>
          <w:sz w:val="26"/>
          <w:szCs w:val="26"/>
        </w:rPr>
      </w:pPr>
    </w:p>
    <w:p w:rsidR="009B6B45" w:rsidRDefault="003C56E2" w:rsidP="003C56E2">
      <w:pPr>
        <w:rPr>
          <w:b/>
          <w:sz w:val="26"/>
          <w:szCs w:val="26"/>
        </w:rPr>
      </w:pPr>
      <w:r w:rsidRPr="003C56E2">
        <w:rPr>
          <w:b/>
          <w:sz w:val="26"/>
          <w:szCs w:val="26"/>
        </w:rPr>
        <w:tab/>
      </w:r>
      <w:r>
        <w:rPr>
          <w:b/>
          <w:sz w:val="26"/>
          <w:szCs w:val="26"/>
        </w:rPr>
        <w:tab/>
      </w:r>
      <w:r>
        <w:rPr>
          <w:b/>
          <w:sz w:val="26"/>
          <w:szCs w:val="26"/>
        </w:rPr>
        <w:tab/>
      </w:r>
      <w:r>
        <w:rPr>
          <w:b/>
          <w:sz w:val="26"/>
          <w:szCs w:val="26"/>
        </w:rPr>
        <w:tab/>
      </w:r>
      <w:r>
        <w:rPr>
          <w:b/>
          <w:sz w:val="26"/>
          <w:szCs w:val="26"/>
        </w:rPr>
        <w:tab/>
      </w:r>
    </w:p>
    <w:p w:rsidR="001F2EDC" w:rsidRPr="003C56E2" w:rsidRDefault="009B6B45" w:rsidP="003C56E2">
      <w:pPr>
        <w:rPr>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sidR="003C56E2" w:rsidRPr="003C56E2">
        <w:rPr>
          <w:b/>
          <w:sz w:val="26"/>
          <w:szCs w:val="26"/>
        </w:rPr>
        <w:tab/>
      </w:r>
      <w:r w:rsidR="002963C3">
        <w:rPr>
          <w:b/>
          <w:sz w:val="26"/>
          <w:szCs w:val="26"/>
        </w:rPr>
        <w:t>April 25, 2014</w:t>
      </w:r>
    </w:p>
    <w:p w:rsidR="003C56E2" w:rsidRDefault="003C56E2" w:rsidP="00FA0E37">
      <w:pPr>
        <w:jc w:val="center"/>
        <w:rPr>
          <w:b/>
          <w:sz w:val="26"/>
          <w:szCs w:val="26"/>
        </w:rPr>
      </w:pPr>
    </w:p>
    <w:p w:rsidR="00313F77" w:rsidRPr="003C56E2" w:rsidRDefault="00313F77" w:rsidP="00313F77">
      <w:pPr>
        <w:rPr>
          <w:b/>
          <w:sz w:val="26"/>
          <w:szCs w:val="26"/>
        </w:rPr>
      </w:pPr>
    </w:p>
    <w:p w:rsidR="00FA244D" w:rsidRDefault="00FF4F1C" w:rsidP="00FF4F1C">
      <w:pPr>
        <w:ind w:left="720" w:right="576" w:hanging="720"/>
        <w:rPr>
          <w:sz w:val="26"/>
          <w:szCs w:val="26"/>
        </w:rPr>
      </w:pPr>
      <w:r>
        <w:rPr>
          <w:sz w:val="26"/>
          <w:szCs w:val="26"/>
        </w:rPr>
        <w:t>To:</w:t>
      </w:r>
      <w:r>
        <w:rPr>
          <w:sz w:val="26"/>
          <w:szCs w:val="26"/>
        </w:rPr>
        <w:tab/>
      </w:r>
      <w:r w:rsidRPr="00C22027">
        <w:rPr>
          <w:sz w:val="26"/>
          <w:szCs w:val="26"/>
        </w:rPr>
        <w:t>Parties of Record in M-2012-2290911 and all parties served with the Commission’s April 4, 2013 order at that docket</w:t>
      </w:r>
    </w:p>
    <w:p w:rsidR="00930003" w:rsidRPr="003C56E2" w:rsidRDefault="00930003" w:rsidP="00930003">
      <w:pPr>
        <w:ind w:right="576"/>
        <w:rPr>
          <w:sz w:val="26"/>
          <w:szCs w:val="26"/>
        </w:rPr>
      </w:pPr>
    </w:p>
    <w:p w:rsidR="001F2EDC" w:rsidRPr="003C56E2" w:rsidRDefault="001F2EDC" w:rsidP="00930003">
      <w:pPr>
        <w:ind w:right="576"/>
        <w:rPr>
          <w:sz w:val="26"/>
          <w:szCs w:val="26"/>
        </w:rPr>
      </w:pPr>
    </w:p>
    <w:p w:rsidR="00EC71DD" w:rsidRDefault="00930003" w:rsidP="00FF4F1C">
      <w:pPr>
        <w:rPr>
          <w:sz w:val="26"/>
          <w:szCs w:val="26"/>
        </w:rPr>
      </w:pPr>
      <w:r w:rsidRPr="003C56E2">
        <w:rPr>
          <w:sz w:val="26"/>
          <w:szCs w:val="26"/>
        </w:rPr>
        <w:t>Re:</w:t>
      </w:r>
      <w:r w:rsidR="00FA244D">
        <w:rPr>
          <w:sz w:val="26"/>
          <w:szCs w:val="26"/>
        </w:rPr>
        <w:tab/>
      </w:r>
      <w:r w:rsidR="00FF4F1C" w:rsidRPr="00C22027">
        <w:rPr>
          <w:sz w:val="26"/>
          <w:szCs w:val="26"/>
        </w:rPr>
        <w:t>CAP Design Issue</w:t>
      </w:r>
    </w:p>
    <w:p w:rsidR="00930003" w:rsidRDefault="00EC71DD" w:rsidP="00930003">
      <w:pPr>
        <w:ind w:left="1440" w:hanging="540"/>
        <w:rPr>
          <w:sz w:val="26"/>
          <w:szCs w:val="26"/>
        </w:rPr>
      </w:pPr>
      <w:r>
        <w:rPr>
          <w:sz w:val="26"/>
          <w:szCs w:val="26"/>
        </w:rPr>
        <w:t xml:space="preserve">       </w:t>
      </w:r>
      <w:r w:rsidR="005A0955">
        <w:rPr>
          <w:sz w:val="26"/>
          <w:szCs w:val="26"/>
        </w:rPr>
        <w:t xml:space="preserve"> </w:t>
      </w:r>
      <w:r>
        <w:rPr>
          <w:sz w:val="26"/>
          <w:szCs w:val="26"/>
        </w:rPr>
        <w:t xml:space="preserve"> </w:t>
      </w:r>
    </w:p>
    <w:p w:rsidR="001F2EDC" w:rsidRPr="003C56E2" w:rsidRDefault="001F2EDC" w:rsidP="00930003">
      <w:pPr>
        <w:rPr>
          <w:sz w:val="26"/>
          <w:szCs w:val="26"/>
        </w:rPr>
      </w:pPr>
    </w:p>
    <w:p w:rsidR="00FF4F1C" w:rsidRDefault="00FF4F1C" w:rsidP="00FF4F1C">
      <w:pPr>
        <w:ind w:firstLine="720"/>
        <w:rPr>
          <w:sz w:val="26"/>
          <w:szCs w:val="26"/>
        </w:rPr>
      </w:pPr>
      <w:r w:rsidRPr="00C22027">
        <w:rPr>
          <w:sz w:val="26"/>
          <w:szCs w:val="26"/>
        </w:rPr>
        <w:t xml:space="preserve">On April 4, 2013, the Commission approved a Final Order at M-2012-2290911 relative to PECO Energy Company’s (PECO) proposed Universal Service and Energy Conservation Plan (USECP) for 2013-2015, which, </w:t>
      </w:r>
      <w:r w:rsidRPr="00C22027">
        <w:rPr>
          <w:i/>
          <w:sz w:val="26"/>
          <w:szCs w:val="26"/>
        </w:rPr>
        <w:t>inter alia</w:t>
      </w:r>
      <w:r w:rsidRPr="00C22027">
        <w:rPr>
          <w:sz w:val="26"/>
          <w:szCs w:val="26"/>
        </w:rPr>
        <w:t xml:space="preserve">, details PECO’s customer assistance plan (CAP).  </w:t>
      </w:r>
      <w:r w:rsidRPr="00C22027">
        <w:rPr>
          <w:i/>
          <w:sz w:val="26"/>
          <w:szCs w:val="26"/>
        </w:rPr>
        <w:t>PECO USECP for 2013</w:t>
      </w:r>
      <w:r w:rsidRPr="00C22027">
        <w:rPr>
          <w:sz w:val="26"/>
          <w:szCs w:val="26"/>
        </w:rPr>
        <w:t>-2015, Docket No. </w:t>
      </w:r>
      <w:proofErr w:type="gramStart"/>
      <w:r w:rsidRPr="00C22027">
        <w:rPr>
          <w:sz w:val="26"/>
          <w:szCs w:val="26"/>
        </w:rPr>
        <w:t>M</w:t>
      </w:r>
      <w:r w:rsidRPr="00C22027">
        <w:rPr>
          <w:sz w:val="26"/>
          <w:szCs w:val="26"/>
        </w:rPr>
        <w:noBreakHyphen/>
        <w:t>2012-2290911.</w:t>
      </w:r>
      <w:proofErr w:type="gramEnd"/>
      <w:r w:rsidRPr="00C22027">
        <w:rPr>
          <w:sz w:val="26"/>
          <w:szCs w:val="26"/>
        </w:rPr>
        <w:t xml:space="preserve">  The order </w:t>
      </w:r>
      <w:r>
        <w:rPr>
          <w:sz w:val="26"/>
          <w:szCs w:val="26"/>
        </w:rPr>
        <w:t xml:space="preserve">resolved all issues pertaining to PECO’s USECP except for PECO’s CAP design.  The order </w:t>
      </w:r>
      <w:r w:rsidRPr="00C22027">
        <w:rPr>
          <w:sz w:val="26"/>
          <w:szCs w:val="26"/>
        </w:rPr>
        <w:t xml:space="preserve">called for further information from PECO </w:t>
      </w:r>
      <w:r>
        <w:rPr>
          <w:sz w:val="26"/>
          <w:szCs w:val="26"/>
        </w:rPr>
        <w:t xml:space="preserve">on this one issue </w:t>
      </w:r>
      <w:r w:rsidRPr="00C22027">
        <w:rPr>
          <w:sz w:val="26"/>
          <w:szCs w:val="26"/>
        </w:rPr>
        <w:t>and allowed for comments.  PECO filed its Second Amended USECP for 2013-2015 on May 6, 2013.</w:t>
      </w:r>
      <w:r w:rsidRPr="00C22027">
        <w:rPr>
          <w:sz w:val="26"/>
          <w:szCs w:val="26"/>
          <w:vertAlign w:val="superscript"/>
        </w:rPr>
        <w:footnoteReference w:id="1"/>
      </w:r>
      <w:r w:rsidRPr="00C22027">
        <w:rPr>
          <w:sz w:val="26"/>
          <w:szCs w:val="26"/>
        </w:rPr>
        <w:t xml:space="preserve">  On September 30, 2013, PECO filed its </w:t>
      </w:r>
      <w:r w:rsidRPr="00C22027">
        <w:rPr>
          <w:i/>
          <w:sz w:val="26"/>
          <w:szCs w:val="26"/>
        </w:rPr>
        <w:t xml:space="preserve">Report on Alternative Models for Delivery of CAP Benefits Including Fixed Costs Option (FCO) </w:t>
      </w:r>
      <w:r w:rsidRPr="00C22027">
        <w:rPr>
          <w:sz w:val="26"/>
          <w:szCs w:val="26"/>
        </w:rPr>
        <w:t>(</w:t>
      </w:r>
      <w:r w:rsidRPr="00C22027">
        <w:rPr>
          <w:i/>
          <w:sz w:val="26"/>
          <w:szCs w:val="26"/>
        </w:rPr>
        <w:t>Report</w:t>
      </w:r>
      <w:r w:rsidRPr="00C22027">
        <w:rPr>
          <w:sz w:val="26"/>
          <w:szCs w:val="26"/>
        </w:rPr>
        <w:t xml:space="preserve">) analyzing several CAP design models.  In response to informal inquiries by three advocate groups, PECO filed supplemental information on October 15, 2013.  </w:t>
      </w:r>
    </w:p>
    <w:p w:rsidR="00FF4F1C" w:rsidRPr="00C22027" w:rsidRDefault="00FF4F1C" w:rsidP="00FF4F1C">
      <w:pPr>
        <w:ind w:firstLine="720"/>
        <w:rPr>
          <w:sz w:val="26"/>
          <w:szCs w:val="26"/>
        </w:rPr>
      </w:pPr>
    </w:p>
    <w:p w:rsidR="00FF4F1C" w:rsidRDefault="00FF4F1C" w:rsidP="00FF4F1C">
      <w:pPr>
        <w:ind w:firstLine="720"/>
        <w:rPr>
          <w:sz w:val="26"/>
          <w:szCs w:val="26"/>
        </w:rPr>
      </w:pPr>
      <w:r w:rsidRPr="00C22027">
        <w:rPr>
          <w:sz w:val="26"/>
          <w:szCs w:val="26"/>
        </w:rPr>
        <w:t xml:space="preserve">On October 21, 2013, the Tenant Union Representative Network, </w:t>
      </w:r>
      <w:r w:rsidRPr="00C22027">
        <w:rPr>
          <w:i/>
          <w:sz w:val="26"/>
          <w:szCs w:val="26"/>
        </w:rPr>
        <w:t>et al.</w:t>
      </w:r>
      <w:r w:rsidRPr="00C22027">
        <w:rPr>
          <w:sz w:val="26"/>
          <w:szCs w:val="26"/>
        </w:rPr>
        <w:t xml:space="preserve"> (TURN), the Coalition for Affordable Utility Services and Energy Efficiency in Pennsylvania (CAUSE-PA), and the Office of Consumer Advocate (OCA) individually filed comments regarding the </w:t>
      </w:r>
      <w:r w:rsidRPr="00C22027">
        <w:rPr>
          <w:i/>
          <w:sz w:val="26"/>
          <w:szCs w:val="26"/>
        </w:rPr>
        <w:t>Report</w:t>
      </w:r>
      <w:r w:rsidRPr="00C22027">
        <w:rPr>
          <w:sz w:val="26"/>
          <w:szCs w:val="26"/>
        </w:rPr>
        <w:t>, analyses, and premises asserted by PECO relative to the CAP design models and the FCO analysis.  On October 31, 2013, OCA filed reply comments.  On November 1, 2013, PECO filed reply comments asserting that there is no alternative CAP design superior to the design currently in place.  Clearly, there is a difference of opinion among the parties regarding PECO’s CAP design.</w:t>
      </w:r>
    </w:p>
    <w:p w:rsidR="00FF4F1C" w:rsidRPr="00C22027" w:rsidRDefault="00FF4F1C" w:rsidP="00FF4F1C">
      <w:pPr>
        <w:ind w:firstLine="720"/>
        <w:rPr>
          <w:sz w:val="26"/>
          <w:szCs w:val="26"/>
        </w:rPr>
      </w:pPr>
    </w:p>
    <w:p w:rsidR="00FF4F1C" w:rsidRDefault="00FF4F1C" w:rsidP="00FF4F1C">
      <w:pPr>
        <w:ind w:firstLine="720"/>
        <w:rPr>
          <w:sz w:val="26"/>
          <w:szCs w:val="26"/>
        </w:rPr>
      </w:pPr>
      <w:r w:rsidRPr="00C22027">
        <w:rPr>
          <w:sz w:val="26"/>
          <w:szCs w:val="26"/>
        </w:rPr>
        <w:t xml:space="preserve">As it stands, PECO’s proposed USECP for 2016-2018 is due to be filed by February 2, 2015.  Based on comments regarding PECO’s CAP design, it appears that the disagreements among the stakeholders will not be rectified in time to be implemented as </w:t>
      </w:r>
      <w:r w:rsidRPr="00C22027">
        <w:rPr>
          <w:sz w:val="26"/>
          <w:szCs w:val="26"/>
        </w:rPr>
        <w:lastRenderedPageBreak/>
        <w:t xml:space="preserve">part of PECO’s USECP 2016-2018 absent concerted effort by the parties or by an on-the-record proceeding before an Administrative Law Judge. </w:t>
      </w:r>
    </w:p>
    <w:p w:rsidR="00FF4F1C" w:rsidRDefault="00FF4F1C" w:rsidP="00FF4F1C">
      <w:pPr>
        <w:ind w:firstLine="720"/>
        <w:rPr>
          <w:sz w:val="26"/>
          <w:szCs w:val="26"/>
        </w:rPr>
      </w:pPr>
      <w:r w:rsidRPr="00C22027">
        <w:rPr>
          <w:sz w:val="26"/>
          <w:szCs w:val="26"/>
        </w:rPr>
        <w:t xml:space="preserve"> </w:t>
      </w:r>
    </w:p>
    <w:p w:rsidR="00FF4F1C" w:rsidRDefault="00FF4F1C" w:rsidP="00FF4F1C">
      <w:pPr>
        <w:ind w:firstLine="720"/>
        <w:rPr>
          <w:sz w:val="26"/>
          <w:szCs w:val="26"/>
        </w:rPr>
      </w:pPr>
      <w:r w:rsidRPr="00C22027">
        <w:rPr>
          <w:sz w:val="26"/>
          <w:szCs w:val="26"/>
        </w:rPr>
        <w:t xml:space="preserve">Accordingly, the parties are directed as follows:  </w:t>
      </w:r>
    </w:p>
    <w:p w:rsidR="00FF4F1C" w:rsidRPr="00C22027" w:rsidRDefault="00FF4F1C" w:rsidP="00FF4F1C">
      <w:pPr>
        <w:ind w:firstLine="720"/>
        <w:rPr>
          <w:sz w:val="26"/>
          <w:szCs w:val="26"/>
        </w:rPr>
      </w:pPr>
    </w:p>
    <w:p w:rsidR="00FF4F1C" w:rsidRPr="00C22027" w:rsidRDefault="00FF4F1C" w:rsidP="00FF4F1C">
      <w:pPr>
        <w:numPr>
          <w:ilvl w:val="0"/>
          <w:numId w:val="11"/>
        </w:numPr>
        <w:spacing w:after="200" w:line="276" w:lineRule="auto"/>
        <w:contextualSpacing/>
        <w:rPr>
          <w:rFonts w:eastAsia="Calibri"/>
          <w:sz w:val="26"/>
          <w:szCs w:val="26"/>
        </w:rPr>
      </w:pPr>
      <w:r w:rsidRPr="00C22027">
        <w:rPr>
          <w:rFonts w:eastAsia="Calibri"/>
          <w:sz w:val="26"/>
          <w:szCs w:val="26"/>
        </w:rPr>
        <w:t xml:space="preserve">Indicate, on or before June 30, 2014, in writing at Docket No. M-2012-2290911, if they have resolved some or all of their differences regarding PECO’s CAP design as reflected in the record by comments and reply comments filed in response to PECO’s September 30, 2013 </w:t>
      </w:r>
      <w:r w:rsidRPr="00C22027">
        <w:rPr>
          <w:rFonts w:eastAsia="Calibri"/>
          <w:i/>
          <w:sz w:val="26"/>
          <w:szCs w:val="26"/>
        </w:rPr>
        <w:t>Report</w:t>
      </w:r>
      <w:r w:rsidRPr="00C22027">
        <w:rPr>
          <w:rFonts w:eastAsia="Calibri"/>
          <w:sz w:val="26"/>
          <w:szCs w:val="26"/>
        </w:rPr>
        <w:t>.  This may be a joint filing, with notice to the Office of Administrative Law Judge (OALJ), the Bureau of Consumer Services (BCS), and the Law Bureau.</w:t>
      </w:r>
      <w:r w:rsidRPr="00C22027">
        <w:rPr>
          <w:rFonts w:eastAsia="Calibri"/>
          <w:sz w:val="26"/>
          <w:szCs w:val="26"/>
        </w:rPr>
        <w:br/>
      </w:r>
    </w:p>
    <w:p w:rsidR="00FF4F1C" w:rsidRPr="00C22027" w:rsidRDefault="00FF4F1C" w:rsidP="00FF4F1C">
      <w:pPr>
        <w:numPr>
          <w:ilvl w:val="0"/>
          <w:numId w:val="11"/>
        </w:numPr>
        <w:spacing w:after="200" w:line="276" w:lineRule="auto"/>
        <w:contextualSpacing/>
        <w:rPr>
          <w:rFonts w:eastAsia="Calibri"/>
          <w:sz w:val="26"/>
          <w:szCs w:val="26"/>
        </w:rPr>
      </w:pPr>
      <w:r w:rsidRPr="00C22027">
        <w:rPr>
          <w:rFonts w:eastAsia="Calibri"/>
          <w:sz w:val="26"/>
          <w:szCs w:val="26"/>
        </w:rPr>
        <w:t xml:space="preserve">Consider enlisting the services of the Commission’s mediation process in the interim between now and June 30, 2014, in an attempt to resolve their differences relative to PECO’s CAP design.  </w:t>
      </w:r>
      <w:r w:rsidRPr="00C22027">
        <w:rPr>
          <w:rFonts w:eastAsia="Calibri"/>
          <w:sz w:val="26"/>
          <w:szCs w:val="26"/>
        </w:rPr>
        <w:br/>
      </w:r>
    </w:p>
    <w:p w:rsidR="009955AF" w:rsidRDefault="00FF4F1C" w:rsidP="009955AF">
      <w:pPr>
        <w:numPr>
          <w:ilvl w:val="0"/>
          <w:numId w:val="11"/>
        </w:numPr>
        <w:spacing w:after="200" w:line="276" w:lineRule="auto"/>
        <w:contextualSpacing/>
        <w:rPr>
          <w:rFonts w:eastAsia="Calibri"/>
          <w:sz w:val="26"/>
          <w:szCs w:val="26"/>
        </w:rPr>
      </w:pPr>
      <w:r w:rsidRPr="00C22027">
        <w:rPr>
          <w:rFonts w:eastAsia="Calibri"/>
          <w:sz w:val="26"/>
          <w:szCs w:val="26"/>
        </w:rPr>
        <w:t xml:space="preserve">Indicate, by July </w:t>
      </w:r>
      <w:r w:rsidR="00FA3541">
        <w:rPr>
          <w:rFonts w:eastAsia="Calibri"/>
          <w:sz w:val="26"/>
          <w:szCs w:val="26"/>
        </w:rPr>
        <w:t>3</w:t>
      </w:r>
      <w:r w:rsidRPr="00C22027">
        <w:rPr>
          <w:rFonts w:eastAsia="Calibri"/>
          <w:sz w:val="26"/>
          <w:szCs w:val="26"/>
        </w:rPr>
        <w:t>1, 2014, in writing, to BCS and OALJ, the elements of any partial or complete consensus resolutions.  This may be a joint summary submission.</w:t>
      </w:r>
      <w:r w:rsidRPr="00C22027">
        <w:rPr>
          <w:rFonts w:eastAsia="Calibri"/>
          <w:sz w:val="26"/>
          <w:szCs w:val="26"/>
        </w:rPr>
        <w:br/>
      </w:r>
    </w:p>
    <w:p w:rsidR="009955AF" w:rsidRDefault="00FF4F1C" w:rsidP="00152CE1">
      <w:pPr>
        <w:spacing w:after="200" w:line="276" w:lineRule="auto"/>
        <w:ind w:left="90" w:firstLine="630"/>
        <w:contextualSpacing/>
        <w:rPr>
          <w:rFonts w:eastAsia="Calibri"/>
          <w:sz w:val="26"/>
          <w:szCs w:val="26"/>
        </w:rPr>
      </w:pPr>
      <w:r w:rsidRPr="009955AF">
        <w:rPr>
          <w:rFonts w:eastAsia="Calibri"/>
          <w:sz w:val="26"/>
          <w:szCs w:val="26"/>
        </w:rPr>
        <w:t xml:space="preserve">If the parties reach a full resolution of the CAP design issues, PECO shall include the proposed resolutions to CAP design issues in its </w:t>
      </w:r>
      <w:r w:rsidR="009955AF">
        <w:rPr>
          <w:rFonts w:eastAsia="Calibri"/>
          <w:sz w:val="26"/>
          <w:szCs w:val="26"/>
        </w:rPr>
        <w:t xml:space="preserve">proposed USECP for 2016-2018.  </w:t>
      </w:r>
    </w:p>
    <w:p w:rsidR="009955AF" w:rsidRDefault="009955AF" w:rsidP="009955AF">
      <w:pPr>
        <w:spacing w:after="200" w:line="276" w:lineRule="auto"/>
        <w:ind w:left="90" w:firstLine="630"/>
        <w:contextualSpacing/>
        <w:rPr>
          <w:rFonts w:eastAsia="Calibri"/>
          <w:sz w:val="26"/>
          <w:szCs w:val="26"/>
        </w:rPr>
      </w:pPr>
    </w:p>
    <w:p w:rsidR="00FF4F1C" w:rsidRDefault="00FF4F1C" w:rsidP="00152CE1">
      <w:pPr>
        <w:tabs>
          <w:tab w:val="left" w:pos="6840"/>
        </w:tabs>
        <w:spacing w:after="200" w:line="276" w:lineRule="auto"/>
        <w:ind w:left="90" w:firstLine="630"/>
        <w:contextualSpacing/>
        <w:rPr>
          <w:rFonts w:eastAsia="Calibri"/>
          <w:sz w:val="26"/>
          <w:szCs w:val="26"/>
        </w:rPr>
      </w:pPr>
      <w:r w:rsidRPr="00C22027">
        <w:rPr>
          <w:rFonts w:eastAsia="Calibri"/>
          <w:sz w:val="26"/>
          <w:szCs w:val="26"/>
        </w:rPr>
        <w:t>Fail</w:t>
      </w:r>
      <w:r w:rsidR="009955AF">
        <w:rPr>
          <w:rFonts w:eastAsia="Calibri"/>
          <w:sz w:val="26"/>
          <w:szCs w:val="26"/>
        </w:rPr>
        <w:t>ure</w:t>
      </w:r>
      <w:r w:rsidRPr="00C22027">
        <w:rPr>
          <w:rFonts w:eastAsia="Calibri"/>
          <w:sz w:val="26"/>
          <w:szCs w:val="26"/>
        </w:rPr>
        <w:t xml:space="preserve"> </w:t>
      </w:r>
      <w:r w:rsidR="009955AF">
        <w:rPr>
          <w:rFonts w:eastAsia="Calibri"/>
          <w:sz w:val="26"/>
          <w:szCs w:val="26"/>
        </w:rPr>
        <w:t xml:space="preserve">to </w:t>
      </w:r>
      <w:r w:rsidR="006C745C">
        <w:rPr>
          <w:rFonts w:eastAsia="Calibri"/>
          <w:sz w:val="26"/>
          <w:szCs w:val="26"/>
        </w:rPr>
        <w:t>reach</w:t>
      </w:r>
      <w:r w:rsidR="009955AF">
        <w:rPr>
          <w:rFonts w:eastAsia="Calibri"/>
          <w:sz w:val="26"/>
          <w:szCs w:val="26"/>
        </w:rPr>
        <w:t xml:space="preserve"> </w:t>
      </w:r>
      <w:r w:rsidRPr="00C22027">
        <w:rPr>
          <w:rFonts w:eastAsia="Calibri"/>
          <w:sz w:val="26"/>
          <w:szCs w:val="26"/>
        </w:rPr>
        <w:t>a full resolution by June 30, 2014</w:t>
      </w:r>
      <w:r w:rsidR="009955AF">
        <w:rPr>
          <w:rFonts w:eastAsia="Calibri"/>
          <w:sz w:val="26"/>
          <w:szCs w:val="26"/>
        </w:rPr>
        <w:t xml:space="preserve"> will result in</w:t>
      </w:r>
      <w:r w:rsidRPr="00C22027">
        <w:rPr>
          <w:rFonts w:eastAsia="Calibri"/>
          <w:sz w:val="26"/>
          <w:szCs w:val="26"/>
        </w:rPr>
        <w:t xml:space="preserve"> this matter </w:t>
      </w:r>
      <w:r w:rsidR="00AF629B">
        <w:rPr>
          <w:rFonts w:eastAsia="Calibri"/>
          <w:sz w:val="26"/>
          <w:szCs w:val="26"/>
        </w:rPr>
        <w:t>be</w:t>
      </w:r>
      <w:r w:rsidR="009955AF">
        <w:rPr>
          <w:rFonts w:eastAsia="Calibri"/>
          <w:sz w:val="26"/>
          <w:szCs w:val="26"/>
        </w:rPr>
        <w:t>ing</w:t>
      </w:r>
      <w:r w:rsidR="00AF629B">
        <w:rPr>
          <w:rFonts w:eastAsia="Calibri"/>
          <w:sz w:val="26"/>
          <w:szCs w:val="26"/>
        </w:rPr>
        <w:t xml:space="preserve"> </w:t>
      </w:r>
      <w:r w:rsidRPr="00C22027">
        <w:rPr>
          <w:rFonts w:eastAsia="Calibri"/>
          <w:sz w:val="26"/>
          <w:szCs w:val="26"/>
        </w:rPr>
        <w:t>assigned to the OALJ for an on-the-reco</w:t>
      </w:r>
      <w:r w:rsidR="00152CE1">
        <w:rPr>
          <w:rFonts w:eastAsia="Calibri"/>
          <w:sz w:val="26"/>
          <w:szCs w:val="26"/>
        </w:rPr>
        <w:t>rd proceeding and to prepare a recommended</w:t>
      </w:r>
      <w:r w:rsidR="00152CE1" w:rsidRPr="00C22027">
        <w:rPr>
          <w:rFonts w:eastAsia="Calibri"/>
          <w:sz w:val="26"/>
          <w:szCs w:val="26"/>
        </w:rPr>
        <w:t xml:space="preserve"> </w:t>
      </w:r>
      <w:r w:rsidRPr="00C22027">
        <w:rPr>
          <w:rFonts w:eastAsia="Calibri"/>
          <w:sz w:val="26"/>
          <w:szCs w:val="26"/>
        </w:rPr>
        <w:t xml:space="preserve">decision reflecting </w:t>
      </w:r>
      <w:r w:rsidR="009955AF">
        <w:rPr>
          <w:rFonts w:eastAsia="Calibri"/>
          <w:sz w:val="26"/>
          <w:szCs w:val="26"/>
        </w:rPr>
        <w:t xml:space="preserve">any </w:t>
      </w:r>
      <w:r w:rsidRPr="00C22027">
        <w:rPr>
          <w:rFonts w:eastAsia="Calibri"/>
          <w:sz w:val="26"/>
          <w:szCs w:val="26"/>
        </w:rPr>
        <w:t>consensus positions and recommend</w:t>
      </w:r>
      <w:r w:rsidR="009955AF">
        <w:rPr>
          <w:rFonts w:eastAsia="Calibri"/>
          <w:sz w:val="26"/>
          <w:szCs w:val="26"/>
        </w:rPr>
        <w:t>ing</w:t>
      </w:r>
      <w:r w:rsidRPr="00C22027">
        <w:rPr>
          <w:rFonts w:eastAsia="Calibri"/>
          <w:sz w:val="26"/>
          <w:szCs w:val="26"/>
        </w:rPr>
        <w:t xml:space="preserve"> resolution of any remaining contested CAP design matters.  </w:t>
      </w:r>
      <w:r w:rsidR="00BE5D8E">
        <w:rPr>
          <w:rFonts w:eastAsia="Calibri"/>
          <w:sz w:val="26"/>
          <w:szCs w:val="26"/>
        </w:rPr>
        <w:t>Should this matter go to hearings, t</w:t>
      </w:r>
      <w:r w:rsidRPr="00C22027">
        <w:rPr>
          <w:rFonts w:eastAsia="Calibri"/>
          <w:sz w:val="26"/>
          <w:szCs w:val="26"/>
        </w:rPr>
        <w:t>he parties are encouraged to continue to attempt to reach a consensus while</w:t>
      </w:r>
      <w:r w:rsidR="009955AF">
        <w:rPr>
          <w:rFonts w:eastAsia="Calibri"/>
          <w:sz w:val="26"/>
          <w:szCs w:val="26"/>
        </w:rPr>
        <w:t xml:space="preserve"> the matter is before the OALJ.  </w:t>
      </w:r>
      <w:r w:rsidRPr="00C22027">
        <w:rPr>
          <w:rFonts w:eastAsia="Calibri"/>
          <w:sz w:val="26"/>
          <w:szCs w:val="26"/>
        </w:rPr>
        <w:t xml:space="preserve">The </w:t>
      </w:r>
      <w:r w:rsidR="00CA19F6">
        <w:rPr>
          <w:rFonts w:eastAsia="Calibri"/>
          <w:sz w:val="26"/>
          <w:szCs w:val="26"/>
        </w:rPr>
        <w:t>O</w:t>
      </w:r>
      <w:r w:rsidRPr="00C22027">
        <w:rPr>
          <w:rFonts w:eastAsia="Calibri"/>
          <w:sz w:val="26"/>
          <w:szCs w:val="26"/>
        </w:rPr>
        <w:t>ALJ proceeding</w:t>
      </w:r>
      <w:r w:rsidR="00BE5D8E">
        <w:rPr>
          <w:rFonts w:eastAsia="Calibri"/>
          <w:sz w:val="26"/>
          <w:szCs w:val="26"/>
        </w:rPr>
        <w:t>, if necessary,</w:t>
      </w:r>
      <w:r w:rsidRPr="00C22027">
        <w:rPr>
          <w:rFonts w:eastAsia="Calibri"/>
          <w:sz w:val="26"/>
          <w:szCs w:val="26"/>
        </w:rPr>
        <w:t xml:space="preserve"> is to be completed by October 31, 2014.</w:t>
      </w:r>
    </w:p>
    <w:p w:rsidR="00FF4F1C" w:rsidRPr="00C22027" w:rsidRDefault="00FF4F1C" w:rsidP="00FF4F1C">
      <w:pPr>
        <w:rPr>
          <w:rFonts w:eastAsia="Calibri"/>
          <w:sz w:val="26"/>
          <w:szCs w:val="26"/>
        </w:rPr>
      </w:pPr>
      <w:r>
        <w:rPr>
          <w:rFonts w:eastAsia="Calibri"/>
          <w:sz w:val="26"/>
          <w:szCs w:val="26"/>
        </w:rPr>
        <w:br w:type="page"/>
      </w:r>
    </w:p>
    <w:p w:rsidR="00FF4F1C" w:rsidRDefault="00FF4F1C" w:rsidP="00FF4F1C">
      <w:pPr>
        <w:ind w:firstLine="720"/>
        <w:rPr>
          <w:sz w:val="26"/>
          <w:szCs w:val="26"/>
        </w:rPr>
      </w:pPr>
    </w:p>
    <w:p w:rsidR="00FF4F1C" w:rsidRDefault="00FF4F1C" w:rsidP="00FF4F1C">
      <w:pPr>
        <w:ind w:firstLine="720"/>
        <w:rPr>
          <w:sz w:val="26"/>
          <w:szCs w:val="26"/>
        </w:rPr>
      </w:pPr>
      <w:r w:rsidRPr="00C22027">
        <w:rPr>
          <w:sz w:val="26"/>
          <w:szCs w:val="26"/>
        </w:rPr>
        <w:t xml:space="preserve">Questions may be directed to </w:t>
      </w:r>
      <w:r>
        <w:rPr>
          <w:sz w:val="26"/>
          <w:szCs w:val="26"/>
        </w:rPr>
        <w:t xml:space="preserve">Grace McGovern, </w:t>
      </w:r>
      <w:hyperlink r:id="rId12" w:history="1">
        <w:r w:rsidRPr="00C628A7">
          <w:rPr>
            <w:rStyle w:val="Hyperlink"/>
            <w:sz w:val="26"/>
            <w:szCs w:val="26"/>
          </w:rPr>
          <w:t>gmcgovern@pa.gov</w:t>
        </w:r>
      </w:hyperlink>
      <w:r>
        <w:rPr>
          <w:sz w:val="26"/>
          <w:szCs w:val="26"/>
        </w:rPr>
        <w:t>, in</w:t>
      </w:r>
      <w:r w:rsidRPr="00C22027">
        <w:rPr>
          <w:sz w:val="26"/>
          <w:szCs w:val="26"/>
        </w:rPr>
        <w:t xml:space="preserve"> BCS.</w:t>
      </w:r>
    </w:p>
    <w:p w:rsidR="00FF4F1C" w:rsidRDefault="00FF4F1C" w:rsidP="00FF4F1C">
      <w:pPr>
        <w:ind w:firstLine="720"/>
        <w:rPr>
          <w:sz w:val="26"/>
          <w:szCs w:val="26"/>
        </w:rPr>
      </w:pPr>
    </w:p>
    <w:p w:rsidR="00FF4F1C" w:rsidRPr="00C22027" w:rsidRDefault="002963C3" w:rsidP="00FF4F1C">
      <w:pPr>
        <w:ind w:firstLine="720"/>
        <w:rPr>
          <w:sz w:val="26"/>
          <w:szCs w:val="26"/>
        </w:rPr>
      </w:pPr>
      <w:bookmarkStart w:id="0" w:name="_GoBack"/>
      <w:r>
        <w:rPr>
          <w:noProof/>
        </w:rPr>
        <w:drawing>
          <wp:anchor distT="0" distB="0" distL="114300" distR="114300" simplePos="0" relativeHeight="251659264" behindDoc="1" locked="0" layoutInCell="1" allowOverlap="1" wp14:anchorId="7626B4F1" wp14:editId="45F8752A">
            <wp:simplePos x="0" y="0"/>
            <wp:positionH relativeFrom="column">
              <wp:posOffset>2821940</wp:posOffset>
            </wp:positionH>
            <wp:positionV relativeFrom="paragraph">
              <wp:posOffset>169545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F4F1C" w:rsidRDefault="00FF4F1C" w:rsidP="00FF4F1C">
      <w:pPr>
        <w:ind w:left="360"/>
        <w:rPr>
          <w:sz w:val="26"/>
          <w:szCs w:val="26"/>
        </w:rPr>
      </w:pPr>
      <w:r w:rsidRPr="00C22027">
        <w:rPr>
          <w:sz w:val="26"/>
          <w:szCs w:val="26"/>
        </w:rPr>
        <w:tab/>
      </w:r>
      <w:r w:rsidRPr="00C22027">
        <w:rPr>
          <w:sz w:val="26"/>
          <w:szCs w:val="26"/>
        </w:rPr>
        <w:tab/>
      </w:r>
      <w:r w:rsidRPr="00C22027">
        <w:rPr>
          <w:sz w:val="26"/>
          <w:szCs w:val="26"/>
        </w:rPr>
        <w:tab/>
      </w:r>
      <w:r w:rsidRPr="00C22027">
        <w:rPr>
          <w:sz w:val="26"/>
          <w:szCs w:val="26"/>
        </w:rPr>
        <w:tab/>
      </w:r>
      <w:r w:rsidRPr="00C22027">
        <w:rPr>
          <w:sz w:val="26"/>
          <w:szCs w:val="26"/>
        </w:rPr>
        <w:tab/>
      </w:r>
      <w:r w:rsidRPr="00C22027">
        <w:rPr>
          <w:sz w:val="26"/>
          <w:szCs w:val="26"/>
        </w:rPr>
        <w:tab/>
      </w:r>
      <w:r w:rsidRPr="00C22027">
        <w:rPr>
          <w:sz w:val="26"/>
          <w:szCs w:val="26"/>
        </w:rPr>
        <w:tab/>
      </w:r>
      <w:r>
        <w:rPr>
          <w:sz w:val="26"/>
          <w:szCs w:val="26"/>
        </w:rPr>
        <w:t>Very truly yours</w:t>
      </w:r>
      <w:r w:rsidRPr="00C22027">
        <w:rPr>
          <w:sz w:val="26"/>
          <w:szCs w:val="26"/>
        </w:rPr>
        <w:t>,</w:t>
      </w:r>
    </w:p>
    <w:p w:rsidR="00FF4F1C" w:rsidRDefault="00FF4F1C" w:rsidP="00FF4F1C">
      <w:pPr>
        <w:ind w:left="360"/>
        <w:rPr>
          <w:sz w:val="26"/>
          <w:szCs w:val="26"/>
        </w:rPr>
      </w:pPr>
    </w:p>
    <w:p w:rsidR="00FF4F1C" w:rsidRDefault="00FF4F1C" w:rsidP="00FF4F1C">
      <w:pPr>
        <w:ind w:left="360"/>
        <w:rPr>
          <w:sz w:val="26"/>
          <w:szCs w:val="26"/>
        </w:rPr>
      </w:pPr>
    </w:p>
    <w:p w:rsidR="00FF4F1C" w:rsidRDefault="00FF4F1C" w:rsidP="00FF4F1C">
      <w:pPr>
        <w:ind w:left="360"/>
        <w:rPr>
          <w:sz w:val="26"/>
          <w:szCs w:val="26"/>
        </w:rPr>
      </w:pPr>
    </w:p>
    <w:p w:rsidR="00FF4F1C" w:rsidRPr="00C22027" w:rsidRDefault="00FF4F1C" w:rsidP="00FF4F1C">
      <w:pPr>
        <w:ind w:left="360"/>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Rosemary Chiavetta</w:t>
      </w:r>
    </w:p>
    <w:p w:rsidR="00FF4F1C" w:rsidRDefault="00FF4F1C" w:rsidP="00FF4F1C">
      <w:pPr>
        <w:ind w:left="360"/>
        <w:rPr>
          <w:sz w:val="26"/>
          <w:szCs w:val="26"/>
        </w:rPr>
      </w:pPr>
      <w:r w:rsidRPr="00C22027">
        <w:rPr>
          <w:sz w:val="26"/>
          <w:szCs w:val="26"/>
        </w:rPr>
        <w:tab/>
      </w:r>
      <w:r w:rsidRPr="00C22027">
        <w:rPr>
          <w:sz w:val="26"/>
          <w:szCs w:val="26"/>
        </w:rPr>
        <w:tab/>
      </w:r>
      <w:r w:rsidRPr="00C22027">
        <w:rPr>
          <w:sz w:val="26"/>
          <w:szCs w:val="26"/>
        </w:rPr>
        <w:tab/>
      </w:r>
      <w:r w:rsidRPr="00C22027">
        <w:rPr>
          <w:sz w:val="26"/>
          <w:szCs w:val="26"/>
        </w:rPr>
        <w:tab/>
      </w:r>
      <w:r w:rsidRPr="00C22027">
        <w:rPr>
          <w:sz w:val="26"/>
          <w:szCs w:val="26"/>
        </w:rPr>
        <w:tab/>
      </w:r>
      <w:r w:rsidRPr="00C22027">
        <w:rPr>
          <w:sz w:val="26"/>
          <w:szCs w:val="26"/>
        </w:rPr>
        <w:tab/>
      </w:r>
      <w:r w:rsidRPr="00C22027">
        <w:rPr>
          <w:sz w:val="26"/>
          <w:szCs w:val="26"/>
        </w:rPr>
        <w:tab/>
        <w:t>Secretary</w:t>
      </w:r>
    </w:p>
    <w:p w:rsidR="00FF4F1C" w:rsidRDefault="00FF4F1C" w:rsidP="00FF4F1C">
      <w:pPr>
        <w:ind w:left="360"/>
        <w:rPr>
          <w:sz w:val="26"/>
          <w:szCs w:val="26"/>
        </w:rPr>
      </w:pPr>
    </w:p>
    <w:p w:rsidR="00FF4F1C" w:rsidRPr="00C22027" w:rsidRDefault="00FF4F1C" w:rsidP="00FF4F1C">
      <w:pPr>
        <w:ind w:left="360"/>
        <w:rPr>
          <w:sz w:val="26"/>
          <w:szCs w:val="26"/>
        </w:rPr>
      </w:pPr>
    </w:p>
    <w:p w:rsidR="00FF4F1C" w:rsidRPr="00C22027" w:rsidRDefault="00FF4F1C" w:rsidP="00FF4F1C">
      <w:pPr>
        <w:rPr>
          <w:sz w:val="26"/>
          <w:szCs w:val="26"/>
        </w:rPr>
      </w:pPr>
      <w:r w:rsidRPr="00C22027">
        <w:rPr>
          <w:sz w:val="26"/>
          <w:szCs w:val="26"/>
        </w:rPr>
        <w:t>cc:</w:t>
      </w:r>
      <w:r w:rsidRPr="00C22027">
        <w:rPr>
          <w:sz w:val="26"/>
          <w:szCs w:val="26"/>
        </w:rPr>
        <w:tab/>
        <w:t xml:space="preserve">Kim Hafner, OALJ, </w:t>
      </w:r>
      <w:r w:rsidR="006B65E5">
        <w:rPr>
          <w:sz w:val="26"/>
          <w:szCs w:val="26"/>
        </w:rPr>
        <w:t>khafner@pa.gov</w:t>
      </w:r>
    </w:p>
    <w:p w:rsidR="00FF4F1C" w:rsidRDefault="00FF4F1C" w:rsidP="00FF4F1C">
      <w:pPr>
        <w:rPr>
          <w:sz w:val="26"/>
          <w:szCs w:val="26"/>
        </w:rPr>
      </w:pPr>
      <w:r w:rsidRPr="00C22027">
        <w:rPr>
          <w:sz w:val="26"/>
          <w:szCs w:val="26"/>
        </w:rPr>
        <w:tab/>
      </w:r>
      <w:r w:rsidR="00925039">
        <w:rPr>
          <w:sz w:val="26"/>
          <w:szCs w:val="26"/>
        </w:rPr>
        <w:t>Grace McGovern</w:t>
      </w:r>
      <w:r w:rsidRPr="00C22027">
        <w:rPr>
          <w:sz w:val="26"/>
          <w:szCs w:val="26"/>
        </w:rPr>
        <w:t xml:space="preserve">, BCS, </w:t>
      </w:r>
      <w:hyperlink r:id="rId14" w:history="1">
        <w:r w:rsidR="00925039" w:rsidRPr="00E04846">
          <w:rPr>
            <w:rStyle w:val="Hyperlink"/>
            <w:sz w:val="26"/>
            <w:szCs w:val="26"/>
          </w:rPr>
          <w:t>gmcgovern@pa.gov</w:t>
        </w:r>
      </w:hyperlink>
    </w:p>
    <w:p w:rsidR="00925039" w:rsidRPr="00C22027" w:rsidRDefault="00925039" w:rsidP="00FF4F1C">
      <w:pPr>
        <w:rPr>
          <w:sz w:val="26"/>
          <w:szCs w:val="26"/>
        </w:rPr>
      </w:pPr>
      <w:r>
        <w:rPr>
          <w:sz w:val="26"/>
          <w:szCs w:val="26"/>
        </w:rPr>
        <w:tab/>
        <w:t xml:space="preserve">Joseph Magee, BCS, </w:t>
      </w:r>
      <w:hyperlink r:id="rId15" w:history="1">
        <w:r w:rsidRPr="00E04846">
          <w:rPr>
            <w:rStyle w:val="Hyperlink"/>
            <w:sz w:val="26"/>
            <w:szCs w:val="26"/>
          </w:rPr>
          <w:t>jmagee@pa.gov</w:t>
        </w:r>
      </w:hyperlink>
      <w:r>
        <w:rPr>
          <w:sz w:val="26"/>
          <w:szCs w:val="26"/>
        </w:rPr>
        <w:t xml:space="preserve"> </w:t>
      </w:r>
    </w:p>
    <w:p w:rsidR="00930003" w:rsidRPr="003C56E2" w:rsidRDefault="00FF4F1C" w:rsidP="009B6B45">
      <w:pPr>
        <w:rPr>
          <w:sz w:val="26"/>
          <w:szCs w:val="26"/>
        </w:rPr>
      </w:pPr>
      <w:r w:rsidRPr="00C22027">
        <w:rPr>
          <w:sz w:val="26"/>
          <w:szCs w:val="26"/>
        </w:rPr>
        <w:tab/>
        <w:t>Louise Fink Smith, Law Bu</w:t>
      </w:r>
      <w:r>
        <w:rPr>
          <w:sz w:val="26"/>
          <w:szCs w:val="26"/>
        </w:rPr>
        <w:t>r</w:t>
      </w:r>
      <w:r w:rsidRPr="00C22027">
        <w:rPr>
          <w:sz w:val="26"/>
          <w:szCs w:val="26"/>
        </w:rPr>
        <w:t>eau, finksmith@pa.gov</w:t>
      </w:r>
    </w:p>
    <w:p w:rsidR="00C77F29" w:rsidRPr="003C56E2" w:rsidRDefault="00C77F29" w:rsidP="00930003">
      <w:pPr>
        <w:jc w:val="center"/>
        <w:rPr>
          <w:sz w:val="26"/>
          <w:szCs w:val="26"/>
        </w:rPr>
      </w:pPr>
    </w:p>
    <w:sectPr w:rsidR="00C77F29" w:rsidRPr="003C56E2" w:rsidSect="0084218B">
      <w:footerReference w:type="even" r:id="rId16"/>
      <w:footerReference w:type="default" r:id="rId17"/>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990" w:rsidRDefault="00105990">
      <w:r>
        <w:separator/>
      </w:r>
    </w:p>
  </w:endnote>
  <w:endnote w:type="continuationSeparator" w:id="0">
    <w:p w:rsidR="00105990" w:rsidRDefault="00105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19A" w:rsidRDefault="0075019A"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5019A" w:rsidRDefault="007501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19A" w:rsidRDefault="0075019A"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5019A" w:rsidRDefault="007501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19A" w:rsidRDefault="007501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5019A" w:rsidRDefault="0075019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19A" w:rsidRDefault="0075019A">
    <w:pPr>
      <w:pStyle w:val="Footer"/>
      <w:framePr w:wrap="around" w:vAnchor="text" w:hAnchor="margin" w:xAlign="center" w:y="1"/>
      <w:rPr>
        <w:rStyle w:val="PageNumber"/>
      </w:rPr>
    </w:pPr>
  </w:p>
  <w:p w:rsidR="0075019A" w:rsidRDefault="007501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990" w:rsidRDefault="00105990">
      <w:r>
        <w:separator/>
      </w:r>
    </w:p>
  </w:footnote>
  <w:footnote w:type="continuationSeparator" w:id="0">
    <w:p w:rsidR="00105990" w:rsidRDefault="00105990">
      <w:r>
        <w:continuationSeparator/>
      </w:r>
    </w:p>
  </w:footnote>
  <w:footnote w:id="1">
    <w:p w:rsidR="00FF4F1C" w:rsidRPr="0031645A" w:rsidRDefault="00FF4F1C" w:rsidP="00FF4F1C">
      <w:pPr>
        <w:pStyle w:val="FootnoteText"/>
        <w:rPr>
          <w:rFonts w:ascii="Times New Roman" w:hAnsi="Times New Roman" w:cs="Times New Roman"/>
          <w:sz w:val="22"/>
          <w:szCs w:val="22"/>
        </w:rPr>
      </w:pPr>
      <w:r w:rsidRPr="0031645A">
        <w:rPr>
          <w:rStyle w:val="FootnoteReference"/>
          <w:rFonts w:ascii="Times New Roman" w:hAnsi="Times New Roman" w:cs="Times New Roman"/>
          <w:sz w:val="22"/>
          <w:szCs w:val="22"/>
        </w:rPr>
        <w:footnoteRef/>
      </w:r>
      <w:r w:rsidRPr="0031645A">
        <w:rPr>
          <w:rFonts w:ascii="Times New Roman" w:hAnsi="Times New Roman" w:cs="Times New Roman"/>
          <w:sz w:val="22"/>
          <w:szCs w:val="22"/>
        </w:rPr>
        <w:t xml:space="preserve">  On May 17, 2013, OCA filed comments requesting further clarifications to several components of PECO’s Second Amended USECP for 2013-2015.  On November 18, 2013, in response to OCA’s May 17, 2013 comments regarding issues other than CAP design, PECO addressed OCA’s concerns through reply comments.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E501E81"/>
    <w:multiLevelType w:val="hybridMultilevel"/>
    <w:tmpl w:val="EEE21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2"/>
  </w:num>
  <w:num w:numId="4">
    <w:abstractNumId w:val="5"/>
  </w:num>
  <w:num w:numId="5">
    <w:abstractNumId w:val="9"/>
  </w:num>
  <w:num w:numId="6">
    <w:abstractNumId w:val="3"/>
  </w:num>
  <w:num w:numId="7">
    <w:abstractNumId w:val="10"/>
  </w:num>
  <w:num w:numId="8">
    <w:abstractNumId w:val="8"/>
  </w:num>
  <w:num w:numId="9">
    <w:abstractNumId w:val="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104BE"/>
    <w:rsid w:val="00034796"/>
    <w:rsid w:val="0006085A"/>
    <w:rsid w:val="00067B3B"/>
    <w:rsid w:val="00067F2B"/>
    <w:rsid w:val="00075539"/>
    <w:rsid w:val="00076B03"/>
    <w:rsid w:val="00076F23"/>
    <w:rsid w:val="00091504"/>
    <w:rsid w:val="00094150"/>
    <w:rsid w:val="000E4C77"/>
    <w:rsid w:val="00101BD3"/>
    <w:rsid w:val="00105990"/>
    <w:rsid w:val="001209F1"/>
    <w:rsid w:val="0012404A"/>
    <w:rsid w:val="00124DD5"/>
    <w:rsid w:val="00152CE1"/>
    <w:rsid w:val="00152F72"/>
    <w:rsid w:val="00170283"/>
    <w:rsid w:val="001743D0"/>
    <w:rsid w:val="001D5DBB"/>
    <w:rsid w:val="001E1BF3"/>
    <w:rsid w:val="001F2EDC"/>
    <w:rsid w:val="00202276"/>
    <w:rsid w:val="00206F2B"/>
    <w:rsid w:val="002229C3"/>
    <w:rsid w:val="0025446A"/>
    <w:rsid w:val="00280E91"/>
    <w:rsid w:val="00284E35"/>
    <w:rsid w:val="00285461"/>
    <w:rsid w:val="00292374"/>
    <w:rsid w:val="0029471C"/>
    <w:rsid w:val="002963C3"/>
    <w:rsid w:val="002A52A0"/>
    <w:rsid w:val="002C08FE"/>
    <w:rsid w:val="002D175C"/>
    <w:rsid w:val="002F0138"/>
    <w:rsid w:val="00303D80"/>
    <w:rsid w:val="00307FF2"/>
    <w:rsid w:val="00313F77"/>
    <w:rsid w:val="0031429F"/>
    <w:rsid w:val="0031645A"/>
    <w:rsid w:val="0032677D"/>
    <w:rsid w:val="00335A29"/>
    <w:rsid w:val="00345522"/>
    <w:rsid w:val="00347A10"/>
    <w:rsid w:val="003516A6"/>
    <w:rsid w:val="00353111"/>
    <w:rsid w:val="003569E8"/>
    <w:rsid w:val="00362131"/>
    <w:rsid w:val="00366A65"/>
    <w:rsid w:val="003B26C3"/>
    <w:rsid w:val="003C102A"/>
    <w:rsid w:val="003C56E2"/>
    <w:rsid w:val="003E4B39"/>
    <w:rsid w:val="0042140E"/>
    <w:rsid w:val="004246D9"/>
    <w:rsid w:val="00455F78"/>
    <w:rsid w:val="004950AA"/>
    <w:rsid w:val="004A0626"/>
    <w:rsid w:val="004A1767"/>
    <w:rsid w:val="004D2698"/>
    <w:rsid w:val="004F32B3"/>
    <w:rsid w:val="004F5AAA"/>
    <w:rsid w:val="00513DCA"/>
    <w:rsid w:val="00514EA3"/>
    <w:rsid w:val="0051639C"/>
    <w:rsid w:val="00526ADA"/>
    <w:rsid w:val="00526F31"/>
    <w:rsid w:val="00584C01"/>
    <w:rsid w:val="005A0955"/>
    <w:rsid w:val="005A5A84"/>
    <w:rsid w:val="005B3262"/>
    <w:rsid w:val="005B58B7"/>
    <w:rsid w:val="005C03C4"/>
    <w:rsid w:val="005E25C5"/>
    <w:rsid w:val="005E2E2F"/>
    <w:rsid w:val="005E3690"/>
    <w:rsid w:val="005F3D24"/>
    <w:rsid w:val="00672262"/>
    <w:rsid w:val="006755C0"/>
    <w:rsid w:val="006A0B12"/>
    <w:rsid w:val="006A1D3F"/>
    <w:rsid w:val="006B65E5"/>
    <w:rsid w:val="006C5C47"/>
    <w:rsid w:val="006C745C"/>
    <w:rsid w:val="006D6779"/>
    <w:rsid w:val="006E1A84"/>
    <w:rsid w:val="00700501"/>
    <w:rsid w:val="00701ED5"/>
    <w:rsid w:val="00721FA8"/>
    <w:rsid w:val="0075019A"/>
    <w:rsid w:val="007617B1"/>
    <w:rsid w:val="0077210F"/>
    <w:rsid w:val="00772716"/>
    <w:rsid w:val="00773F47"/>
    <w:rsid w:val="00774744"/>
    <w:rsid w:val="00794208"/>
    <w:rsid w:val="00794E58"/>
    <w:rsid w:val="007A16AE"/>
    <w:rsid w:val="007E64B5"/>
    <w:rsid w:val="007F0775"/>
    <w:rsid w:val="007F55F1"/>
    <w:rsid w:val="0080792C"/>
    <w:rsid w:val="00807CAF"/>
    <w:rsid w:val="0084218B"/>
    <w:rsid w:val="008476A6"/>
    <w:rsid w:val="0089421A"/>
    <w:rsid w:val="008A2241"/>
    <w:rsid w:val="008E5EA0"/>
    <w:rsid w:val="008F78AA"/>
    <w:rsid w:val="00925039"/>
    <w:rsid w:val="00927022"/>
    <w:rsid w:val="00930003"/>
    <w:rsid w:val="0093258F"/>
    <w:rsid w:val="00984274"/>
    <w:rsid w:val="009955AF"/>
    <w:rsid w:val="0099767B"/>
    <w:rsid w:val="009A1144"/>
    <w:rsid w:val="009A5A76"/>
    <w:rsid w:val="009B1956"/>
    <w:rsid w:val="009B23D8"/>
    <w:rsid w:val="009B2E39"/>
    <w:rsid w:val="009B36CB"/>
    <w:rsid w:val="009B6B45"/>
    <w:rsid w:val="009E40EC"/>
    <w:rsid w:val="009E65F6"/>
    <w:rsid w:val="009E7E5D"/>
    <w:rsid w:val="009F5F66"/>
    <w:rsid w:val="00A0792A"/>
    <w:rsid w:val="00A66D1F"/>
    <w:rsid w:val="00A82C28"/>
    <w:rsid w:val="00A83779"/>
    <w:rsid w:val="00A84699"/>
    <w:rsid w:val="00A955FA"/>
    <w:rsid w:val="00AA0347"/>
    <w:rsid w:val="00AA6F16"/>
    <w:rsid w:val="00AB36A9"/>
    <w:rsid w:val="00AD6503"/>
    <w:rsid w:val="00AD77EE"/>
    <w:rsid w:val="00AE792C"/>
    <w:rsid w:val="00AF16AC"/>
    <w:rsid w:val="00AF629B"/>
    <w:rsid w:val="00B00393"/>
    <w:rsid w:val="00B12277"/>
    <w:rsid w:val="00B30544"/>
    <w:rsid w:val="00B31B02"/>
    <w:rsid w:val="00B3551A"/>
    <w:rsid w:val="00B44A1E"/>
    <w:rsid w:val="00B62D45"/>
    <w:rsid w:val="00B719AA"/>
    <w:rsid w:val="00B97014"/>
    <w:rsid w:val="00BC3A3C"/>
    <w:rsid w:val="00BC7ABE"/>
    <w:rsid w:val="00BD3A5C"/>
    <w:rsid w:val="00BD752E"/>
    <w:rsid w:val="00BE4A72"/>
    <w:rsid w:val="00BE5119"/>
    <w:rsid w:val="00BE5D8E"/>
    <w:rsid w:val="00BF66A8"/>
    <w:rsid w:val="00BF6D7C"/>
    <w:rsid w:val="00BF6F03"/>
    <w:rsid w:val="00C00B85"/>
    <w:rsid w:val="00C140D5"/>
    <w:rsid w:val="00C17CD5"/>
    <w:rsid w:val="00C35E20"/>
    <w:rsid w:val="00C74A51"/>
    <w:rsid w:val="00C77C13"/>
    <w:rsid w:val="00C77F29"/>
    <w:rsid w:val="00C90506"/>
    <w:rsid w:val="00C95F36"/>
    <w:rsid w:val="00C96CF9"/>
    <w:rsid w:val="00CA19F6"/>
    <w:rsid w:val="00CA44B2"/>
    <w:rsid w:val="00CB14DC"/>
    <w:rsid w:val="00CB5738"/>
    <w:rsid w:val="00CD1255"/>
    <w:rsid w:val="00CE2A65"/>
    <w:rsid w:val="00CF047C"/>
    <w:rsid w:val="00D355DB"/>
    <w:rsid w:val="00D55E96"/>
    <w:rsid w:val="00D64F9B"/>
    <w:rsid w:val="00D82A5E"/>
    <w:rsid w:val="00D97779"/>
    <w:rsid w:val="00DA4D87"/>
    <w:rsid w:val="00DC35C5"/>
    <w:rsid w:val="00DD1A19"/>
    <w:rsid w:val="00DD7880"/>
    <w:rsid w:val="00DE3C6A"/>
    <w:rsid w:val="00DE4076"/>
    <w:rsid w:val="00E236E3"/>
    <w:rsid w:val="00E349DA"/>
    <w:rsid w:val="00E93258"/>
    <w:rsid w:val="00EC0F0A"/>
    <w:rsid w:val="00EC248A"/>
    <w:rsid w:val="00EC71DD"/>
    <w:rsid w:val="00EC7A49"/>
    <w:rsid w:val="00EC7ADB"/>
    <w:rsid w:val="00ED57C8"/>
    <w:rsid w:val="00F11A81"/>
    <w:rsid w:val="00F46CA1"/>
    <w:rsid w:val="00F7094C"/>
    <w:rsid w:val="00F90527"/>
    <w:rsid w:val="00FA0E37"/>
    <w:rsid w:val="00FA244D"/>
    <w:rsid w:val="00FA2FCC"/>
    <w:rsid w:val="00FA3541"/>
    <w:rsid w:val="00FB3D01"/>
    <w:rsid w:val="00FC1D6A"/>
    <w:rsid w:val="00FF4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styleId="FootnoteText">
    <w:name w:val="footnote text"/>
    <w:basedOn w:val="Normal"/>
    <w:link w:val="FootnoteTextChar"/>
    <w:uiPriority w:val="99"/>
    <w:unhideWhenUsed/>
    <w:rsid w:val="00FF4F1C"/>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FF4F1C"/>
    <w:rPr>
      <w:rFonts w:asciiTheme="minorHAnsi" w:eastAsiaTheme="minorHAnsi" w:hAnsiTheme="minorHAnsi" w:cstheme="minorBidi"/>
    </w:rPr>
  </w:style>
  <w:style w:type="character" w:styleId="FootnoteReference">
    <w:name w:val="footnote reference"/>
    <w:uiPriority w:val="99"/>
    <w:rsid w:val="00FF4F1C"/>
    <w:rPr>
      <w:vertAlign w:val="superscript"/>
    </w:rPr>
  </w:style>
  <w:style w:type="character" w:styleId="Hyperlink">
    <w:name w:val="Hyperlink"/>
    <w:basedOn w:val="DefaultParagraphFont"/>
    <w:uiPriority w:val="99"/>
    <w:unhideWhenUsed/>
    <w:rsid w:val="00FF4F1C"/>
    <w:rPr>
      <w:color w:val="0000FF" w:themeColor="hyperlink"/>
      <w:u w:val="single"/>
    </w:rPr>
  </w:style>
  <w:style w:type="character" w:styleId="CommentReference">
    <w:name w:val="annotation reference"/>
    <w:basedOn w:val="DefaultParagraphFont"/>
    <w:rsid w:val="00CA19F6"/>
    <w:rPr>
      <w:sz w:val="16"/>
      <w:szCs w:val="16"/>
    </w:rPr>
  </w:style>
  <w:style w:type="paragraph" w:styleId="CommentText">
    <w:name w:val="annotation text"/>
    <w:basedOn w:val="Normal"/>
    <w:link w:val="CommentTextChar"/>
    <w:rsid w:val="00CA19F6"/>
  </w:style>
  <w:style w:type="character" w:customStyle="1" w:styleId="CommentTextChar">
    <w:name w:val="Comment Text Char"/>
    <w:basedOn w:val="DefaultParagraphFont"/>
    <w:link w:val="CommentText"/>
    <w:rsid w:val="00CA19F6"/>
  </w:style>
  <w:style w:type="paragraph" w:styleId="CommentSubject">
    <w:name w:val="annotation subject"/>
    <w:basedOn w:val="CommentText"/>
    <w:next w:val="CommentText"/>
    <w:link w:val="CommentSubjectChar"/>
    <w:rsid w:val="00CA19F6"/>
    <w:rPr>
      <w:b/>
      <w:bCs/>
    </w:rPr>
  </w:style>
  <w:style w:type="character" w:customStyle="1" w:styleId="CommentSubjectChar">
    <w:name w:val="Comment Subject Char"/>
    <w:basedOn w:val="CommentTextChar"/>
    <w:link w:val="CommentSubject"/>
    <w:rsid w:val="00CA19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styleId="FootnoteText">
    <w:name w:val="footnote text"/>
    <w:basedOn w:val="Normal"/>
    <w:link w:val="FootnoteTextChar"/>
    <w:uiPriority w:val="99"/>
    <w:unhideWhenUsed/>
    <w:rsid w:val="00FF4F1C"/>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FF4F1C"/>
    <w:rPr>
      <w:rFonts w:asciiTheme="minorHAnsi" w:eastAsiaTheme="minorHAnsi" w:hAnsiTheme="minorHAnsi" w:cstheme="minorBidi"/>
    </w:rPr>
  </w:style>
  <w:style w:type="character" w:styleId="FootnoteReference">
    <w:name w:val="footnote reference"/>
    <w:uiPriority w:val="99"/>
    <w:rsid w:val="00FF4F1C"/>
    <w:rPr>
      <w:vertAlign w:val="superscript"/>
    </w:rPr>
  </w:style>
  <w:style w:type="character" w:styleId="Hyperlink">
    <w:name w:val="Hyperlink"/>
    <w:basedOn w:val="DefaultParagraphFont"/>
    <w:uiPriority w:val="99"/>
    <w:unhideWhenUsed/>
    <w:rsid w:val="00FF4F1C"/>
    <w:rPr>
      <w:color w:val="0000FF" w:themeColor="hyperlink"/>
      <w:u w:val="single"/>
    </w:rPr>
  </w:style>
  <w:style w:type="character" w:styleId="CommentReference">
    <w:name w:val="annotation reference"/>
    <w:basedOn w:val="DefaultParagraphFont"/>
    <w:rsid w:val="00CA19F6"/>
    <w:rPr>
      <w:sz w:val="16"/>
      <w:szCs w:val="16"/>
    </w:rPr>
  </w:style>
  <w:style w:type="paragraph" w:styleId="CommentText">
    <w:name w:val="annotation text"/>
    <w:basedOn w:val="Normal"/>
    <w:link w:val="CommentTextChar"/>
    <w:rsid w:val="00CA19F6"/>
  </w:style>
  <w:style w:type="character" w:customStyle="1" w:styleId="CommentTextChar">
    <w:name w:val="Comment Text Char"/>
    <w:basedOn w:val="DefaultParagraphFont"/>
    <w:link w:val="CommentText"/>
    <w:rsid w:val="00CA19F6"/>
  </w:style>
  <w:style w:type="paragraph" w:styleId="CommentSubject">
    <w:name w:val="annotation subject"/>
    <w:basedOn w:val="CommentText"/>
    <w:next w:val="CommentText"/>
    <w:link w:val="CommentSubjectChar"/>
    <w:rsid w:val="00CA19F6"/>
    <w:rPr>
      <w:b/>
      <w:bCs/>
    </w:rPr>
  </w:style>
  <w:style w:type="character" w:customStyle="1" w:styleId="CommentSubjectChar">
    <w:name w:val="Comment Subject Char"/>
    <w:basedOn w:val="CommentTextChar"/>
    <w:link w:val="CommentSubject"/>
    <w:rsid w:val="00CA19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mcgovern@pa.gov"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jmagee@pa.gov"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gmcgover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D834D-E027-4933-8052-87EB29CC1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dc:creator>
  <cp:lastModifiedBy>Farner, Joyce</cp:lastModifiedBy>
  <cp:revision>3</cp:revision>
  <cp:lastPrinted>2014-04-25T14:15:00Z</cp:lastPrinted>
  <dcterms:created xsi:type="dcterms:W3CDTF">2014-04-25T13:07:00Z</dcterms:created>
  <dcterms:modified xsi:type="dcterms:W3CDTF">2014-04-25T14:26:00Z</dcterms:modified>
</cp:coreProperties>
</file>