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89" w:rsidRDefault="00196E89" w:rsidP="00196E89">
      <w:pPr>
        <w:jc w:val="center"/>
        <w:rPr>
          <w:b/>
        </w:rPr>
      </w:pPr>
      <w:r>
        <w:rPr>
          <w:b/>
        </w:rPr>
        <w:t>BEFORE THE</w:t>
      </w:r>
    </w:p>
    <w:p w:rsidR="00196E89" w:rsidRDefault="00196E89" w:rsidP="00196E89">
      <w:pPr>
        <w:jc w:val="center"/>
        <w:rPr>
          <w:b/>
        </w:rPr>
      </w:pPr>
      <w:r>
        <w:rPr>
          <w:b/>
        </w:rPr>
        <w:t>PENNSYLVANIA PUBLIC UTILITY COMMISSION</w:t>
      </w:r>
    </w:p>
    <w:p w:rsidR="00196E89" w:rsidRDefault="00196E89" w:rsidP="00196E89">
      <w:pPr>
        <w:jc w:val="center"/>
      </w:pPr>
    </w:p>
    <w:p w:rsidR="00196E89" w:rsidRDefault="00196E89" w:rsidP="00196E89">
      <w:pPr>
        <w:jc w:val="center"/>
      </w:pPr>
    </w:p>
    <w:p w:rsidR="00196E89" w:rsidRDefault="00196E89" w:rsidP="00196E89">
      <w:pPr>
        <w:jc w:val="center"/>
      </w:pPr>
    </w:p>
    <w:p w:rsidR="00196E89" w:rsidRDefault="00196E89" w:rsidP="00196E89">
      <w:r>
        <w:t>Joint Petition of Metropolitan Edison Company</w:t>
      </w:r>
      <w:r>
        <w:tab/>
        <w:t>:</w:t>
      </w:r>
    </w:p>
    <w:p w:rsidR="00196E89" w:rsidRDefault="00196E89" w:rsidP="00196E89">
      <w:r>
        <w:t xml:space="preserve">Pennsylvania Electric Company, Pennsylvania </w:t>
      </w:r>
      <w:r>
        <w:tab/>
        <w:t>:</w:t>
      </w:r>
      <w:r>
        <w:tab/>
        <w:t>M-2013-2341990</w:t>
      </w:r>
    </w:p>
    <w:p w:rsidR="00196E89" w:rsidRDefault="00196E89" w:rsidP="00196E89">
      <w:r>
        <w:t xml:space="preserve">Power Company, and  West Penn Power Company </w:t>
      </w:r>
      <w:r>
        <w:tab/>
        <w:t>:</w:t>
      </w:r>
      <w:r>
        <w:tab/>
        <w:t>M-2013-2341991</w:t>
      </w:r>
    </w:p>
    <w:p w:rsidR="00196E89" w:rsidRDefault="00196E89" w:rsidP="00196E89">
      <w:r>
        <w:t>for Approval of their Smart Meter Deployment</w:t>
      </w:r>
      <w:r>
        <w:tab/>
        <w:t>:</w:t>
      </w:r>
      <w:r>
        <w:tab/>
        <w:t>M-2013-2341993</w:t>
      </w:r>
    </w:p>
    <w:p w:rsidR="00196E89" w:rsidRDefault="00196E89" w:rsidP="00196E89">
      <w:r>
        <w:t>Plan</w:t>
      </w:r>
      <w:r>
        <w:tab/>
      </w:r>
      <w:r>
        <w:tab/>
      </w:r>
      <w:r>
        <w:tab/>
      </w:r>
      <w:r>
        <w:tab/>
      </w:r>
      <w:r>
        <w:tab/>
      </w:r>
      <w:r>
        <w:tab/>
      </w:r>
      <w:r>
        <w:tab/>
        <w:t>:</w:t>
      </w:r>
      <w:r>
        <w:tab/>
        <w:t>M-2013-2341994</w:t>
      </w:r>
    </w:p>
    <w:p w:rsidR="00196E89" w:rsidRDefault="00196E89" w:rsidP="00196E89"/>
    <w:p w:rsidR="00196E89" w:rsidRDefault="00196E89" w:rsidP="00196E89"/>
    <w:p w:rsidR="005A2709" w:rsidRPr="00E22703" w:rsidRDefault="005A2709" w:rsidP="003422EC"/>
    <w:p w:rsidR="003422EC" w:rsidRDefault="00DF7A62" w:rsidP="003422EC">
      <w:pPr>
        <w:tabs>
          <w:tab w:val="center" w:pos="4680"/>
        </w:tabs>
        <w:suppressAutoHyphens/>
        <w:jc w:val="center"/>
        <w:rPr>
          <w:b/>
          <w:spacing w:val="-3"/>
          <w:u w:val="single"/>
        </w:rPr>
      </w:pPr>
      <w:r>
        <w:rPr>
          <w:b/>
          <w:spacing w:val="-3"/>
          <w:u w:val="single"/>
        </w:rPr>
        <w:t xml:space="preserve">SECOND </w:t>
      </w:r>
      <w:r w:rsidR="003422EC">
        <w:rPr>
          <w:b/>
          <w:spacing w:val="-3"/>
          <w:u w:val="single"/>
        </w:rPr>
        <w:t>SCHEDULING ORDER</w:t>
      </w:r>
      <w:r w:rsidR="003422EC"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F2578A">
      <w:pPr>
        <w:tabs>
          <w:tab w:val="center" w:pos="4680"/>
        </w:tabs>
        <w:suppressAutoHyphens/>
        <w:spacing w:line="360" w:lineRule="auto"/>
        <w:jc w:val="center"/>
        <w:rPr>
          <w:spacing w:val="-3"/>
        </w:rPr>
      </w:pPr>
    </w:p>
    <w:p w:rsidR="00DF7A62" w:rsidRDefault="005C5F62" w:rsidP="00F2578A">
      <w:pPr>
        <w:spacing w:line="360" w:lineRule="auto"/>
      </w:pPr>
      <w:r>
        <w:tab/>
      </w:r>
      <w:r>
        <w:tab/>
      </w:r>
      <w:r w:rsidR="00DF7A62">
        <w:t>On March 19, 2014, Metropolitan Edison Company, Pennsylvania Electric Company, Pennsylvania Power Company and West Penn Power Company (the Companies) filed a Revised Smart Meter Deployment Plan that proposed a modification of a deployment schedule approved by the Commission on March 6, 2014 in the above-captioned matter.  Supplemental Testimon</w:t>
      </w:r>
      <w:r w:rsidR="00F2578A">
        <w:t>y</w:t>
      </w:r>
      <w:r w:rsidR="00DF7A62">
        <w:t xml:space="preserve"> of George Fitzpatrick and Laura Gifford have been filed.  </w:t>
      </w:r>
    </w:p>
    <w:p w:rsidR="00DF7A62" w:rsidRDefault="00DF7A62" w:rsidP="00F2578A">
      <w:pPr>
        <w:spacing w:line="360" w:lineRule="auto"/>
      </w:pPr>
    </w:p>
    <w:p w:rsidR="00DF7A62" w:rsidRDefault="00DF7A62" w:rsidP="00F2578A">
      <w:pPr>
        <w:spacing w:line="360" w:lineRule="auto"/>
      </w:pPr>
      <w:r>
        <w:tab/>
      </w:r>
      <w:r>
        <w:tab/>
        <w:t>On March 31, 2014, the Office of Consumer Advocate (OCA) filed Exceptions to the Companies</w:t>
      </w:r>
      <w:r w:rsidR="00F2578A">
        <w:t>’</w:t>
      </w:r>
      <w:r>
        <w:t xml:space="preserve"> </w:t>
      </w:r>
      <w:r w:rsidR="00F2578A">
        <w:t>f</w:t>
      </w:r>
      <w:r>
        <w:t xml:space="preserve">iling.  The Companies filed a Response to Exceptions on April 7, 2014 and by Secretarial Letter dated April 16, 2014, the Commission referred this matter to the Office of Administrative Law Judge for the development </w:t>
      </w:r>
      <w:r w:rsidR="00F2578A">
        <w:t xml:space="preserve">and certification </w:t>
      </w:r>
      <w:r>
        <w:t xml:space="preserve">of an evidentiary record by May 15, 2014.  The Commission is not requesting a recommended decision from an Administrative Law Judge.  </w:t>
      </w:r>
      <w:r w:rsidR="00F2578A">
        <w:t xml:space="preserve">I received the assignment of conducting the further evidentiary hearing as I had presided over the initial hearing one year ago.  </w:t>
      </w:r>
    </w:p>
    <w:p w:rsidR="00DF7A62" w:rsidRDefault="00DF7A62" w:rsidP="00F2578A">
      <w:pPr>
        <w:spacing w:line="360" w:lineRule="auto"/>
      </w:pPr>
    </w:p>
    <w:p w:rsidR="00F2578A" w:rsidRDefault="00DF7A62" w:rsidP="00F2578A">
      <w:pPr>
        <w:spacing w:line="360" w:lineRule="auto"/>
      </w:pPr>
      <w:r>
        <w:tab/>
      </w:r>
      <w:r>
        <w:tab/>
      </w:r>
      <w:r w:rsidR="001D6DEC">
        <w:t xml:space="preserve">A prehearing conference was held on </w:t>
      </w:r>
      <w:r>
        <w:t>April 25, 2014</w:t>
      </w:r>
      <w:r w:rsidR="001D6DEC">
        <w:t xml:space="preserve"> and the following </w:t>
      </w:r>
      <w:r w:rsidR="00514FE4">
        <w:t>counsel was</w:t>
      </w:r>
      <w:r w:rsidR="001D6DEC">
        <w:t xml:space="preserve"> present.  Daniel G. Asmus, Esq., for </w:t>
      </w:r>
      <w:r w:rsidR="00514FE4">
        <w:t>the Office of Small Business Advocate (</w:t>
      </w:r>
      <w:r w:rsidR="001D6DEC">
        <w:t>OSBA</w:t>
      </w:r>
      <w:r w:rsidR="00514FE4">
        <w:t>)</w:t>
      </w:r>
      <w:r w:rsidR="001D6DEC">
        <w:t xml:space="preserve">; </w:t>
      </w:r>
      <w:r w:rsidR="00054533">
        <w:t>Teresa Schmittberger, Esq.</w:t>
      </w:r>
      <w:r w:rsidR="001D6DEC">
        <w:t xml:space="preserve">, for </w:t>
      </w:r>
      <w:r w:rsidR="00514FE4">
        <w:t>Met-Ed Industrial Users Group (MEIUG), Penelec Industrial Customer Alliance (PICA), West Penn Power Industrial Intervenors (WPPII), and Penn Power Users Group (PPUG), referred to collectively as (the Industrial Users)</w:t>
      </w:r>
      <w:r w:rsidR="001D6DEC">
        <w:t xml:space="preserve">; </w:t>
      </w:r>
      <w:r w:rsidR="00054533">
        <w:t xml:space="preserve">John F. Povilaitis, </w:t>
      </w:r>
      <w:r w:rsidR="001D6DEC">
        <w:t>Esq.</w:t>
      </w:r>
      <w:r>
        <w:t xml:space="preserve"> and Kathy J. Kolich</w:t>
      </w:r>
      <w:r w:rsidR="00054533">
        <w:t>,</w:t>
      </w:r>
      <w:r>
        <w:t xml:space="preserve"> Esquire</w:t>
      </w:r>
      <w:r w:rsidR="001D6DEC">
        <w:t xml:space="preserve"> for </w:t>
      </w:r>
      <w:r>
        <w:t>the Companies</w:t>
      </w:r>
      <w:r w:rsidR="001D6DEC">
        <w:t xml:space="preserve">; </w:t>
      </w:r>
      <w:r>
        <w:t xml:space="preserve">and </w:t>
      </w:r>
      <w:r w:rsidR="001D6DEC">
        <w:t>C</w:t>
      </w:r>
      <w:r>
        <w:t>hristy M. Appleby</w:t>
      </w:r>
      <w:r w:rsidR="001D6DEC">
        <w:t xml:space="preserve">, Esq., for </w:t>
      </w:r>
      <w:r w:rsidR="00514FE4">
        <w:t xml:space="preserve">the Office </w:t>
      </w:r>
      <w:r w:rsidR="00514FE4">
        <w:lastRenderedPageBreak/>
        <w:t>of Consumer Advocate (</w:t>
      </w:r>
      <w:r w:rsidR="001D6DEC">
        <w:t>OCA</w:t>
      </w:r>
      <w:r w:rsidR="00514FE4">
        <w:t>).</w:t>
      </w:r>
      <w:r w:rsidR="001D6DEC">
        <w:t xml:space="preserve">  </w:t>
      </w:r>
      <w:r w:rsidR="00F2578A">
        <w:t>The following matters were addressed: (1) protective order; (2) procedural schedule; (3) transcript turnaround; and (4) issues.  These matters are discussed below.</w:t>
      </w:r>
    </w:p>
    <w:p w:rsidR="003422EC" w:rsidRDefault="003422EC" w:rsidP="00F2578A">
      <w:pPr>
        <w:spacing w:line="360" w:lineRule="auto"/>
      </w:pPr>
    </w:p>
    <w:tbl>
      <w:tblPr>
        <w:tblW w:w="9728" w:type="dxa"/>
        <w:tblLayout w:type="fixed"/>
        <w:tblLook w:val="04A0" w:firstRow="1" w:lastRow="0" w:firstColumn="1" w:lastColumn="0" w:noHBand="0" w:noVBand="1"/>
      </w:tblPr>
      <w:tblGrid>
        <w:gridCol w:w="9412"/>
        <w:gridCol w:w="316"/>
      </w:tblGrid>
      <w:tr w:rsidR="004236F3" w:rsidTr="00B27209">
        <w:trPr>
          <w:trHeight w:val="65"/>
        </w:trPr>
        <w:tc>
          <w:tcPr>
            <w:tcW w:w="9412" w:type="dxa"/>
          </w:tcPr>
          <w:p w:rsidR="0026668F" w:rsidRDefault="0026668F" w:rsidP="00C50435"/>
          <w:p w:rsidR="004D6484" w:rsidRPr="00514FE4" w:rsidRDefault="0026668F" w:rsidP="00C50435">
            <w:pPr>
              <w:rPr>
                <w:u w:val="single"/>
              </w:rPr>
            </w:pPr>
            <w:r>
              <w:rPr>
                <w:u w:val="single"/>
              </w:rPr>
              <w:t>Pr</w:t>
            </w:r>
            <w:r w:rsidR="00427E91" w:rsidRPr="00514FE4">
              <w:rPr>
                <w:u w:val="single"/>
              </w:rPr>
              <w:t>ocedural Schedule</w:t>
            </w:r>
          </w:p>
          <w:p w:rsidR="004D6484" w:rsidRPr="00514FE4" w:rsidRDefault="004D6484" w:rsidP="00C50435">
            <w:pPr>
              <w:rPr>
                <w:u w:val="single"/>
              </w:rPr>
            </w:pPr>
          </w:p>
          <w:p w:rsidR="004D6484" w:rsidRPr="00514FE4" w:rsidRDefault="004D6484" w:rsidP="00C50435">
            <w:pPr>
              <w:rPr>
                <w:u w:val="single"/>
              </w:rPr>
            </w:pPr>
          </w:p>
          <w:p w:rsidR="00F2578A" w:rsidRPr="00514FE4" w:rsidRDefault="00F2578A" w:rsidP="00F2578A">
            <w:r w:rsidRPr="00514FE4">
              <w:tab/>
              <w:t>The procedural schedule is as follows:</w:t>
            </w:r>
          </w:p>
          <w:tbl>
            <w:tblPr>
              <w:tblW w:w="9728" w:type="dxa"/>
              <w:tblLayout w:type="fixed"/>
              <w:tblLook w:val="04A0" w:firstRow="1" w:lastRow="0" w:firstColumn="1" w:lastColumn="0" w:noHBand="0" w:noVBand="1"/>
            </w:tblPr>
            <w:tblGrid>
              <w:gridCol w:w="9412"/>
              <w:gridCol w:w="316"/>
            </w:tblGrid>
            <w:tr w:rsidR="00F2578A" w:rsidRPr="00514FE4" w:rsidTr="00D220C2">
              <w:trPr>
                <w:trHeight w:val="65"/>
              </w:trPr>
              <w:tc>
                <w:tcPr>
                  <w:tcW w:w="9412" w:type="dxa"/>
                </w:tcPr>
                <w:p w:rsidR="00F2578A" w:rsidRPr="00514FE4" w:rsidRDefault="00F2578A" w:rsidP="00D220C2">
                  <w:pPr>
                    <w:tabs>
                      <w:tab w:val="left" w:leader="dot" w:pos="7200"/>
                    </w:tabs>
                    <w:spacing w:before="120" w:after="120"/>
                  </w:pPr>
                </w:p>
              </w:tc>
              <w:tc>
                <w:tcPr>
                  <w:tcW w:w="316" w:type="dxa"/>
                </w:tcPr>
                <w:p w:rsidR="00F2578A" w:rsidRPr="00514FE4" w:rsidRDefault="00F2578A" w:rsidP="00D220C2">
                  <w:pPr>
                    <w:spacing w:before="120" w:after="120"/>
                    <w:ind w:left="-108"/>
                  </w:pPr>
                </w:p>
              </w:tc>
            </w:tr>
            <w:tr w:rsidR="00F2578A" w:rsidRPr="00514FE4" w:rsidTr="00D220C2">
              <w:trPr>
                <w:trHeight w:val="65"/>
              </w:trPr>
              <w:tc>
                <w:tcPr>
                  <w:tcW w:w="9412" w:type="dxa"/>
                </w:tcPr>
                <w:tbl>
                  <w:tblPr>
                    <w:tblW w:w="10397" w:type="dxa"/>
                    <w:tblInd w:w="11" w:type="dxa"/>
                    <w:tblLayout w:type="fixed"/>
                    <w:tblLook w:val="04A0" w:firstRow="1" w:lastRow="0" w:firstColumn="1" w:lastColumn="0" w:noHBand="0" w:noVBand="1"/>
                  </w:tblPr>
                  <w:tblGrid>
                    <w:gridCol w:w="10397"/>
                  </w:tblGrid>
                  <w:tr w:rsidR="00F2578A" w:rsidRPr="00514FE4" w:rsidTr="00D220C2">
                    <w:trPr>
                      <w:trHeight w:val="1483"/>
                    </w:trPr>
                    <w:tc>
                      <w:tcPr>
                        <w:tcW w:w="10397" w:type="dxa"/>
                      </w:tcPr>
                      <w:p w:rsidR="00F2578A" w:rsidRPr="00514FE4" w:rsidRDefault="00F2578A" w:rsidP="00D220C2">
                        <w:pPr>
                          <w:pStyle w:val="BodyTextIndent"/>
                          <w:rPr>
                            <w:sz w:val="24"/>
                            <w:szCs w:val="24"/>
                          </w:rPr>
                        </w:pPr>
                      </w:p>
                      <w:p w:rsidR="00F2578A" w:rsidRPr="00514FE4" w:rsidRDefault="00F2578A" w:rsidP="00D220C2">
                        <w:pPr>
                          <w:widowControl w:val="0"/>
                          <w:spacing w:line="360" w:lineRule="auto"/>
                          <w:jc w:val="center"/>
                          <w:rPr>
                            <w:bCs/>
                            <w:u w:val="single"/>
                          </w:rPr>
                        </w:pPr>
                        <w:r w:rsidRPr="00514FE4">
                          <w:rPr>
                            <w:bCs/>
                            <w:u w:val="single"/>
                          </w:rPr>
                          <w:t>SCHEDULE</w:t>
                        </w:r>
                      </w:p>
                      <w:p w:rsidR="00F2578A" w:rsidRPr="00514FE4" w:rsidRDefault="00F2578A" w:rsidP="00D220C2">
                        <w:pPr>
                          <w:widowControl w:val="0"/>
                          <w:spacing w:line="360" w:lineRule="auto"/>
                        </w:pPr>
                      </w:p>
                      <w:p w:rsidR="00F2578A" w:rsidRDefault="00F2578A" w:rsidP="00D220C2">
                        <w:pPr>
                          <w:widowControl w:val="0"/>
                          <w:spacing w:line="360" w:lineRule="auto"/>
                        </w:pPr>
                        <w:r w:rsidRPr="00514FE4">
                          <w:t>Intervenors’ Direct Testimony</w:t>
                        </w:r>
                        <w:r w:rsidRPr="00514FE4">
                          <w:tab/>
                        </w:r>
                        <w:r w:rsidRPr="00514FE4">
                          <w:tab/>
                        </w:r>
                        <w:r w:rsidRPr="00514FE4">
                          <w:tab/>
                        </w:r>
                        <w:r>
                          <w:t xml:space="preserve"> </w:t>
                        </w:r>
                        <w:r w:rsidRPr="00514FE4">
                          <w:t xml:space="preserve">April </w:t>
                        </w:r>
                        <w:r>
                          <w:t>29</w:t>
                        </w:r>
                        <w:r w:rsidRPr="00514FE4">
                          <w:t>, 201</w:t>
                        </w:r>
                        <w:r>
                          <w:t>4 (2:00 p.m.)</w:t>
                        </w:r>
                      </w:p>
                      <w:p w:rsidR="00F2578A" w:rsidRDefault="00F2578A" w:rsidP="00D220C2">
                        <w:pPr>
                          <w:widowControl w:val="0"/>
                          <w:spacing w:line="360" w:lineRule="auto"/>
                        </w:pPr>
                        <w:r>
                          <w:t>Informal Discovery Conference Call                          May 1, 2014</w:t>
                        </w:r>
                      </w:p>
                      <w:p w:rsidR="00F2578A" w:rsidRPr="00514FE4" w:rsidRDefault="00F2578A" w:rsidP="00D220C2">
                        <w:pPr>
                          <w:widowControl w:val="0"/>
                          <w:spacing w:line="360" w:lineRule="auto"/>
                        </w:pPr>
                        <w:r>
                          <w:t>Discovery Written Responses</w:t>
                        </w:r>
                        <w:r w:rsidRPr="00514FE4">
                          <w:tab/>
                        </w:r>
                        <w:r>
                          <w:t xml:space="preserve">                  </w:t>
                        </w:r>
                        <w:r w:rsidRPr="00514FE4">
                          <w:tab/>
                          <w:t xml:space="preserve">             </w:t>
                        </w:r>
                        <w:r>
                          <w:t>May 2, 2014 (best effort basis)</w:t>
                        </w:r>
                        <w:r w:rsidRPr="00514FE4">
                          <w:t xml:space="preserve">                                               </w:t>
                        </w:r>
                      </w:p>
                      <w:p w:rsidR="00F2578A" w:rsidRPr="00514FE4" w:rsidRDefault="00F2578A" w:rsidP="00D220C2">
                        <w:pPr>
                          <w:widowControl w:val="0"/>
                          <w:spacing w:line="360" w:lineRule="auto"/>
                        </w:pPr>
                        <w:r>
                          <w:t>R</w:t>
                        </w:r>
                        <w:r w:rsidRPr="00514FE4">
                          <w:t xml:space="preserve">ebuttal Testimony      </w:t>
                        </w:r>
                        <w:r w:rsidRPr="00514FE4">
                          <w:tab/>
                        </w:r>
                        <w:r w:rsidRPr="00514FE4">
                          <w:tab/>
                        </w:r>
                        <w:r w:rsidRPr="00514FE4">
                          <w:tab/>
                        </w:r>
                        <w:r w:rsidRPr="00514FE4">
                          <w:tab/>
                        </w:r>
                        <w:r>
                          <w:t xml:space="preserve"> May 5, 2014</w:t>
                        </w:r>
                      </w:p>
                      <w:p w:rsidR="00F2578A" w:rsidRPr="00514FE4" w:rsidRDefault="00F2578A" w:rsidP="00D220C2">
                        <w:pPr>
                          <w:widowControl w:val="0"/>
                          <w:spacing w:line="360" w:lineRule="auto"/>
                        </w:pPr>
                        <w:r w:rsidRPr="00514FE4">
                          <w:t>D</w:t>
                        </w:r>
                        <w:r>
                          <w:t>raft Brief Outline Circulated by Companies</w:t>
                        </w:r>
                        <w:r w:rsidRPr="00514FE4">
                          <w:t xml:space="preserve">             May </w:t>
                        </w:r>
                        <w:r>
                          <w:t>6</w:t>
                        </w:r>
                        <w:r w:rsidRPr="00514FE4">
                          <w:t>, 201</w:t>
                        </w:r>
                        <w:r>
                          <w:t>4</w:t>
                        </w:r>
                        <w:r w:rsidRPr="00514FE4">
                          <w:t xml:space="preserve"> </w:t>
                        </w:r>
                      </w:p>
                      <w:p w:rsidR="00F2578A" w:rsidRDefault="00F2578A" w:rsidP="00D220C2">
                        <w:pPr>
                          <w:widowControl w:val="0"/>
                          <w:spacing w:line="360" w:lineRule="auto"/>
                        </w:pPr>
                        <w:r w:rsidRPr="00514FE4">
                          <w:t>Evidentiary Hearin</w:t>
                        </w:r>
                        <w:r>
                          <w:t>g/ oral rejoinder</w:t>
                        </w:r>
                        <w:r>
                          <w:tab/>
                        </w:r>
                        <w:r>
                          <w:tab/>
                          <w:t xml:space="preserve">            </w:t>
                        </w:r>
                        <w:r w:rsidRPr="00514FE4">
                          <w:t xml:space="preserve"> May </w:t>
                        </w:r>
                        <w:r>
                          <w:t>7</w:t>
                        </w:r>
                        <w:r w:rsidRPr="00514FE4">
                          <w:t>, 201</w:t>
                        </w:r>
                        <w:r>
                          <w:t>4 (Harrisburg)</w:t>
                        </w:r>
                      </w:p>
                      <w:p w:rsidR="00F2578A" w:rsidRPr="00514FE4" w:rsidRDefault="00F2578A" w:rsidP="00D220C2">
                        <w:pPr>
                          <w:widowControl w:val="0"/>
                          <w:spacing w:line="360" w:lineRule="auto"/>
                        </w:pPr>
                        <w:r>
                          <w:t>Responses to ALJ-authorized data requests                May 12, 2014</w:t>
                        </w:r>
                      </w:p>
                      <w:p w:rsidR="00F2578A" w:rsidRPr="00514FE4" w:rsidRDefault="00F2578A" w:rsidP="00D220C2">
                        <w:pPr>
                          <w:widowControl w:val="0"/>
                          <w:spacing w:line="360" w:lineRule="auto"/>
                          <w:rPr>
                            <w:b/>
                          </w:rPr>
                        </w:pPr>
                        <w:r>
                          <w:t>B</w:t>
                        </w:r>
                        <w:r w:rsidRPr="00514FE4">
                          <w:t>riefs</w:t>
                        </w:r>
                        <w:r w:rsidRPr="00514FE4">
                          <w:tab/>
                        </w:r>
                        <w:r w:rsidRPr="00514FE4">
                          <w:tab/>
                        </w:r>
                        <w:r w:rsidRPr="00514FE4">
                          <w:tab/>
                        </w:r>
                        <w:r w:rsidRPr="00514FE4">
                          <w:tab/>
                        </w:r>
                        <w:r w:rsidRPr="00514FE4">
                          <w:tab/>
                        </w:r>
                        <w:r w:rsidRPr="00514FE4">
                          <w:tab/>
                        </w:r>
                        <w:r>
                          <w:t xml:space="preserve">             </w:t>
                        </w:r>
                        <w:r w:rsidRPr="00514FE4">
                          <w:t xml:space="preserve">May </w:t>
                        </w:r>
                        <w:r>
                          <w:t>1</w:t>
                        </w:r>
                        <w:r w:rsidRPr="00514FE4">
                          <w:t>4, 201</w:t>
                        </w:r>
                        <w:r>
                          <w:t>4</w:t>
                        </w:r>
                      </w:p>
                    </w:tc>
                  </w:tr>
                  <w:tr w:rsidR="00F2578A" w:rsidRPr="00514FE4" w:rsidTr="00D220C2">
                    <w:trPr>
                      <w:trHeight w:val="1483"/>
                    </w:trPr>
                    <w:tc>
                      <w:tcPr>
                        <w:tcW w:w="10397" w:type="dxa"/>
                      </w:tcPr>
                      <w:p w:rsidR="00F2578A" w:rsidRPr="00F2578A" w:rsidRDefault="00F2578A" w:rsidP="00F2578A">
                        <w:pPr>
                          <w:tabs>
                            <w:tab w:val="left" w:pos="1080"/>
                          </w:tabs>
                        </w:pPr>
                      </w:p>
                    </w:tc>
                  </w:tr>
                  <w:tr w:rsidR="00F2578A" w:rsidRPr="00514FE4" w:rsidTr="00D220C2">
                    <w:trPr>
                      <w:trHeight w:val="1483"/>
                    </w:trPr>
                    <w:tc>
                      <w:tcPr>
                        <w:tcW w:w="10397" w:type="dxa"/>
                      </w:tcPr>
                      <w:p w:rsidR="00F2578A" w:rsidRPr="00514FE4" w:rsidRDefault="00F2578A" w:rsidP="00D220C2">
                        <w:pPr>
                          <w:pStyle w:val="BodyTextIndent"/>
                          <w:rPr>
                            <w:sz w:val="24"/>
                            <w:szCs w:val="24"/>
                          </w:rPr>
                        </w:pPr>
                      </w:p>
                    </w:tc>
                  </w:tr>
                </w:tbl>
                <w:p w:rsidR="00F2578A" w:rsidRPr="00514FE4" w:rsidRDefault="00F2578A" w:rsidP="00D220C2">
                  <w:pPr>
                    <w:tabs>
                      <w:tab w:val="left" w:leader="dot" w:pos="7200"/>
                    </w:tabs>
                    <w:spacing w:before="120" w:after="120"/>
                  </w:pPr>
                </w:p>
              </w:tc>
              <w:tc>
                <w:tcPr>
                  <w:tcW w:w="316" w:type="dxa"/>
                </w:tcPr>
                <w:p w:rsidR="00F2578A" w:rsidRPr="00514FE4" w:rsidRDefault="00F2578A" w:rsidP="00D220C2">
                  <w:pPr>
                    <w:spacing w:before="120" w:after="120"/>
                    <w:ind w:left="-108"/>
                  </w:pPr>
                </w:p>
              </w:tc>
            </w:tr>
          </w:tbl>
          <w:p w:rsidR="004236F3" w:rsidRPr="00514FE4" w:rsidRDefault="004236F3" w:rsidP="00C50435">
            <w:pPr>
              <w:autoSpaceDE/>
              <w:autoSpaceDN/>
            </w:pPr>
          </w:p>
        </w:tc>
        <w:tc>
          <w:tcPr>
            <w:tcW w:w="316" w:type="dxa"/>
          </w:tcPr>
          <w:p w:rsidR="004236F3" w:rsidRDefault="004236F3" w:rsidP="00F47E60">
            <w:pPr>
              <w:spacing w:before="120" w:after="120"/>
              <w:ind w:left="-108"/>
            </w:pPr>
          </w:p>
        </w:tc>
      </w:tr>
      <w:tr w:rsidR="004236F3" w:rsidTr="00B27209">
        <w:trPr>
          <w:trHeight w:val="65"/>
        </w:trPr>
        <w:tc>
          <w:tcPr>
            <w:tcW w:w="9412" w:type="dxa"/>
          </w:tcPr>
          <w:p w:rsidR="004236F3" w:rsidRPr="00514FE4" w:rsidRDefault="004236F3" w:rsidP="00F47E60">
            <w:pPr>
              <w:tabs>
                <w:tab w:val="left" w:leader="dot" w:pos="7200"/>
              </w:tabs>
              <w:spacing w:before="120" w:after="120"/>
            </w:pPr>
          </w:p>
        </w:tc>
        <w:tc>
          <w:tcPr>
            <w:tcW w:w="316" w:type="dxa"/>
          </w:tcPr>
          <w:p w:rsidR="004236F3" w:rsidRDefault="004236F3" w:rsidP="00F47E60">
            <w:pPr>
              <w:spacing w:before="120" w:after="120"/>
              <w:ind w:left="-108"/>
            </w:pPr>
          </w:p>
        </w:tc>
      </w:tr>
      <w:tr w:rsidR="004236F3" w:rsidTr="00B27209">
        <w:trPr>
          <w:trHeight w:val="232"/>
        </w:trPr>
        <w:tc>
          <w:tcPr>
            <w:tcW w:w="9412" w:type="dxa"/>
          </w:tcPr>
          <w:p w:rsidR="004236F3" w:rsidRPr="00514FE4" w:rsidRDefault="004236F3" w:rsidP="00F47E60">
            <w:pPr>
              <w:tabs>
                <w:tab w:val="left" w:leader="dot" w:pos="7200"/>
              </w:tabs>
              <w:spacing w:before="120" w:after="120"/>
            </w:pPr>
          </w:p>
        </w:tc>
        <w:tc>
          <w:tcPr>
            <w:tcW w:w="316" w:type="dxa"/>
          </w:tcPr>
          <w:p w:rsidR="004236F3" w:rsidRDefault="004236F3" w:rsidP="00F47E60">
            <w:pPr>
              <w:spacing w:before="120" w:after="120"/>
              <w:ind w:left="-108"/>
            </w:pPr>
          </w:p>
        </w:tc>
      </w:tr>
    </w:tbl>
    <w:tbl>
      <w:tblPr>
        <w:tblpPr w:leftFromText="180" w:rightFromText="180" w:vertAnchor="text" w:horzAnchor="margin" w:tblpY="-5413"/>
        <w:tblOverlap w:val="never"/>
        <w:tblW w:w="8856" w:type="dxa"/>
        <w:tblLayout w:type="fixed"/>
        <w:tblLook w:val="04A0" w:firstRow="1" w:lastRow="0" w:firstColumn="1" w:lastColumn="0" w:noHBand="0" w:noVBand="1"/>
      </w:tblPr>
      <w:tblGrid>
        <w:gridCol w:w="6501"/>
        <w:gridCol w:w="2355"/>
      </w:tblGrid>
      <w:tr w:rsidR="00B27209" w:rsidTr="00B27209">
        <w:tc>
          <w:tcPr>
            <w:tcW w:w="6501" w:type="dxa"/>
          </w:tcPr>
          <w:p w:rsidR="00B27209" w:rsidRDefault="00B27209" w:rsidP="00B27209">
            <w:pPr>
              <w:tabs>
                <w:tab w:val="left" w:leader="dot" w:pos="7200"/>
              </w:tabs>
              <w:spacing w:before="120" w:after="120"/>
            </w:pPr>
          </w:p>
        </w:tc>
        <w:tc>
          <w:tcPr>
            <w:tcW w:w="2355" w:type="dxa"/>
          </w:tcPr>
          <w:p w:rsidR="00B27209" w:rsidRDefault="00B27209" w:rsidP="00B27209">
            <w:pPr>
              <w:spacing w:before="120" w:after="120"/>
              <w:ind w:left="-108"/>
            </w:pPr>
          </w:p>
        </w:tc>
      </w:tr>
    </w:tbl>
    <w:p w:rsidR="00226DCF" w:rsidRDefault="00226DCF" w:rsidP="00226DCF">
      <w:pPr>
        <w:spacing w:line="360" w:lineRule="auto"/>
      </w:pP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tab/>
      </w:r>
      <w:r>
        <w:tab/>
        <w:t xml:space="preserve">Counsel for the </w:t>
      </w:r>
      <w:r w:rsidR="00F61506">
        <w:t>Companies</w:t>
      </w:r>
      <w:r>
        <w:t xml:space="preserve"> will coordinate the order of witnesses and estimated time for cross-examination by each party, and will supply a copy of the witness order to me </w:t>
      </w:r>
      <w:r w:rsidR="00F61506">
        <w:t>at least</w:t>
      </w:r>
      <w:r>
        <w:t xml:space="preserve"> </w:t>
      </w:r>
      <w:r w:rsidR="001D681C">
        <w:t>two</w:t>
      </w:r>
      <w:r w:rsidR="00F61506">
        <w:t xml:space="preserve"> (</w:t>
      </w:r>
      <w:r w:rsidR="001D681C">
        <w:t>2</w:t>
      </w:r>
      <w:r w:rsidR="00F61506">
        <w:t>) day</w:t>
      </w:r>
      <w:r w:rsidR="001D681C">
        <w:t>s</w:t>
      </w:r>
      <w:r>
        <w:t xml:space="preserve"> prior to the hearing.</w:t>
      </w:r>
      <w:r w:rsidR="00F61506">
        <w:t xml:space="preserve">  </w:t>
      </w: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226DCF" w:rsidRDefault="00226DCF" w:rsidP="00226DCF">
      <w:pPr>
        <w:spacing w:line="360" w:lineRule="auto"/>
      </w:pPr>
      <w:r>
        <w:tab/>
      </w:r>
      <w:r>
        <w:tab/>
        <w:t xml:space="preserve">Service of documents by e-mail (by 4:30 p.m.) on the due date will be considered in-hand service, if a hard copy is sent by the following day via first class mail.  </w:t>
      </w:r>
      <w:r w:rsidR="00ED7920">
        <w:t>D</w:t>
      </w:r>
      <w:r>
        <w:t xml:space="preserve">iscovery documents served after 12:00 p.m. (noon) on a Friday shall be deemed served on the following business day (i.e. Monday).  </w:t>
      </w:r>
    </w:p>
    <w:p w:rsidR="00ED7920" w:rsidRDefault="00ED7920" w:rsidP="00226DCF">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5A2709" w:rsidRDefault="00226DCF" w:rsidP="00226DCF">
      <w:pPr>
        <w:spacing w:line="360" w:lineRule="auto"/>
      </w:pPr>
      <w:r>
        <w:tab/>
      </w:r>
      <w:r>
        <w:tab/>
        <w:t xml:space="preserve">Motions or objections with respect to written testimony must be presented in writing and provided to the parties and the presiding officer </w:t>
      </w:r>
      <w:r w:rsidR="00ED7920">
        <w:t xml:space="preserve">by noon on May 6, 2014. </w:t>
      </w:r>
    </w:p>
    <w:p w:rsidR="00ED7920" w:rsidRDefault="00ED7920"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E329A8">
        <w:t xml:space="preserve">Wednesday, May </w:t>
      </w:r>
      <w:r w:rsidR="00DC1DDC">
        <w:t>7</w:t>
      </w:r>
      <w:r w:rsidR="007B6758">
        <w:t>, 201</w:t>
      </w:r>
      <w:r w:rsidR="00DC1DDC">
        <w:t>4</w:t>
      </w:r>
      <w:r>
        <w:t xml:space="preserve"> </w:t>
      </w:r>
      <w:r w:rsidR="00F61506">
        <w:t xml:space="preserve">in Hearing Room No. </w:t>
      </w:r>
      <w:r w:rsidR="00E329A8">
        <w:t>3</w:t>
      </w:r>
      <w:r w:rsidR="00F61506">
        <w:t xml:space="preserve">, </w:t>
      </w:r>
      <w:r>
        <w:t xml:space="preserve">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 xml:space="preserve">The transcript turnaround time is </w:t>
      </w:r>
      <w:r w:rsidR="00DC1DDC">
        <w:t>one</w:t>
      </w:r>
      <w:r>
        <w:t xml:space="preserve"> (</w:t>
      </w:r>
      <w:r w:rsidR="00DC1DDC">
        <w:t>1</w:t>
      </w:r>
      <w:r>
        <w:t>) day.</w:t>
      </w:r>
      <w:r w:rsidR="00F61506">
        <w:t xml:space="preserve">  </w:t>
      </w:r>
    </w:p>
    <w:p w:rsidR="00226DCF" w:rsidRDefault="00226DCF" w:rsidP="00226DCF">
      <w:pPr>
        <w:spacing w:line="360" w:lineRule="auto"/>
        <w:rPr>
          <w:u w:val="single"/>
        </w:rPr>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5F2DB1" w:rsidRDefault="00226DCF" w:rsidP="00F2578A">
      <w:pPr>
        <w:spacing w:line="360" w:lineRule="auto"/>
      </w:pPr>
      <w:r>
        <w:lastRenderedPageBreak/>
        <w:tab/>
      </w:r>
      <w:r>
        <w:tab/>
      </w:r>
      <w:r w:rsidR="00E53DE7">
        <w:t xml:space="preserve">The parties </w:t>
      </w:r>
      <w:r w:rsidR="0000482B">
        <w:t>agreed to</w:t>
      </w:r>
      <w:r w:rsidR="00E53DE7">
        <w:t xml:space="preserve"> </w:t>
      </w:r>
      <w:r>
        <w:t>modif</w:t>
      </w:r>
      <w:r w:rsidR="0000482B">
        <w:t>y</w:t>
      </w:r>
      <w:r>
        <w:t xml:space="preserve"> the discovery rules set forth in the Commission’s regulations due to the time constraints applicable to this proceeding. </w:t>
      </w:r>
      <w:r w:rsidR="00131E3E">
        <w:t xml:space="preserve"> </w:t>
      </w:r>
      <w:r w:rsidR="00F2578A">
        <w:t>These modifications are reflected in the procedural schedule above.</w:t>
      </w:r>
      <w:r w:rsidR="005F2DB1">
        <w:t xml:space="preserve"> </w:t>
      </w:r>
    </w:p>
    <w:p w:rsidR="005F2DB1" w:rsidRDefault="005F2DB1" w:rsidP="00226DCF">
      <w:pPr>
        <w:spacing w:line="360" w:lineRule="auto"/>
      </w:pPr>
    </w:p>
    <w:p w:rsidR="00511CA3" w:rsidRDefault="00D31DCA" w:rsidP="00F2578A">
      <w:pPr>
        <w:spacing w:line="360" w:lineRule="auto"/>
        <w:rPr>
          <w:u w:val="single"/>
        </w:rPr>
      </w:pPr>
      <w:r>
        <w:tab/>
      </w:r>
      <w:r>
        <w:tab/>
      </w:r>
    </w:p>
    <w:p w:rsidR="00226DCF" w:rsidRDefault="00226DCF" w:rsidP="00226DCF">
      <w:pPr>
        <w:spacing w:line="360" w:lineRule="auto"/>
      </w:pPr>
      <w:r>
        <w:rPr>
          <w:u w:val="single"/>
        </w:rPr>
        <w:t>Protective Order</w:t>
      </w:r>
    </w:p>
    <w:p w:rsidR="00226DCF" w:rsidRDefault="00226DCF" w:rsidP="00226DCF">
      <w:pPr>
        <w:spacing w:line="360" w:lineRule="auto"/>
      </w:pPr>
    </w:p>
    <w:p w:rsidR="00832476" w:rsidRDefault="00226DCF" w:rsidP="00226DCF">
      <w:pPr>
        <w:spacing w:line="360" w:lineRule="auto"/>
      </w:pPr>
      <w:r>
        <w:tab/>
      </w:r>
      <w:r>
        <w:tab/>
      </w:r>
      <w:r w:rsidR="00F2578A">
        <w:t xml:space="preserve">The </w:t>
      </w:r>
      <w:r w:rsidR="00737456">
        <w:t xml:space="preserve">Protective Order </w:t>
      </w:r>
      <w:r w:rsidR="00F2578A">
        <w:t>dated</w:t>
      </w:r>
      <w:r w:rsidR="00737456">
        <w:t xml:space="preserve"> </w:t>
      </w:r>
      <w:r w:rsidR="00514FE4">
        <w:t>February 27, 2013</w:t>
      </w:r>
      <w:r w:rsidR="004D6484">
        <w:t xml:space="preserve"> </w:t>
      </w:r>
      <w:r w:rsidR="00F2578A">
        <w:t xml:space="preserve">remains in full force and effect throughout this proceeding. </w:t>
      </w:r>
    </w:p>
    <w:p w:rsidR="00832476" w:rsidRDefault="00832476" w:rsidP="00226DCF">
      <w:pPr>
        <w:spacing w:line="360" w:lineRule="auto"/>
      </w:pPr>
    </w:p>
    <w:p w:rsidR="00226DCF" w:rsidRDefault="00226DCF" w:rsidP="00226DCF">
      <w:pPr>
        <w:spacing w:line="360" w:lineRule="auto"/>
      </w:pPr>
      <w:r>
        <w:rPr>
          <w:u w:val="single"/>
        </w:rPr>
        <w:t>Settlement</w:t>
      </w:r>
    </w:p>
    <w:p w:rsidR="00226DCF" w:rsidRDefault="00226DCF" w:rsidP="00226DCF">
      <w:pPr>
        <w:spacing w:line="360" w:lineRule="auto"/>
      </w:pPr>
    </w:p>
    <w:p w:rsidR="00226DCF" w:rsidRDefault="00226DCF" w:rsidP="00226DCF">
      <w:pPr>
        <w:spacing w:line="360" w:lineRule="auto"/>
      </w:pPr>
      <w:r>
        <w:tab/>
      </w:r>
      <w:r>
        <w:tab/>
      </w:r>
      <w:r w:rsidR="00E07FB0">
        <w:t>T</w:t>
      </w:r>
      <w:r>
        <w:t>he parties are reminded that if a settlement is reached, they should file a petition for settlement as well as individual parties’ statements in support of the settlement 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226DCF" w:rsidRPr="000520A4" w:rsidRDefault="00226DCF" w:rsidP="00226DCF">
      <w:pPr>
        <w:spacing w:line="360" w:lineRule="auto"/>
        <w:rPr>
          <w:u w:val="single"/>
        </w:rP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76053F">
      <w:pPr>
        <w:spacing w:line="360" w:lineRule="auto"/>
        <w:ind w:right="-270" w:firstLine="1440"/>
      </w:pPr>
    </w:p>
    <w:p w:rsidR="00226DCF" w:rsidRDefault="00226DCF" w:rsidP="00226DCF">
      <w:pPr>
        <w:spacing w:line="360" w:lineRule="auto"/>
        <w:ind w:firstLine="1440"/>
        <w:rPr>
          <w:bCs/>
        </w:rPr>
      </w:pPr>
      <w:r w:rsidRPr="005E5B28">
        <w:rPr>
          <w:bCs/>
        </w:rPr>
        <w:t>IT IS ORDERED:</w:t>
      </w:r>
    </w:p>
    <w:p w:rsidR="00ED7920" w:rsidRDefault="00F2578A" w:rsidP="00F2578A">
      <w:r w:rsidRPr="00514FE4">
        <w:tab/>
      </w:r>
    </w:p>
    <w:p w:rsidR="00ED7920" w:rsidRDefault="00ED7920" w:rsidP="00F2578A"/>
    <w:p w:rsidR="00F2578A" w:rsidRPr="00514FE4" w:rsidRDefault="00ED7920" w:rsidP="00F2578A">
      <w:r>
        <w:tab/>
        <w:t>1.</w:t>
      </w:r>
      <w:r>
        <w:tab/>
      </w:r>
      <w:r w:rsidR="00F2578A" w:rsidRPr="00514FE4">
        <w:t>The procedural schedule is as follows:</w:t>
      </w:r>
    </w:p>
    <w:tbl>
      <w:tblPr>
        <w:tblW w:w="9728" w:type="dxa"/>
        <w:tblLayout w:type="fixed"/>
        <w:tblLook w:val="04A0" w:firstRow="1" w:lastRow="0" w:firstColumn="1" w:lastColumn="0" w:noHBand="0" w:noVBand="1"/>
      </w:tblPr>
      <w:tblGrid>
        <w:gridCol w:w="8635"/>
        <w:gridCol w:w="236"/>
        <w:gridCol w:w="541"/>
        <w:gridCol w:w="316"/>
      </w:tblGrid>
      <w:tr w:rsidR="00F2578A" w:rsidRPr="00514FE4" w:rsidTr="00F2578A">
        <w:trPr>
          <w:trHeight w:val="65"/>
        </w:trPr>
        <w:tc>
          <w:tcPr>
            <w:tcW w:w="9412" w:type="dxa"/>
            <w:gridSpan w:val="3"/>
          </w:tcPr>
          <w:p w:rsidR="00F2578A" w:rsidRPr="00514FE4" w:rsidRDefault="00F2578A" w:rsidP="00D220C2">
            <w:pPr>
              <w:tabs>
                <w:tab w:val="left" w:leader="dot" w:pos="7200"/>
              </w:tabs>
              <w:spacing w:before="120" w:after="120"/>
            </w:pPr>
          </w:p>
        </w:tc>
        <w:tc>
          <w:tcPr>
            <w:tcW w:w="316" w:type="dxa"/>
          </w:tcPr>
          <w:p w:rsidR="00F2578A" w:rsidRPr="00514FE4" w:rsidRDefault="00F2578A" w:rsidP="00D220C2">
            <w:pPr>
              <w:spacing w:before="120" w:after="120"/>
              <w:ind w:left="-108"/>
            </w:pPr>
          </w:p>
        </w:tc>
      </w:tr>
      <w:tr w:rsidR="00F2578A" w:rsidRPr="00514FE4" w:rsidTr="00F2578A">
        <w:trPr>
          <w:trHeight w:val="65"/>
        </w:trPr>
        <w:tc>
          <w:tcPr>
            <w:tcW w:w="9412" w:type="dxa"/>
            <w:gridSpan w:val="3"/>
          </w:tcPr>
          <w:tbl>
            <w:tblPr>
              <w:tblW w:w="10397" w:type="dxa"/>
              <w:tblInd w:w="11" w:type="dxa"/>
              <w:tblLayout w:type="fixed"/>
              <w:tblLook w:val="04A0" w:firstRow="1" w:lastRow="0" w:firstColumn="1" w:lastColumn="0" w:noHBand="0" w:noVBand="1"/>
            </w:tblPr>
            <w:tblGrid>
              <w:gridCol w:w="10397"/>
            </w:tblGrid>
            <w:tr w:rsidR="00F2578A" w:rsidRPr="00514FE4" w:rsidTr="00D220C2">
              <w:trPr>
                <w:trHeight w:val="1483"/>
              </w:trPr>
              <w:tc>
                <w:tcPr>
                  <w:tcW w:w="10397" w:type="dxa"/>
                </w:tcPr>
                <w:p w:rsidR="00F2578A" w:rsidRPr="00514FE4" w:rsidRDefault="00F2578A" w:rsidP="00D220C2">
                  <w:pPr>
                    <w:pStyle w:val="BodyTextIndent"/>
                    <w:rPr>
                      <w:sz w:val="24"/>
                      <w:szCs w:val="24"/>
                    </w:rPr>
                  </w:pPr>
                </w:p>
                <w:p w:rsidR="00F2578A" w:rsidRPr="00514FE4" w:rsidRDefault="00F2578A" w:rsidP="00D220C2">
                  <w:pPr>
                    <w:widowControl w:val="0"/>
                    <w:spacing w:line="360" w:lineRule="auto"/>
                    <w:jc w:val="center"/>
                    <w:rPr>
                      <w:bCs/>
                      <w:u w:val="single"/>
                    </w:rPr>
                  </w:pPr>
                  <w:r w:rsidRPr="00514FE4">
                    <w:rPr>
                      <w:bCs/>
                      <w:u w:val="single"/>
                    </w:rPr>
                    <w:lastRenderedPageBreak/>
                    <w:t>SCHEDULE</w:t>
                  </w:r>
                </w:p>
                <w:p w:rsidR="00F2578A" w:rsidRPr="00514FE4" w:rsidRDefault="00F2578A" w:rsidP="00D220C2">
                  <w:pPr>
                    <w:widowControl w:val="0"/>
                    <w:spacing w:line="360" w:lineRule="auto"/>
                  </w:pPr>
                </w:p>
                <w:p w:rsidR="00F2578A" w:rsidRDefault="00F2578A" w:rsidP="00D220C2">
                  <w:pPr>
                    <w:widowControl w:val="0"/>
                    <w:spacing w:line="360" w:lineRule="auto"/>
                  </w:pPr>
                  <w:r w:rsidRPr="00514FE4">
                    <w:t>Intervenors’ Direct Testimony</w:t>
                  </w:r>
                  <w:r w:rsidRPr="00514FE4">
                    <w:tab/>
                  </w:r>
                  <w:r w:rsidRPr="00514FE4">
                    <w:tab/>
                  </w:r>
                  <w:r w:rsidRPr="00514FE4">
                    <w:tab/>
                  </w:r>
                  <w:r>
                    <w:t xml:space="preserve"> </w:t>
                  </w:r>
                  <w:r w:rsidRPr="00514FE4">
                    <w:t xml:space="preserve">April </w:t>
                  </w:r>
                  <w:r>
                    <w:t>29</w:t>
                  </w:r>
                  <w:r w:rsidRPr="00514FE4">
                    <w:t>, 201</w:t>
                  </w:r>
                  <w:r>
                    <w:t>4 (2:00 p.m.)</w:t>
                  </w:r>
                </w:p>
                <w:p w:rsidR="00F2578A" w:rsidRDefault="00F2578A" w:rsidP="00D220C2">
                  <w:pPr>
                    <w:widowControl w:val="0"/>
                    <w:spacing w:line="360" w:lineRule="auto"/>
                  </w:pPr>
                  <w:r>
                    <w:t>Informal Discovery Conference Call                          May 1, 2014</w:t>
                  </w:r>
                </w:p>
                <w:p w:rsidR="00F2578A" w:rsidRPr="00514FE4" w:rsidRDefault="00F2578A" w:rsidP="00D220C2">
                  <w:pPr>
                    <w:widowControl w:val="0"/>
                    <w:spacing w:line="360" w:lineRule="auto"/>
                  </w:pPr>
                  <w:r>
                    <w:t>Discovery Written Responses</w:t>
                  </w:r>
                  <w:r w:rsidRPr="00514FE4">
                    <w:tab/>
                  </w:r>
                  <w:r>
                    <w:t xml:space="preserve">                  </w:t>
                  </w:r>
                  <w:r w:rsidRPr="00514FE4">
                    <w:tab/>
                    <w:t xml:space="preserve">             </w:t>
                  </w:r>
                  <w:r>
                    <w:t>May 2, 2014 (best effort basis)</w:t>
                  </w:r>
                  <w:r w:rsidRPr="00514FE4">
                    <w:t xml:space="preserve">                                               </w:t>
                  </w:r>
                </w:p>
                <w:p w:rsidR="00F2578A" w:rsidRPr="00514FE4" w:rsidRDefault="00F2578A" w:rsidP="00D220C2">
                  <w:pPr>
                    <w:widowControl w:val="0"/>
                    <w:spacing w:line="360" w:lineRule="auto"/>
                  </w:pPr>
                  <w:r>
                    <w:t>R</w:t>
                  </w:r>
                  <w:r w:rsidRPr="00514FE4">
                    <w:t xml:space="preserve">ebuttal Testimony      </w:t>
                  </w:r>
                  <w:r w:rsidRPr="00514FE4">
                    <w:tab/>
                  </w:r>
                  <w:r w:rsidRPr="00514FE4">
                    <w:tab/>
                  </w:r>
                  <w:r w:rsidRPr="00514FE4">
                    <w:tab/>
                  </w:r>
                  <w:r w:rsidRPr="00514FE4">
                    <w:tab/>
                  </w:r>
                  <w:r>
                    <w:t xml:space="preserve"> May 5, 2014</w:t>
                  </w:r>
                </w:p>
                <w:p w:rsidR="00F2578A" w:rsidRPr="00514FE4" w:rsidRDefault="00F2578A" w:rsidP="00D220C2">
                  <w:pPr>
                    <w:widowControl w:val="0"/>
                    <w:spacing w:line="360" w:lineRule="auto"/>
                  </w:pPr>
                  <w:r w:rsidRPr="00514FE4">
                    <w:t>D</w:t>
                  </w:r>
                  <w:r>
                    <w:t>raft Brief Outline Circulated by Companies</w:t>
                  </w:r>
                  <w:r w:rsidRPr="00514FE4">
                    <w:t xml:space="preserve">             May </w:t>
                  </w:r>
                  <w:r>
                    <w:t>6</w:t>
                  </w:r>
                  <w:r w:rsidRPr="00514FE4">
                    <w:t>, 201</w:t>
                  </w:r>
                  <w:r>
                    <w:t>4</w:t>
                  </w:r>
                  <w:r w:rsidRPr="00514FE4">
                    <w:t xml:space="preserve"> </w:t>
                  </w:r>
                </w:p>
                <w:p w:rsidR="00F2578A" w:rsidRDefault="00F2578A" w:rsidP="00D220C2">
                  <w:pPr>
                    <w:widowControl w:val="0"/>
                    <w:spacing w:line="360" w:lineRule="auto"/>
                  </w:pPr>
                  <w:r w:rsidRPr="00514FE4">
                    <w:t>Evidentiary Hearin</w:t>
                  </w:r>
                  <w:r>
                    <w:t>g/ oral rejoinder</w:t>
                  </w:r>
                  <w:r>
                    <w:tab/>
                  </w:r>
                  <w:r>
                    <w:tab/>
                    <w:t xml:space="preserve">            </w:t>
                  </w:r>
                  <w:r w:rsidRPr="00514FE4">
                    <w:t xml:space="preserve"> May </w:t>
                  </w:r>
                  <w:r>
                    <w:t>7</w:t>
                  </w:r>
                  <w:r w:rsidRPr="00514FE4">
                    <w:t>, 201</w:t>
                  </w:r>
                  <w:r>
                    <w:t>4 (Harrisburg)</w:t>
                  </w:r>
                </w:p>
                <w:p w:rsidR="00F2578A" w:rsidRPr="00514FE4" w:rsidRDefault="00F2578A" w:rsidP="00D220C2">
                  <w:pPr>
                    <w:widowControl w:val="0"/>
                    <w:spacing w:line="360" w:lineRule="auto"/>
                  </w:pPr>
                  <w:r>
                    <w:t>Responses to ALJ-authorized data requests                May 12, 2014</w:t>
                  </w:r>
                </w:p>
                <w:p w:rsidR="00F2578A" w:rsidRPr="00514FE4" w:rsidRDefault="00F2578A" w:rsidP="00D220C2">
                  <w:pPr>
                    <w:widowControl w:val="0"/>
                    <w:spacing w:line="360" w:lineRule="auto"/>
                    <w:rPr>
                      <w:b/>
                    </w:rPr>
                  </w:pPr>
                  <w:r>
                    <w:t>B</w:t>
                  </w:r>
                  <w:r w:rsidRPr="00514FE4">
                    <w:t>riefs</w:t>
                  </w:r>
                  <w:r w:rsidRPr="00514FE4">
                    <w:tab/>
                  </w:r>
                  <w:r w:rsidRPr="00514FE4">
                    <w:tab/>
                  </w:r>
                  <w:r w:rsidRPr="00514FE4">
                    <w:tab/>
                  </w:r>
                  <w:r w:rsidRPr="00514FE4">
                    <w:tab/>
                  </w:r>
                  <w:r w:rsidRPr="00514FE4">
                    <w:tab/>
                  </w:r>
                  <w:r w:rsidRPr="00514FE4">
                    <w:tab/>
                  </w:r>
                  <w:r>
                    <w:t xml:space="preserve">             </w:t>
                  </w:r>
                  <w:r w:rsidRPr="00514FE4">
                    <w:t xml:space="preserve">May </w:t>
                  </w:r>
                  <w:r>
                    <w:t>1</w:t>
                  </w:r>
                  <w:r w:rsidRPr="00514FE4">
                    <w:t>4, 201</w:t>
                  </w:r>
                  <w:r>
                    <w:t>4</w:t>
                  </w:r>
                </w:p>
              </w:tc>
            </w:tr>
            <w:tr w:rsidR="00F2578A" w:rsidRPr="00514FE4" w:rsidTr="00D220C2">
              <w:trPr>
                <w:trHeight w:val="1483"/>
              </w:trPr>
              <w:tc>
                <w:tcPr>
                  <w:tcW w:w="10397" w:type="dxa"/>
                </w:tcPr>
                <w:p w:rsidR="00F2578A" w:rsidRPr="00514FE4" w:rsidRDefault="00F2578A" w:rsidP="00D220C2">
                  <w:pPr>
                    <w:pStyle w:val="BodyTextIndent"/>
                    <w:rPr>
                      <w:sz w:val="24"/>
                      <w:szCs w:val="24"/>
                    </w:rPr>
                  </w:pPr>
                </w:p>
              </w:tc>
            </w:tr>
            <w:tr w:rsidR="00F2578A" w:rsidRPr="00514FE4" w:rsidTr="00D220C2">
              <w:trPr>
                <w:trHeight w:val="1483"/>
              </w:trPr>
              <w:tc>
                <w:tcPr>
                  <w:tcW w:w="10397" w:type="dxa"/>
                </w:tcPr>
                <w:p w:rsidR="00F2578A" w:rsidRPr="00514FE4" w:rsidRDefault="00F2578A" w:rsidP="00D220C2">
                  <w:pPr>
                    <w:pStyle w:val="BodyTextIndent"/>
                    <w:rPr>
                      <w:sz w:val="24"/>
                      <w:szCs w:val="24"/>
                    </w:rPr>
                  </w:pPr>
                </w:p>
              </w:tc>
            </w:tr>
          </w:tbl>
          <w:p w:rsidR="00F2578A" w:rsidRPr="00514FE4" w:rsidRDefault="00F2578A" w:rsidP="00D220C2">
            <w:pPr>
              <w:tabs>
                <w:tab w:val="left" w:leader="dot" w:pos="7200"/>
              </w:tabs>
              <w:spacing w:before="120" w:after="120"/>
            </w:pPr>
          </w:p>
        </w:tc>
        <w:tc>
          <w:tcPr>
            <w:tcW w:w="316" w:type="dxa"/>
          </w:tcPr>
          <w:p w:rsidR="00F2578A" w:rsidRPr="00514FE4" w:rsidRDefault="00F2578A" w:rsidP="00D220C2">
            <w:pPr>
              <w:spacing w:before="120" w:after="120"/>
              <w:ind w:left="-108"/>
            </w:pPr>
          </w:p>
        </w:tc>
      </w:tr>
      <w:tr w:rsidR="004236F3" w:rsidTr="00F2578A">
        <w:trPr>
          <w:gridAfter w:val="2"/>
          <w:wAfter w:w="857" w:type="dxa"/>
        </w:trPr>
        <w:tc>
          <w:tcPr>
            <w:tcW w:w="8635" w:type="dxa"/>
          </w:tcPr>
          <w:p w:rsidR="004236F3" w:rsidRDefault="004236F3" w:rsidP="00F2578A">
            <w:pPr>
              <w:autoSpaceDE/>
              <w:autoSpaceDN/>
            </w:pPr>
          </w:p>
        </w:tc>
        <w:tc>
          <w:tcPr>
            <w:tcW w:w="236" w:type="dxa"/>
          </w:tcPr>
          <w:p w:rsidR="004236F3" w:rsidRDefault="004236F3" w:rsidP="00F47E60">
            <w:pPr>
              <w:spacing w:before="120" w:after="120"/>
              <w:ind w:left="-108"/>
            </w:pPr>
          </w:p>
        </w:tc>
      </w:tr>
    </w:tbl>
    <w:p w:rsidR="00226DCF" w:rsidRDefault="00226DCF" w:rsidP="00226DCF">
      <w:pPr>
        <w:spacing w:line="360" w:lineRule="auto"/>
      </w:pPr>
      <w:r>
        <w:tab/>
      </w:r>
      <w:r>
        <w:tab/>
      </w:r>
      <w:r w:rsidR="00ED7920">
        <w:t>2</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r>
      <w:r w:rsidR="00ED7920">
        <w:t>3</w:t>
      </w:r>
      <w:r>
        <w:t>.</w:t>
      </w:r>
      <w:r>
        <w:tab/>
        <w:t xml:space="preserve">That directives regarding other matters including: </w:t>
      </w:r>
      <w:r w:rsidR="00ED7920">
        <w:t xml:space="preserve">the protective order, </w:t>
      </w:r>
      <w:r>
        <w:t>identification of witness order, motions, and settlement petitions are adopted as referenced in this Order.</w:t>
      </w:r>
      <w:r>
        <w:tab/>
      </w:r>
    </w:p>
    <w:p w:rsidR="00226DCF" w:rsidRDefault="00226DCF" w:rsidP="00226DCF">
      <w:pPr>
        <w:spacing w:line="360" w:lineRule="auto"/>
      </w:pPr>
    </w:p>
    <w:p w:rsidR="00226DCF" w:rsidRDefault="00226DCF" w:rsidP="00ED7920">
      <w:pPr>
        <w:spacing w:line="360" w:lineRule="auto"/>
      </w:pPr>
      <w:r>
        <w:tab/>
      </w:r>
      <w:r>
        <w:tab/>
      </w:r>
      <w:r>
        <w:tab/>
      </w:r>
    </w:p>
    <w:p w:rsidR="00226DCF" w:rsidRPr="00774975" w:rsidRDefault="00ED7920" w:rsidP="00226DCF">
      <w:pPr>
        <w:rPr>
          <w:u w:val="single"/>
        </w:rPr>
      </w:pPr>
      <w:r>
        <w:t xml:space="preserve">Date:   </w:t>
      </w:r>
      <w:r>
        <w:rPr>
          <w:u w:val="single"/>
        </w:rPr>
        <w:t>April 25, 2014</w:t>
      </w:r>
      <w:r w:rsidR="00226DCF">
        <w:tab/>
      </w:r>
      <w:r w:rsidR="00226DCF">
        <w:tab/>
      </w:r>
      <w:r w:rsidR="00D31DCA">
        <w:tab/>
      </w:r>
      <w:r>
        <w:tab/>
      </w:r>
      <w:r w:rsidR="00226DCF">
        <w:rPr>
          <w:u w:val="single"/>
        </w:rPr>
        <w:tab/>
      </w:r>
      <w:r w:rsidR="00226DCF">
        <w:rPr>
          <w:u w:val="single"/>
        </w:rPr>
        <w:tab/>
      </w:r>
      <w:r w:rsidR="00226DCF">
        <w:rPr>
          <w:u w:val="single"/>
        </w:rPr>
        <w:tab/>
      </w:r>
      <w:r w:rsidR="00226DCF">
        <w:rPr>
          <w:u w:val="single"/>
        </w:rPr>
        <w:tab/>
      </w:r>
      <w:r w:rsidR="00226DCF">
        <w:rPr>
          <w:u w:val="single"/>
        </w:rPr>
        <w:tab/>
      </w:r>
      <w:r w:rsidR="00226DCF">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3F38AD" w:rsidRDefault="00226DCF" w:rsidP="00226DCF">
      <w:pPr>
        <w:sectPr w:rsidR="003F38AD" w:rsidSect="0076053F">
          <w:footerReference w:type="default" r:id="rId9"/>
          <w:pgSz w:w="12240" w:h="15840"/>
          <w:pgMar w:top="1440" w:right="1350" w:bottom="1440" w:left="1800" w:header="720" w:footer="720" w:gutter="0"/>
          <w:cols w:space="720"/>
          <w:titlePg/>
        </w:sectPr>
      </w:pPr>
      <w:r w:rsidRPr="00E22703">
        <w:tab/>
      </w:r>
      <w:r w:rsidRPr="00E22703">
        <w:tab/>
      </w:r>
      <w:r w:rsidRPr="00E22703">
        <w:tab/>
      </w:r>
      <w:r>
        <w:tab/>
      </w:r>
      <w:r w:rsidRPr="00E22703">
        <w:tab/>
      </w:r>
      <w:r w:rsidRPr="00E22703">
        <w:tab/>
        <w:t>Administrative Law Judge</w:t>
      </w:r>
    </w:p>
    <w:p w:rsidR="003F38AD" w:rsidRDefault="003F38AD" w:rsidP="003F38AD">
      <w:pPr>
        <w:contextualSpacing/>
        <w:rPr>
          <w:rFonts w:ascii="Microsoft Sans Serif"/>
          <w:b/>
          <w:u w:val="single"/>
        </w:rPr>
      </w:pPr>
      <w:r>
        <w:rPr>
          <w:rFonts w:ascii="Microsoft Sans Serif"/>
          <w:b/>
          <w:u w:val="single"/>
        </w:rPr>
        <w:lastRenderedPageBreak/>
        <w:t>M-2013-2341990, M-2013-2341991, M-2013-2341993, and M-2013-2341994</w:t>
      </w:r>
    </w:p>
    <w:p w:rsidR="003F38AD" w:rsidRDefault="003F38AD" w:rsidP="003F38AD">
      <w:pPr>
        <w:contextualSpacing/>
        <w:rPr>
          <w:rFonts w:ascii="Microsoft Sans Serif"/>
          <w:b/>
          <w:u w:val="single"/>
        </w:rPr>
      </w:pPr>
      <w:r>
        <w:rPr>
          <w:rFonts w:ascii="Microsoft Sans Serif"/>
          <w:b/>
          <w:u w:val="single"/>
        </w:rPr>
        <w:t>Joint Petition of Metropolitan Edison Company, Pennsylvania Electric Company, Pennsylvania Power Company, and West Penn Power Company for Approval of their Smart Meter Deployment Plan.</w:t>
      </w:r>
    </w:p>
    <w:p w:rsidR="003F38AD" w:rsidRDefault="003F38AD" w:rsidP="003F38AD">
      <w:pPr>
        <w:contextualSpacing/>
        <w:rPr>
          <w:rFonts w:ascii="Microsoft Sans Serif"/>
          <w:b/>
          <w:u w:val="single"/>
        </w:rPr>
      </w:pPr>
    </w:p>
    <w:p w:rsidR="003F38AD" w:rsidRPr="00D14669" w:rsidRDefault="003F38AD" w:rsidP="003F38AD">
      <w:pPr>
        <w:contextualSpacing/>
        <w:rPr>
          <w:rFonts w:ascii="Microsoft Sans Serif"/>
          <w:b/>
        </w:rPr>
      </w:pPr>
      <w:r>
        <w:rPr>
          <w:rFonts w:ascii="Microsoft Sans Serif"/>
          <w:b/>
        </w:rPr>
        <w:t>Revised 2/28</w:t>
      </w:r>
      <w:r w:rsidRPr="00D14669">
        <w:rPr>
          <w:rFonts w:ascii="Microsoft Sans Serif"/>
          <w:b/>
        </w:rPr>
        <w:t>/2013</w:t>
      </w:r>
    </w:p>
    <w:p w:rsidR="003F38AD" w:rsidRDefault="003F38AD" w:rsidP="003F38AD">
      <w:pPr>
        <w:contextualSpacing/>
        <w:rPr>
          <w:rFonts w:ascii="Microsoft Sans Serif"/>
          <w:b/>
          <w:u w:val="single"/>
        </w:rPr>
        <w:sectPr w:rsidR="003F38AD">
          <w:footerReference w:type="default" r:id="rId10"/>
          <w:pgSz w:w="12240" w:h="15840"/>
          <w:pgMar w:top="1440" w:right="1440" w:bottom="1440" w:left="1440" w:header="720" w:footer="720" w:gutter="0"/>
          <w:cols w:space="720"/>
          <w:docGrid w:linePitch="360"/>
        </w:sectPr>
      </w:pPr>
      <w:r>
        <w:rPr>
          <w:rFonts w:ascii="Microsoft Sans Serif"/>
          <w:b/>
          <w:u w:val="single"/>
        </w:rPr>
        <w:cr/>
      </w:r>
    </w:p>
    <w:p w:rsidR="003F38AD" w:rsidRPr="00D14669" w:rsidRDefault="003F38AD" w:rsidP="003F38AD">
      <w:pPr>
        <w:contextualSpacing/>
        <w:rPr>
          <w:rFonts w:ascii="Microsoft Sans Serif" w:hAnsi="Microsoft Sans Serif"/>
          <w:caps/>
        </w:rPr>
      </w:pPr>
      <w:r w:rsidRPr="00D14669">
        <w:rPr>
          <w:rFonts w:ascii="Microsoft Sans Serif" w:hAnsi="Microsoft Sans Serif"/>
          <w:caps/>
        </w:rPr>
        <w:lastRenderedPageBreak/>
        <w:t>Candis Tunilo Esquire</w:t>
      </w:r>
    </w:p>
    <w:p w:rsidR="003F38AD" w:rsidRDefault="003F38AD" w:rsidP="003F38AD">
      <w:pPr>
        <w:contextualSpacing/>
        <w:rPr>
          <w:rFonts w:ascii="Microsoft Sans Serif"/>
        </w:rPr>
      </w:pPr>
      <w:r w:rsidRPr="00D14669">
        <w:rPr>
          <w:rFonts w:ascii="Microsoft Sans Serif" w:hAnsi="Microsoft Sans Serif"/>
          <w:caps/>
        </w:rPr>
        <w:t>Christy Appleby Esquire</w:t>
      </w:r>
      <w:r>
        <w:rPr>
          <w:rFonts w:ascii="Microsoft Sans Serif"/>
        </w:rPr>
        <w:cr/>
        <w:t>OFFICE OF CONSUMER ADVOCATE</w:t>
      </w:r>
      <w:r>
        <w:rPr>
          <w:rFonts w:ascii="Microsoft Sans Serif"/>
        </w:rPr>
        <w:cr/>
        <w:t xml:space="preserve">555 WALNUT </w:t>
      </w:r>
      <w:proofErr w:type="gramStart"/>
      <w:r>
        <w:rPr>
          <w:rFonts w:ascii="Microsoft Sans Serif"/>
        </w:rPr>
        <w:t>STREET  FIFTH</w:t>
      </w:r>
      <w:proofErr w:type="gramEnd"/>
      <w:r>
        <w:rPr>
          <w:rFonts w:ascii="Microsoft Sans Serif"/>
        </w:rPr>
        <w:t xml:space="preserve"> FLOOR  FORUM PLACE</w:t>
      </w:r>
      <w:r>
        <w:rPr>
          <w:rFonts w:ascii="Microsoft Sans Serif"/>
        </w:rPr>
        <w:cr/>
        <w:t>HARRISBURG PA  17101-1923</w:t>
      </w:r>
      <w:r>
        <w:rPr>
          <w:rFonts w:ascii="Microsoft Sans Serif"/>
        </w:rPr>
        <w:cr/>
        <w:t>717-783-5048</w:t>
      </w:r>
      <w:r>
        <w:rPr>
          <w:rFonts w:ascii="Microsoft Sans Serif"/>
        </w:rPr>
        <w:cr/>
      </w:r>
      <w:r w:rsidRPr="00935EA3">
        <w:rPr>
          <w:rFonts w:ascii="Microsoft Sans Serif"/>
          <w:b/>
          <w:i/>
        </w:rPr>
        <w:t>E-Served</w:t>
      </w:r>
      <w:r>
        <w:rPr>
          <w:rFonts w:ascii="Microsoft Sans Serif"/>
          <w:b/>
          <w:i/>
        </w:rPr>
        <w:t xml:space="preserve"> Christy Appleby</w:t>
      </w:r>
    </w:p>
    <w:p w:rsidR="003F38AD" w:rsidRPr="00C25778" w:rsidRDefault="003F38AD" w:rsidP="003F38AD">
      <w:pPr>
        <w:contextualSpacing/>
        <w:rPr>
          <w:rFonts w:ascii="Microsoft Sans Serif" w:hAnsi="Microsoft Sans Serif"/>
          <w:caps/>
        </w:rPr>
      </w:pPr>
      <w:r>
        <w:rPr>
          <w:rFonts w:ascii="Microsoft Sans Serif"/>
        </w:rPr>
        <w:cr/>
        <w:t>DANIEL ASMUS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r>
        <w:rPr>
          <w:rFonts w:ascii="Microsoft Sans Serif"/>
        </w:rPr>
        <w:cr/>
      </w:r>
      <w:r w:rsidRPr="00C25778">
        <w:rPr>
          <w:rFonts w:ascii="Microsoft Sans Serif" w:hAnsi="Microsoft Sans Serif"/>
          <w:caps/>
        </w:rPr>
        <w:t>Kathy J Kolich Esquire</w:t>
      </w:r>
    </w:p>
    <w:p w:rsidR="003F38AD" w:rsidRPr="00C25778" w:rsidRDefault="003F38AD" w:rsidP="003F38AD">
      <w:pPr>
        <w:contextualSpacing/>
        <w:rPr>
          <w:rFonts w:ascii="Microsoft Sans Serif" w:hAnsi="Microsoft Sans Serif"/>
          <w:caps/>
        </w:rPr>
      </w:pPr>
      <w:r w:rsidRPr="00C25778">
        <w:rPr>
          <w:rFonts w:ascii="Microsoft Sans Serif" w:hAnsi="Microsoft Sans Serif"/>
          <w:caps/>
        </w:rPr>
        <w:t>First Energy Service Company</w:t>
      </w:r>
    </w:p>
    <w:p w:rsidR="003F38AD" w:rsidRPr="00C25778" w:rsidRDefault="003F38AD" w:rsidP="003F38AD">
      <w:pPr>
        <w:contextualSpacing/>
        <w:rPr>
          <w:rFonts w:ascii="Microsoft Sans Serif" w:hAnsi="Microsoft Sans Serif"/>
          <w:caps/>
        </w:rPr>
      </w:pPr>
      <w:r w:rsidRPr="00C25778">
        <w:rPr>
          <w:rFonts w:ascii="Microsoft Sans Serif" w:hAnsi="Microsoft Sans Serif"/>
          <w:caps/>
        </w:rPr>
        <w:t>76 South Main Street</w:t>
      </w:r>
    </w:p>
    <w:p w:rsidR="003F38AD" w:rsidRDefault="003F38AD" w:rsidP="003F38AD">
      <w:pPr>
        <w:contextualSpacing/>
        <w:rPr>
          <w:rFonts w:ascii="Microsoft Sans Serif" w:hAnsi="Microsoft Sans Serif"/>
          <w:caps/>
        </w:rPr>
      </w:pPr>
      <w:r w:rsidRPr="00C25778">
        <w:rPr>
          <w:rFonts w:ascii="Microsoft Sans Serif" w:hAnsi="Microsoft Sans Serif"/>
          <w:caps/>
        </w:rPr>
        <w:t>Akron OH 44308</w:t>
      </w:r>
    </w:p>
    <w:p w:rsidR="003F38AD" w:rsidRDefault="003F38AD" w:rsidP="003F38AD">
      <w:pPr>
        <w:contextualSpacing/>
        <w:rPr>
          <w:rFonts w:ascii="Microsoft Sans Serif" w:hAnsi="Microsoft Sans Serif"/>
          <w:caps/>
        </w:rPr>
      </w:pPr>
      <w:r>
        <w:rPr>
          <w:rFonts w:ascii="Microsoft Sans Serif" w:hAnsi="Microsoft Sans Serif"/>
          <w:caps/>
        </w:rPr>
        <w:t>330-384-4580</w:t>
      </w:r>
    </w:p>
    <w:p w:rsidR="003F38AD" w:rsidRDefault="003F38AD" w:rsidP="003F38AD">
      <w:pPr>
        <w:contextualSpacing/>
        <w:rPr>
          <w:rFonts w:ascii="Microsoft Sans Serif"/>
          <w:b/>
          <w:i/>
        </w:rPr>
      </w:pPr>
      <w:r w:rsidRPr="00C25778">
        <w:rPr>
          <w:rFonts w:ascii="Microsoft Sans Serif"/>
          <w:b/>
          <w:i/>
        </w:rPr>
        <w:t>E-Served</w:t>
      </w:r>
    </w:p>
    <w:p w:rsidR="003F38AD" w:rsidRDefault="003F38AD" w:rsidP="003F38AD">
      <w:pPr>
        <w:contextualSpacing/>
        <w:rPr>
          <w:rFonts w:ascii="Microsoft Sans Serif"/>
        </w:rPr>
      </w:pPr>
    </w:p>
    <w:p w:rsidR="003F38AD" w:rsidRDefault="003F38AD" w:rsidP="003F38AD">
      <w:pPr>
        <w:contextualSpacing/>
        <w:rPr>
          <w:rFonts w:ascii="Microsoft Sans Serif"/>
        </w:rPr>
      </w:pPr>
      <w:r>
        <w:rPr>
          <w:rFonts w:ascii="Microsoft Sans Serif"/>
        </w:rPr>
        <w:t>JOHN F POVILAITIS ESQUIRE</w:t>
      </w:r>
      <w:r>
        <w:rPr>
          <w:rFonts w:ascii="Microsoft Sans Serif"/>
        </w:rPr>
        <w:cr/>
        <w:t>BUCHANAN INGERSOLL AND ROONEY PC</w:t>
      </w:r>
      <w:r>
        <w:rPr>
          <w:rFonts w:ascii="Microsoft Sans Serif"/>
        </w:rPr>
        <w:cr/>
        <w:t>409 NORTH SECOND STREET SUITE 500</w:t>
      </w:r>
      <w:r>
        <w:rPr>
          <w:rFonts w:ascii="Microsoft Sans Serif"/>
        </w:rPr>
        <w:cr/>
        <w:t>HARRISBURG PA  17101-1357</w:t>
      </w:r>
      <w:r>
        <w:rPr>
          <w:rFonts w:ascii="Microsoft Sans Serif"/>
        </w:rPr>
        <w:cr/>
        <w:t>717-237-4825</w:t>
      </w:r>
      <w:r>
        <w:rPr>
          <w:rFonts w:ascii="Microsoft Sans Serif"/>
        </w:rPr>
        <w:cr/>
      </w:r>
      <w:r w:rsidRPr="00C25778">
        <w:rPr>
          <w:rFonts w:ascii="Microsoft Sans Serif"/>
          <w:b/>
          <w:i/>
        </w:rPr>
        <w:t>E-Served</w:t>
      </w:r>
    </w:p>
    <w:p w:rsidR="003F38AD" w:rsidRDefault="003F38AD" w:rsidP="003F38AD">
      <w:pPr>
        <w:contextualSpacing/>
        <w:rPr>
          <w:rFonts w:ascii="Microsoft Sans Serif"/>
        </w:rPr>
      </w:pPr>
      <w:r>
        <w:rPr>
          <w:rFonts w:ascii="Microsoft Sans Serif"/>
        </w:rPr>
        <w:cr/>
        <w:t>THOMAS P GADSDEN ESQUIRE</w:t>
      </w:r>
    </w:p>
    <w:p w:rsidR="003F38AD" w:rsidRDefault="003F38AD" w:rsidP="003F38AD">
      <w:pPr>
        <w:contextualSpacing/>
        <w:rPr>
          <w:rFonts w:ascii="Microsoft Sans Serif" w:hAnsi="Microsoft Sans Serif"/>
          <w:caps/>
        </w:rPr>
      </w:pPr>
      <w:r w:rsidRPr="00C25778">
        <w:rPr>
          <w:rFonts w:ascii="Microsoft Sans Serif" w:hAnsi="Microsoft Sans Serif"/>
          <w:caps/>
        </w:rPr>
        <w:t>Kenneth M Kulak</w:t>
      </w:r>
      <w:r>
        <w:rPr>
          <w:rFonts w:ascii="Microsoft Sans Serif" w:hAnsi="Microsoft Sans Serif"/>
          <w:caps/>
        </w:rPr>
        <w:t xml:space="preserve"> Esquire</w:t>
      </w:r>
    </w:p>
    <w:p w:rsidR="003F38AD" w:rsidRDefault="003F38AD" w:rsidP="003F38AD">
      <w:pPr>
        <w:contextualSpacing/>
        <w:rPr>
          <w:rFonts w:ascii="Microsoft Sans Serif"/>
        </w:rPr>
      </w:pPr>
      <w:r>
        <w:rPr>
          <w:rFonts w:ascii="Microsoft Sans Serif"/>
        </w:rPr>
        <w:t xml:space="preserve">MORGAN LEWIS </w:t>
      </w:r>
      <w:proofErr w:type="gramStart"/>
      <w:r>
        <w:rPr>
          <w:rFonts w:ascii="Microsoft Sans Serif"/>
        </w:rPr>
        <w:t>AND  BOCKIUS</w:t>
      </w:r>
      <w:proofErr w:type="gramEnd"/>
      <w:r>
        <w:rPr>
          <w:rFonts w:ascii="Microsoft Sans Serif"/>
        </w:rPr>
        <w:t xml:space="preserve"> LLP</w:t>
      </w:r>
      <w:r>
        <w:rPr>
          <w:rFonts w:ascii="Microsoft Sans Serif"/>
        </w:rPr>
        <w:cr/>
        <w:t>1701 MARKET STREET</w:t>
      </w:r>
      <w:r>
        <w:rPr>
          <w:rFonts w:ascii="Microsoft Sans Serif"/>
        </w:rPr>
        <w:cr/>
        <w:t>PHILADELPHIA PA  19103</w:t>
      </w:r>
      <w:r>
        <w:rPr>
          <w:rFonts w:ascii="Microsoft Sans Serif"/>
        </w:rPr>
        <w:cr/>
        <w:t>215-963-5234</w:t>
      </w:r>
      <w:r>
        <w:rPr>
          <w:rFonts w:ascii="Microsoft Sans Serif"/>
        </w:rPr>
        <w:cr/>
        <w:t xml:space="preserve">215.963.5384  </w:t>
      </w:r>
    </w:p>
    <w:p w:rsidR="003F38AD" w:rsidRDefault="003F38AD" w:rsidP="003F38AD">
      <w:pPr>
        <w:contextualSpacing/>
        <w:rPr>
          <w:rFonts w:ascii="Microsoft Sans Serif"/>
        </w:rPr>
      </w:pPr>
      <w:r>
        <w:rPr>
          <w:rFonts w:ascii="Microsoft Sans Serif"/>
        </w:rPr>
        <w:t>215.963.5952</w:t>
      </w:r>
    </w:p>
    <w:p w:rsidR="003F38AD" w:rsidRPr="00C25778" w:rsidRDefault="003F38AD" w:rsidP="003F38AD">
      <w:pPr>
        <w:contextualSpacing/>
        <w:rPr>
          <w:rFonts w:ascii="Microsoft Sans Serif"/>
          <w:b/>
          <w:i/>
        </w:rPr>
      </w:pPr>
      <w:r w:rsidRPr="00C25778">
        <w:rPr>
          <w:rFonts w:ascii="Microsoft Sans Serif"/>
          <w:b/>
          <w:i/>
        </w:rPr>
        <w:t>E-Served</w:t>
      </w:r>
    </w:p>
    <w:p w:rsidR="003F38AD" w:rsidRDefault="003F38AD" w:rsidP="003F38AD">
      <w:pPr>
        <w:contextualSpacing/>
        <w:rPr>
          <w:rFonts w:ascii="Microsoft Sans Serif"/>
        </w:rPr>
      </w:pPr>
    </w:p>
    <w:p w:rsidR="003F38AD" w:rsidRDefault="003F38AD" w:rsidP="003F38AD">
      <w:pPr>
        <w:contextualSpacing/>
        <w:rPr>
          <w:rFonts w:ascii="Microsoft Sans Serif"/>
        </w:rPr>
      </w:pPr>
      <w:bookmarkStart w:id="0" w:name="_GoBack"/>
      <w:r>
        <w:rPr>
          <w:rFonts w:ascii="Microsoft Sans Serif"/>
        </w:rPr>
        <w:lastRenderedPageBreak/>
        <w:t>DANIEL CLEARFIELD ESQUIRE</w:t>
      </w:r>
    </w:p>
    <w:p w:rsidR="003F38AD" w:rsidRDefault="003F38AD" w:rsidP="003F38AD">
      <w:pPr>
        <w:contextualSpacing/>
        <w:rPr>
          <w:rFonts w:ascii="Microsoft Sans Serif"/>
        </w:rPr>
      </w:pPr>
      <w:r>
        <w:rPr>
          <w:rFonts w:ascii="Microsoft Sans Serif"/>
        </w:rPr>
        <w:t>DEANNE O</w:t>
      </w:r>
      <w:r>
        <w:rPr>
          <w:rFonts w:ascii="Microsoft Sans Serif"/>
        </w:rPr>
        <w:t>’</w:t>
      </w:r>
      <w:r>
        <w:rPr>
          <w:rFonts w:ascii="Microsoft Sans Serif"/>
        </w:rPr>
        <w:t>DELL ESQUIRE</w:t>
      </w:r>
    </w:p>
    <w:p w:rsidR="003F38AD" w:rsidRDefault="003F38AD" w:rsidP="003F38AD">
      <w:pPr>
        <w:contextualSpacing/>
        <w:rPr>
          <w:rFonts w:ascii="Microsoft Sans Serif"/>
        </w:rPr>
      </w:pPr>
      <w:r>
        <w:rPr>
          <w:rFonts w:ascii="Microsoft Sans Serif"/>
        </w:rPr>
        <w:t>ECKERT SEAMANS CHERIN &amp; MELLOTT LLC</w:t>
      </w:r>
    </w:p>
    <w:p w:rsidR="003F38AD" w:rsidRDefault="003F38AD" w:rsidP="003F38AD">
      <w:pPr>
        <w:contextualSpacing/>
        <w:rPr>
          <w:rFonts w:ascii="Microsoft Sans Serif"/>
        </w:rPr>
      </w:pPr>
      <w:r>
        <w:rPr>
          <w:rFonts w:ascii="Microsoft Sans Serif"/>
        </w:rPr>
        <w:t>213 MARKET STREET 8</w:t>
      </w:r>
      <w:r w:rsidRPr="00D14669">
        <w:rPr>
          <w:rFonts w:ascii="Microsoft Sans Serif"/>
          <w:vertAlign w:val="superscript"/>
        </w:rPr>
        <w:t>TH</w:t>
      </w:r>
      <w:r>
        <w:rPr>
          <w:rFonts w:ascii="Microsoft Sans Serif"/>
        </w:rPr>
        <w:t xml:space="preserve"> </w:t>
      </w:r>
      <w:proofErr w:type="gramStart"/>
      <w:r>
        <w:rPr>
          <w:rFonts w:ascii="Microsoft Sans Serif"/>
        </w:rPr>
        <w:t>FLOOR</w:t>
      </w:r>
      <w:proofErr w:type="gramEnd"/>
    </w:p>
    <w:p w:rsidR="003F38AD" w:rsidRDefault="003F38AD" w:rsidP="003F38AD">
      <w:pPr>
        <w:contextualSpacing/>
        <w:rPr>
          <w:rFonts w:ascii="Microsoft Sans Serif"/>
        </w:rPr>
      </w:pPr>
      <w:r>
        <w:rPr>
          <w:rFonts w:ascii="Microsoft Sans Serif"/>
        </w:rPr>
        <w:t>HARRISBURG PA 17101</w:t>
      </w:r>
    </w:p>
    <w:bookmarkEnd w:id="0"/>
    <w:p w:rsidR="003F38AD" w:rsidRDefault="003F38AD" w:rsidP="003F38AD">
      <w:pPr>
        <w:contextualSpacing/>
        <w:rPr>
          <w:rFonts w:ascii="Microsoft Sans Serif"/>
        </w:rPr>
      </w:pPr>
    </w:p>
    <w:p w:rsidR="003F38AD" w:rsidRDefault="003F38AD" w:rsidP="003F38AD">
      <w:pPr>
        <w:contextualSpacing/>
        <w:rPr>
          <w:rFonts w:ascii="Microsoft Sans Serif"/>
        </w:rPr>
      </w:pPr>
      <w:r>
        <w:rPr>
          <w:rFonts w:ascii="Microsoft Sans Serif"/>
        </w:rPr>
        <w:t>SUSAN BRUCE ESQUIRE</w:t>
      </w:r>
    </w:p>
    <w:p w:rsidR="003F38AD" w:rsidRDefault="003F38AD" w:rsidP="003F38AD">
      <w:pPr>
        <w:contextualSpacing/>
        <w:rPr>
          <w:rFonts w:ascii="Microsoft Sans Serif"/>
        </w:rPr>
      </w:pPr>
      <w:r>
        <w:rPr>
          <w:rFonts w:ascii="Microsoft Sans Serif"/>
        </w:rPr>
        <w:t>CHARIS MINCAVAGE ESQUIRE</w:t>
      </w:r>
    </w:p>
    <w:p w:rsidR="003F38AD" w:rsidRDefault="003F38AD" w:rsidP="003F38AD">
      <w:pPr>
        <w:contextualSpacing/>
        <w:rPr>
          <w:rFonts w:ascii="Microsoft Sans Serif"/>
        </w:rPr>
      </w:pPr>
      <w:r>
        <w:rPr>
          <w:rFonts w:ascii="Microsoft Sans Serif"/>
        </w:rPr>
        <w:t>TERESA K SCHMITTBERGER ESQUIRE</w:t>
      </w:r>
    </w:p>
    <w:p w:rsidR="003F38AD" w:rsidRDefault="003F38AD" w:rsidP="003F38AD">
      <w:pPr>
        <w:contextualSpacing/>
        <w:rPr>
          <w:rFonts w:ascii="Microsoft Sans Serif"/>
        </w:rPr>
      </w:pPr>
      <w:r>
        <w:rPr>
          <w:rFonts w:ascii="Microsoft Sans Serif"/>
        </w:rPr>
        <w:t>MCNEES WALLLACE &amp; NURICK LLC</w:t>
      </w:r>
    </w:p>
    <w:p w:rsidR="003F38AD" w:rsidRDefault="003F38AD" w:rsidP="003F38AD">
      <w:pPr>
        <w:contextualSpacing/>
        <w:rPr>
          <w:rFonts w:ascii="Microsoft Sans Serif"/>
        </w:rPr>
      </w:pPr>
      <w:r>
        <w:rPr>
          <w:rFonts w:ascii="Microsoft Sans Serif"/>
        </w:rPr>
        <w:t>100 PINE STREET</w:t>
      </w:r>
    </w:p>
    <w:p w:rsidR="003F38AD" w:rsidRDefault="003F38AD" w:rsidP="003F38AD">
      <w:pPr>
        <w:contextualSpacing/>
        <w:rPr>
          <w:rFonts w:ascii="Microsoft Sans Serif"/>
        </w:rPr>
      </w:pPr>
      <w:r>
        <w:rPr>
          <w:rFonts w:ascii="Microsoft Sans Serif"/>
        </w:rPr>
        <w:t>PO BOX 1166</w:t>
      </w:r>
    </w:p>
    <w:p w:rsidR="003F38AD" w:rsidRDefault="003F38AD" w:rsidP="003F38AD">
      <w:pPr>
        <w:contextualSpacing/>
        <w:rPr>
          <w:rFonts w:ascii="Microsoft Sans Serif"/>
        </w:rPr>
      </w:pPr>
      <w:r>
        <w:rPr>
          <w:rFonts w:ascii="Microsoft Sans Serif"/>
        </w:rPr>
        <w:t>HARRISBURG PA 17108</w:t>
      </w:r>
    </w:p>
    <w:p w:rsidR="003F38AD" w:rsidRPr="00935EA3" w:rsidRDefault="003F38AD" w:rsidP="003F38AD">
      <w:pPr>
        <w:contextualSpacing/>
        <w:rPr>
          <w:rFonts w:ascii="Microsoft Sans Serif"/>
          <w:b/>
          <w:i/>
        </w:rPr>
      </w:pPr>
      <w:r w:rsidRPr="00935EA3">
        <w:rPr>
          <w:rFonts w:ascii="Microsoft Sans Serif"/>
          <w:b/>
          <w:i/>
        </w:rPr>
        <w:t>E-Served</w:t>
      </w:r>
    </w:p>
    <w:p w:rsidR="00226DCF" w:rsidRDefault="00226DCF" w:rsidP="00226DCF"/>
    <w:sectPr w:rsidR="00226DCF" w:rsidSect="00666BC6">
      <w:type w:val="continuous"/>
      <w:pgSz w:w="12240" w:h="15840"/>
      <w:pgMar w:top="1440" w:right="45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997" w:rsidRDefault="00715997">
      <w:r>
        <w:separator/>
      </w:r>
    </w:p>
  </w:endnote>
  <w:endnote w:type="continuationSeparator" w:id="0">
    <w:p w:rsidR="00715997" w:rsidRDefault="0071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43A9D">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AD" w:rsidRPr="003C02CC" w:rsidRDefault="003F38AD">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997" w:rsidRDefault="00715997">
      <w:r>
        <w:separator/>
      </w:r>
    </w:p>
  </w:footnote>
  <w:footnote w:type="continuationSeparator" w:id="0">
    <w:p w:rsidR="00715997" w:rsidRDefault="00715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482B"/>
    <w:rsid w:val="00005247"/>
    <w:rsid w:val="000065C6"/>
    <w:rsid w:val="00011478"/>
    <w:rsid w:val="000253F8"/>
    <w:rsid w:val="00031CED"/>
    <w:rsid w:val="00037E8B"/>
    <w:rsid w:val="00040542"/>
    <w:rsid w:val="000447F9"/>
    <w:rsid w:val="00050489"/>
    <w:rsid w:val="00050AF1"/>
    <w:rsid w:val="00051AB5"/>
    <w:rsid w:val="00054533"/>
    <w:rsid w:val="00054540"/>
    <w:rsid w:val="00054A10"/>
    <w:rsid w:val="00055FCB"/>
    <w:rsid w:val="0005705C"/>
    <w:rsid w:val="00057AA2"/>
    <w:rsid w:val="00060BB1"/>
    <w:rsid w:val="00063F87"/>
    <w:rsid w:val="00070CFA"/>
    <w:rsid w:val="00073240"/>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3099"/>
    <w:rsid w:val="001270B6"/>
    <w:rsid w:val="00127D23"/>
    <w:rsid w:val="00131E3E"/>
    <w:rsid w:val="00132928"/>
    <w:rsid w:val="0013770C"/>
    <w:rsid w:val="00140883"/>
    <w:rsid w:val="00142EE0"/>
    <w:rsid w:val="001441F9"/>
    <w:rsid w:val="00153529"/>
    <w:rsid w:val="001547B2"/>
    <w:rsid w:val="00161EBF"/>
    <w:rsid w:val="00170FCD"/>
    <w:rsid w:val="001714A2"/>
    <w:rsid w:val="001767DF"/>
    <w:rsid w:val="00181BAB"/>
    <w:rsid w:val="00182ECA"/>
    <w:rsid w:val="00187495"/>
    <w:rsid w:val="001900E6"/>
    <w:rsid w:val="00190843"/>
    <w:rsid w:val="0019509B"/>
    <w:rsid w:val="00196E89"/>
    <w:rsid w:val="001A1495"/>
    <w:rsid w:val="001B0856"/>
    <w:rsid w:val="001C23B6"/>
    <w:rsid w:val="001C7376"/>
    <w:rsid w:val="001C7DC7"/>
    <w:rsid w:val="001D0606"/>
    <w:rsid w:val="001D08FB"/>
    <w:rsid w:val="001D36BC"/>
    <w:rsid w:val="001D48D9"/>
    <w:rsid w:val="001D681C"/>
    <w:rsid w:val="001D6A81"/>
    <w:rsid w:val="001D6DEC"/>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6668F"/>
    <w:rsid w:val="0027269F"/>
    <w:rsid w:val="002760E4"/>
    <w:rsid w:val="00276158"/>
    <w:rsid w:val="002825EF"/>
    <w:rsid w:val="002860B7"/>
    <w:rsid w:val="002967E5"/>
    <w:rsid w:val="002A20ED"/>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3425"/>
    <w:rsid w:val="00316851"/>
    <w:rsid w:val="003234C9"/>
    <w:rsid w:val="00333A41"/>
    <w:rsid w:val="00337DC7"/>
    <w:rsid w:val="003422EC"/>
    <w:rsid w:val="00342A79"/>
    <w:rsid w:val="00357D34"/>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E04E8"/>
    <w:rsid w:val="003E3839"/>
    <w:rsid w:val="003E3FE2"/>
    <w:rsid w:val="003E44F8"/>
    <w:rsid w:val="003F38AD"/>
    <w:rsid w:val="003F49DD"/>
    <w:rsid w:val="003F68D9"/>
    <w:rsid w:val="003F6FFA"/>
    <w:rsid w:val="00407622"/>
    <w:rsid w:val="00413065"/>
    <w:rsid w:val="00415EAE"/>
    <w:rsid w:val="00421C2E"/>
    <w:rsid w:val="004236F3"/>
    <w:rsid w:val="00427E91"/>
    <w:rsid w:val="004327EC"/>
    <w:rsid w:val="0044078D"/>
    <w:rsid w:val="00440BE0"/>
    <w:rsid w:val="00444026"/>
    <w:rsid w:val="00446AEA"/>
    <w:rsid w:val="004509B5"/>
    <w:rsid w:val="004677A9"/>
    <w:rsid w:val="0046782D"/>
    <w:rsid w:val="00474FB4"/>
    <w:rsid w:val="00476814"/>
    <w:rsid w:val="0048022D"/>
    <w:rsid w:val="00484519"/>
    <w:rsid w:val="00484CA9"/>
    <w:rsid w:val="00487C67"/>
    <w:rsid w:val="00491200"/>
    <w:rsid w:val="004A44C7"/>
    <w:rsid w:val="004A6217"/>
    <w:rsid w:val="004B12AD"/>
    <w:rsid w:val="004B3128"/>
    <w:rsid w:val="004B73DA"/>
    <w:rsid w:val="004C0C8D"/>
    <w:rsid w:val="004C19EA"/>
    <w:rsid w:val="004C515F"/>
    <w:rsid w:val="004C54A1"/>
    <w:rsid w:val="004C5959"/>
    <w:rsid w:val="004D5EDA"/>
    <w:rsid w:val="004D6484"/>
    <w:rsid w:val="004F0FF9"/>
    <w:rsid w:val="0050525A"/>
    <w:rsid w:val="00506ED2"/>
    <w:rsid w:val="00506F36"/>
    <w:rsid w:val="00511CA3"/>
    <w:rsid w:val="0051332A"/>
    <w:rsid w:val="00514FE4"/>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2709"/>
    <w:rsid w:val="005A36C7"/>
    <w:rsid w:val="005A3B57"/>
    <w:rsid w:val="005B00DF"/>
    <w:rsid w:val="005B49D8"/>
    <w:rsid w:val="005B6C33"/>
    <w:rsid w:val="005C5F62"/>
    <w:rsid w:val="005C7120"/>
    <w:rsid w:val="005D0602"/>
    <w:rsid w:val="005D092D"/>
    <w:rsid w:val="005D1A72"/>
    <w:rsid w:val="005E5B28"/>
    <w:rsid w:val="005E6E24"/>
    <w:rsid w:val="005F179B"/>
    <w:rsid w:val="005F1FD3"/>
    <w:rsid w:val="005F2817"/>
    <w:rsid w:val="005F2DB1"/>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7D6"/>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15997"/>
    <w:rsid w:val="007203E5"/>
    <w:rsid w:val="00724ABE"/>
    <w:rsid w:val="00735291"/>
    <w:rsid w:val="00737456"/>
    <w:rsid w:val="0074212A"/>
    <w:rsid w:val="00742EDE"/>
    <w:rsid w:val="00746EC7"/>
    <w:rsid w:val="00752614"/>
    <w:rsid w:val="0076053F"/>
    <w:rsid w:val="00761AAA"/>
    <w:rsid w:val="00763DA0"/>
    <w:rsid w:val="00771201"/>
    <w:rsid w:val="00774975"/>
    <w:rsid w:val="00783F05"/>
    <w:rsid w:val="00784AE9"/>
    <w:rsid w:val="007876C7"/>
    <w:rsid w:val="007945B3"/>
    <w:rsid w:val="007A7576"/>
    <w:rsid w:val="007B135C"/>
    <w:rsid w:val="007B19DA"/>
    <w:rsid w:val="007B56EF"/>
    <w:rsid w:val="007B6758"/>
    <w:rsid w:val="007B76C4"/>
    <w:rsid w:val="007C6559"/>
    <w:rsid w:val="007F24B0"/>
    <w:rsid w:val="007F6F2B"/>
    <w:rsid w:val="007F7EA4"/>
    <w:rsid w:val="00800563"/>
    <w:rsid w:val="00801014"/>
    <w:rsid w:val="008027C4"/>
    <w:rsid w:val="00802923"/>
    <w:rsid w:val="00817C41"/>
    <w:rsid w:val="00820EA8"/>
    <w:rsid w:val="008253A9"/>
    <w:rsid w:val="00830CF6"/>
    <w:rsid w:val="00832476"/>
    <w:rsid w:val="008413F8"/>
    <w:rsid w:val="008438CF"/>
    <w:rsid w:val="00845A5B"/>
    <w:rsid w:val="00854EC8"/>
    <w:rsid w:val="00857C88"/>
    <w:rsid w:val="00863F86"/>
    <w:rsid w:val="008733C7"/>
    <w:rsid w:val="00874F41"/>
    <w:rsid w:val="0088262B"/>
    <w:rsid w:val="00883E39"/>
    <w:rsid w:val="00886427"/>
    <w:rsid w:val="008921ED"/>
    <w:rsid w:val="00894A7C"/>
    <w:rsid w:val="008A048B"/>
    <w:rsid w:val="008A0C0D"/>
    <w:rsid w:val="008A28B8"/>
    <w:rsid w:val="008A5470"/>
    <w:rsid w:val="008A7776"/>
    <w:rsid w:val="008C0504"/>
    <w:rsid w:val="008C2266"/>
    <w:rsid w:val="008C53F0"/>
    <w:rsid w:val="008C6629"/>
    <w:rsid w:val="008C6C08"/>
    <w:rsid w:val="008C7929"/>
    <w:rsid w:val="008D26B8"/>
    <w:rsid w:val="008D34B8"/>
    <w:rsid w:val="008E6D84"/>
    <w:rsid w:val="008F755E"/>
    <w:rsid w:val="009065DB"/>
    <w:rsid w:val="00906E0C"/>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6B50"/>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0463"/>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7209"/>
    <w:rsid w:val="00B34D51"/>
    <w:rsid w:val="00B40EF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718"/>
    <w:rsid w:val="00BC5CA3"/>
    <w:rsid w:val="00BC689D"/>
    <w:rsid w:val="00BD2783"/>
    <w:rsid w:val="00BE0854"/>
    <w:rsid w:val="00BE1ED2"/>
    <w:rsid w:val="00BE248C"/>
    <w:rsid w:val="00BE6FF5"/>
    <w:rsid w:val="00BF341D"/>
    <w:rsid w:val="00BF3473"/>
    <w:rsid w:val="00BF718F"/>
    <w:rsid w:val="00BF7CDA"/>
    <w:rsid w:val="00C0065E"/>
    <w:rsid w:val="00C0336A"/>
    <w:rsid w:val="00C16397"/>
    <w:rsid w:val="00C201CA"/>
    <w:rsid w:val="00C23D73"/>
    <w:rsid w:val="00C241A1"/>
    <w:rsid w:val="00C27500"/>
    <w:rsid w:val="00C27ADF"/>
    <w:rsid w:val="00C306E8"/>
    <w:rsid w:val="00C331D8"/>
    <w:rsid w:val="00C35956"/>
    <w:rsid w:val="00C36426"/>
    <w:rsid w:val="00C378A6"/>
    <w:rsid w:val="00C407D6"/>
    <w:rsid w:val="00C46201"/>
    <w:rsid w:val="00C50435"/>
    <w:rsid w:val="00C54038"/>
    <w:rsid w:val="00C5657B"/>
    <w:rsid w:val="00C60A73"/>
    <w:rsid w:val="00C6203D"/>
    <w:rsid w:val="00C67551"/>
    <w:rsid w:val="00C72120"/>
    <w:rsid w:val="00C77DA0"/>
    <w:rsid w:val="00C843D7"/>
    <w:rsid w:val="00C90325"/>
    <w:rsid w:val="00CA040B"/>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31DCA"/>
    <w:rsid w:val="00D43A9D"/>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1DDC"/>
    <w:rsid w:val="00DC451E"/>
    <w:rsid w:val="00DC5FA1"/>
    <w:rsid w:val="00DC7C98"/>
    <w:rsid w:val="00DD0CE4"/>
    <w:rsid w:val="00DD4E8A"/>
    <w:rsid w:val="00DE3721"/>
    <w:rsid w:val="00DF2742"/>
    <w:rsid w:val="00DF448C"/>
    <w:rsid w:val="00DF7A62"/>
    <w:rsid w:val="00E061D8"/>
    <w:rsid w:val="00E0770E"/>
    <w:rsid w:val="00E07EE4"/>
    <w:rsid w:val="00E07FB0"/>
    <w:rsid w:val="00E14245"/>
    <w:rsid w:val="00E21F02"/>
    <w:rsid w:val="00E22703"/>
    <w:rsid w:val="00E24228"/>
    <w:rsid w:val="00E27B5F"/>
    <w:rsid w:val="00E329A8"/>
    <w:rsid w:val="00E43492"/>
    <w:rsid w:val="00E445D8"/>
    <w:rsid w:val="00E46ACA"/>
    <w:rsid w:val="00E526F5"/>
    <w:rsid w:val="00E53DE7"/>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D7920"/>
    <w:rsid w:val="00EE2FC8"/>
    <w:rsid w:val="00EF1198"/>
    <w:rsid w:val="00F00D62"/>
    <w:rsid w:val="00F0305C"/>
    <w:rsid w:val="00F1692D"/>
    <w:rsid w:val="00F23018"/>
    <w:rsid w:val="00F2578A"/>
    <w:rsid w:val="00F33096"/>
    <w:rsid w:val="00F40D25"/>
    <w:rsid w:val="00F44350"/>
    <w:rsid w:val="00F5077B"/>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713D64"/>
    <w:rPr>
      <w:sz w:val="20"/>
      <w:szCs w:val="20"/>
    </w:rPr>
  </w:style>
  <w:style w:type="character" w:styleId="FootnoteReference">
    <w:name w:val="footnote reference"/>
    <w:aliases w:val="o,fr"/>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C5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rsid w:val="00713D64"/>
    <w:rPr>
      <w:sz w:val="20"/>
      <w:szCs w:val="20"/>
    </w:rPr>
  </w:style>
  <w:style w:type="character" w:styleId="FootnoteReference">
    <w:name w:val="footnote reference"/>
    <w:aliases w:val="o,fr"/>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5C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3A1A-CE9F-43C6-8471-60C956AF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2014-04-25T17:55:00Z</cp:lastPrinted>
  <dcterms:created xsi:type="dcterms:W3CDTF">2014-04-25T17:53:00Z</dcterms:created>
  <dcterms:modified xsi:type="dcterms:W3CDTF">2014-04-25T18:15:00Z</dcterms:modified>
</cp:coreProperties>
</file>