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09" w:rsidRPr="00C94409" w:rsidRDefault="00C94409" w:rsidP="00C94409">
      <w:pPr>
        <w:tabs>
          <w:tab w:val="left" w:pos="0"/>
        </w:tabs>
        <w:spacing w:line="233" w:lineRule="auto"/>
        <w:jc w:val="center"/>
        <w:rPr>
          <w:b/>
          <w:sz w:val="24"/>
          <w:szCs w:val="24"/>
        </w:rPr>
      </w:pPr>
      <w:r w:rsidRPr="00C94409">
        <w:rPr>
          <w:b/>
          <w:sz w:val="24"/>
          <w:szCs w:val="24"/>
        </w:rPr>
        <w:t>BEFORE THE</w:t>
      </w:r>
    </w:p>
    <w:p w:rsidR="00C94409" w:rsidRPr="00C94409" w:rsidRDefault="00C94409" w:rsidP="00C94409">
      <w:pPr>
        <w:tabs>
          <w:tab w:val="left" w:pos="0"/>
        </w:tabs>
        <w:spacing w:line="233" w:lineRule="auto"/>
        <w:jc w:val="center"/>
        <w:rPr>
          <w:b/>
          <w:sz w:val="24"/>
          <w:szCs w:val="24"/>
        </w:rPr>
      </w:pPr>
      <w:r w:rsidRPr="00C94409">
        <w:rPr>
          <w:b/>
          <w:sz w:val="24"/>
          <w:szCs w:val="24"/>
        </w:rPr>
        <w:t>PENNSYLVANIA PUBLIC UTILITY COMMISSION</w:t>
      </w:r>
    </w:p>
    <w:p w:rsidR="00C94409" w:rsidRPr="00C94409" w:rsidRDefault="00C94409" w:rsidP="00C94409">
      <w:pPr>
        <w:tabs>
          <w:tab w:val="left" w:pos="0"/>
        </w:tabs>
        <w:spacing w:line="233" w:lineRule="auto"/>
        <w:jc w:val="both"/>
        <w:rPr>
          <w:b/>
          <w:sz w:val="24"/>
          <w:szCs w:val="24"/>
        </w:rPr>
      </w:pPr>
    </w:p>
    <w:p w:rsidR="00C94409" w:rsidRPr="00C94409" w:rsidRDefault="00C94409" w:rsidP="00C94409">
      <w:pPr>
        <w:tabs>
          <w:tab w:val="left" w:pos="0"/>
        </w:tabs>
        <w:spacing w:line="233" w:lineRule="auto"/>
        <w:jc w:val="both"/>
        <w:rPr>
          <w:b/>
          <w:sz w:val="24"/>
          <w:szCs w:val="24"/>
        </w:rPr>
      </w:pPr>
    </w:p>
    <w:p w:rsidR="00C94409" w:rsidRPr="00C94409" w:rsidRDefault="00C94409" w:rsidP="00C94409">
      <w:pPr>
        <w:tabs>
          <w:tab w:val="left" w:pos="0"/>
        </w:tabs>
        <w:spacing w:line="233" w:lineRule="auto"/>
        <w:jc w:val="both"/>
        <w:rPr>
          <w:b/>
          <w:sz w:val="24"/>
          <w:szCs w:val="24"/>
        </w:rPr>
      </w:pPr>
    </w:p>
    <w:p w:rsidR="00C94409" w:rsidRPr="00C94409" w:rsidRDefault="00C94409" w:rsidP="00C94409">
      <w:pPr>
        <w:tabs>
          <w:tab w:val="left" w:pos="0"/>
        </w:tabs>
        <w:spacing w:line="233" w:lineRule="auto"/>
        <w:jc w:val="both"/>
        <w:rPr>
          <w:b/>
          <w:sz w:val="24"/>
          <w:szCs w:val="24"/>
        </w:rPr>
      </w:pPr>
      <w:proofErr w:type="spellStart"/>
      <w:r w:rsidRPr="00C94409">
        <w:rPr>
          <w:sz w:val="24"/>
          <w:szCs w:val="24"/>
        </w:rPr>
        <w:t>Avram</w:t>
      </w:r>
      <w:proofErr w:type="spellEnd"/>
      <w:r w:rsidRPr="00C94409">
        <w:rPr>
          <w:sz w:val="24"/>
          <w:szCs w:val="24"/>
        </w:rPr>
        <w:t xml:space="preserve"> </w:t>
      </w:r>
      <w:proofErr w:type="spellStart"/>
      <w:r w:rsidRPr="00C94409">
        <w:rPr>
          <w:sz w:val="24"/>
          <w:szCs w:val="24"/>
        </w:rPr>
        <w:t>Yushan</w:t>
      </w:r>
      <w:proofErr w:type="spellEnd"/>
      <w:r w:rsidRPr="00C94409">
        <w:rPr>
          <w:sz w:val="24"/>
          <w:szCs w:val="24"/>
        </w:rPr>
        <w:tab/>
      </w:r>
      <w:r w:rsidRPr="00C94409">
        <w:rPr>
          <w:sz w:val="24"/>
          <w:szCs w:val="24"/>
        </w:rPr>
        <w:tab/>
      </w:r>
      <w:r w:rsidRPr="00C94409">
        <w:rPr>
          <w:sz w:val="24"/>
          <w:szCs w:val="24"/>
        </w:rPr>
        <w:tab/>
      </w:r>
      <w:r w:rsidRPr="00C94409">
        <w:rPr>
          <w:sz w:val="24"/>
          <w:szCs w:val="24"/>
        </w:rPr>
        <w:tab/>
      </w:r>
      <w:r w:rsidRPr="00C94409">
        <w:rPr>
          <w:sz w:val="24"/>
          <w:szCs w:val="24"/>
        </w:rPr>
        <w:tab/>
        <w:t>:</w:t>
      </w:r>
    </w:p>
    <w:p w:rsidR="00C94409" w:rsidRPr="00C94409" w:rsidRDefault="00C94409" w:rsidP="00C94409">
      <w:pPr>
        <w:tabs>
          <w:tab w:val="left" w:pos="0"/>
        </w:tabs>
        <w:spacing w:line="233" w:lineRule="auto"/>
        <w:jc w:val="both"/>
        <w:rPr>
          <w:sz w:val="24"/>
          <w:szCs w:val="24"/>
        </w:rPr>
      </w:pPr>
      <w:r w:rsidRPr="00C94409">
        <w:rPr>
          <w:b/>
          <w:sz w:val="24"/>
          <w:szCs w:val="24"/>
        </w:rPr>
        <w:tab/>
      </w:r>
      <w:r w:rsidRPr="00C94409">
        <w:rPr>
          <w:b/>
          <w:sz w:val="24"/>
          <w:szCs w:val="24"/>
        </w:rPr>
        <w:tab/>
      </w:r>
      <w:r w:rsidRPr="00C94409">
        <w:rPr>
          <w:b/>
          <w:sz w:val="24"/>
          <w:szCs w:val="24"/>
        </w:rPr>
        <w:tab/>
      </w:r>
      <w:r w:rsidRPr="00C94409">
        <w:rPr>
          <w:b/>
          <w:sz w:val="24"/>
          <w:szCs w:val="24"/>
        </w:rPr>
        <w:tab/>
      </w:r>
      <w:r w:rsidRPr="00C94409">
        <w:rPr>
          <w:b/>
          <w:sz w:val="24"/>
          <w:szCs w:val="24"/>
        </w:rPr>
        <w:tab/>
      </w:r>
      <w:r w:rsidRPr="00C94409">
        <w:rPr>
          <w:b/>
          <w:sz w:val="24"/>
          <w:szCs w:val="24"/>
        </w:rPr>
        <w:tab/>
      </w:r>
      <w:r w:rsidRPr="00C94409">
        <w:rPr>
          <w:b/>
          <w:sz w:val="24"/>
          <w:szCs w:val="24"/>
        </w:rPr>
        <w:tab/>
      </w:r>
      <w:r w:rsidRPr="00C94409">
        <w:rPr>
          <w:sz w:val="24"/>
          <w:szCs w:val="24"/>
        </w:rPr>
        <w:t>:</w:t>
      </w:r>
    </w:p>
    <w:p w:rsidR="00C94409" w:rsidRPr="00C94409" w:rsidRDefault="00C94409" w:rsidP="00C94409">
      <w:pPr>
        <w:tabs>
          <w:tab w:val="left" w:pos="0"/>
        </w:tabs>
        <w:spacing w:line="233" w:lineRule="auto"/>
        <w:jc w:val="both"/>
        <w:rPr>
          <w:sz w:val="24"/>
          <w:szCs w:val="24"/>
        </w:rPr>
      </w:pPr>
      <w:r w:rsidRPr="00C94409">
        <w:rPr>
          <w:sz w:val="24"/>
          <w:szCs w:val="24"/>
        </w:rPr>
        <w:tab/>
        <w:t>v.</w:t>
      </w:r>
      <w:r w:rsidRPr="00C94409">
        <w:rPr>
          <w:sz w:val="24"/>
          <w:szCs w:val="24"/>
        </w:rPr>
        <w:tab/>
      </w:r>
      <w:r w:rsidRPr="00C94409">
        <w:rPr>
          <w:sz w:val="24"/>
          <w:szCs w:val="24"/>
        </w:rPr>
        <w:tab/>
      </w:r>
      <w:r w:rsidRPr="00C94409">
        <w:rPr>
          <w:sz w:val="24"/>
          <w:szCs w:val="24"/>
        </w:rPr>
        <w:tab/>
      </w:r>
      <w:r w:rsidRPr="00C94409">
        <w:rPr>
          <w:sz w:val="24"/>
          <w:szCs w:val="24"/>
        </w:rPr>
        <w:tab/>
      </w:r>
      <w:r w:rsidRPr="00C94409">
        <w:rPr>
          <w:sz w:val="24"/>
          <w:szCs w:val="24"/>
        </w:rPr>
        <w:tab/>
      </w:r>
      <w:r w:rsidRPr="00C94409">
        <w:rPr>
          <w:sz w:val="24"/>
          <w:szCs w:val="24"/>
        </w:rPr>
        <w:tab/>
        <w:t>:</w:t>
      </w:r>
      <w:r w:rsidRPr="00C94409">
        <w:rPr>
          <w:b/>
          <w:sz w:val="24"/>
          <w:szCs w:val="24"/>
        </w:rPr>
        <w:tab/>
      </w:r>
      <w:r w:rsidRPr="00C94409">
        <w:rPr>
          <w:b/>
          <w:sz w:val="24"/>
          <w:szCs w:val="24"/>
        </w:rPr>
        <w:tab/>
      </w:r>
      <w:r w:rsidRPr="00C94409">
        <w:rPr>
          <w:sz w:val="24"/>
          <w:szCs w:val="24"/>
        </w:rPr>
        <w:t>C-2014-2399855</w:t>
      </w:r>
    </w:p>
    <w:p w:rsidR="00C94409" w:rsidRPr="00C94409" w:rsidRDefault="00C94409" w:rsidP="00C94409">
      <w:pPr>
        <w:tabs>
          <w:tab w:val="left" w:pos="0"/>
        </w:tabs>
        <w:spacing w:line="233" w:lineRule="auto"/>
        <w:jc w:val="both"/>
        <w:rPr>
          <w:sz w:val="24"/>
          <w:szCs w:val="24"/>
        </w:rPr>
      </w:pPr>
      <w:r w:rsidRPr="00C94409">
        <w:rPr>
          <w:sz w:val="24"/>
          <w:szCs w:val="24"/>
        </w:rPr>
        <w:tab/>
      </w:r>
      <w:r w:rsidRPr="00C94409">
        <w:rPr>
          <w:sz w:val="24"/>
          <w:szCs w:val="24"/>
        </w:rPr>
        <w:tab/>
      </w:r>
      <w:r w:rsidRPr="00C94409">
        <w:rPr>
          <w:sz w:val="24"/>
          <w:szCs w:val="24"/>
        </w:rPr>
        <w:tab/>
      </w:r>
      <w:r w:rsidRPr="00C94409">
        <w:rPr>
          <w:sz w:val="24"/>
          <w:szCs w:val="24"/>
        </w:rPr>
        <w:tab/>
      </w:r>
      <w:r w:rsidRPr="00C94409">
        <w:rPr>
          <w:sz w:val="24"/>
          <w:szCs w:val="24"/>
        </w:rPr>
        <w:tab/>
      </w:r>
      <w:r w:rsidRPr="00C94409">
        <w:rPr>
          <w:sz w:val="24"/>
          <w:szCs w:val="24"/>
        </w:rPr>
        <w:tab/>
      </w:r>
      <w:r w:rsidRPr="00C94409">
        <w:rPr>
          <w:sz w:val="24"/>
          <w:szCs w:val="24"/>
        </w:rPr>
        <w:tab/>
        <w:t>:</w:t>
      </w:r>
    </w:p>
    <w:p w:rsidR="00C94409" w:rsidRPr="00C94409" w:rsidRDefault="00C94409" w:rsidP="00C94409">
      <w:pPr>
        <w:tabs>
          <w:tab w:val="left" w:pos="0"/>
        </w:tabs>
        <w:spacing w:line="233" w:lineRule="auto"/>
        <w:jc w:val="both"/>
        <w:rPr>
          <w:sz w:val="24"/>
          <w:szCs w:val="24"/>
        </w:rPr>
      </w:pPr>
      <w:r w:rsidRPr="00C94409">
        <w:rPr>
          <w:sz w:val="24"/>
          <w:szCs w:val="24"/>
        </w:rPr>
        <w:t>PPL Electric Utilities Corporation</w:t>
      </w:r>
      <w:r w:rsidRPr="00C94409">
        <w:rPr>
          <w:sz w:val="24"/>
          <w:szCs w:val="24"/>
        </w:rPr>
        <w:tab/>
      </w:r>
      <w:r w:rsidRPr="00C94409">
        <w:rPr>
          <w:sz w:val="24"/>
          <w:szCs w:val="24"/>
        </w:rPr>
        <w:tab/>
      </w:r>
      <w:r w:rsidRPr="00C94409">
        <w:rPr>
          <w:sz w:val="24"/>
          <w:szCs w:val="24"/>
        </w:rPr>
        <w:tab/>
        <w:t>:</w:t>
      </w:r>
    </w:p>
    <w:p w:rsidR="00C94409" w:rsidRPr="00C94409" w:rsidRDefault="00C94409" w:rsidP="00C94409">
      <w:pPr>
        <w:tabs>
          <w:tab w:val="left" w:pos="0"/>
        </w:tabs>
        <w:spacing w:line="233" w:lineRule="auto"/>
        <w:jc w:val="both"/>
        <w:rPr>
          <w:sz w:val="24"/>
          <w:szCs w:val="24"/>
        </w:rPr>
      </w:pPr>
    </w:p>
    <w:p w:rsidR="00C94409" w:rsidRPr="00C94409" w:rsidRDefault="00C94409" w:rsidP="00C94409">
      <w:pPr>
        <w:tabs>
          <w:tab w:val="left" w:pos="0"/>
        </w:tabs>
        <w:spacing w:line="233" w:lineRule="auto"/>
        <w:jc w:val="both"/>
        <w:rPr>
          <w:sz w:val="24"/>
          <w:szCs w:val="24"/>
        </w:rPr>
      </w:pPr>
    </w:p>
    <w:p w:rsidR="00C94409" w:rsidRPr="00C94409" w:rsidRDefault="00C94409" w:rsidP="00C94409">
      <w:pPr>
        <w:rPr>
          <w:sz w:val="24"/>
          <w:szCs w:val="24"/>
        </w:rPr>
      </w:pPr>
    </w:p>
    <w:p w:rsidR="00C94409" w:rsidRPr="00C94409" w:rsidRDefault="00C94409" w:rsidP="00C94409">
      <w:pPr>
        <w:jc w:val="center"/>
        <w:rPr>
          <w:b/>
          <w:sz w:val="24"/>
          <w:szCs w:val="24"/>
          <w:u w:val="single"/>
        </w:rPr>
      </w:pPr>
      <w:r w:rsidRPr="00C94409">
        <w:rPr>
          <w:b/>
          <w:sz w:val="24"/>
          <w:szCs w:val="24"/>
          <w:u w:val="single"/>
        </w:rPr>
        <w:t>INITIAL DECISION</w:t>
      </w:r>
    </w:p>
    <w:p w:rsidR="008B3BC0" w:rsidRPr="00C94409" w:rsidRDefault="008B3BC0" w:rsidP="00C94409">
      <w:pPr>
        <w:jc w:val="center"/>
        <w:rPr>
          <w:sz w:val="24"/>
          <w:szCs w:val="24"/>
        </w:rPr>
      </w:pPr>
    </w:p>
    <w:p w:rsidR="00D40D85" w:rsidRDefault="00D40D85" w:rsidP="00C94409">
      <w:pPr>
        <w:jc w:val="center"/>
        <w:rPr>
          <w:sz w:val="24"/>
          <w:szCs w:val="24"/>
        </w:rPr>
      </w:pPr>
    </w:p>
    <w:p w:rsidR="008B3BC0" w:rsidRPr="00D40D85" w:rsidRDefault="008B3BC0" w:rsidP="00C94409">
      <w:pPr>
        <w:jc w:val="center"/>
        <w:rPr>
          <w:sz w:val="24"/>
          <w:szCs w:val="24"/>
        </w:rPr>
      </w:pPr>
      <w:r w:rsidRPr="00D40D85">
        <w:rPr>
          <w:sz w:val="24"/>
          <w:szCs w:val="24"/>
        </w:rPr>
        <w:t>Before</w:t>
      </w:r>
    </w:p>
    <w:p w:rsidR="008B3BC0" w:rsidRPr="00D40D85" w:rsidRDefault="008B3BC0" w:rsidP="00C94409">
      <w:pPr>
        <w:jc w:val="center"/>
        <w:rPr>
          <w:sz w:val="24"/>
          <w:szCs w:val="24"/>
        </w:rPr>
      </w:pPr>
      <w:r w:rsidRPr="00D40D85">
        <w:rPr>
          <w:sz w:val="24"/>
          <w:szCs w:val="24"/>
        </w:rPr>
        <w:t>Mary D. Long</w:t>
      </w:r>
    </w:p>
    <w:p w:rsidR="008B3BC0" w:rsidRPr="00D40D85" w:rsidRDefault="008B3BC0" w:rsidP="00C94409">
      <w:pPr>
        <w:jc w:val="center"/>
        <w:rPr>
          <w:sz w:val="24"/>
          <w:szCs w:val="24"/>
        </w:rPr>
      </w:pPr>
      <w:r w:rsidRPr="00D40D85">
        <w:rPr>
          <w:sz w:val="24"/>
          <w:szCs w:val="24"/>
        </w:rPr>
        <w:t>Administrative Law Judge</w:t>
      </w:r>
    </w:p>
    <w:p w:rsidR="008B3BC0" w:rsidRPr="00D40D85" w:rsidRDefault="008B3BC0" w:rsidP="00D40D85">
      <w:pPr>
        <w:jc w:val="center"/>
        <w:rPr>
          <w:sz w:val="24"/>
          <w:szCs w:val="24"/>
          <w:u w:val="single"/>
        </w:rPr>
      </w:pPr>
    </w:p>
    <w:p w:rsidR="008B3BC0" w:rsidRPr="00D40D85" w:rsidRDefault="008B3BC0" w:rsidP="00D40D85">
      <w:pPr>
        <w:jc w:val="center"/>
        <w:rPr>
          <w:sz w:val="24"/>
          <w:szCs w:val="24"/>
          <w:u w:val="single"/>
        </w:rPr>
      </w:pPr>
    </w:p>
    <w:p w:rsidR="00C94409" w:rsidRPr="00C94409" w:rsidRDefault="00C94409" w:rsidP="00C94409">
      <w:pPr>
        <w:spacing w:line="360" w:lineRule="auto"/>
        <w:ind w:firstLine="1440"/>
        <w:rPr>
          <w:sz w:val="24"/>
          <w:szCs w:val="24"/>
        </w:rPr>
      </w:pPr>
      <w:r w:rsidRPr="00C94409">
        <w:rPr>
          <w:sz w:val="24"/>
          <w:szCs w:val="24"/>
        </w:rPr>
        <w:t>A complaint by the owner of an apartment building is dismissed.  The account of the tenant was properly transferred to the owner because of the presence of a foreign load.</w:t>
      </w:r>
    </w:p>
    <w:p w:rsidR="00C94409" w:rsidRDefault="00C94409" w:rsidP="00C94409">
      <w:pPr>
        <w:spacing w:line="360" w:lineRule="auto"/>
        <w:ind w:firstLine="1440"/>
        <w:jc w:val="center"/>
        <w:rPr>
          <w:sz w:val="24"/>
          <w:szCs w:val="24"/>
          <w:u w:val="single"/>
        </w:rPr>
      </w:pPr>
    </w:p>
    <w:p w:rsidR="00C94409" w:rsidRPr="00C94409" w:rsidRDefault="00C94409" w:rsidP="00C94409">
      <w:pPr>
        <w:spacing w:line="360" w:lineRule="auto"/>
        <w:ind w:firstLine="90"/>
        <w:jc w:val="center"/>
        <w:rPr>
          <w:sz w:val="24"/>
          <w:szCs w:val="24"/>
          <w:u w:val="single"/>
        </w:rPr>
      </w:pPr>
      <w:r w:rsidRPr="00C94409">
        <w:rPr>
          <w:sz w:val="24"/>
          <w:szCs w:val="24"/>
          <w:u w:val="single"/>
        </w:rPr>
        <w:t>HISTORY OF THE PROCEEDING</w:t>
      </w:r>
    </w:p>
    <w:p w:rsidR="00C94409" w:rsidRDefault="00C94409"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proofErr w:type="spellStart"/>
      <w:r w:rsidRPr="00C94409">
        <w:rPr>
          <w:sz w:val="24"/>
          <w:szCs w:val="24"/>
        </w:rPr>
        <w:t>Avram</w:t>
      </w:r>
      <w:proofErr w:type="spellEnd"/>
      <w:r w:rsidRPr="00C94409">
        <w:rPr>
          <w:sz w:val="24"/>
          <w:szCs w:val="24"/>
        </w:rPr>
        <w:t xml:space="preserve"> </w:t>
      </w:r>
      <w:proofErr w:type="spellStart"/>
      <w:r w:rsidRPr="00C94409">
        <w:rPr>
          <w:sz w:val="24"/>
          <w:szCs w:val="24"/>
        </w:rPr>
        <w:t>Yushan</w:t>
      </w:r>
      <w:proofErr w:type="spellEnd"/>
      <w:r w:rsidRPr="00C94409">
        <w:rPr>
          <w:sz w:val="24"/>
          <w:szCs w:val="24"/>
        </w:rPr>
        <w:t xml:space="preserve"> (Complainant) filed a formal complaint against PPL Electric Utilities Corporation (PPL) on January 6, 2014, alleging that PPL had improperly transferred an electricity account balance related to a property he owns into his name.  He states that he never authorized electricity service for the address and that he should not be held responsible for the bill.  PPL filed an answer on January 28, 2014, contending that the balance had properly been placed in the Complainant’s name due to the presence of a foreign load.</w:t>
      </w:r>
    </w:p>
    <w:p w:rsidR="00C94409" w:rsidRDefault="00C94409"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r w:rsidRPr="00C94409">
        <w:rPr>
          <w:sz w:val="24"/>
          <w:szCs w:val="24"/>
        </w:rPr>
        <w:t xml:space="preserve">By hearing notice dated February 19, </w:t>
      </w:r>
      <w:proofErr w:type="gramStart"/>
      <w:r w:rsidRPr="00C94409">
        <w:rPr>
          <w:sz w:val="24"/>
          <w:szCs w:val="24"/>
        </w:rPr>
        <w:t>2014,</w:t>
      </w:r>
      <w:proofErr w:type="gramEnd"/>
      <w:r w:rsidRPr="00C94409">
        <w:rPr>
          <w:sz w:val="24"/>
          <w:szCs w:val="24"/>
        </w:rPr>
        <w:t xml:space="preserve"> this matter was assigned to me for disposition and scheduled for hearing on Thursday, March 13, 2014.  The hearing was held as scheduled.  The Complainant appeared and testified on his own behalf.  PPL was represented by Kimberly G. </w:t>
      </w:r>
      <w:proofErr w:type="spellStart"/>
      <w:r w:rsidRPr="00C94409">
        <w:rPr>
          <w:sz w:val="24"/>
          <w:szCs w:val="24"/>
        </w:rPr>
        <w:t>Krupka</w:t>
      </w:r>
      <w:proofErr w:type="spellEnd"/>
      <w:r w:rsidRPr="00C94409">
        <w:rPr>
          <w:sz w:val="24"/>
          <w:szCs w:val="24"/>
        </w:rPr>
        <w:t xml:space="preserve">, Esquire, who presented the testimony of one witness, Ronald L. Hoffman.  </w:t>
      </w:r>
      <w:r w:rsidRPr="00C94409">
        <w:rPr>
          <w:sz w:val="24"/>
          <w:szCs w:val="24"/>
        </w:rPr>
        <w:lastRenderedPageBreak/>
        <w:t>Additionally, PPL proffered six exhibits which were admitted into the record.  The hearing generated a transcript of 48 pages.  The hearing record closed by order dated March 25, 2014.</w:t>
      </w:r>
    </w:p>
    <w:p w:rsidR="00C94409" w:rsidRPr="00C94409" w:rsidRDefault="00C94409" w:rsidP="00C94409">
      <w:pPr>
        <w:spacing w:line="360" w:lineRule="auto"/>
        <w:rPr>
          <w:sz w:val="24"/>
          <w:szCs w:val="24"/>
        </w:rPr>
      </w:pPr>
    </w:p>
    <w:p w:rsidR="00C94409" w:rsidRDefault="00C94409" w:rsidP="00C94409">
      <w:pPr>
        <w:spacing w:line="360" w:lineRule="auto"/>
        <w:jc w:val="center"/>
        <w:rPr>
          <w:sz w:val="24"/>
          <w:szCs w:val="24"/>
          <w:u w:val="single"/>
        </w:rPr>
      </w:pPr>
      <w:r w:rsidRPr="00C94409">
        <w:rPr>
          <w:sz w:val="24"/>
          <w:szCs w:val="24"/>
          <w:u w:val="single"/>
        </w:rPr>
        <w:t>FINDINGS OF FACT</w:t>
      </w:r>
    </w:p>
    <w:p w:rsidR="00C94409" w:rsidRPr="00C94409" w:rsidRDefault="00C94409" w:rsidP="00C94409">
      <w:pPr>
        <w:spacing w:line="360" w:lineRule="auto"/>
        <w:jc w:val="center"/>
        <w:rPr>
          <w:sz w:val="24"/>
          <w:szCs w:val="24"/>
          <w:u w:val="single"/>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proofErr w:type="spellStart"/>
      <w:r w:rsidRPr="00C94409">
        <w:rPr>
          <w:sz w:val="24"/>
          <w:szCs w:val="24"/>
        </w:rPr>
        <w:t>Avram</w:t>
      </w:r>
      <w:proofErr w:type="spellEnd"/>
      <w:r w:rsidRPr="00C94409">
        <w:rPr>
          <w:sz w:val="24"/>
          <w:szCs w:val="24"/>
        </w:rPr>
        <w:t xml:space="preserve"> </w:t>
      </w:r>
      <w:proofErr w:type="spellStart"/>
      <w:r w:rsidRPr="00C94409">
        <w:rPr>
          <w:sz w:val="24"/>
          <w:szCs w:val="24"/>
        </w:rPr>
        <w:t>Yushan</w:t>
      </w:r>
      <w:proofErr w:type="spellEnd"/>
      <w:r w:rsidRPr="00C94409">
        <w:rPr>
          <w:sz w:val="24"/>
          <w:szCs w:val="24"/>
        </w:rPr>
        <w:t xml:space="preserve"> (Complainant) resides at 2507 Tremont Avenue, Egg Harbor, New Jersey.  </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The service address, which is the subject of the complaint, is 529 North Center Street, Pottsville, Pennsylvania.  This address receives electric distribution service f</w:t>
      </w:r>
      <w:r w:rsidR="001E03C3">
        <w:rPr>
          <w:sz w:val="24"/>
          <w:szCs w:val="24"/>
        </w:rPr>
        <w:t>ro</w:t>
      </w:r>
      <w:r w:rsidRPr="00C94409">
        <w:rPr>
          <w:sz w:val="24"/>
          <w:szCs w:val="24"/>
        </w:rPr>
        <w:t xml:space="preserve">m PPL. </w:t>
      </w:r>
      <w:r w:rsidR="001E03C3">
        <w:rPr>
          <w:sz w:val="24"/>
          <w:szCs w:val="24"/>
        </w:rPr>
        <w:t xml:space="preserve"> </w:t>
      </w:r>
      <w:r w:rsidRPr="00C94409">
        <w:rPr>
          <w:sz w:val="24"/>
          <w:szCs w:val="24"/>
        </w:rPr>
        <w:t>(N.T. 7)</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The building consists of two studios and two apartments, a total of four living units.  However, there are only three meters serving the property.  (N.T. 17, 40)</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 xml:space="preserve">In September 2013, the Complainant contracted to sell the Pottsville building to Robert and Jennifer </w:t>
      </w:r>
      <w:proofErr w:type="spellStart"/>
      <w:r w:rsidRPr="00C94409">
        <w:rPr>
          <w:sz w:val="24"/>
          <w:szCs w:val="24"/>
        </w:rPr>
        <w:t>Scifo</w:t>
      </w:r>
      <w:proofErr w:type="spellEnd"/>
      <w:r w:rsidRPr="00C94409">
        <w:rPr>
          <w:sz w:val="24"/>
          <w:szCs w:val="24"/>
        </w:rPr>
        <w:t xml:space="preserve">.  However, the </w:t>
      </w:r>
      <w:proofErr w:type="spellStart"/>
      <w:r w:rsidRPr="00C94409">
        <w:rPr>
          <w:sz w:val="24"/>
          <w:szCs w:val="24"/>
        </w:rPr>
        <w:t>Scifos</w:t>
      </w:r>
      <w:proofErr w:type="spellEnd"/>
      <w:r w:rsidRPr="00C94409">
        <w:rPr>
          <w:sz w:val="24"/>
          <w:szCs w:val="24"/>
        </w:rPr>
        <w:t xml:space="preserve"> have not paid for the property, nor has the deed been transferred.  (N.T. 9, 14-15)</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In December 2013, the Complainant received a bill for electricity service to the property in the amount of $367.  (N.T. 8)</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The Complainant called PPL and told them to terminate service.  (N.T. 11)</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The Complainant also spoke to Mr. Hoffman at PPL who told him that the electricity service could not be terminated because of “Law 54.”  (N.T. 11, 16, 30-31)</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The Complainant admitted that PPL had explained to him that as long as a tenant was residing at the property, electricity service could not be taken out of his name due to the presence of foreign wiring.  (N.T. 18)</w:t>
      </w: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lastRenderedPageBreak/>
        <w:t xml:space="preserve">PPL also sent a letter to the Complainant which explained that he could not terminate electricity service because a tenant was renting a unit in the building. </w:t>
      </w:r>
      <w:r w:rsidR="00A17F87">
        <w:rPr>
          <w:sz w:val="24"/>
          <w:szCs w:val="24"/>
        </w:rPr>
        <w:t xml:space="preserve"> </w:t>
      </w:r>
      <w:r w:rsidRPr="00C94409">
        <w:rPr>
          <w:sz w:val="24"/>
          <w:szCs w:val="24"/>
        </w:rPr>
        <w:t>(N.T. 17)</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Additionally, the Complainant wrote several letters to PPL requesting that the electricity service be terminated.</w:t>
      </w:r>
      <w:r w:rsidR="00A17F87">
        <w:rPr>
          <w:sz w:val="24"/>
          <w:szCs w:val="24"/>
        </w:rPr>
        <w:t xml:space="preserve">  </w:t>
      </w:r>
      <w:r w:rsidRPr="00C94409">
        <w:rPr>
          <w:sz w:val="24"/>
          <w:szCs w:val="24"/>
        </w:rPr>
        <w:t>(N.T. 12-13)</w:t>
      </w:r>
    </w:p>
    <w:p w:rsidR="00C94409" w:rsidRDefault="00C94409" w:rsidP="00C94409">
      <w:pPr>
        <w:pStyle w:val="ListParagraph"/>
        <w:spacing w:line="360" w:lineRule="auto"/>
        <w:ind w:left="1440"/>
        <w:contextualSpacing w:val="0"/>
        <w:rPr>
          <w:sz w:val="24"/>
          <w:szCs w:val="24"/>
        </w:rPr>
      </w:pPr>
    </w:p>
    <w:p w:rsidR="00C94409" w:rsidRPr="00C94409" w:rsidRDefault="00C94409" w:rsidP="00C94409">
      <w:pPr>
        <w:pStyle w:val="ListParagraph"/>
        <w:numPr>
          <w:ilvl w:val="0"/>
          <w:numId w:val="10"/>
        </w:numPr>
        <w:spacing w:line="360" w:lineRule="auto"/>
        <w:ind w:left="0" w:firstLine="1440"/>
        <w:contextualSpacing w:val="0"/>
        <w:rPr>
          <w:sz w:val="24"/>
          <w:szCs w:val="24"/>
        </w:rPr>
      </w:pPr>
      <w:r w:rsidRPr="00C94409">
        <w:rPr>
          <w:sz w:val="24"/>
          <w:szCs w:val="24"/>
        </w:rPr>
        <w:t>Ronald Hoffman, a customer contact representative employed by PPL, investigated the Pottsville property in response to a high bill and foreign wiring complaint.  (N.T.</w:t>
      </w:r>
      <w:r w:rsidR="004D0318">
        <w:rPr>
          <w:sz w:val="24"/>
          <w:szCs w:val="24"/>
        </w:rPr>
        <w:t> </w:t>
      </w:r>
      <w:r w:rsidRPr="00C94409">
        <w:rPr>
          <w:sz w:val="24"/>
          <w:szCs w:val="24"/>
        </w:rPr>
        <w:t>22)</w:t>
      </w:r>
    </w:p>
    <w:p w:rsidR="00C94409" w:rsidRDefault="00C94409" w:rsidP="00C94409">
      <w:pPr>
        <w:pStyle w:val="ListParagraph"/>
        <w:tabs>
          <w:tab w:val="left" w:pos="1440"/>
        </w:tabs>
        <w:spacing w:line="360" w:lineRule="auto"/>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t>He inspected the building on November 30, 2013.  He observed that only one unit was occupied at the time.  When he visited the occupied apartment, he saw through the floorboards that there was a light shining in the basement.  (N.T. 22-23)</w:t>
      </w:r>
    </w:p>
    <w:p w:rsidR="00C94409" w:rsidRDefault="00C94409" w:rsidP="00C94409">
      <w:pPr>
        <w:pStyle w:val="ListParagraph"/>
        <w:tabs>
          <w:tab w:val="left" w:pos="1440"/>
        </w:tabs>
        <w:spacing w:line="360" w:lineRule="auto"/>
        <w:ind w:left="1440"/>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t>The tenant did not have access to the basement.  (N.T. 24, 29)</w:t>
      </w:r>
    </w:p>
    <w:p w:rsidR="00C94409" w:rsidRDefault="00C94409" w:rsidP="00C94409">
      <w:pPr>
        <w:pStyle w:val="ListParagraph"/>
        <w:tabs>
          <w:tab w:val="left" w:pos="1440"/>
        </w:tabs>
        <w:spacing w:line="360" w:lineRule="auto"/>
        <w:ind w:left="1440"/>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t xml:space="preserve">Mr. Hoffman determined that the light in the basement was attached to the tenant’s meter because the other two meters were blocked with orange seals.  The orange seal indicates that the meters have been disconnected.  </w:t>
      </w:r>
      <w:r w:rsidR="00F1524F">
        <w:rPr>
          <w:sz w:val="24"/>
          <w:szCs w:val="24"/>
        </w:rPr>
        <w:t xml:space="preserve">According to PPL records, these meters have been inactive at least since June 2013.  </w:t>
      </w:r>
      <w:r w:rsidRPr="00C94409">
        <w:rPr>
          <w:sz w:val="24"/>
          <w:szCs w:val="24"/>
        </w:rPr>
        <w:t>(N.T. 24</w:t>
      </w:r>
      <w:r w:rsidR="004540E1">
        <w:rPr>
          <w:sz w:val="24"/>
          <w:szCs w:val="24"/>
        </w:rPr>
        <w:t>;</w:t>
      </w:r>
      <w:r w:rsidR="00F1524F">
        <w:rPr>
          <w:sz w:val="24"/>
          <w:szCs w:val="24"/>
        </w:rPr>
        <w:t xml:space="preserve"> PPL </w:t>
      </w:r>
      <w:proofErr w:type="spellStart"/>
      <w:r w:rsidR="00F1524F">
        <w:rPr>
          <w:sz w:val="24"/>
          <w:szCs w:val="24"/>
        </w:rPr>
        <w:t>Exs</w:t>
      </w:r>
      <w:proofErr w:type="spellEnd"/>
      <w:r w:rsidR="00F1524F">
        <w:rPr>
          <w:sz w:val="24"/>
          <w:szCs w:val="24"/>
        </w:rPr>
        <w:t>. 4A and 4B</w:t>
      </w:r>
      <w:r w:rsidRPr="00C94409">
        <w:rPr>
          <w:sz w:val="24"/>
          <w:szCs w:val="24"/>
        </w:rPr>
        <w:t>)</w:t>
      </w:r>
    </w:p>
    <w:p w:rsidR="00C94409" w:rsidRDefault="00C94409" w:rsidP="00C94409">
      <w:pPr>
        <w:pStyle w:val="ListParagraph"/>
        <w:tabs>
          <w:tab w:val="left" w:pos="1440"/>
        </w:tabs>
        <w:spacing w:line="360" w:lineRule="auto"/>
        <w:ind w:left="1440"/>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t xml:space="preserve">Mr. Hoffman also verified that the sealed meters were inactive in PPL’s computer system. </w:t>
      </w:r>
      <w:r w:rsidR="00A17F87">
        <w:rPr>
          <w:sz w:val="24"/>
          <w:szCs w:val="24"/>
        </w:rPr>
        <w:t xml:space="preserve"> </w:t>
      </w:r>
      <w:r w:rsidRPr="00C94409">
        <w:rPr>
          <w:sz w:val="24"/>
          <w:szCs w:val="24"/>
        </w:rPr>
        <w:t>(N.T. 24-29</w:t>
      </w:r>
      <w:r w:rsidR="00A17F87">
        <w:rPr>
          <w:sz w:val="24"/>
          <w:szCs w:val="24"/>
        </w:rPr>
        <w:t>;</w:t>
      </w:r>
      <w:r w:rsidRPr="00C94409">
        <w:rPr>
          <w:sz w:val="24"/>
          <w:szCs w:val="24"/>
        </w:rPr>
        <w:t xml:space="preserve"> PPL </w:t>
      </w:r>
      <w:proofErr w:type="spellStart"/>
      <w:r w:rsidRPr="00C94409">
        <w:rPr>
          <w:sz w:val="24"/>
          <w:szCs w:val="24"/>
        </w:rPr>
        <w:t>Exs</w:t>
      </w:r>
      <w:proofErr w:type="spellEnd"/>
      <w:r w:rsidRPr="00C94409">
        <w:rPr>
          <w:sz w:val="24"/>
          <w:szCs w:val="24"/>
        </w:rPr>
        <w:t>. 4A</w:t>
      </w:r>
      <w:r w:rsidR="004540E1">
        <w:rPr>
          <w:sz w:val="24"/>
          <w:szCs w:val="24"/>
        </w:rPr>
        <w:t xml:space="preserve"> and</w:t>
      </w:r>
      <w:r w:rsidRPr="00C94409">
        <w:rPr>
          <w:sz w:val="24"/>
          <w:szCs w:val="24"/>
        </w:rPr>
        <w:t xml:space="preserve"> 4B)</w:t>
      </w:r>
    </w:p>
    <w:p w:rsidR="00C94409" w:rsidRDefault="00C94409" w:rsidP="00C94409">
      <w:pPr>
        <w:pStyle w:val="ListParagraph"/>
        <w:tabs>
          <w:tab w:val="left" w:pos="1440"/>
        </w:tabs>
        <w:spacing w:line="360" w:lineRule="auto"/>
        <w:ind w:left="1440"/>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t>Based on his observations of the wiring on the outside of the building, he concluded that there was not an additional meter serving the building, other than the three meters.  (N.T. 40)</w:t>
      </w:r>
    </w:p>
    <w:p w:rsidR="00C94409" w:rsidRDefault="00C94409" w:rsidP="00C94409">
      <w:pPr>
        <w:pStyle w:val="ListParagraph"/>
        <w:tabs>
          <w:tab w:val="left" w:pos="1440"/>
        </w:tabs>
        <w:spacing w:line="360" w:lineRule="auto"/>
        <w:ind w:left="1440"/>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t xml:space="preserve">Upon discovery of the foreign load, PPL transferred the </w:t>
      </w:r>
      <w:r w:rsidR="00EC6E1E">
        <w:rPr>
          <w:sz w:val="24"/>
          <w:szCs w:val="24"/>
        </w:rPr>
        <w:t xml:space="preserve">two </w:t>
      </w:r>
      <w:r w:rsidRPr="00C94409">
        <w:rPr>
          <w:sz w:val="24"/>
          <w:szCs w:val="24"/>
        </w:rPr>
        <w:t xml:space="preserve">account balances </w:t>
      </w:r>
      <w:r w:rsidR="00EC6E1E">
        <w:rPr>
          <w:sz w:val="24"/>
          <w:szCs w:val="24"/>
        </w:rPr>
        <w:t>associated with the premises</w:t>
      </w:r>
      <w:r w:rsidRPr="00C94409">
        <w:rPr>
          <w:sz w:val="24"/>
          <w:szCs w:val="24"/>
        </w:rPr>
        <w:t xml:space="preserve"> into the Complainant’s name. </w:t>
      </w:r>
      <w:r w:rsidR="00A17F87">
        <w:rPr>
          <w:sz w:val="24"/>
          <w:szCs w:val="24"/>
        </w:rPr>
        <w:t xml:space="preserve"> </w:t>
      </w:r>
      <w:r w:rsidRPr="00C94409">
        <w:rPr>
          <w:sz w:val="24"/>
          <w:szCs w:val="24"/>
        </w:rPr>
        <w:t>(N.T. 35)</w:t>
      </w:r>
    </w:p>
    <w:p w:rsidR="00C94409" w:rsidRDefault="00C94409" w:rsidP="00C94409">
      <w:pPr>
        <w:pStyle w:val="ListParagraph"/>
        <w:tabs>
          <w:tab w:val="left" w:pos="1440"/>
        </w:tabs>
        <w:spacing w:line="360" w:lineRule="auto"/>
        <w:ind w:left="1440"/>
        <w:contextualSpacing w:val="0"/>
        <w:rPr>
          <w:sz w:val="24"/>
          <w:szCs w:val="24"/>
        </w:rPr>
      </w:pPr>
    </w:p>
    <w:p w:rsidR="00C94409" w:rsidRPr="00C94409" w:rsidRDefault="00C94409" w:rsidP="00C94409">
      <w:pPr>
        <w:pStyle w:val="ListParagraph"/>
        <w:numPr>
          <w:ilvl w:val="0"/>
          <w:numId w:val="10"/>
        </w:numPr>
        <w:tabs>
          <w:tab w:val="left" w:pos="1440"/>
        </w:tabs>
        <w:spacing w:line="360" w:lineRule="auto"/>
        <w:ind w:left="0" w:firstLine="1440"/>
        <w:contextualSpacing w:val="0"/>
        <w:rPr>
          <w:sz w:val="24"/>
          <w:szCs w:val="24"/>
        </w:rPr>
      </w:pPr>
      <w:r w:rsidRPr="00C94409">
        <w:rPr>
          <w:sz w:val="24"/>
          <w:szCs w:val="24"/>
        </w:rPr>
        <w:lastRenderedPageBreak/>
        <w:t xml:space="preserve">As of the date of the hearing, the total balance on the account was $667.67. </w:t>
      </w:r>
      <w:r w:rsidR="00A17F87">
        <w:rPr>
          <w:sz w:val="24"/>
          <w:szCs w:val="24"/>
        </w:rPr>
        <w:t xml:space="preserve"> </w:t>
      </w:r>
      <w:r w:rsidRPr="00C94409">
        <w:rPr>
          <w:sz w:val="24"/>
          <w:szCs w:val="24"/>
        </w:rPr>
        <w:t>(N.T. 36; PPL Ex. 1-C)</w:t>
      </w:r>
    </w:p>
    <w:p w:rsidR="00C94409" w:rsidRDefault="00C94409" w:rsidP="00C94409">
      <w:pPr>
        <w:tabs>
          <w:tab w:val="left" w:pos="7290"/>
        </w:tabs>
        <w:jc w:val="center"/>
        <w:rPr>
          <w:sz w:val="24"/>
          <w:szCs w:val="24"/>
          <w:u w:val="single"/>
        </w:rPr>
      </w:pPr>
    </w:p>
    <w:p w:rsidR="00C94409" w:rsidRPr="00C94409" w:rsidRDefault="00C94409" w:rsidP="00C94409">
      <w:pPr>
        <w:tabs>
          <w:tab w:val="left" w:pos="7290"/>
        </w:tabs>
        <w:jc w:val="center"/>
        <w:rPr>
          <w:sz w:val="24"/>
          <w:szCs w:val="24"/>
          <w:u w:val="single"/>
        </w:rPr>
      </w:pPr>
      <w:r w:rsidRPr="00C94409">
        <w:rPr>
          <w:sz w:val="24"/>
          <w:szCs w:val="24"/>
          <w:u w:val="single"/>
        </w:rPr>
        <w:t>DISCUSSION</w:t>
      </w:r>
    </w:p>
    <w:p w:rsidR="00C94409" w:rsidRDefault="00C94409" w:rsidP="00C94409">
      <w:pPr>
        <w:tabs>
          <w:tab w:val="left" w:pos="7290"/>
        </w:tabs>
        <w:spacing w:line="360" w:lineRule="auto"/>
        <w:ind w:firstLine="1440"/>
        <w:rPr>
          <w:sz w:val="24"/>
          <w:szCs w:val="24"/>
        </w:rPr>
      </w:pPr>
    </w:p>
    <w:p w:rsidR="00C94409" w:rsidRPr="00C94409" w:rsidRDefault="00C94409" w:rsidP="00C94409">
      <w:pPr>
        <w:tabs>
          <w:tab w:val="left" w:pos="7290"/>
        </w:tabs>
        <w:spacing w:line="360" w:lineRule="auto"/>
        <w:ind w:firstLine="1440"/>
        <w:rPr>
          <w:sz w:val="24"/>
          <w:szCs w:val="24"/>
        </w:rPr>
      </w:pPr>
      <w:r w:rsidRPr="00C94409">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C94409">
        <w:rPr>
          <w:rStyle w:val="FootnoteReference"/>
          <w:sz w:val="24"/>
          <w:szCs w:val="24"/>
        </w:rPr>
        <w:footnoteReference w:id="1"/>
      </w:r>
      <w:r w:rsidRPr="00C94409">
        <w:rPr>
          <w:sz w:val="24"/>
          <w:szCs w:val="24"/>
        </w:rPr>
        <w:t xml:space="preserve">  A person seeking affirmative relief from the Commission has the burden of proof.</w:t>
      </w:r>
      <w:r w:rsidRPr="00C94409">
        <w:rPr>
          <w:rStyle w:val="FootnoteReference"/>
          <w:sz w:val="24"/>
          <w:szCs w:val="24"/>
        </w:rPr>
        <w:footnoteReference w:id="2"/>
      </w:r>
    </w:p>
    <w:p w:rsidR="00C94409" w:rsidRDefault="00C94409" w:rsidP="00C94409">
      <w:pPr>
        <w:tabs>
          <w:tab w:val="left" w:pos="7290"/>
        </w:tabs>
        <w:spacing w:line="360" w:lineRule="auto"/>
        <w:ind w:firstLine="1440"/>
        <w:rPr>
          <w:sz w:val="24"/>
          <w:szCs w:val="24"/>
        </w:rPr>
      </w:pPr>
    </w:p>
    <w:p w:rsidR="00C94409" w:rsidRPr="00C94409" w:rsidRDefault="00C94409" w:rsidP="00C94409">
      <w:pPr>
        <w:tabs>
          <w:tab w:val="left" w:pos="7290"/>
        </w:tabs>
        <w:spacing w:line="360" w:lineRule="auto"/>
        <w:ind w:firstLine="1440"/>
        <w:rPr>
          <w:sz w:val="24"/>
          <w:szCs w:val="24"/>
        </w:rPr>
      </w:pPr>
      <w:r w:rsidRPr="00C94409">
        <w:rPr>
          <w:sz w:val="24"/>
          <w:szCs w:val="24"/>
        </w:rPr>
        <w:t xml:space="preserve">In this matter, the Complainant is the party seeking affirmative relief from the </w:t>
      </w:r>
      <w:proofErr w:type="gramStart"/>
      <w:r w:rsidRPr="00C94409">
        <w:rPr>
          <w:sz w:val="24"/>
          <w:szCs w:val="24"/>
        </w:rPr>
        <w:t>Commission,</w:t>
      </w:r>
      <w:proofErr w:type="gramEnd"/>
      <w:r w:rsidRPr="00C94409">
        <w:rPr>
          <w:sz w:val="24"/>
          <w:szCs w:val="24"/>
        </w:rPr>
        <w:t xml:space="preserve"> therefore, he has the burden of proof.  This means that he has the duty to establish a fact by a preponderance of the evidence, and must show that PPL has violated the Public Utility Code or Commission regulations.</w:t>
      </w:r>
      <w:r w:rsidRPr="00C94409">
        <w:rPr>
          <w:rStyle w:val="FootnoteReference"/>
          <w:sz w:val="24"/>
          <w:szCs w:val="24"/>
        </w:rPr>
        <w:footnoteReference w:id="3"/>
      </w:r>
      <w:r w:rsidRPr="00C94409">
        <w:rPr>
          <w:sz w:val="24"/>
          <w:szCs w:val="24"/>
        </w:rPr>
        <w:t xml:space="preserve"> </w:t>
      </w:r>
    </w:p>
    <w:p w:rsidR="00C94409" w:rsidRDefault="00C94409" w:rsidP="00C94409">
      <w:pPr>
        <w:tabs>
          <w:tab w:val="left" w:pos="7290"/>
        </w:tabs>
        <w:spacing w:line="360" w:lineRule="auto"/>
        <w:ind w:firstLine="1440"/>
        <w:rPr>
          <w:sz w:val="24"/>
          <w:szCs w:val="24"/>
        </w:rPr>
      </w:pPr>
    </w:p>
    <w:p w:rsidR="00C94409" w:rsidRPr="00C94409" w:rsidRDefault="00C94409" w:rsidP="00C94409">
      <w:pPr>
        <w:tabs>
          <w:tab w:val="left" w:pos="7290"/>
        </w:tabs>
        <w:spacing w:line="360" w:lineRule="auto"/>
        <w:ind w:firstLine="1440"/>
        <w:rPr>
          <w:sz w:val="24"/>
          <w:szCs w:val="24"/>
        </w:rPr>
      </w:pPr>
      <w:r w:rsidRPr="00C94409">
        <w:rPr>
          <w:sz w:val="24"/>
          <w:szCs w:val="24"/>
        </w:rPr>
        <w:t>Section 1529.1 of the Public Utility Code requires public utilities to place a utility account in a property owner’s name if a foreign load is discovered:</w:t>
      </w:r>
    </w:p>
    <w:p w:rsidR="00C94409" w:rsidRDefault="00C94409" w:rsidP="00AD2889">
      <w:pPr>
        <w:tabs>
          <w:tab w:val="left" w:pos="7290"/>
        </w:tabs>
        <w:spacing w:line="360" w:lineRule="auto"/>
        <w:ind w:left="1440" w:right="1440"/>
        <w:rPr>
          <w:sz w:val="24"/>
          <w:szCs w:val="24"/>
        </w:rPr>
      </w:pPr>
    </w:p>
    <w:p w:rsidR="00C94409" w:rsidRPr="00C94409" w:rsidRDefault="00C94409" w:rsidP="00AD2889">
      <w:pPr>
        <w:ind w:left="1440" w:right="1440" w:firstLine="720"/>
        <w:rPr>
          <w:sz w:val="24"/>
          <w:szCs w:val="24"/>
        </w:rPr>
      </w:pPr>
      <w:r w:rsidRPr="00C94409">
        <w:rPr>
          <w:sz w:val="24"/>
          <w:szCs w:val="24"/>
        </w:rPr>
        <w:t>(a) Notice to public utility.--It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C94409" w:rsidRDefault="00C94409" w:rsidP="00AD2889">
      <w:pPr>
        <w:ind w:left="1440" w:right="1440" w:firstLine="720"/>
        <w:rPr>
          <w:sz w:val="24"/>
          <w:szCs w:val="24"/>
        </w:rPr>
      </w:pPr>
    </w:p>
    <w:p w:rsidR="00C94409" w:rsidRPr="00C94409" w:rsidRDefault="00C94409" w:rsidP="00AD2889">
      <w:pPr>
        <w:ind w:left="1440" w:right="1440" w:firstLine="720"/>
        <w:rPr>
          <w:sz w:val="24"/>
          <w:szCs w:val="24"/>
        </w:rPr>
      </w:pPr>
      <w:r w:rsidRPr="00C94409">
        <w:rPr>
          <w:sz w:val="24"/>
          <w:szCs w:val="24"/>
        </w:rPr>
        <w:t xml:space="preserve">(b) History of account.--Upon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w:t>
      </w:r>
      <w:r w:rsidRPr="00C94409">
        <w:rPr>
          <w:sz w:val="24"/>
          <w:szCs w:val="24"/>
        </w:rPr>
        <w:lastRenderedPageBreak/>
        <w:t>owner shall thereafter be responsible for the payment for the utility services rendered thereunto.</w:t>
      </w:r>
      <w:r w:rsidR="00A17F87">
        <w:rPr>
          <w:sz w:val="24"/>
          <w:szCs w:val="24"/>
        </w:rPr>
        <w:t xml:space="preserve"> </w:t>
      </w:r>
      <w:r w:rsidRPr="00C94409">
        <w:rPr>
          <w:sz w:val="24"/>
          <w:szCs w:val="24"/>
        </w:rPr>
        <w:t xml:space="preserve">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C94409" w:rsidRDefault="00C94409" w:rsidP="00AD2889">
      <w:pPr>
        <w:ind w:left="1440" w:right="1440" w:firstLine="720"/>
        <w:rPr>
          <w:sz w:val="24"/>
          <w:szCs w:val="24"/>
        </w:rPr>
      </w:pPr>
    </w:p>
    <w:p w:rsidR="00C94409" w:rsidRPr="00C94409" w:rsidRDefault="00C94409" w:rsidP="00AD2889">
      <w:pPr>
        <w:ind w:left="1440" w:right="1440" w:firstLine="720"/>
        <w:rPr>
          <w:sz w:val="24"/>
          <w:szCs w:val="24"/>
        </w:rPr>
      </w:pPr>
      <w:r w:rsidRPr="00C94409">
        <w:rPr>
          <w:sz w:val="24"/>
          <w:szCs w:val="24"/>
        </w:rPr>
        <w:t>(c) Failure to give notice.--Any owner of a residential building or mobile home park failing to notify affected public utilities as required by this section shall nonetheless be responsible for payment of the utility services as if the required notice had been given.</w:t>
      </w:r>
      <w:r w:rsidRPr="00C94409">
        <w:rPr>
          <w:rStyle w:val="FootnoteReference"/>
          <w:sz w:val="24"/>
          <w:szCs w:val="24"/>
        </w:rPr>
        <w:footnoteReference w:id="4"/>
      </w:r>
      <w:r w:rsidRPr="00C94409">
        <w:rPr>
          <w:sz w:val="24"/>
          <w:szCs w:val="24"/>
        </w:rPr>
        <w:t xml:space="preserve">  </w:t>
      </w:r>
    </w:p>
    <w:p w:rsidR="00C94409" w:rsidRDefault="00C94409" w:rsidP="00AD2889">
      <w:pPr>
        <w:tabs>
          <w:tab w:val="left" w:pos="7290"/>
        </w:tabs>
        <w:spacing w:line="360" w:lineRule="auto"/>
        <w:ind w:firstLine="1440"/>
        <w:rPr>
          <w:sz w:val="24"/>
          <w:szCs w:val="24"/>
        </w:rPr>
      </w:pPr>
    </w:p>
    <w:p w:rsidR="00C94409" w:rsidRPr="00C94409" w:rsidRDefault="00C94409" w:rsidP="00C94409">
      <w:pPr>
        <w:tabs>
          <w:tab w:val="left" w:pos="7290"/>
        </w:tabs>
        <w:spacing w:line="360" w:lineRule="auto"/>
        <w:ind w:firstLine="1440"/>
        <w:rPr>
          <w:sz w:val="24"/>
          <w:szCs w:val="24"/>
        </w:rPr>
      </w:pPr>
      <w:r w:rsidRPr="00C94409">
        <w:rPr>
          <w:sz w:val="24"/>
          <w:szCs w:val="24"/>
        </w:rPr>
        <w:t xml:space="preserve">Recently, the Commission explained the long-standing interpretation of this section which requires a property owner to be responsible not only for the current charges, but for any arrearages on the account as well.  This is true, even if the foreign load is simply an outlet or other so-called </w:t>
      </w:r>
      <w:r w:rsidRPr="00C94409">
        <w:rPr>
          <w:i/>
          <w:sz w:val="24"/>
          <w:szCs w:val="24"/>
        </w:rPr>
        <w:t xml:space="preserve">de </w:t>
      </w:r>
      <w:proofErr w:type="spellStart"/>
      <w:r w:rsidRPr="00C94409">
        <w:rPr>
          <w:i/>
          <w:sz w:val="24"/>
          <w:szCs w:val="24"/>
        </w:rPr>
        <w:t>minimis</w:t>
      </w:r>
      <w:proofErr w:type="spellEnd"/>
      <w:r w:rsidRPr="00C94409">
        <w:rPr>
          <w:sz w:val="24"/>
          <w:szCs w:val="24"/>
        </w:rPr>
        <w:t xml:space="preserve"> load on a rental unit’s meter that is not part of the rental unit:</w:t>
      </w:r>
    </w:p>
    <w:p w:rsidR="00C94409" w:rsidRDefault="00C94409" w:rsidP="00C94409">
      <w:pPr>
        <w:ind w:left="1526" w:right="1440" w:firstLine="634"/>
        <w:rPr>
          <w:sz w:val="24"/>
          <w:szCs w:val="24"/>
        </w:rPr>
      </w:pPr>
    </w:p>
    <w:p w:rsidR="00C94409" w:rsidRPr="00C94409" w:rsidRDefault="00C94409" w:rsidP="00A0308D">
      <w:pPr>
        <w:ind w:left="1440" w:right="1440" w:firstLine="720"/>
        <w:rPr>
          <w:sz w:val="24"/>
          <w:szCs w:val="24"/>
        </w:rPr>
      </w:pPr>
      <w:r w:rsidRPr="00C94409">
        <w:rPr>
          <w:sz w:val="24"/>
          <w:szCs w:val="24"/>
        </w:rPr>
        <w:t xml:space="preserve">In interpreting this provision, the Commission has determined that well-established precedent “holds the property owner financially responsible for a tenant’s entire account, once foreign load is verified on the tenant’s service.”  </w:t>
      </w:r>
      <w:r w:rsidRPr="00C94409">
        <w:rPr>
          <w:i/>
          <w:sz w:val="24"/>
          <w:szCs w:val="24"/>
        </w:rPr>
        <w:t>Ace Check Cashing, Inc. v. Philadelphia Gas Works</w:t>
      </w:r>
      <w:r w:rsidRPr="00C94409">
        <w:rPr>
          <w:sz w:val="24"/>
          <w:szCs w:val="24"/>
        </w:rPr>
        <w:t>, Docket No. C-2008-2056428 (Order entered May 21, 2010) at 6; s</w:t>
      </w:r>
      <w:r w:rsidRPr="00C94409">
        <w:rPr>
          <w:i/>
          <w:sz w:val="24"/>
          <w:szCs w:val="24"/>
        </w:rPr>
        <w:t>ee also, Santos v. Metropolitan Edison Co.</w:t>
      </w:r>
      <w:r w:rsidRPr="00C94409">
        <w:rPr>
          <w:sz w:val="24"/>
          <w:szCs w:val="24"/>
        </w:rPr>
        <w:t xml:space="preserve">, Docket No. </w:t>
      </w:r>
      <w:proofErr w:type="gramStart"/>
      <w:r w:rsidRPr="00C94409">
        <w:rPr>
          <w:sz w:val="24"/>
          <w:szCs w:val="24"/>
        </w:rPr>
        <w:t>C</w:t>
      </w:r>
      <w:r w:rsidRPr="00C94409">
        <w:rPr>
          <w:sz w:val="24"/>
          <w:szCs w:val="24"/>
        </w:rPr>
        <w:noBreakHyphen/>
        <w:t>00967757 (Order entered August 7, 1997).</w:t>
      </w:r>
      <w:proofErr w:type="gramEnd"/>
      <w:r w:rsidRPr="00C94409">
        <w:rPr>
          <w:sz w:val="24"/>
          <w:szCs w:val="24"/>
        </w:rPr>
        <w:t xml:space="preserve">  The Commission’s foreign load policy was explained in detail in </w:t>
      </w:r>
      <w:r w:rsidRPr="00C94409">
        <w:rPr>
          <w:i/>
          <w:sz w:val="24"/>
          <w:szCs w:val="24"/>
        </w:rPr>
        <w:t>Ace Check Cashing</w:t>
      </w:r>
      <w:r w:rsidRPr="00C94409">
        <w:rPr>
          <w:sz w:val="24"/>
          <w:szCs w:val="24"/>
        </w:rPr>
        <w:t xml:space="preserve">, </w:t>
      </w:r>
      <w:r w:rsidRPr="00C94409">
        <w:rPr>
          <w:i/>
          <w:sz w:val="24"/>
          <w:szCs w:val="24"/>
        </w:rPr>
        <w:t>supra</w:t>
      </w:r>
      <w:r w:rsidRPr="00C94409">
        <w:rPr>
          <w:sz w:val="24"/>
          <w:szCs w:val="24"/>
        </w:rPr>
        <w:t xml:space="preserve">.  Upon finding foreign load, the utility must list the account, including any arrearages, in the landlord’s name.  The landlord is responsible for paying the utility bills until the foreign load is corrected.  After the foreign load is corrected by the landlord and verified by the utility, the utility is to place the account back into the tenant’s name.  </w:t>
      </w:r>
      <w:proofErr w:type="gramStart"/>
      <w:r w:rsidRPr="00C94409">
        <w:rPr>
          <w:i/>
          <w:sz w:val="24"/>
          <w:szCs w:val="24"/>
        </w:rPr>
        <w:t>Id</w:t>
      </w:r>
      <w:r w:rsidRPr="00C94409">
        <w:rPr>
          <w:sz w:val="24"/>
          <w:szCs w:val="24"/>
        </w:rPr>
        <w:t>. at 7.</w:t>
      </w:r>
      <w:proofErr w:type="gramEnd"/>
      <w:r w:rsidRPr="00C94409">
        <w:rPr>
          <w:sz w:val="24"/>
          <w:szCs w:val="24"/>
        </w:rPr>
        <w:t xml:space="preserve">  However, the landlord remains responsible for any arrearages on the tenant’s account.  </w:t>
      </w:r>
      <w:r w:rsidRPr="00C94409">
        <w:rPr>
          <w:i/>
          <w:sz w:val="24"/>
          <w:szCs w:val="24"/>
        </w:rPr>
        <w:t>Id</w:t>
      </w:r>
      <w:r w:rsidRPr="00C94409">
        <w:rPr>
          <w:sz w:val="24"/>
          <w:szCs w:val="24"/>
        </w:rPr>
        <w:t xml:space="preserve">. at 7-8.  This rule applies even if the amount of usage attributable to foreign load is considered </w:t>
      </w:r>
      <w:r w:rsidRPr="00C94409">
        <w:rPr>
          <w:i/>
          <w:sz w:val="24"/>
          <w:szCs w:val="24"/>
        </w:rPr>
        <w:t xml:space="preserve">de </w:t>
      </w:r>
      <w:proofErr w:type="spellStart"/>
      <w:r w:rsidRPr="00C94409">
        <w:rPr>
          <w:i/>
          <w:sz w:val="24"/>
          <w:szCs w:val="24"/>
        </w:rPr>
        <w:t>minimus</w:t>
      </w:r>
      <w:proofErr w:type="spellEnd"/>
      <w:r w:rsidRPr="00C94409">
        <w:rPr>
          <w:sz w:val="24"/>
          <w:szCs w:val="24"/>
        </w:rPr>
        <w:t xml:space="preserve">.  </w:t>
      </w:r>
      <w:proofErr w:type="gramStart"/>
      <w:r w:rsidRPr="00C94409">
        <w:rPr>
          <w:i/>
          <w:sz w:val="24"/>
          <w:szCs w:val="24"/>
        </w:rPr>
        <w:t>Id</w:t>
      </w:r>
      <w:r w:rsidRPr="00C94409">
        <w:rPr>
          <w:sz w:val="24"/>
          <w:szCs w:val="24"/>
        </w:rPr>
        <w:t>. at 8.</w:t>
      </w:r>
      <w:proofErr w:type="gramEnd"/>
      <w:r w:rsidRPr="00C94409">
        <w:rPr>
          <w:rStyle w:val="FootnoteReference"/>
          <w:sz w:val="24"/>
          <w:szCs w:val="24"/>
        </w:rPr>
        <w:footnoteReference w:id="5"/>
      </w:r>
      <w:r w:rsidRPr="00C94409">
        <w:rPr>
          <w:sz w:val="24"/>
          <w:szCs w:val="24"/>
        </w:rPr>
        <w:t xml:space="preserve"> </w:t>
      </w:r>
    </w:p>
    <w:p w:rsidR="00C94409" w:rsidRPr="00C94409" w:rsidRDefault="00C94409" w:rsidP="00C94409">
      <w:pPr>
        <w:ind w:left="1526" w:right="1440" w:firstLine="634"/>
        <w:rPr>
          <w:sz w:val="24"/>
          <w:szCs w:val="24"/>
        </w:rPr>
      </w:pPr>
    </w:p>
    <w:p w:rsidR="00C94409" w:rsidRPr="00C94409" w:rsidRDefault="00C94409" w:rsidP="00C94409">
      <w:pPr>
        <w:spacing w:line="360" w:lineRule="auto"/>
        <w:ind w:firstLine="1440"/>
        <w:rPr>
          <w:sz w:val="24"/>
          <w:szCs w:val="24"/>
        </w:rPr>
      </w:pPr>
      <w:r w:rsidRPr="00C94409">
        <w:rPr>
          <w:sz w:val="24"/>
          <w:szCs w:val="24"/>
        </w:rPr>
        <w:lastRenderedPageBreak/>
        <w:t xml:space="preserve">Here, the Complainant does not allege that PPL incorrectly determined that the rental units in the building were not individually metered as required by Section 1529.1. </w:t>
      </w:r>
      <w:r w:rsidR="00A17F87">
        <w:rPr>
          <w:sz w:val="24"/>
          <w:szCs w:val="24"/>
        </w:rPr>
        <w:t xml:space="preserve"> </w:t>
      </w:r>
      <w:r w:rsidRPr="00C94409">
        <w:rPr>
          <w:sz w:val="24"/>
          <w:szCs w:val="24"/>
        </w:rPr>
        <w:t>Indeed, the record supports the fact that PPL thoroughly investigated the metering at the property and correctly verified the existence of a foreign load.  Accordingly, PPL transferred the account into the Complainant’s name, the owner of record, as required by the Public Utility Code.</w:t>
      </w:r>
    </w:p>
    <w:p w:rsidR="00190DAA" w:rsidRDefault="00190DAA"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r w:rsidRPr="00C94409">
        <w:rPr>
          <w:sz w:val="24"/>
          <w:szCs w:val="24"/>
        </w:rPr>
        <w:t xml:space="preserve">The Complainant contends that another person agreed to purchase the building and that he, the seller, never authorized utility service at the premises.  However, the Complainant remains the property owner of record for the building.  His dispute is a dispute between private parties.  The Commission does not have jurisdiction over disputes concerning the financial responsibilities of private parties, such as the landlord and tenant or between a buyer and a seller of property. </w:t>
      </w:r>
      <w:r w:rsidR="00A17F87">
        <w:rPr>
          <w:sz w:val="24"/>
          <w:szCs w:val="24"/>
        </w:rPr>
        <w:t xml:space="preserve"> </w:t>
      </w:r>
      <w:r w:rsidRPr="00C94409">
        <w:rPr>
          <w:sz w:val="24"/>
          <w:szCs w:val="24"/>
        </w:rPr>
        <w:t>Such matters are to be resolved in a court of common pleas.</w:t>
      </w:r>
      <w:r w:rsidRPr="00C94409">
        <w:rPr>
          <w:rStyle w:val="FootnoteReference"/>
          <w:sz w:val="24"/>
          <w:szCs w:val="24"/>
        </w:rPr>
        <w:footnoteReference w:id="6"/>
      </w:r>
      <w:r w:rsidRPr="00C94409">
        <w:rPr>
          <w:sz w:val="24"/>
          <w:szCs w:val="24"/>
        </w:rPr>
        <w:t xml:space="preserve"> </w:t>
      </w:r>
    </w:p>
    <w:p w:rsidR="00190DAA" w:rsidRDefault="00190DAA" w:rsidP="00C94409">
      <w:pPr>
        <w:spacing w:line="360" w:lineRule="auto"/>
        <w:ind w:firstLine="1440"/>
        <w:rPr>
          <w:sz w:val="24"/>
          <w:szCs w:val="24"/>
        </w:rPr>
      </w:pPr>
    </w:p>
    <w:p w:rsidR="00C94409" w:rsidRPr="00C94409" w:rsidRDefault="00C94409" w:rsidP="00190DAA">
      <w:pPr>
        <w:spacing w:line="360" w:lineRule="auto"/>
        <w:ind w:firstLine="1440"/>
        <w:rPr>
          <w:sz w:val="24"/>
          <w:szCs w:val="24"/>
        </w:rPr>
      </w:pPr>
      <w:r w:rsidRPr="00C94409">
        <w:rPr>
          <w:sz w:val="24"/>
          <w:szCs w:val="24"/>
        </w:rPr>
        <w:t xml:space="preserve">In sum, the Complainant failed to prove that PPL violated any laws or regulations of the Commission when it transferred the outstanding balances on the electricity accounts </w:t>
      </w:r>
      <w:r w:rsidR="00A37AE8">
        <w:rPr>
          <w:sz w:val="24"/>
          <w:szCs w:val="24"/>
        </w:rPr>
        <w:t xml:space="preserve">associated with the rental unit at the </w:t>
      </w:r>
      <w:bookmarkStart w:id="0" w:name="_GoBack"/>
      <w:bookmarkEnd w:id="0"/>
      <w:r w:rsidRPr="00C94409">
        <w:rPr>
          <w:sz w:val="24"/>
          <w:szCs w:val="24"/>
        </w:rPr>
        <w:t>Pottsville property upon PPL’s discovery of a foreign load.  Therefore, his complaint must be dismissed.</w:t>
      </w:r>
    </w:p>
    <w:p w:rsidR="00190DAA" w:rsidRDefault="00190DAA" w:rsidP="00190DAA">
      <w:pPr>
        <w:spacing w:line="360" w:lineRule="auto"/>
        <w:jc w:val="center"/>
        <w:rPr>
          <w:sz w:val="24"/>
          <w:szCs w:val="24"/>
          <w:u w:val="single"/>
        </w:rPr>
      </w:pPr>
    </w:p>
    <w:p w:rsidR="00C94409" w:rsidRDefault="00190DAA" w:rsidP="00190DAA">
      <w:pPr>
        <w:spacing w:line="360" w:lineRule="auto"/>
        <w:jc w:val="center"/>
        <w:rPr>
          <w:sz w:val="24"/>
          <w:szCs w:val="24"/>
          <w:u w:val="single"/>
        </w:rPr>
      </w:pPr>
      <w:r>
        <w:rPr>
          <w:sz w:val="24"/>
          <w:szCs w:val="24"/>
          <w:u w:val="single"/>
        </w:rPr>
        <w:t>C</w:t>
      </w:r>
      <w:r w:rsidR="00C94409" w:rsidRPr="00C94409">
        <w:rPr>
          <w:sz w:val="24"/>
          <w:szCs w:val="24"/>
          <w:u w:val="single"/>
        </w:rPr>
        <w:t>ONCLUSIONS OF LAW</w:t>
      </w:r>
    </w:p>
    <w:p w:rsidR="00190DAA" w:rsidRPr="00C94409" w:rsidRDefault="00190DAA" w:rsidP="00190DAA">
      <w:pPr>
        <w:spacing w:line="360" w:lineRule="auto"/>
        <w:jc w:val="center"/>
        <w:rPr>
          <w:sz w:val="24"/>
          <w:szCs w:val="24"/>
          <w:u w:val="single"/>
        </w:rPr>
      </w:pPr>
    </w:p>
    <w:p w:rsidR="00C94409" w:rsidRPr="00C94409" w:rsidRDefault="00C94409" w:rsidP="00190DAA">
      <w:pPr>
        <w:spacing w:line="360" w:lineRule="auto"/>
        <w:ind w:firstLine="1440"/>
        <w:rPr>
          <w:sz w:val="24"/>
          <w:szCs w:val="24"/>
        </w:rPr>
      </w:pPr>
      <w:r w:rsidRPr="00C94409">
        <w:rPr>
          <w:sz w:val="24"/>
          <w:szCs w:val="24"/>
        </w:rPr>
        <w:t>1.</w:t>
      </w:r>
      <w:r w:rsidRPr="00C94409">
        <w:rPr>
          <w:sz w:val="24"/>
          <w:szCs w:val="24"/>
        </w:rPr>
        <w:tab/>
        <w:t>The Commission has jurisdiction over the parties and subject</w:t>
      </w:r>
      <w:r w:rsidR="00A17F87">
        <w:rPr>
          <w:sz w:val="24"/>
          <w:szCs w:val="24"/>
        </w:rPr>
        <w:t xml:space="preserve"> </w:t>
      </w:r>
      <w:r w:rsidRPr="00C94409">
        <w:rPr>
          <w:sz w:val="24"/>
          <w:szCs w:val="24"/>
        </w:rPr>
        <w:t xml:space="preserve">matter of this dispute. </w:t>
      </w:r>
      <w:r w:rsidR="00A17F87">
        <w:rPr>
          <w:sz w:val="24"/>
          <w:szCs w:val="24"/>
        </w:rPr>
        <w:t xml:space="preserve"> </w:t>
      </w:r>
      <w:proofErr w:type="gramStart"/>
      <w:r w:rsidRPr="00C94409">
        <w:rPr>
          <w:sz w:val="24"/>
          <w:szCs w:val="24"/>
        </w:rPr>
        <w:t xml:space="preserve">66 </w:t>
      </w:r>
      <w:proofErr w:type="spellStart"/>
      <w:r w:rsidRPr="00C94409">
        <w:rPr>
          <w:sz w:val="24"/>
          <w:szCs w:val="24"/>
        </w:rPr>
        <w:t>Pa.C.S</w:t>
      </w:r>
      <w:proofErr w:type="spellEnd"/>
      <w:r w:rsidRPr="00C94409">
        <w:rPr>
          <w:sz w:val="24"/>
          <w:szCs w:val="24"/>
        </w:rPr>
        <w:t>.</w:t>
      </w:r>
      <w:proofErr w:type="gramEnd"/>
      <w:r w:rsidRPr="00C94409">
        <w:rPr>
          <w:sz w:val="24"/>
          <w:szCs w:val="24"/>
        </w:rPr>
        <w:t xml:space="preserve"> § 701.</w:t>
      </w:r>
    </w:p>
    <w:p w:rsidR="00190DAA" w:rsidRDefault="00190DAA"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r w:rsidRPr="00C94409">
        <w:rPr>
          <w:sz w:val="24"/>
          <w:szCs w:val="24"/>
        </w:rPr>
        <w:t>2.</w:t>
      </w:r>
      <w:r w:rsidRPr="00C94409">
        <w:rPr>
          <w:sz w:val="24"/>
          <w:szCs w:val="24"/>
        </w:rPr>
        <w:tab/>
        <w:t xml:space="preserve">The Complainant bears the burden of proof.  </w:t>
      </w:r>
      <w:proofErr w:type="gramStart"/>
      <w:r w:rsidRPr="00C94409">
        <w:rPr>
          <w:sz w:val="24"/>
          <w:szCs w:val="24"/>
        </w:rPr>
        <w:t xml:space="preserve">66 </w:t>
      </w:r>
      <w:proofErr w:type="spellStart"/>
      <w:r w:rsidRPr="00C94409">
        <w:rPr>
          <w:sz w:val="24"/>
          <w:szCs w:val="24"/>
        </w:rPr>
        <w:t>Pa.C.S</w:t>
      </w:r>
      <w:proofErr w:type="spellEnd"/>
      <w:r w:rsidRPr="00C94409">
        <w:rPr>
          <w:sz w:val="24"/>
          <w:szCs w:val="24"/>
        </w:rPr>
        <w:t>.</w:t>
      </w:r>
      <w:proofErr w:type="gramEnd"/>
      <w:r w:rsidRPr="00C94409">
        <w:rPr>
          <w:sz w:val="24"/>
          <w:szCs w:val="24"/>
        </w:rPr>
        <w:t xml:space="preserve"> § 332.</w:t>
      </w:r>
    </w:p>
    <w:p w:rsidR="00190DAA" w:rsidRDefault="00190DAA"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r w:rsidRPr="00C94409">
        <w:rPr>
          <w:sz w:val="24"/>
          <w:szCs w:val="24"/>
        </w:rPr>
        <w:t>3.</w:t>
      </w:r>
      <w:r w:rsidRPr="00C94409">
        <w:rPr>
          <w:sz w:val="24"/>
          <w:szCs w:val="24"/>
        </w:rPr>
        <w:tab/>
        <w:t xml:space="preserve">Section 1529.1 of the Public Utility Code requires a public utility to transfer utility accounts into the name of the property owner upon discovery of a foreign load.  </w:t>
      </w:r>
      <w:proofErr w:type="gramStart"/>
      <w:r w:rsidRPr="00C94409">
        <w:rPr>
          <w:sz w:val="24"/>
          <w:szCs w:val="24"/>
        </w:rPr>
        <w:t xml:space="preserve">66 </w:t>
      </w:r>
      <w:proofErr w:type="spellStart"/>
      <w:r w:rsidRPr="00C94409">
        <w:rPr>
          <w:sz w:val="24"/>
          <w:szCs w:val="24"/>
        </w:rPr>
        <w:t>Pa.C.S</w:t>
      </w:r>
      <w:proofErr w:type="spellEnd"/>
      <w:r w:rsidRPr="00C94409">
        <w:rPr>
          <w:sz w:val="24"/>
          <w:szCs w:val="24"/>
        </w:rPr>
        <w:t>.</w:t>
      </w:r>
      <w:proofErr w:type="gramEnd"/>
      <w:r w:rsidRPr="00C94409">
        <w:rPr>
          <w:sz w:val="24"/>
          <w:szCs w:val="24"/>
        </w:rPr>
        <w:t xml:space="preserve"> § 1529.1.</w:t>
      </w:r>
    </w:p>
    <w:p w:rsidR="00C94409" w:rsidRPr="00C94409" w:rsidRDefault="00C94409" w:rsidP="00C94409">
      <w:pPr>
        <w:spacing w:line="360" w:lineRule="auto"/>
        <w:ind w:firstLine="1440"/>
        <w:rPr>
          <w:sz w:val="24"/>
          <w:szCs w:val="24"/>
        </w:rPr>
      </w:pPr>
      <w:r w:rsidRPr="00C94409">
        <w:rPr>
          <w:sz w:val="24"/>
          <w:szCs w:val="24"/>
        </w:rPr>
        <w:lastRenderedPageBreak/>
        <w:t>4.</w:t>
      </w:r>
      <w:r w:rsidRPr="00C94409">
        <w:rPr>
          <w:sz w:val="24"/>
          <w:szCs w:val="24"/>
        </w:rPr>
        <w:tab/>
        <w:t xml:space="preserve">The Complainant failed to prove that PPL improperly transferred utility accounts into his name.  </w:t>
      </w:r>
      <w:proofErr w:type="gramStart"/>
      <w:r w:rsidRPr="00C94409">
        <w:rPr>
          <w:sz w:val="24"/>
          <w:szCs w:val="24"/>
        </w:rPr>
        <w:t xml:space="preserve">66 </w:t>
      </w:r>
      <w:proofErr w:type="spellStart"/>
      <w:r w:rsidRPr="00C94409">
        <w:rPr>
          <w:sz w:val="24"/>
          <w:szCs w:val="24"/>
        </w:rPr>
        <w:t>Pa.C.S</w:t>
      </w:r>
      <w:proofErr w:type="spellEnd"/>
      <w:r w:rsidRPr="00C94409">
        <w:rPr>
          <w:sz w:val="24"/>
          <w:szCs w:val="24"/>
        </w:rPr>
        <w:t>.</w:t>
      </w:r>
      <w:proofErr w:type="gramEnd"/>
      <w:r w:rsidRPr="00C94409">
        <w:rPr>
          <w:sz w:val="24"/>
          <w:szCs w:val="24"/>
        </w:rPr>
        <w:t xml:space="preserve"> § 1529.1.</w:t>
      </w:r>
    </w:p>
    <w:p w:rsidR="00190DAA" w:rsidRDefault="00190DAA" w:rsidP="00C94409">
      <w:pPr>
        <w:spacing w:line="360" w:lineRule="auto"/>
        <w:jc w:val="center"/>
        <w:rPr>
          <w:sz w:val="24"/>
          <w:szCs w:val="24"/>
          <w:u w:val="single"/>
        </w:rPr>
      </w:pPr>
    </w:p>
    <w:p w:rsidR="00190DAA" w:rsidRDefault="00190DAA" w:rsidP="00C94409">
      <w:pPr>
        <w:spacing w:line="360" w:lineRule="auto"/>
        <w:jc w:val="center"/>
        <w:rPr>
          <w:sz w:val="24"/>
          <w:szCs w:val="24"/>
          <w:u w:val="single"/>
        </w:rPr>
      </w:pPr>
    </w:p>
    <w:p w:rsidR="00C94409" w:rsidRPr="00C94409" w:rsidRDefault="00C94409" w:rsidP="00C94409">
      <w:pPr>
        <w:spacing w:line="360" w:lineRule="auto"/>
        <w:jc w:val="center"/>
        <w:rPr>
          <w:sz w:val="24"/>
          <w:szCs w:val="24"/>
          <w:u w:val="single"/>
        </w:rPr>
      </w:pPr>
      <w:r w:rsidRPr="00C94409">
        <w:rPr>
          <w:sz w:val="24"/>
          <w:szCs w:val="24"/>
          <w:u w:val="single"/>
        </w:rPr>
        <w:t>ORDER</w:t>
      </w:r>
    </w:p>
    <w:p w:rsidR="00190DAA" w:rsidRDefault="00190DAA"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r w:rsidRPr="00C94409">
        <w:rPr>
          <w:sz w:val="24"/>
          <w:szCs w:val="24"/>
        </w:rPr>
        <w:t>THEREFORE,</w:t>
      </w:r>
    </w:p>
    <w:p w:rsidR="00C94409" w:rsidRDefault="00C94409" w:rsidP="00C94409">
      <w:pPr>
        <w:spacing w:line="360" w:lineRule="auto"/>
        <w:ind w:firstLine="1440"/>
        <w:rPr>
          <w:sz w:val="24"/>
          <w:szCs w:val="24"/>
        </w:rPr>
      </w:pPr>
    </w:p>
    <w:p w:rsidR="00C94409" w:rsidRDefault="00C94409" w:rsidP="00C94409">
      <w:pPr>
        <w:spacing w:line="360" w:lineRule="auto"/>
        <w:ind w:firstLine="1440"/>
        <w:rPr>
          <w:sz w:val="24"/>
          <w:szCs w:val="24"/>
        </w:rPr>
      </w:pPr>
      <w:r w:rsidRPr="00C94409">
        <w:rPr>
          <w:sz w:val="24"/>
          <w:szCs w:val="24"/>
        </w:rPr>
        <w:t>IT IS ORDERED:</w:t>
      </w:r>
    </w:p>
    <w:p w:rsidR="00C94409" w:rsidRPr="00C94409" w:rsidRDefault="00C94409" w:rsidP="00C94409">
      <w:pPr>
        <w:spacing w:line="360" w:lineRule="auto"/>
        <w:ind w:firstLine="1440"/>
        <w:rPr>
          <w:sz w:val="24"/>
          <w:szCs w:val="24"/>
        </w:rPr>
      </w:pPr>
      <w:r w:rsidRPr="00C94409">
        <w:rPr>
          <w:sz w:val="24"/>
          <w:szCs w:val="24"/>
        </w:rPr>
        <w:tab/>
      </w:r>
    </w:p>
    <w:p w:rsidR="00C94409" w:rsidRPr="00C94409" w:rsidRDefault="00C94409" w:rsidP="00C94409">
      <w:pPr>
        <w:spacing w:line="360" w:lineRule="auto"/>
        <w:ind w:firstLine="1440"/>
        <w:rPr>
          <w:sz w:val="24"/>
          <w:szCs w:val="24"/>
        </w:rPr>
      </w:pPr>
      <w:r w:rsidRPr="00C94409">
        <w:rPr>
          <w:sz w:val="24"/>
          <w:szCs w:val="24"/>
        </w:rPr>
        <w:t>1.</w:t>
      </w:r>
      <w:r w:rsidRPr="00C94409">
        <w:rPr>
          <w:sz w:val="24"/>
          <w:szCs w:val="24"/>
        </w:rPr>
        <w:tab/>
        <w:t xml:space="preserve">That the complaint of </w:t>
      </w:r>
      <w:proofErr w:type="spellStart"/>
      <w:r w:rsidRPr="00C94409">
        <w:rPr>
          <w:sz w:val="24"/>
          <w:szCs w:val="24"/>
        </w:rPr>
        <w:t>Avram</w:t>
      </w:r>
      <w:proofErr w:type="spellEnd"/>
      <w:r w:rsidRPr="00C94409">
        <w:rPr>
          <w:sz w:val="24"/>
          <w:szCs w:val="24"/>
        </w:rPr>
        <w:t xml:space="preserve"> </w:t>
      </w:r>
      <w:proofErr w:type="spellStart"/>
      <w:r w:rsidRPr="00C94409">
        <w:rPr>
          <w:sz w:val="24"/>
          <w:szCs w:val="24"/>
        </w:rPr>
        <w:t>Yushan</w:t>
      </w:r>
      <w:proofErr w:type="spellEnd"/>
      <w:r w:rsidRPr="00C94409">
        <w:rPr>
          <w:sz w:val="24"/>
          <w:szCs w:val="24"/>
        </w:rPr>
        <w:t xml:space="preserve"> against PPL Electric Utilities Corporation at PUC Docket No. C-2014-2399855 is dismissed.</w:t>
      </w:r>
    </w:p>
    <w:p w:rsidR="00190DAA" w:rsidRDefault="00190DAA" w:rsidP="00C94409">
      <w:pPr>
        <w:spacing w:line="360" w:lineRule="auto"/>
        <w:ind w:firstLine="1440"/>
        <w:rPr>
          <w:sz w:val="24"/>
          <w:szCs w:val="24"/>
        </w:rPr>
      </w:pPr>
    </w:p>
    <w:p w:rsidR="00C94409" w:rsidRPr="00C94409" w:rsidRDefault="00C94409" w:rsidP="00C94409">
      <w:pPr>
        <w:spacing w:line="360" w:lineRule="auto"/>
        <w:ind w:firstLine="1440"/>
        <w:rPr>
          <w:sz w:val="24"/>
          <w:szCs w:val="24"/>
        </w:rPr>
      </w:pPr>
      <w:r w:rsidRPr="00C94409">
        <w:rPr>
          <w:sz w:val="24"/>
          <w:szCs w:val="24"/>
        </w:rPr>
        <w:t>2.</w:t>
      </w:r>
      <w:r w:rsidRPr="00C94409">
        <w:rPr>
          <w:sz w:val="24"/>
          <w:szCs w:val="24"/>
        </w:rPr>
        <w:tab/>
        <w:t>That the Secretary shall mark the docket closed.</w:t>
      </w:r>
    </w:p>
    <w:p w:rsidR="00C94409" w:rsidRPr="00C94409" w:rsidRDefault="00C94409" w:rsidP="00C94409">
      <w:pPr>
        <w:rPr>
          <w:sz w:val="24"/>
          <w:szCs w:val="24"/>
        </w:rPr>
      </w:pPr>
    </w:p>
    <w:p w:rsidR="008B3BC0" w:rsidRPr="00D40D85" w:rsidRDefault="008B3BC0" w:rsidP="00D40D85">
      <w:pPr>
        <w:rPr>
          <w:sz w:val="24"/>
          <w:szCs w:val="24"/>
        </w:rPr>
      </w:pPr>
    </w:p>
    <w:p w:rsidR="008B3BC0" w:rsidRPr="00D40D85" w:rsidRDefault="008B3BC0" w:rsidP="00D40D85">
      <w:pPr>
        <w:tabs>
          <w:tab w:val="left" w:pos="0"/>
        </w:tabs>
        <w:jc w:val="both"/>
        <w:rPr>
          <w:sz w:val="24"/>
          <w:szCs w:val="24"/>
        </w:rPr>
      </w:pPr>
    </w:p>
    <w:p w:rsidR="008B3BC0" w:rsidRPr="00D40D85" w:rsidRDefault="008B3BC0" w:rsidP="00D40D85">
      <w:pPr>
        <w:tabs>
          <w:tab w:val="left" w:pos="0"/>
        </w:tabs>
        <w:jc w:val="both"/>
        <w:rPr>
          <w:sz w:val="24"/>
          <w:szCs w:val="24"/>
        </w:rPr>
      </w:pPr>
    </w:p>
    <w:p w:rsidR="008B3BC0" w:rsidRPr="00D40D85" w:rsidRDefault="008B3BC0" w:rsidP="00D40D85">
      <w:pPr>
        <w:tabs>
          <w:tab w:val="left" w:pos="0"/>
        </w:tabs>
        <w:jc w:val="both"/>
        <w:rPr>
          <w:sz w:val="24"/>
          <w:szCs w:val="24"/>
          <w:u w:val="single"/>
        </w:rPr>
      </w:pPr>
      <w:r w:rsidRPr="00D40D85">
        <w:rPr>
          <w:sz w:val="24"/>
          <w:szCs w:val="24"/>
        </w:rPr>
        <w:t xml:space="preserve">Date:  </w:t>
      </w:r>
      <w:r w:rsidR="00190DAA">
        <w:rPr>
          <w:sz w:val="24"/>
          <w:szCs w:val="24"/>
          <w:u w:val="single"/>
        </w:rPr>
        <w:t>April 16</w:t>
      </w:r>
      <w:r w:rsidRPr="00D40D85">
        <w:rPr>
          <w:sz w:val="24"/>
          <w:szCs w:val="24"/>
          <w:u w:val="single"/>
        </w:rPr>
        <w:t>, 2014</w:t>
      </w:r>
      <w:r w:rsidRPr="00D40D85">
        <w:rPr>
          <w:sz w:val="24"/>
          <w:szCs w:val="24"/>
        </w:rPr>
        <w:tab/>
      </w:r>
      <w:r w:rsidRPr="00D40D85">
        <w:rPr>
          <w:sz w:val="24"/>
          <w:szCs w:val="24"/>
        </w:rPr>
        <w:tab/>
      </w:r>
      <w:r w:rsidRPr="00D40D85">
        <w:rPr>
          <w:sz w:val="24"/>
          <w:szCs w:val="24"/>
        </w:rPr>
        <w:tab/>
      </w:r>
      <w:r w:rsidR="00190DAA">
        <w:rPr>
          <w:sz w:val="24"/>
          <w:szCs w:val="24"/>
        </w:rPr>
        <w:tab/>
      </w:r>
      <w:r w:rsidRPr="00D40D85">
        <w:rPr>
          <w:sz w:val="24"/>
          <w:szCs w:val="24"/>
        </w:rPr>
        <w:tab/>
      </w:r>
      <w:r w:rsidRPr="00D40D85">
        <w:rPr>
          <w:sz w:val="24"/>
          <w:szCs w:val="24"/>
          <w:u w:val="single"/>
        </w:rPr>
        <w:tab/>
      </w:r>
      <w:r w:rsidRPr="00D40D85">
        <w:rPr>
          <w:sz w:val="24"/>
          <w:szCs w:val="24"/>
          <w:u w:val="single"/>
        </w:rPr>
        <w:tab/>
        <w:t>/s/</w:t>
      </w:r>
      <w:r w:rsidRPr="00D40D85">
        <w:rPr>
          <w:sz w:val="24"/>
          <w:szCs w:val="24"/>
          <w:u w:val="single"/>
        </w:rPr>
        <w:tab/>
      </w:r>
      <w:r w:rsidRPr="00D40D85">
        <w:rPr>
          <w:sz w:val="24"/>
          <w:szCs w:val="24"/>
          <w:u w:val="single"/>
        </w:rPr>
        <w:tab/>
      </w:r>
      <w:r w:rsidRPr="00D40D85">
        <w:rPr>
          <w:sz w:val="24"/>
          <w:szCs w:val="24"/>
          <w:u w:val="single"/>
        </w:rPr>
        <w:tab/>
      </w:r>
    </w:p>
    <w:p w:rsidR="008B3BC0" w:rsidRPr="00D40D85" w:rsidRDefault="008B3BC0" w:rsidP="00D40D85">
      <w:pPr>
        <w:tabs>
          <w:tab w:val="left" w:pos="0"/>
        </w:tabs>
        <w:jc w:val="both"/>
        <w:rPr>
          <w:sz w:val="24"/>
          <w:szCs w:val="24"/>
        </w:rPr>
      </w:pPr>
      <w:r w:rsidRPr="00D40D85">
        <w:rPr>
          <w:sz w:val="24"/>
          <w:szCs w:val="24"/>
        </w:rPr>
        <w:tab/>
      </w:r>
      <w:r w:rsidRPr="00D40D85">
        <w:rPr>
          <w:sz w:val="24"/>
          <w:szCs w:val="24"/>
        </w:rPr>
        <w:tab/>
      </w:r>
      <w:r w:rsidRPr="00D40D85">
        <w:rPr>
          <w:sz w:val="24"/>
          <w:szCs w:val="24"/>
        </w:rPr>
        <w:tab/>
      </w:r>
      <w:r w:rsidRPr="00D40D85">
        <w:rPr>
          <w:sz w:val="24"/>
          <w:szCs w:val="24"/>
        </w:rPr>
        <w:tab/>
      </w:r>
      <w:r w:rsidRPr="00D40D85">
        <w:rPr>
          <w:sz w:val="24"/>
          <w:szCs w:val="24"/>
        </w:rPr>
        <w:tab/>
      </w:r>
      <w:r w:rsidRPr="00D40D85">
        <w:rPr>
          <w:sz w:val="24"/>
          <w:szCs w:val="24"/>
        </w:rPr>
        <w:tab/>
      </w:r>
      <w:r w:rsidRPr="00D40D85">
        <w:rPr>
          <w:sz w:val="24"/>
          <w:szCs w:val="24"/>
        </w:rPr>
        <w:tab/>
        <w:t>Mary D. Long</w:t>
      </w:r>
    </w:p>
    <w:p w:rsidR="008B3BC0" w:rsidRPr="00D40D85" w:rsidRDefault="008B3BC0" w:rsidP="00D40D85">
      <w:pPr>
        <w:tabs>
          <w:tab w:val="left" w:pos="0"/>
        </w:tabs>
        <w:jc w:val="both"/>
        <w:rPr>
          <w:sz w:val="24"/>
          <w:szCs w:val="24"/>
        </w:rPr>
      </w:pPr>
      <w:r w:rsidRPr="00D40D85">
        <w:rPr>
          <w:sz w:val="24"/>
          <w:szCs w:val="24"/>
        </w:rPr>
        <w:tab/>
      </w:r>
      <w:r w:rsidRPr="00D40D85">
        <w:rPr>
          <w:sz w:val="24"/>
          <w:szCs w:val="24"/>
        </w:rPr>
        <w:tab/>
      </w:r>
      <w:r w:rsidRPr="00D40D85">
        <w:rPr>
          <w:sz w:val="24"/>
          <w:szCs w:val="24"/>
        </w:rPr>
        <w:tab/>
      </w:r>
      <w:r w:rsidRPr="00D40D85">
        <w:rPr>
          <w:sz w:val="24"/>
          <w:szCs w:val="24"/>
        </w:rPr>
        <w:tab/>
      </w:r>
      <w:r w:rsidRPr="00D40D85">
        <w:rPr>
          <w:sz w:val="24"/>
          <w:szCs w:val="24"/>
        </w:rPr>
        <w:tab/>
      </w:r>
      <w:r w:rsidRPr="00D40D85">
        <w:rPr>
          <w:sz w:val="24"/>
          <w:szCs w:val="24"/>
        </w:rPr>
        <w:tab/>
      </w:r>
      <w:r w:rsidRPr="00D40D85">
        <w:rPr>
          <w:sz w:val="24"/>
          <w:szCs w:val="24"/>
        </w:rPr>
        <w:tab/>
        <w:t>Administrative Law Judge</w:t>
      </w:r>
    </w:p>
    <w:p w:rsidR="008B3BC0" w:rsidRPr="00D40D85" w:rsidRDefault="008B3BC0" w:rsidP="00D40D85">
      <w:pPr>
        <w:tabs>
          <w:tab w:val="left" w:pos="0"/>
        </w:tabs>
        <w:jc w:val="both"/>
        <w:rPr>
          <w:sz w:val="24"/>
          <w:szCs w:val="24"/>
        </w:rPr>
      </w:pPr>
    </w:p>
    <w:p w:rsidR="003E24DA" w:rsidRPr="00D40D85" w:rsidRDefault="003E24DA" w:rsidP="00D40D85">
      <w:pPr>
        <w:rPr>
          <w:sz w:val="24"/>
          <w:szCs w:val="24"/>
        </w:rPr>
      </w:pPr>
    </w:p>
    <w:p w:rsidR="008B3BC0" w:rsidRPr="00D40D85" w:rsidRDefault="008B3BC0" w:rsidP="00D40D85">
      <w:pPr>
        <w:rPr>
          <w:sz w:val="24"/>
          <w:szCs w:val="24"/>
        </w:rPr>
      </w:pPr>
    </w:p>
    <w:sectPr w:rsidR="008B3BC0" w:rsidRPr="00D40D85"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5" w:rsidRDefault="00380FA5">
      <w:r>
        <w:separator/>
      </w:r>
    </w:p>
  </w:endnote>
  <w:endnote w:type="continuationSeparator" w:id="0">
    <w:p w:rsidR="00380FA5" w:rsidRDefault="0038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504601">
        <w:pPr>
          <w:pStyle w:val="Footer"/>
          <w:jc w:val="center"/>
        </w:pPr>
        <w:r>
          <w:fldChar w:fldCharType="begin"/>
        </w:r>
        <w:r>
          <w:instrText xml:space="preserve"> PAGE   \* MERGEFORMAT </w:instrText>
        </w:r>
        <w:r>
          <w:fldChar w:fldCharType="separate"/>
        </w:r>
        <w:r w:rsidR="00A37AE8">
          <w:rPr>
            <w:noProof/>
          </w:rPr>
          <w:t>6</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5" w:rsidRDefault="00380FA5">
      <w:r>
        <w:separator/>
      </w:r>
    </w:p>
  </w:footnote>
  <w:footnote w:type="continuationSeparator" w:id="0">
    <w:p w:rsidR="00380FA5" w:rsidRDefault="00380FA5">
      <w:r>
        <w:continuationSeparator/>
      </w:r>
    </w:p>
  </w:footnote>
  <w:footnote w:id="1">
    <w:p w:rsidR="00C94409" w:rsidRDefault="00C94409" w:rsidP="00C94409">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701.</w:t>
      </w:r>
    </w:p>
    <w:p w:rsidR="00C94409" w:rsidRDefault="00C94409" w:rsidP="00C94409">
      <w:pPr>
        <w:pStyle w:val="FootnoteText"/>
      </w:pPr>
    </w:p>
  </w:footnote>
  <w:footnote w:id="2">
    <w:p w:rsidR="00C94409" w:rsidRDefault="00C94409" w:rsidP="00C94409">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332(a).</w:t>
      </w:r>
    </w:p>
    <w:p w:rsidR="00C94409" w:rsidRDefault="00C94409" w:rsidP="00C94409">
      <w:pPr>
        <w:pStyle w:val="FootnoteText"/>
      </w:pPr>
    </w:p>
  </w:footnote>
  <w:footnote w:id="3">
    <w:p w:rsidR="00C94409" w:rsidRDefault="00C94409" w:rsidP="00C94409">
      <w:pPr>
        <w:pStyle w:val="FootnoteText"/>
      </w:pPr>
      <w:r>
        <w:rPr>
          <w:rStyle w:val="FootnoteReference"/>
        </w:rPr>
        <w:footnoteRef/>
      </w:r>
      <w:r>
        <w:t xml:space="preserve"> </w:t>
      </w:r>
      <w:r>
        <w:tab/>
      </w:r>
      <w:proofErr w:type="gramStart"/>
      <w:r>
        <w:rPr>
          <w:i/>
        </w:rPr>
        <w:t>Se-Ling Hosiery, Inc. v. Margulies</w:t>
      </w:r>
      <w:r>
        <w:t xml:space="preserve">, 70 A.2d 854 (Pa. 1950); </w:t>
      </w:r>
      <w:r>
        <w:rPr>
          <w:i/>
        </w:rPr>
        <w:t>Feinstein v. Philadelphia Suburban Water Company</w:t>
      </w:r>
      <w:r>
        <w:t>, 50 Pa. PUC 300 (1976).</w:t>
      </w:r>
      <w:proofErr w:type="gramEnd"/>
    </w:p>
    <w:p w:rsidR="00C94409" w:rsidRDefault="00C94409" w:rsidP="00C94409">
      <w:pPr>
        <w:pStyle w:val="FootnoteText"/>
      </w:pPr>
    </w:p>
  </w:footnote>
  <w:footnote w:id="4">
    <w:p w:rsidR="00C94409" w:rsidRDefault="00C94409" w:rsidP="00C94409">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1529.1.</w:t>
      </w:r>
    </w:p>
    <w:p w:rsidR="00C94409" w:rsidRDefault="00C94409" w:rsidP="00C94409">
      <w:pPr>
        <w:pStyle w:val="FootnoteText"/>
      </w:pPr>
    </w:p>
  </w:footnote>
  <w:footnote w:id="5">
    <w:p w:rsidR="00C94409" w:rsidRDefault="00C94409" w:rsidP="00C94409">
      <w:pPr>
        <w:pStyle w:val="FootnoteText"/>
      </w:pPr>
      <w:r>
        <w:rPr>
          <w:rStyle w:val="FootnoteReference"/>
        </w:rPr>
        <w:footnoteRef/>
      </w:r>
      <w:r>
        <w:t xml:space="preserve">  </w:t>
      </w:r>
      <w:r>
        <w:tab/>
      </w:r>
      <w:proofErr w:type="gramStart"/>
      <w:r>
        <w:rPr>
          <w:i/>
        </w:rPr>
        <w:t>Kopf v. PECO Energy Company</w:t>
      </w:r>
      <w:r>
        <w:t>, PUC Docket No.</w:t>
      </w:r>
      <w:proofErr w:type="gramEnd"/>
      <w:r>
        <w:t xml:space="preserve"> </w:t>
      </w:r>
      <w:proofErr w:type="gramStart"/>
      <w:r>
        <w:t>C-2012-2332993 (Opinion and Order entered June 13, 2013), slip op</w:t>
      </w:r>
      <w:r w:rsidR="00A17F87">
        <w:t>.</w:t>
      </w:r>
      <w:r>
        <w:t xml:space="preserve"> at 9</w:t>
      </w:r>
      <w:r>
        <w:rPr>
          <w:sz w:val="26"/>
          <w:szCs w:val="26"/>
        </w:rPr>
        <w:t>.</w:t>
      </w:r>
      <w:proofErr w:type="gramEnd"/>
    </w:p>
  </w:footnote>
  <w:footnote w:id="6">
    <w:p w:rsidR="00C94409" w:rsidRDefault="00C94409" w:rsidP="00C94409">
      <w:pPr>
        <w:pStyle w:val="FootnoteText"/>
      </w:pPr>
      <w:r>
        <w:rPr>
          <w:rStyle w:val="FootnoteReference"/>
        </w:rPr>
        <w:footnoteRef/>
      </w:r>
      <w:r>
        <w:t xml:space="preserve">  </w:t>
      </w:r>
      <w:r>
        <w:tab/>
      </w:r>
      <w:r>
        <w:rPr>
          <w:i/>
        </w:rPr>
        <w:t>E.g. Kopf v. PECO Energy Company</w:t>
      </w:r>
      <w:r>
        <w:t xml:space="preserve">, PUC Docket No. C-2012-2332993 (Opinion and Order entered June 13, 2013) (the Commission does not have jurisdiction over disputes concerning the financial responsibilities of private parties); </w:t>
      </w:r>
      <w:proofErr w:type="spellStart"/>
      <w:r>
        <w:rPr>
          <w:i/>
        </w:rPr>
        <w:t>Corazzini</w:t>
      </w:r>
      <w:proofErr w:type="spellEnd"/>
      <w:r>
        <w:rPr>
          <w:i/>
        </w:rPr>
        <w:t xml:space="preserve"> v. UGI Penn National Gas Inc.,</w:t>
      </w:r>
      <w:r>
        <w:t xml:space="preserve"> PUC Docket No. F-2009-2101282 (Opinion an</w:t>
      </w:r>
      <w:r w:rsidR="00190DAA">
        <w:t>d Order entered July 16,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B7E7360"/>
    <w:multiLevelType w:val="hybridMultilevel"/>
    <w:tmpl w:val="054214C2"/>
    <w:lvl w:ilvl="0" w:tplc="177C3A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3564759C"/>
    <w:multiLevelType w:val="hybridMultilevel"/>
    <w:tmpl w:val="324630D8"/>
    <w:lvl w:ilvl="0" w:tplc="14BCE39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6">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85637B"/>
    <w:multiLevelType w:val="hybridMultilevel"/>
    <w:tmpl w:val="76EEEB96"/>
    <w:lvl w:ilvl="0" w:tplc="6DB4F5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num>
  <w:num w:numId="4">
    <w:abstractNumId w:val="0"/>
  </w:num>
  <w:num w:numId="5">
    <w:abstractNumId w:val="6"/>
  </w:num>
  <w:num w:numId="6">
    <w:abstractNumId w:val="6"/>
    <w:lvlOverride w:ilvl="0">
      <w:startOverride w:val="1"/>
    </w:lvlOverride>
  </w:num>
  <w:num w:numId="7">
    <w:abstractNumId w:val="7"/>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04120"/>
    <w:rsid w:val="0001497D"/>
    <w:rsid w:val="00076AB6"/>
    <w:rsid w:val="0008404B"/>
    <w:rsid w:val="000A46E8"/>
    <w:rsid w:val="000F718A"/>
    <w:rsid w:val="00143187"/>
    <w:rsid w:val="00143935"/>
    <w:rsid w:val="001601CE"/>
    <w:rsid w:val="001672D8"/>
    <w:rsid w:val="0017554E"/>
    <w:rsid w:val="001758F8"/>
    <w:rsid w:val="00177C1C"/>
    <w:rsid w:val="00190DAA"/>
    <w:rsid w:val="001932F7"/>
    <w:rsid w:val="001945B9"/>
    <w:rsid w:val="001A00E0"/>
    <w:rsid w:val="001A5484"/>
    <w:rsid w:val="001D7D3E"/>
    <w:rsid w:val="001E03C3"/>
    <w:rsid w:val="001E59B9"/>
    <w:rsid w:val="001F4423"/>
    <w:rsid w:val="001F59DC"/>
    <w:rsid w:val="00227AFE"/>
    <w:rsid w:val="002414B5"/>
    <w:rsid w:val="00247900"/>
    <w:rsid w:val="00256B89"/>
    <w:rsid w:val="0026268C"/>
    <w:rsid w:val="00273ABB"/>
    <w:rsid w:val="00275A24"/>
    <w:rsid w:val="00295472"/>
    <w:rsid w:val="00295C39"/>
    <w:rsid w:val="002C634C"/>
    <w:rsid w:val="002D5E29"/>
    <w:rsid w:val="003232B1"/>
    <w:rsid w:val="00332CA0"/>
    <w:rsid w:val="003612E1"/>
    <w:rsid w:val="003734B6"/>
    <w:rsid w:val="00376B71"/>
    <w:rsid w:val="00380FA5"/>
    <w:rsid w:val="00385D0E"/>
    <w:rsid w:val="003C150F"/>
    <w:rsid w:val="003C5118"/>
    <w:rsid w:val="003D6CD2"/>
    <w:rsid w:val="003E24DA"/>
    <w:rsid w:val="003E5850"/>
    <w:rsid w:val="003F0A00"/>
    <w:rsid w:val="004024E6"/>
    <w:rsid w:val="00412B85"/>
    <w:rsid w:val="0044702F"/>
    <w:rsid w:val="004540E1"/>
    <w:rsid w:val="0047386A"/>
    <w:rsid w:val="0049263C"/>
    <w:rsid w:val="004D0318"/>
    <w:rsid w:val="004D22DE"/>
    <w:rsid w:val="004E15BC"/>
    <w:rsid w:val="004E2FC1"/>
    <w:rsid w:val="004E477C"/>
    <w:rsid w:val="00504601"/>
    <w:rsid w:val="0051419B"/>
    <w:rsid w:val="00560DC5"/>
    <w:rsid w:val="005B23DD"/>
    <w:rsid w:val="005D41E2"/>
    <w:rsid w:val="005F60D5"/>
    <w:rsid w:val="00616436"/>
    <w:rsid w:val="006226F3"/>
    <w:rsid w:val="00627A84"/>
    <w:rsid w:val="00627E74"/>
    <w:rsid w:val="00631A6B"/>
    <w:rsid w:val="00640B19"/>
    <w:rsid w:val="00644991"/>
    <w:rsid w:val="00652CA9"/>
    <w:rsid w:val="006610FB"/>
    <w:rsid w:val="00664869"/>
    <w:rsid w:val="006675F1"/>
    <w:rsid w:val="00671FD6"/>
    <w:rsid w:val="0067466A"/>
    <w:rsid w:val="006754D0"/>
    <w:rsid w:val="00687145"/>
    <w:rsid w:val="006A3C35"/>
    <w:rsid w:val="006E2126"/>
    <w:rsid w:val="00706B87"/>
    <w:rsid w:val="00716876"/>
    <w:rsid w:val="007245C7"/>
    <w:rsid w:val="00740950"/>
    <w:rsid w:val="007539C9"/>
    <w:rsid w:val="007932DC"/>
    <w:rsid w:val="007C0A7A"/>
    <w:rsid w:val="007C6E31"/>
    <w:rsid w:val="007D3F4A"/>
    <w:rsid w:val="007E2C68"/>
    <w:rsid w:val="00803B70"/>
    <w:rsid w:val="0080557F"/>
    <w:rsid w:val="0081430B"/>
    <w:rsid w:val="0082264A"/>
    <w:rsid w:val="00834241"/>
    <w:rsid w:val="00844F99"/>
    <w:rsid w:val="00845FB1"/>
    <w:rsid w:val="00862A4A"/>
    <w:rsid w:val="00890D5D"/>
    <w:rsid w:val="008B3BC0"/>
    <w:rsid w:val="008C3295"/>
    <w:rsid w:val="008D4576"/>
    <w:rsid w:val="008D47D2"/>
    <w:rsid w:val="008D6D8C"/>
    <w:rsid w:val="00950F37"/>
    <w:rsid w:val="00951A34"/>
    <w:rsid w:val="0098034A"/>
    <w:rsid w:val="009A091E"/>
    <w:rsid w:val="009A7B6A"/>
    <w:rsid w:val="009B2DA0"/>
    <w:rsid w:val="009D1A7F"/>
    <w:rsid w:val="00A0308D"/>
    <w:rsid w:val="00A07880"/>
    <w:rsid w:val="00A13B55"/>
    <w:rsid w:val="00A17F87"/>
    <w:rsid w:val="00A2086A"/>
    <w:rsid w:val="00A35024"/>
    <w:rsid w:val="00A37016"/>
    <w:rsid w:val="00A37AE8"/>
    <w:rsid w:val="00A602D7"/>
    <w:rsid w:val="00A70419"/>
    <w:rsid w:val="00A73453"/>
    <w:rsid w:val="00A73D2F"/>
    <w:rsid w:val="00AB460E"/>
    <w:rsid w:val="00AC540C"/>
    <w:rsid w:val="00AD0EFA"/>
    <w:rsid w:val="00AD2889"/>
    <w:rsid w:val="00AE74A6"/>
    <w:rsid w:val="00AF6897"/>
    <w:rsid w:val="00B04455"/>
    <w:rsid w:val="00B05F72"/>
    <w:rsid w:val="00B27AAA"/>
    <w:rsid w:val="00B5127B"/>
    <w:rsid w:val="00B51BB3"/>
    <w:rsid w:val="00B56A3E"/>
    <w:rsid w:val="00B64556"/>
    <w:rsid w:val="00B66296"/>
    <w:rsid w:val="00B969A6"/>
    <w:rsid w:val="00BA39E1"/>
    <w:rsid w:val="00BD0DF4"/>
    <w:rsid w:val="00BD12B4"/>
    <w:rsid w:val="00BD42BA"/>
    <w:rsid w:val="00BF4B6C"/>
    <w:rsid w:val="00C01328"/>
    <w:rsid w:val="00C07EAD"/>
    <w:rsid w:val="00C1344F"/>
    <w:rsid w:val="00C262F7"/>
    <w:rsid w:val="00C35505"/>
    <w:rsid w:val="00C43D5E"/>
    <w:rsid w:val="00C57E07"/>
    <w:rsid w:val="00C606BF"/>
    <w:rsid w:val="00C666FF"/>
    <w:rsid w:val="00C80DEC"/>
    <w:rsid w:val="00C828D6"/>
    <w:rsid w:val="00C837A6"/>
    <w:rsid w:val="00C84E88"/>
    <w:rsid w:val="00C86EBF"/>
    <w:rsid w:val="00C94409"/>
    <w:rsid w:val="00CA17C0"/>
    <w:rsid w:val="00CB077E"/>
    <w:rsid w:val="00CD44B0"/>
    <w:rsid w:val="00CD683D"/>
    <w:rsid w:val="00D21FF1"/>
    <w:rsid w:val="00D40D85"/>
    <w:rsid w:val="00D418BF"/>
    <w:rsid w:val="00D64EDE"/>
    <w:rsid w:val="00D64EFD"/>
    <w:rsid w:val="00D709D1"/>
    <w:rsid w:val="00D93E5C"/>
    <w:rsid w:val="00DA0FE3"/>
    <w:rsid w:val="00DC3080"/>
    <w:rsid w:val="00DC5EFA"/>
    <w:rsid w:val="00DE7C21"/>
    <w:rsid w:val="00E07CE7"/>
    <w:rsid w:val="00E42AC8"/>
    <w:rsid w:val="00E622C4"/>
    <w:rsid w:val="00E653F8"/>
    <w:rsid w:val="00E80E10"/>
    <w:rsid w:val="00E9168E"/>
    <w:rsid w:val="00E93582"/>
    <w:rsid w:val="00EC6E1E"/>
    <w:rsid w:val="00EF1478"/>
    <w:rsid w:val="00EF3C29"/>
    <w:rsid w:val="00F10391"/>
    <w:rsid w:val="00F10D22"/>
    <w:rsid w:val="00F1524F"/>
    <w:rsid w:val="00F4404F"/>
    <w:rsid w:val="00F45549"/>
    <w:rsid w:val="00F46B96"/>
    <w:rsid w:val="00F66E07"/>
    <w:rsid w:val="00F70414"/>
    <w:rsid w:val="00F81FDE"/>
    <w:rsid w:val="00FA52E1"/>
    <w:rsid w:val="00FA7354"/>
    <w:rsid w:val="00FC0452"/>
    <w:rsid w:val="00FC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295C39"/>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styleId="BalloonText">
    <w:name w:val="Balloon Text"/>
    <w:basedOn w:val="Normal"/>
    <w:link w:val="BalloonTextChar"/>
    <w:rsid w:val="00A2086A"/>
    <w:rPr>
      <w:rFonts w:ascii="Tahoma" w:hAnsi="Tahoma" w:cs="Tahoma"/>
      <w:sz w:val="16"/>
      <w:szCs w:val="16"/>
    </w:rPr>
  </w:style>
  <w:style w:type="character" w:customStyle="1" w:styleId="BalloonTextChar">
    <w:name w:val="Balloon Text Char"/>
    <w:basedOn w:val="DefaultParagraphFont"/>
    <w:link w:val="BalloonText"/>
    <w:rsid w:val="00A208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295C39"/>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styleId="BalloonText">
    <w:name w:val="Balloon Text"/>
    <w:basedOn w:val="Normal"/>
    <w:link w:val="BalloonTextChar"/>
    <w:rsid w:val="00A2086A"/>
    <w:rPr>
      <w:rFonts w:ascii="Tahoma" w:hAnsi="Tahoma" w:cs="Tahoma"/>
      <w:sz w:val="16"/>
      <w:szCs w:val="16"/>
    </w:rPr>
  </w:style>
  <w:style w:type="character" w:customStyle="1" w:styleId="BalloonTextChar">
    <w:name w:val="Balloon Text Char"/>
    <w:basedOn w:val="DefaultParagraphFont"/>
    <w:link w:val="BalloonText"/>
    <w:rsid w:val="00A20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661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464D7-392B-41EF-BC46-B60468D0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13</cp:revision>
  <cp:lastPrinted>2014-04-21T18:46:00Z</cp:lastPrinted>
  <dcterms:created xsi:type="dcterms:W3CDTF">2014-04-21T18:40:00Z</dcterms:created>
  <dcterms:modified xsi:type="dcterms:W3CDTF">2014-04-21T18:47:00Z</dcterms:modified>
</cp:coreProperties>
</file>