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D24" w:rsidRPr="005D68C7" w:rsidRDefault="00053D24" w:rsidP="00DA18F7">
      <w:pPr>
        <w:tabs>
          <w:tab w:val="center" w:pos="4680"/>
        </w:tabs>
        <w:suppressAutoHyphens/>
        <w:spacing w:line="240" w:lineRule="auto"/>
        <w:ind w:firstLine="0"/>
        <w:jc w:val="center"/>
        <w:rPr>
          <w:b/>
          <w:bCs/>
          <w:spacing w:val="-3"/>
        </w:rPr>
      </w:pPr>
      <w:bookmarkStart w:id="0" w:name="_GoBack"/>
      <w:bookmarkEnd w:id="0"/>
      <w:r w:rsidRPr="005D68C7">
        <w:rPr>
          <w:b/>
          <w:bCs/>
          <w:spacing w:val="-3"/>
        </w:rPr>
        <w:t>BEFORE THE</w:t>
      </w:r>
    </w:p>
    <w:p w:rsidR="00053D24" w:rsidRPr="005D68C7" w:rsidRDefault="00053D24" w:rsidP="00DA18F7">
      <w:pPr>
        <w:tabs>
          <w:tab w:val="center" w:pos="4680"/>
        </w:tabs>
        <w:suppressAutoHyphens/>
        <w:spacing w:line="240" w:lineRule="auto"/>
        <w:ind w:firstLine="0"/>
        <w:jc w:val="center"/>
        <w:rPr>
          <w:b/>
          <w:bCs/>
          <w:spacing w:val="-3"/>
        </w:rPr>
      </w:pPr>
      <w:r w:rsidRPr="005D68C7">
        <w:rPr>
          <w:b/>
          <w:bCs/>
          <w:spacing w:val="-3"/>
        </w:rPr>
        <w:t>PENNSYLVANIA PUBLIC UTILITY COMMISSION</w:t>
      </w:r>
    </w:p>
    <w:p w:rsidR="003D1C18" w:rsidRPr="005D68C7" w:rsidRDefault="003D1C18" w:rsidP="005D68C7">
      <w:pPr>
        <w:tabs>
          <w:tab w:val="center" w:pos="4680"/>
        </w:tabs>
        <w:suppressAutoHyphens/>
        <w:spacing w:line="240" w:lineRule="auto"/>
        <w:ind w:firstLine="0"/>
        <w:jc w:val="center"/>
        <w:rPr>
          <w:bCs/>
          <w:spacing w:val="-3"/>
        </w:rPr>
      </w:pPr>
    </w:p>
    <w:p w:rsidR="003D1C18" w:rsidRPr="005D68C7" w:rsidRDefault="003D1C18" w:rsidP="00DA18F7">
      <w:pPr>
        <w:tabs>
          <w:tab w:val="center" w:pos="4680"/>
        </w:tabs>
        <w:suppressAutoHyphens/>
        <w:spacing w:line="240" w:lineRule="auto"/>
        <w:ind w:firstLine="0"/>
        <w:jc w:val="center"/>
        <w:rPr>
          <w:bCs/>
          <w:spacing w:val="-3"/>
        </w:rPr>
      </w:pPr>
    </w:p>
    <w:p w:rsidR="003D1C18" w:rsidRPr="005D68C7" w:rsidRDefault="003D1C18" w:rsidP="00DA18F7">
      <w:pPr>
        <w:tabs>
          <w:tab w:val="center" w:pos="4680"/>
        </w:tabs>
        <w:suppressAutoHyphens/>
        <w:spacing w:line="240" w:lineRule="auto"/>
        <w:ind w:firstLine="0"/>
        <w:jc w:val="center"/>
        <w:rPr>
          <w:bCs/>
          <w:spacing w:val="-3"/>
        </w:rPr>
      </w:pPr>
    </w:p>
    <w:p w:rsidR="00053D24" w:rsidRPr="005D68C7" w:rsidRDefault="00A82ABC" w:rsidP="005D68C7">
      <w:pPr>
        <w:tabs>
          <w:tab w:val="left" w:pos="-1440"/>
          <w:tab w:val="left" w:pos="-720"/>
        </w:tabs>
        <w:suppressAutoHyphens/>
        <w:spacing w:line="240" w:lineRule="auto"/>
        <w:ind w:firstLine="0"/>
        <w:rPr>
          <w:spacing w:val="-3"/>
        </w:rPr>
      </w:pPr>
      <w:r w:rsidRPr="005D68C7">
        <w:rPr>
          <w:spacing w:val="-3"/>
        </w:rPr>
        <w:t>Vanessa Kull</w:t>
      </w:r>
      <w:r w:rsidRPr="005D68C7">
        <w:rPr>
          <w:spacing w:val="-3"/>
        </w:rPr>
        <w:tab/>
      </w:r>
      <w:r w:rsidR="00986149" w:rsidRPr="005D68C7">
        <w:rPr>
          <w:spacing w:val="-3"/>
        </w:rPr>
        <w:tab/>
      </w:r>
      <w:r w:rsidR="00986149" w:rsidRPr="005D68C7">
        <w:rPr>
          <w:spacing w:val="-3"/>
        </w:rPr>
        <w:tab/>
      </w:r>
      <w:r w:rsidR="00986149" w:rsidRPr="005D68C7">
        <w:rPr>
          <w:spacing w:val="-3"/>
        </w:rPr>
        <w:tab/>
      </w:r>
      <w:r w:rsidR="00986149" w:rsidRPr="005D68C7">
        <w:rPr>
          <w:spacing w:val="-3"/>
        </w:rPr>
        <w:tab/>
      </w:r>
      <w:r w:rsidR="00986149" w:rsidRPr="005D68C7">
        <w:rPr>
          <w:spacing w:val="-3"/>
        </w:rPr>
        <w:tab/>
        <w:t>:</w:t>
      </w:r>
    </w:p>
    <w:p w:rsidR="00053D24" w:rsidRPr="005D68C7" w:rsidRDefault="00053D24" w:rsidP="005D68C7">
      <w:pPr>
        <w:tabs>
          <w:tab w:val="left" w:pos="-1440"/>
          <w:tab w:val="left" w:pos="-720"/>
        </w:tabs>
        <w:suppressAutoHyphens/>
        <w:spacing w:line="240" w:lineRule="auto"/>
        <w:ind w:firstLine="0"/>
        <w:rPr>
          <w:spacing w:val="-3"/>
        </w:rPr>
      </w:pPr>
      <w:r w:rsidRPr="005D68C7">
        <w:rPr>
          <w:spacing w:val="-3"/>
        </w:rPr>
        <w:tab/>
      </w:r>
      <w:r w:rsidRPr="005D68C7">
        <w:rPr>
          <w:spacing w:val="-3"/>
        </w:rPr>
        <w:tab/>
      </w:r>
      <w:r w:rsidRPr="005D68C7">
        <w:rPr>
          <w:spacing w:val="-3"/>
        </w:rPr>
        <w:tab/>
      </w:r>
      <w:r w:rsidRPr="005D68C7">
        <w:rPr>
          <w:spacing w:val="-3"/>
        </w:rPr>
        <w:tab/>
      </w:r>
      <w:r w:rsidRPr="005D68C7">
        <w:rPr>
          <w:spacing w:val="-3"/>
        </w:rPr>
        <w:tab/>
      </w:r>
      <w:r w:rsidRPr="005D68C7">
        <w:rPr>
          <w:spacing w:val="-3"/>
        </w:rPr>
        <w:tab/>
      </w:r>
      <w:r w:rsidR="00FC0BDA" w:rsidRPr="005D68C7">
        <w:rPr>
          <w:spacing w:val="-3"/>
        </w:rPr>
        <w:tab/>
      </w:r>
      <w:r w:rsidRPr="005D68C7">
        <w:rPr>
          <w:spacing w:val="-3"/>
        </w:rPr>
        <w:t>:</w:t>
      </w:r>
    </w:p>
    <w:p w:rsidR="00053D24" w:rsidRPr="005D68C7" w:rsidRDefault="00053D24" w:rsidP="005D68C7">
      <w:pPr>
        <w:tabs>
          <w:tab w:val="left" w:pos="-1440"/>
          <w:tab w:val="left" w:pos="-720"/>
        </w:tabs>
        <w:suppressAutoHyphens/>
        <w:spacing w:line="240" w:lineRule="auto"/>
        <w:ind w:firstLine="0"/>
        <w:rPr>
          <w:spacing w:val="-3"/>
        </w:rPr>
      </w:pPr>
      <w:r w:rsidRPr="005D68C7">
        <w:rPr>
          <w:spacing w:val="-3"/>
        </w:rPr>
        <w:tab/>
        <w:t>v.</w:t>
      </w:r>
      <w:r w:rsidRPr="005D68C7">
        <w:rPr>
          <w:spacing w:val="-3"/>
        </w:rPr>
        <w:tab/>
      </w:r>
      <w:r w:rsidRPr="005D68C7">
        <w:rPr>
          <w:spacing w:val="-3"/>
        </w:rPr>
        <w:tab/>
      </w:r>
      <w:r w:rsidRPr="005D68C7">
        <w:rPr>
          <w:spacing w:val="-3"/>
        </w:rPr>
        <w:tab/>
      </w:r>
      <w:r w:rsidRPr="005D68C7">
        <w:rPr>
          <w:spacing w:val="-3"/>
        </w:rPr>
        <w:tab/>
      </w:r>
      <w:r w:rsidRPr="005D68C7">
        <w:rPr>
          <w:spacing w:val="-3"/>
        </w:rPr>
        <w:tab/>
      </w:r>
      <w:r w:rsidR="00FC0BDA" w:rsidRPr="005D68C7">
        <w:rPr>
          <w:spacing w:val="-3"/>
        </w:rPr>
        <w:tab/>
      </w:r>
      <w:r w:rsidRPr="005D68C7">
        <w:rPr>
          <w:spacing w:val="-3"/>
        </w:rPr>
        <w:t>:</w:t>
      </w:r>
      <w:r w:rsidR="003D1C18" w:rsidRPr="005D68C7">
        <w:rPr>
          <w:spacing w:val="-3"/>
        </w:rPr>
        <w:tab/>
      </w:r>
      <w:r w:rsidR="003D1C18" w:rsidRPr="005D68C7">
        <w:rPr>
          <w:spacing w:val="-3"/>
        </w:rPr>
        <w:tab/>
      </w:r>
      <w:r w:rsidR="00A82ABC" w:rsidRPr="005D68C7">
        <w:rPr>
          <w:spacing w:val="-3"/>
        </w:rPr>
        <w:t>C</w:t>
      </w:r>
      <w:r w:rsidR="003F47DD" w:rsidRPr="005D68C7">
        <w:rPr>
          <w:spacing w:val="-3"/>
        </w:rPr>
        <w:t>-201</w:t>
      </w:r>
      <w:r w:rsidR="00A82ABC" w:rsidRPr="005D68C7">
        <w:rPr>
          <w:spacing w:val="-3"/>
        </w:rPr>
        <w:t>3</w:t>
      </w:r>
      <w:r w:rsidR="003F47DD" w:rsidRPr="005D68C7">
        <w:rPr>
          <w:spacing w:val="-3"/>
        </w:rPr>
        <w:t>-</w:t>
      </w:r>
      <w:r w:rsidR="00A82ABC" w:rsidRPr="005D68C7">
        <w:rPr>
          <w:spacing w:val="-3"/>
        </w:rPr>
        <w:t>2379510</w:t>
      </w:r>
    </w:p>
    <w:p w:rsidR="00053D24" w:rsidRPr="005D68C7" w:rsidRDefault="00053D24" w:rsidP="005D68C7">
      <w:pPr>
        <w:tabs>
          <w:tab w:val="left" w:pos="-1440"/>
          <w:tab w:val="left" w:pos="-720"/>
        </w:tabs>
        <w:suppressAutoHyphens/>
        <w:spacing w:line="240" w:lineRule="auto"/>
        <w:ind w:firstLine="0"/>
        <w:rPr>
          <w:spacing w:val="-3"/>
        </w:rPr>
      </w:pPr>
      <w:r w:rsidRPr="005D68C7">
        <w:rPr>
          <w:spacing w:val="-3"/>
        </w:rPr>
        <w:tab/>
      </w:r>
      <w:r w:rsidRPr="005D68C7">
        <w:rPr>
          <w:spacing w:val="-3"/>
        </w:rPr>
        <w:tab/>
      </w:r>
      <w:r w:rsidRPr="005D68C7">
        <w:rPr>
          <w:spacing w:val="-3"/>
        </w:rPr>
        <w:tab/>
      </w:r>
      <w:r w:rsidRPr="005D68C7">
        <w:rPr>
          <w:spacing w:val="-3"/>
        </w:rPr>
        <w:tab/>
      </w:r>
      <w:r w:rsidRPr="005D68C7">
        <w:rPr>
          <w:spacing w:val="-3"/>
        </w:rPr>
        <w:tab/>
      </w:r>
      <w:r w:rsidRPr="005D68C7">
        <w:rPr>
          <w:spacing w:val="-3"/>
        </w:rPr>
        <w:tab/>
      </w:r>
      <w:r w:rsidR="00FC0BDA" w:rsidRPr="005D68C7">
        <w:rPr>
          <w:spacing w:val="-3"/>
        </w:rPr>
        <w:tab/>
      </w:r>
      <w:r w:rsidRPr="005D68C7">
        <w:rPr>
          <w:spacing w:val="-3"/>
        </w:rPr>
        <w:t>:</w:t>
      </w:r>
    </w:p>
    <w:p w:rsidR="00053D24" w:rsidRPr="005D68C7" w:rsidRDefault="00A82ABC" w:rsidP="005D68C7">
      <w:pPr>
        <w:tabs>
          <w:tab w:val="left" w:pos="-1440"/>
          <w:tab w:val="left" w:pos="-720"/>
        </w:tabs>
        <w:suppressAutoHyphens/>
        <w:spacing w:line="240" w:lineRule="auto"/>
        <w:ind w:firstLine="0"/>
        <w:rPr>
          <w:spacing w:val="-3"/>
        </w:rPr>
      </w:pPr>
      <w:r w:rsidRPr="005D68C7">
        <w:rPr>
          <w:spacing w:val="-3"/>
        </w:rPr>
        <w:t>Philadelphia Gas Works</w:t>
      </w:r>
      <w:r w:rsidR="003F47DD" w:rsidRPr="005D68C7">
        <w:rPr>
          <w:spacing w:val="-3"/>
        </w:rPr>
        <w:tab/>
      </w:r>
      <w:r w:rsidR="003F47DD" w:rsidRPr="005D68C7">
        <w:rPr>
          <w:spacing w:val="-3"/>
        </w:rPr>
        <w:tab/>
      </w:r>
      <w:r w:rsidR="00B04177" w:rsidRPr="005D68C7">
        <w:rPr>
          <w:spacing w:val="-3"/>
        </w:rPr>
        <w:tab/>
      </w:r>
      <w:r w:rsidR="00B04177" w:rsidRPr="005D68C7">
        <w:rPr>
          <w:spacing w:val="-3"/>
        </w:rPr>
        <w:tab/>
      </w:r>
      <w:r w:rsidR="00ED2987" w:rsidRPr="005D68C7">
        <w:rPr>
          <w:spacing w:val="-3"/>
        </w:rPr>
        <w:t>:</w:t>
      </w:r>
    </w:p>
    <w:p w:rsidR="003D1C18" w:rsidRPr="005D68C7" w:rsidRDefault="003D1C18" w:rsidP="005D68C7">
      <w:pPr>
        <w:tabs>
          <w:tab w:val="left" w:pos="-1440"/>
          <w:tab w:val="left" w:pos="-720"/>
        </w:tabs>
        <w:suppressAutoHyphens/>
        <w:spacing w:line="240" w:lineRule="auto"/>
        <w:ind w:firstLine="0"/>
        <w:rPr>
          <w:spacing w:val="-3"/>
        </w:rPr>
      </w:pPr>
    </w:p>
    <w:p w:rsidR="003D1C18" w:rsidRPr="005D68C7" w:rsidRDefault="003D1C18" w:rsidP="00C04C8C">
      <w:pPr>
        <w:tabs>
          <w:tab w:val="left" w:pos="-1440"/>
          <w:tab w:val="left" w:pos="-720"/>
        </w:tabs>
        <w:suppressAutoHyphens/>
        <w:spacing w:line="240" w:lineRule="auto"/>
        <w:ind w:firstLine="0"/>
        <w:rPr>
          <w:spacing w:val="-3"/>
        </w:rPr>
      </w:pPr>
    </w:p>
    <w:p w:rsidR="003D1C18" w:rsidRPr="005D68C7" w:rsidRDefault="003D1C18" w:rsidP="00C04C8C">
      <w:pPr>
        <w:tabs>
          <w:tab w:val="left" w:pos="-1440"/>
          <w:tab w:val="left" w:pos="-720"/>
        </w:tabs>
        <w:suppressAutoHyphens/>
        <w:spacing w:line="240" w:lineRule="auto"/>
        <w:ind w:firstLine="0"/>
        <w:rPr>
          <w:spacing w:val="-3"/>
        </w:rPr>
      </w:pPr>
    </w:p>
    <w:p w:rsidR="00053D24" w:rsidRPr="005D68C7" w:rsidRDefault="00053D24" w:rsidP="00907EE2">
      <w:pPr>
        <w:tabs>
          <w:tab w:val="center" w:pos="4680"/>
        </w:tabs>
        <w:suppressAutoHyphens/>
        <w:spacing w:line="240" w:lineRule="auto"/>
        <w:ind w:firstLine="0"/>
        <w:jc w:val="center"/>
        <w:rPr>
          <w:b/>
          <w:bCs/>
          <w:spacing w:val="-3"/>
          <w:u w:val="single"/>
        </w:rPr>
      </w:pPr>
      <w:r w:rsidRPr="005D68C7">
        <w:rPr>
          <w:b/>
          <w:bCs/>
          <w:spacing w:val="-3"/>
          <w:u w:val="single"/>
        </w:rPr>
        <w:t>INITIAL DECISION</w:t>
      </w:r>
    </w:p>
    <w:p w:rsidR="003D1C18" w:rsidRPr="005D68C7" w:rsidRDefault="003D1C18" w:rsidP="005D68C7">
      <w:pPr>
        <w:tabs>
          <w:tab w:val="center" w:pos="4680"/>
        </w:tabs>
        <w:suppressAutoHyphens/>
        <w:spacing w:line="240" w:lineRule="auto"/>
        <w:ind w:firstLine="0"/>
        <w:jc w:val="center"/>
        <w:rPr>
          <w:bCs/>
          <w:spacing w:val="-3"/>
        </w:rPr>
      </w:pPr>
    </w:p>
    <w:p w:rsidR="003D1C18" w:rsidRPr="005D68C7" w:rsidRDefault="003D1C18" w:rsidP="00907EE2">
      <w:pPr>
        <w:tabs>
          <w:tab w:val="center" w:pos="4680"/>
        </w:tabs>
        <w:suppressAutoHyphens/>
        <w:spacing w:line="240" w:lineRule="auto"/>
        <w:ind w:firstLine="0"/>
        <w:jc w:val="center"/>
        <w:rPr>
          <w:bCs/>
          <w:spacing w:val="-3"/>
        </w:rPr>
      </w:pPr>
    </w:p>
    <w:p w:rsidR="00053D24" w:rsidRPr="005D68C7" w:rsidRDefault="00053D24" w:rsidP="00907EE2">
      <w:pPr>
        <w:tabs>
          <w:tab w:val="center" w:pos="4680"/>
        </w:tabs>
        <w:suppressAutoHyphens/>
        <w:spacing w:line="240" w:lineRule="auto"/>
        <w:ind w:firstLine="0"/>
        <w:jc w:val="center"/>
        <w:rPr>
          <w:spacing w:val="-3"/>
        </w:rPr>
      </w:pPr>
      <w:r w:rsidRPr="005D68C7">
        <w:rPr>
          <w:spacing w:val="-3"/>
        </w:rPr>
        <w:t>Before</w:t>
      </w:r>
    </w:p>
    <w:p w:rsidR="00053D24" w:rsidRPr="005D68C7" w:rsidRDefault="00A82ABC" w:rsidP="00907EE2">
      <w:pPr>
        <w:tabs>
          <w:tab w:val="center" w:pos="4680"/>
        </w:tabs>
        <w:suppressAutoHyphens/>
        <w:spacing w:line="240" w:lineRule="auto"/>
        <w:ind w:firstLine="0"/>
        <w:jc w:val="center"/>
        <w:rPr>
          <w:spacing w:val="-3"/>
        </w:rPr>
      </w:pPr>
      <w:r w:rsidRPr="005D68C7">
        <w:rPr>
          <w:spacing w:val="-3"/>
        </w:rPr>
        <w:t>Elizabeth H. Barnes</w:t>
      </w:r>
    </w:p>
    <w:p w:rsidR="00053D24" w:rsidRPr="005D68C7" w:rsidRDefault="00053D24" w:rsidP="00907EE2">
      <w:pPr>
        <w:tabs>
          <w:tab w:val="center" w:pos="4680"/>
        </w:tabs>
        <w:suppressAutoHyphens/>
        <w:spacing w:line="240" w:lineRule="auto"/>
        <w:ind w:firstLine="0"/>
        <w:jc w:val="center"/>
        <w:rPr>
          <w:spacing w:val="-3"/>
        </w:rPr>
      </w:pPr>
      <w:r w:rsidRPr="005D68C7">
        <w:rPr>
          <w:spacing w:val="-3"/>
        </w:rPr>
        <w:t>Administrative Law Judge</w:t>
      </w:r>
    </w:p>
    <w:p w:rsidR="003D1C18" w:rsidRPr="005D68C7" w:rsidRDefault="003D1C18" w:rsidP="005D68C7">
      <w:pPr>
        <w:tabs>
          <w:tab w:val="center" w:pos="4680"/>
        </w:tabs>
        <w:suppressAutoHyphens/>
        <w:spacing w:line="240" w:lineRule="auto"/>
        <w:ind w:firstLine="0"/>
        <w:jc w:val="center"/>
        <w:rPr>
          <w:spacing w:val="-3"/>
        </w:rPr>
      </w:pPr>
    </w:p>
    <w:p w:rsidR="003D1C18" w:rsidRPr="005D68C7" w:rsidRDefault="003D1C18" w:rsidP="00907EE2">
      <w:pPr>
        <w:tabs>
          <w:tab w:val="center" w:pos="4680"/>
        </w:tabs>
        <w:suppressAutoHyphens/>
        <w:spacing w:line="240" w:lineRule="auto"/>
        <w:ind w:firstLine="0"/>
        <w:jc w:val="center"/>
        <w:rPr>
          <w:spacing w:val="-3"/>
        </w:rPr>
      </w:pPr>
    </w:p>
    <w:p w:rsidR="00053D24" w:rsidRPr="005D68C7" w:rsidRDefault="00053D24" w:rsidP="00907EE2">
      <w:pPr>
        <w:tabs>
          <w:tab w:val="center" w:pos="4680"/>
        </w:tabs>
        <w:suppressAutoHyphens/>
        <w:spacing w:line="240" w:lineRule="auto"/>
        <w:ind w:firstLine="0"/>
        <w:jc w:val="center"/>
        <w:rPr>
          <w:spacing w:val="-3"/>
          <w:u w:val="single"/>
        </w:rPr>
      </w:pPr>
      <w:r w:rsidRPr="005D68C7">
        <w:rPr>
          <w:spacing w:val="-3"/>
          <w:u w:val="single"/>
        </w:rPr>
        <w:t>HISTORY OF THE PROCEEDING</w:t>
      </w:r>
    </w:p>
    <w:p w:rsidR="003D1C18" w:rsidRPr="005D68C7" w:rsidRDefault="003D1C18" w:rsidP="005D68C7">
      <w:pPr>
        <w:tabs>
          <w:tab w:val="center" w:pos="4680"/>
        </w:tabs>
        <w:suppressAutoHyphens/>
        <w:spacing w:line="240" w:lineRule="auto"/>
        <w:ind w:firstLine="0"/>
        <w:jc w:val="center"/>
        <w:rPr>
          <w:spacing w:val="-3"/>
        </w:rPr>
      </w:pPr>
    </w:p>
    <w:p w:rsidR="003D1C18" w:rsidRPr="005D68C7" w:rsidRDefault="003D1C18" w:rsidP="005D68C7">
      <w:pPr>
        <w:tabs>
          <w:tab w:val="center" w:pos="4680"/>
        </w:tabs>
        <w:suppressAutoHyphens/>
        <w:spacing w:line="240" w:lineRule="auto"/>
        <w:ind w:firstLine="0"/>
        <w:jc w:val="center"/>
        <w:rPr>
          <w:spacing w:val="-3"/>
        </w:rPr>
      </w:pPr>
    </w:p>
    <w:p w:rsidR="00311F02" w:rsidRPr="005D68C7" w:rsidRDefault="00053D24" w:rsidP="005D68C7">
      <w:pPr>
        <w:tabs>
          <w:tab w:val="left" w:pos="-1440"/>
          <w:tab w:val="left" w:pos="-720"/>
        </w:tabs>
        <w:suppressAutoHyphens/>
        <w:rPr>
          <w:spacing w:val="-3"/>
        </w:rPr>
      </w:pPr>
      <w:r w:rsidRPr="005D68C7">
        <w:rPr>
          <w:spacing w:val="-3"/>
        </w:rPr>
        <w:t xml:space="preserve">On </w:t>
      </w:r>
      <w:r w:rsidR="00A82ABC" w:rsidRPr="005D68C7">
        <w:rPr>
          <w:spacing w:val="-3"/>
        </w:rPr>
        <w:t>August 15, 2013</w:t>
      </w:r>
      <w:r w:rsidRPr="005D68C7">
        <w:rPr>
          <w:spacing w:val="-3"/>
        </w:rPr>
        <w:t xml:space="preserve">, </w:t>
      </w:r>
      <w:r w:rsidR="00A82ABC" w:rsidRPr="005D68C7">
        <w:rPr>
          <w:spacing w:val="-3"/>
        </w:rPr>
        <w:t>Vanessa Kull</w:t>
      </w:r>
      <w:r w:rsidR="00336943" w:rsidRPr="005D68C7">
        <w:rPr>
          <w:spacing w:val="-3"/>
        </w:rPr>
        <w:t xml:space="preserve"> </w:t>
      </w:r>
      <w:r w:rsidRPr="005D68C7">
        <w:rPr>
          <w:spacing w:val="-3"/>
        </w:rPr>
        <w:t xml:space="preserve">(complainant) filed a formal Complaint (Complaint) with the Pennsylvania Public Utility Commission (Commission) against </w:t>
      </w:r>
      <w:r w:rsidR="00A82ABC" w:rsidRPr="005D68C7">
        <w:rPr>
          <w:spacing w:val="-3"/>
        </w:rPr>
        <w:t>Philadelphia Gas Works</w:t>
      </w:r>
      <w:r w:rsidR="00336943" w:rsidRPr="005D68C7">
        <w:rPr>
          <w:spacing w:val="-3"/>
        </w:rPr>
        <w:t xml:space="preserve"> </w:t>
      </w:r>
      <w:r w:rsidRPr="005D68C7">
        <w:rPr>
          <w:spacing w:val="-3"/>
        </w:rPr>
        <w:t>(</w:t>
      </w:r>
      <w:r w:rsidR="00A82ABC" w:rsidRPr="005D68C7">
        <w:rPr>
          <w:spacing w:val="-3"/>
        </w:rPr>
        <w:t xml:space="preserve">PGW or </w:t>
      </w:r>
      <w:r w:rsidRPr="005D68C7">
        <w:rPr>
          <w:spacing w:val="-3"/>
        </w:rPr>
        <w:t xml:space="preserve">respondent), Docket Number </w:t>
      </w:r>
      <w:r w:rsidR="00A82ABC" w:rsidRPr="005D68C7">
        <w:rPr>
          <w:spacing w:val="-3"/>
        </w:rPr>
        <w:t>C</w:t>
      </w:r>
      <w:r w:rsidR="00486A1B" w:rsidRPr="005D68C7">
        <w:rPr>
          <w:spacing w:val="-3"/>
        </w:rPr>
        <w:t>-201</w:t>
      </w:r>
      <w:r w:rsidR="00A82ABC" w:rsidRPr="005D68C7">
        <w:rPr>
          <w:spacing w:val="-3"/>
        </w:rPr>
        <w:t>3</w:t>
      </w:r>
      <w:r w:rsidR="00486A1B" w:rsidRPr="005D68C7">
        <w:rPr>
          <w:spacing w:val="-3"/>
        </w:rPr>
        <w:t>-</w:t>
      </w:r>
      <w:r w:rsidR="00A82ABC" w:rsidRPr="005D68C7">
        <w:rPr>
          <w:spacing w:val="-3"/>
        </w:rPr>
        <w:t>2379510</w:t>
      </w:r>
      <w:r w:rsidR="00371021" w:rsidRPr="005D68C7">
        <w:rPr>
          <w:spacing w:val="-3"/>
        </w:rPr>
        <w:t>.  The</w:t>
      </w:r>
      <w:r w:rsidR="00160870" w:rsidRPr="005D68C7">
        <w:rPr>
          <w:spacing w:val="-3"/>
        </w:rPr>
        <w:t xml:space="preserve"> Complaint </w:t>
      </w:r>
      <w:r w:rsidR="00486A1B" w:rsidRPr="005D68C7">
        <w:rPr>
          <w:spacing w:val="-3"/>
        </w:rPr>
        <w:t>disputed billing</w:t>
      </w:r>
      <w:r w:rsidR="0058347E" w:rsidRPr="005D68C7">
        <w:rPr>
          <w:spacing w:val="-3"/>
        </w:rPr>
        <w:t xml:space="preserve"> for previously unbilled natural gas resulting from meter tampering</w:t>
      </w:r>
      <w:r w:rsidR="00BB51F7" w:rsidRPr="005D68C7">
        <w:rPr>
          <w:spacing w:val="-3"/>
        </w:rPr>
        <w:t xml:space="preserve">.  The Complaint </w:t>
      </w:r>
      <w:r w:rsidR="00160870" w:rsidRPr="005D68C7">
        <w:rPr>
          <w:spacing w:val="-3"/>
        </w:rPr>
        <w:t>was</w:t>
      </w:r>
      <w:r w:rsidR="00BB51F7" w:rsidRPr="005D68C7">
        <w:rPr>
          <w:spacing w:val="-3"/>
        </w:rPr>
        <w:t xml:space="preserve"> </w:t>
      </w:r>
      <w:r w:rsidR="0058347E" w:rsidRPr="005D68C7">
        <w:rPr>
          <w:spacing w:val="-3"/>
        </w:rPr>
        <w:t>a</w:t>
      </w:r>
      <w:r w:rsidR="00A82ABC" w:rsidRPr="005D68C7">
        <w:rPr>
          <w:spacing w:val="-3"/>
        </w:rPr>
        <w:t>n un</w:t>
      </w:r>
      <w:r w:rsidR="0058347E" w:rsidRPr="005D68C7">
        <w:rPr>
          <w:spacing w:val="-3"/>
        </w:rPr>
        <w:t>timely</w:t>
      </w:r>
      <w:r w:rsidR="00160870" w:rsidRPr="005D68C7">
        <w:rPr>
          <w:spacing w:val="-3"/>
        </w:rPr>
        <w:t xml:space="preserve"> appeal of a decision by the Commission’s Bureau of Consumer Services (BCS) in BCS case number </w:t>
      </w:r>
      <w:r w:rsidR="00A82ABC" w:rsidRPr="005D68C7">
        <w:rPr>
          <w:spacing w:val="-3"/>
        </w:rPr>
        <w:t>3116162</w:t>
      </w:r>
      <w:r w:rsidR="00160870" w:rsidRPr="005D68C7">
        <w:rPr>
          <w:spacing w:val="-3"/>
        </w:rPr>
        <w:t xml:space="preserve">.  BCS decided that </w:t>
      </w:r>
      <w:r w:rsidR="004C4580" w:rsidRPr="005D68C7">
        <w:rPr>
          <w:spacing w:val="-3"/>
        </w:rPr>
        <w:t xml:space="preserve">complainant’s </w:t>
      </w:r>
      <w:r w:rsidR="004F49A3" w:rsidRPr="005D68C7">
        <w:rPr>
          <w:spacing w:val="-3"/>
        </w:rPr>
        <w:t xml:space="preserve">billings by respondent were </w:t>
      </w:r>
      <w:r w:rsidR="00BF1082" w:rsidRPr="005D68C7">
        <w:rPr>
          <w:spacing w:val="-3"/>
        </w:rPr>
        <w:t>correct as rendered</w:t>
      </w:r>
      <w:r w:rsidR="004F49A3" w:rsidRPr="005D68C7">
        <w:rPr>
          <w:spacing w:val="-3"/>
        </w:rPr>
        <w:t xml:space="preserve"> </w:t>
      </w:r>
      <w:r w:rsidR="00A82ABC" w:rsidRPr="005D68C7">
        <w:rPr>
          <w:spacing w:val="-3"/>
        </w:rPr>
        <w:t xml:space="preserve">based upon the appliances in the service property </w:t>
      </w:r>
      <w:r w:rsidR="004F49A3" w:rsidRPr="005D68C7">
        <w:rPr>
          <w:spacing w:val="-3"/>
        </w:rPr>
        <w:t>and that complainant</w:t>
      </w:r>
      <w:r w:rsidR="00160870" w:rsidRPr="005D68C7">
        <w:rPr>
          <w:spacing w:val="-3"/>
        </w:rPr>
        <w:t xml:space="preserve"> should pay </w:t>
      </w:r>
      <w:r w:rsidR="000F5FFB" w:rsidRPr="005D68C7">
        <w:rPr>
          <w:spacing w:val="-3"/>
        </w:rPr>
        <w:t xml:space="preserve">for the unbilled usage </w:t>
      </w:r>
      <w:r w:rsidR="00A82ABC" w:rsidRPr="005D68C7">
        <w:rPr>
          <w:spacing w:val="-3"/>
        </w:rPr>
        <w:t>charge of $11,155.26</w:t>
      </w:r>
      <w:r w:rsidR="000F5FFB" w:rsidRPr="005D68C7">
        <w:rPr>
          <w:spacing w:val="-3"/>
        </w:rPr>
        <w:t xml:space="preserve">. </w:t>
      </w:r>
      <w:r w:rsidR="00807B39" w:rsidRPr="005D68C7">
        <w:rPr>
          <w:spacing w:val="-3"/>
        </w:rPr>
        <w:t xml:space="preserve"> The BCS decision was dated </w:t>
      </w:r>
      <w:r w:rsidR="000F5FFB" w:rsidRPr="005D68C7">
        <w:rPr>
          <w:spacing w:val="-3"/>
        </w:rPr>
        <w:t>Ju</w:t>
      </w:r>
      <w:r w:rsidR="00A82ABC" w:rsidRPr="005D68C7">
        <w:rPr>
          <w:spacing w:val="-3"/>
        </w:rPr>
        <w:t>ly 18</w:t>
      </w:r>
      <w:r w:rsidR="00807B39" w:rsidRPr="005D68C7">
        <w:rPr>
          <w:spacing w:val="-3"/>
        </w:rPr>
        <w:t>, 20</w:t>
      </w:r>
      <w:r w:rsidR="000F5FFB" w:rsidRPr="005D68C7">
        <w:rPr>
          <w:spacing w:val="-3"/>
        </w:rPr>
        <w:t>1</w:t>
      </w:r>
      <w:r w:rsidR="00A82ABC" w:rsidRPr="005D68C7">
        <w:rPr>
          <w:spacing w:val="-3"/>
        </w:rPr>
        <w:t>3</w:t>
      </w:r>
      <w:r w:rsidR="00807B39" w:rsidRPr="005D68C7">
        <w:rPr>
          <w:spacing w:val="-3"/>
        </w:rPr>
        <w:t>.</w:t>
      </w:r>
    </w:p>
    <w:p w:rsidR="000F5FFB" w:rsidRPr="005D68C7" w:rsidRDefault="000F5FFB" w:rsidP="0058347E">
      <w:pPr>
        <w:tabs>
          <w:tab w:val="left" w:pos="-1440"/>
          <w:tab w:val="left" w:pos="-720"/>
        </w:tabs>
        <w:suppressAutoHyphens/>
        <w:rPr>
          <w:spacing w:val="-3"/>
        </w:rPr>
      </w:pPr>
    </w:p>
    <w:p w:rsidR="000F5FFB" w:rsidRPr="005D68C7" w:rsidRDefault="000F5FFB" w:rsidP="0058347E">
      <w:pPr>
        <w:tabs>
          <w:tab w:val="left" w:pos="-1440"/>
          <w:tab w:val="left" w:pos="-720"/>
        </w:tabs>
        <w:suppressAutoHyphens/>
        <w:rPr>
          <w:spacing w:val="-3"/>
        </w:rPr>
      </w:pPr>
      <w:r w:rsidRPr="005D68C7">
        <w:rPr>
          <w:spacing w:val="-3"/>
        </w:rPr>
        <w:t xml:space="preserve">The Complaint was served on respondent by the </w:t>
      </w:r>
      <w:r w:rsidR="004630DC" w:rsidRPr="005D68C7">
        <w:rPr>
          <w:spacing w:val="-3"/>
        </w:rPr>
        <w:t xml:space="preserve">Commission’s Secretary’s Bureau on </w:t>
      </w:r>
      <w:r w:rsidR="00A82ABC" w:rsidRPr="005D68C7">
        <w:rPr>
          <w:spacing w:val="-3"/>
        </w:rPr>
        <w:t>August 21, 2013</w:t>
      </w:r>
      <w:r w:rsidR="004630DC" w:rsidRPr="005D68C7">
        <w:rPr>
          <w:spacing w:val="-3"/>
        </w:rPr>
        <w:t>.</w:t>
      </w:r>
      <w:r w:rsidR="00A82ABC" w:rsidRPr="005D68C7">
        <w:rPr>
          <w:spacing w:val="-3"/>
        </w:rPr>
        <w:t xml:space="preserve">  Respondent </w:t>
      </w:r>
      <w:r w:rsidR="007B1848" w:rsidRPr="005D68C7">
        <w:rPr>
          <w:spacing w:val="-3"/>
        </w:rPr>
        <w:t>served</w:t>
      </w:r>
      <w:r w:rsidR="00A82ABC" w:rsidRPr="005D68C7">
        <w:rPr>
          <w:spacing w:val="-3"/>
        </w:rPr>
        <w:t xml:space="preserve"> an Answer on September 10, 2013, denying it had erroneously billed the customer $11,155.26 for usage during the period of February 9, 2012 through June 25, 2013.  PGW avers it billed complainant based upon the British Thermal Units (BTU)</w:t>
      </w:r>
      <w:r w:rsidR="00250B2A" w:rsidRPr="005D68C7">
        <w:rPr>
          <w:spacing w:val="-3"/>
        </w:rPr>
        <w:t xml:space="preserve"> of the appliances found at the service address</w:t>
      </w:r>
      <w:r w:rsidR="00783536" w:rsidRPr="005D68C7">
        <w:rPr>
          <w:spacing w:val="-3"/>
        </w:rPr>
        <w:t xml:space="preserve"> except for two roof heaters which would have added approximately $6,000 more to the bill</w:t>
      </w:r>
      <w:r w:rsidR="00250B2A" w:rsidRPr="005D68C7">
        <w:rPr>
          <w:spacing w:val="-3"/>
        </w:rPr>
        <w:t>.</w:t>
      </w:r>
    </w:p>
    <w:p w:rsidR="004630DC" w:rsidRPr="005D68C7" w:rsidRDefault="004630DC" w:rsidP="0058347E">
      <w:pPr>
        <w:tabs>
          <w:tab w:val="left" w:pos="-1440"/>
          <w:tab w:val="left" w:pos="-720"/>
        </w:tabs>
        <w:suppressAutoHyphens/>
        <w:rPr>
          <w:spacing w:val="-3"/>
        </w:rPr>
      </w:pPr>
    </w:p>
    <w:p w:rsidR="00BE0C26" w:rsidRPr="005D68C7" w:rsidRDefault="00250B2A" w:rsidP="00250B2A">
      <w:pPr>
        <w:tabs>
          <w:tab w:val="left" w:pos="-1440"/>
          <w:tab w:val="left" w:pos="-720"/>
        </w:tabs>
        <w:suppressAutoHyphens/>
      </w:pPr>
      <w:r w:rsidRPr="005D68C7">
        <w:rPr>
          <w:spacing w:val="-3"/>
        </w:rPr>
        <w:t xml:space="preserve">On September 26, 2013, I issued a Prehearing Order.  </w:t>
      </w:r>
      <w:r w:rsidR="00BE0C26" w:rsidRPr="005D68C7">
        <w:t>The Prehearing Order advised the parties with respect to Commission procedure,</w:t>
      </w:r>
      <w:r w:rsidR="001508B9" w:rsidRPr="005D68C7">
        <w:t xml:space="preserve"> complainant’s burden of proof,</w:t>
      </w:r>
      <w:r w:rsidR="00BE0C26" w:rsidRPr="005D68C7">
        <w:t xml:space="preserve"> requests for continuances, required numbers and marking of proposed exhibits, attorney representation, subpoena procedures, discovery,</w:t>
      </w:r>
      <w:r w:rsidR="00D559AA" w:rsidRPr="005D68C7">
        <w:t xml:space="preserve"> the availability of an interpreter,</w:t>
      </w:r>
      <w:r w:rsidR="00BE0C26" w:rsidRPr="005D68C7">
        <w:t xml:space="preserve"> and the Commission’s policy favoring settlement.  Finally, the Prehearing Order reminded the parties of the time of the scheduled </w:t>
      </w:r>
      <w:r w:rsidR="001508B9" w:rsidRPr="005D68C7">
        <w:t>Hearing</w:t>
      </w:r>
      <w:r w:rsidR="009B7C63" w:rsidRPr="005D68C7">
        <w:t xml:space="preserve"> </w:t>
      </w:r>
      <w:r w:rsidR="007B1848" w:rsidRPr="005D68C7">
        <w:t xml:space="preserve">on January 9, 2014, </w:t>
      </w:r>
      <w:r w:rsidR="009B7C63" w:rsidRPr="005D68C7">
        <w:t>and of their responsibility to advise of any change in the telephone number at which they were to be contacted.</w:t>
      </w:r>
    </w:p>
    <w:p w:rsidR="009B7C63" w:rsidRPr="005D68C7" w:rsidRDefault="009B7C63" w:rsidP="00C04C8C"/>
    <w:p w:rsidR="00656660" w:rsidRPr="005D68C7" w:rsidRDefault="00250B2A" w:rsidP="00674184">
      <w:pPr>
        <w:tabs>
          <w:tab w:val="left" w:pos="-1440"/>
          <w:tab w:val="left" w:pos="-720"/>
        </w:tabs>
        <w:suppressAutoHyphens/>
        <w:rPr>
          <w:spacing w:val="-3"/>
        </w:rPr>
      </w:pPr>
      <w:r w:rsidRPr="005D68C7">
        <w:rPr>
          <w:spacing w:val="-3"/>
        </w:rPr>
        <w:t>A hearing was held on January 9, 2014, at which time the parties discussed settlement and requested a continuance of the hearing in order for the Complainant to provide documentation necessary to recalculate her bill.  Complainant agreed to provide</w:t>
      </w:r>
      <w:r w:rsidR="00B7269C">
        <w:rPr>
          <w:spacing w:val="-3"/>
        </w:rPr>
        <w:t xml:space="preserve"> an</w:t>
      </w:r>
      <w:r w:rsidRPr="005D68C7">
        <w:rPr>
          <w:spacing w:val="-3"/>
        </w:rPr>
        <w:t xml:space="preserve"> accounting for the revenue from the location going back to January of 2012 and the last four years of electric bills to show when she switched from gas he</w:t>
      </w:r>
      <w:r w:rsidR="00BD636F">
        <w:rPr>
          <w:spacing w:val="-3"/>
        </w:rPr>
        <w:t xml:space="preserve">at to electric heat.  N.T. 5.  </w:t>
      </w:r>
      <w:r w:rsidRPr="005D68C7">
        <w:rPr>
          <w:spacing w:val="-3"/>
        </w:rPr>
        <w:t>On February 7, 2014, a Telephonic Hearing Notice was issued scheduling a further telephonic hearing on March 10, 2014.  Under cover letter dated January 3, 2014, Respondent submitted three copies of five potential exhibits (PGW Exhibits 1-</w:t>
      </w:r>
      <w:r w:rsidR="00B7269C">
        <w:rPr>
          <w:spacing w:val="-3"/>
        </w:rPr>
        <w:t>5</w:t>
      </w:r>
      <w:r w:rsidRPr="005D68C7">
        <w:rPr>
          <w:spacing w:val="-3"/>
        </w:rPr>
        <w:t>).  The hearing was held on March 10, 2014, a</w:t>
      </w:r>
      <w:r w:rsidR="00C10410">
        <w:rPr>
          <w:spacing w:val="-3"/>
        </w:rPr>
        <w:t>t which time PGW Exhibits 6 and </w:t>
      </w:r>
      <w:r w:rsidRPr="005D68C7">
        <w:rPr>
          <w:spacing w:val="-3"/>
        </w:rPr>
        <w:t>7 were submitted via facsimile.</w:t>
      </w:r>
      <w:r w:rsidR="00674184" w:rsidRPr="005D68C7">
        <w:rPr>
          <w:spacing w:val="-3"/>
        </w:rPr>
        <w:t xml:space="preserve">  Complainant pre</w:t>
      </w:r>
      <w:r w:rsidR="009C0AC3" w:rsidRPr="005D68C7">
        <w:rPr>
          <w:spacing w:val="-3"/>
        </w:rPr>
        <w:t>sented evidence in the form of her own testimony</w:t>
      </w:r>
      <w:r w:rsidR="00077584" w:rsidRPr="005D68C7">
        <w:rPr>
          <w:spacing w:val="-3"/>
        </w:rPr>
        <w:t xml:space="preserve">.  Respondent presented evidence in the form of testimony by two witnesses and </w:t>
      </w:r>
      <w:r w:rsidR="00F03CF0" w:rsidRPr="005D68C7">
        <w:rPr>
          <w:spacing w:val="-3"/>
        </w:rPr>
        <w:t>the admission of s</w:t>
      </w:r>
      <w:r w:rsidR="00674184" w:rsidRPr="005D68C7">
        <w:rPr>
          <w:spacing w:val="-3"/>
        </w:rPr>
        <w:t>even</w:t>
      </w:r>
      <w:r w:rsidR="00F03CF0" w:rsidRPr="005D68C7">
        <w:rPr>
          <w:spacing w:val="-3"/>
        </w:rPr>
        <w:t xml:space="preserve"> exhibits (</w:t>
      </w:r>
      <w:r w:rsidR="00674184" w:rsidRPr="005D68C7">
        <w:rPr>
          <w:spacing w:val="-3"/>
        </w:rPr>
        <w:t>PGW</w:t>
      </w:r>
      <w:r w:rsidR="00F03CF0" w:rsidRPr="005D68C7">
        <w:rPr>
          <w:spacing w:val="-3"/>
        </w:rPr>
        <w:t xml:space="preserve"> Exhibits 1 through </w:t>
      </w:r>
      <w:r w:rsidR="00674184" w:rsidRPr="005D68C7">
        <w:rPr>
          <w:spacing w:val="-3"/>
        </w:rPr>
        <w:t>7</w:t>
      </w:r>
      <w:r w:rsidR="00F03CF0" w:rsidRPr="005D68C7">
        <w:rPr>
          <w:spacing w:val="-3"/>
        </w:rPr>
        <w:t xml:space="preserve">).  </w:t>
      </w:r>
      <w:r w:rsidR="00EB4147" w:rsidRPr="005D68C7">
        <w:rPr>
          <w:spacing w:val="-3"/>
        </w:rPr>
        <w:t>A transcript of the pro</w:t>
      </w:r>
      <w:r w:rsidR="005B1539">
        <w:rPr>
          <w:spacing w:val="-3"/>
        </w:rPr>
        <w:t>ceeding containing </w:t>
      </w:r>
      <w:r w:rsidR="00674184" w:rsidRPr="005D68C7">
        <w:rPr>
          <w:spacing w:val="-3"/>
        </w:rPr>
        <w:t>58</w:t>
      </w:r>
      <w:r w:rsidR="00EB4147" w:rsidRPr="005D68C7">
        <w:rPr>
          <w:spacing w:val="-3"/>
        </w:rPr>
        <w:t xml:space="preserve"> pages was produced.</w:t>
      </w:r>
    </w:p>
    <w:p w:rsidR="00656660" w:rsidRPr="005D68C7" w:rsidRDefault="00656660" w:rsidP="00C04C8C">
      <w:pPr>
        <w:tabs>
          <w:tab w:val="left" w:pos="-720"/>
        </w:tabs>
        <w:suppressAutoHyphens/>
        <w:rPr>
          <w:spacing w:val="-3"/>
        </w:rPr>
      </w:pPr>
    </w:p>
    <w:p w:rsidR="00352F9A" w:rsidRPr="005D68C7" w:rsidRDefault="00352F9A" w:rsidP="00C04C8C">
      <w:pPr>
        <w:tabs>
          <w:tab w:val="left" w:pos="-720"/>
        </w:tabs>
        <w:suppressAutoHyphens/>
        <w:rPr>
          <w:spacing w:val="-3"/>
        </w:rPr>
      </w:pPr>
      <w:r w:rsidRPr="005D68C7">
        <w:rPr>
          <w:spacing w:val="-3"/>
        </w:rPr>
        <w:t xml:space="preserve">The transcript of the Hearing was filed with the Commission on </w:t>
      </w:r>
      <w:r w:rsidR="00674184" w:rsidRPr="005D68C7">
        <w:rPr>
          <w:spacing w:val="-3"/>
        </w:rPr>
        <w:t>April 1</w:t>
      </w:r>
      <w:r w:rsidRPr="005D68C7">
        <w:rPr>
          <w:spacing w:val="-3"/>
        </w:rPr>
        <w:t>, 201</w:t>
      </w:r>
      <w:r w:rsidR="00674184" w:rsidRPr="005D68C7">
        <w:rPr>
          <w:spacing w:val="-3"/>
        </w:rPr>
        <w:t>4</w:t>
      </w:r>
      <w:r w:rsidRPr="005D68C7">
        <w:rPr>
          <w:spacing w:val="-3"/>
        </w:rPr>
        <w:t>, and the record closed on that date.</w:t>
      </w:r>
    </w:p>
    <w:p w:rsidR="00783536" w:rsidRDefault="00783536" w:rsidP="00C067A5">
      <w:pPr>
        <w:tabs>
          <w:tab w:val="left" w:pos="-1440"/>
          <w:tab w:val="left" w:pos="-720"/>
        </w:tabs>
        <w:suppressAutoHyphens/>
        <w:spacing w:line="240" w:lineRule="auto"/>
        <w:ind w:firstLine="0"/>
        <w:rPr>
          <w:spacing w:val="-3"/>
        </w:rPr>
      </w:pPr>
    </w:p>
    <w:p w:rsidR="00053D24" w:rsidRPr="005D68C7" w:rsidRDefault="00053D24" w:rsidP="00907EE2">
      <w:pPr>
        <w:tabs>
          <w:tab w:val="left" w:pos="-1440"/>
          <w:tab w:val="left" w:pos="-720"/>
        </w:tabs>
        <w:suppressAutoHyphens/>
        <w:ind w:firstLine="0"/>
        <w:jc w:val="center"/>
        <w:rPr>
          <w:spacing w:val="-3"/>
          <w:u w:val="single"/>
        </w:rPr>
      </w:pPr>
      <w:r w:rsidRPr="005D68C7">
        <w:rPr>
          <w:spacing w:val="-3"/>
          <w:u w:val="single"/>
        </w:rPr>
        <w:t>FINDINGS OF FACT</w:t>
      </w:r>
    </w:p>
    <w:p w:rsidR="00D82DBF" w:rsidRPr="005D68C7" w:rsidRDefault="00D82DBF" w:rsidP="00907EE2">
      <w:pPr>
        <w:tabs>
          <w:tab w:val="center" w:pos="4680"/>
        </w:tabs>
        <w:suppressAutoHyphens/>
        <w:rPr>
          <w:spacing w:val="-3"/>
        </w:rPr>
      </w:pPr>
    </w:p>
    <w:p w:rsidR="002B1BCC" w:rsidRPr="005D68C7" w:rsidRDefault="00D72B4D" w:rsidP="00C04C8C">
      <w:pPr>
        <w:tabs>
          <w:tab w:val="left" w:pos="-1440"/>
          <w:tab w:val="left" w:pos="-720"/>
        </w:tabs>
        <w:suppressAutoHyphens/>
        <w:rPr>
          <w:spacing w:val="-3"/>
        </w:rPr>
      </w:pPr>
      <w:r w:rsidRPr="005D68C7">
        <w:rPr>
          <w:spacing w:val="-3"/>
        </w:rPr>
        <w:t>1</w:t>
      </w:r>
      <w:r w:rsidR="007C29F8" w:rsidRPr="005D68C7">
        <w:rPr>
          <w:spacing w:val="-3"/>
        </w:rPr>
        <w:t>.</w:t>
      </w:r>
      <w:r w:rsidR="007C29F8" w:rsidRPr="005D68C7">
        <w:rPr>
          <w:spacing w:val="-3"/>
        </w:rPr>
        <w:tab/>
      </w:r>
      <w:r w:rsidR="00F54673" w:rsidRPr="005D68C7">
        <w:rPr>
          <w:spacing w:val="-3"/>
        </w:rPr>
        <w:t>Complainant has been a customer of respondent receiving natural gas service at</w:t>
      </w:r>
      <w:r w:rsidR="00737D02">
        <w:rPr>
          <w:spacing w:val="-3"/>
        </w:rPr>
        <w:t xml:space="preserve"> </w:t>
      </w:r>
      <w:r w:rsidR="00692135" w:rsidRPr="005D68C7">
        <w:rPr>
          <w:spacing w:val="-3"/>
        </w:rPr>
        <w:t>4766 Rising Sun Avenue, Philadelphia, Pennsylvania</w:t>
      </w:r>
      <w:r w:rsidR="00F54673" w:rsidRPr="005D68C7">
        <w:rPr>
          <w:spacing w:val="-3"/>
        </w:rPr>
        <w:t>, since</w:t>
      </w:r>
      <w:r w:rsidR="00AD180D" w:rsidRPr="005D68C7">
        <w:rPr>
          <w:spacing w:val="-3"/>
        </w:rPr>
        <w:t xml:space="preserve"> June 7, 2005</w:t>
      </w:r>
      <w:r w:rsidR="00AD411D" w:rsidRPr="005D68C7">
        <w:rPr>
          <w:spacing w:val="-3"/>
        </w:rPr>
        <w:t>.</w:t>
      </w:r>
      <w:r w:rsidR="00692135" w:rsidRPr="005D68C7">
        <w:rPr>
          <w:spacing w:val="-3"/>
        </w:rPr>
        <w:t xml:space="preserve">  N.T. 30.</w:t>
      </w:r>
    </w:p>
    <w:p w:rsidR="000B4401" w:rsidRPr="005D68C7" w:rsidRDefault="000B4401" w:rsidP="00C04C8C">
      <w:pPr>
        <w:tabs>
          <w:tab w:val="left" w:pos="-1440"/>
          <w:tab w:val="left" w:pos="-720"/>
        </w:tabs>
        <w:suppressAutoHyphens/>
        <w:rPr>
          <w:spacing w:val="-3"/>
        </w:rPr>
      </w:pPr>
    </w:p>
    <w:p w:rsidR="00556F73" w:rsidRPr="005D68C7" w:rsidRDefault="00F54673" w:rsidP="00C04C8C">
      <w:pPr>
        <w:tabs>
          <w:tab w:val="left" w:pos="-1440"/>
          <w:tab w:val="left" w:pos="-720"/>
        </w:tabs>
        <w:suppressAutoHyphens/>
        <w:rPr>
          <w:spacing w:val="-3"/>
        </w:rPr>
      </w:pPr>
      <w:r w:rsidRPr="005D68C7">
        <w:rPr>
          <w:spacing w:val="-3"/>
        </w:rPr>
        <w:lastRenderedPageBreak/>
        <w:t>2.</w:t>
      </w:r>
      <w:r w:rsidRPr="005D68C7">
        <w:rPr>
          <w:spacing w:val="-3"/>
        </w:rPr>
        <w:tab/>
        <w:t xml:space="preserve">The premises at </w:t>
      </w:r>
      <w:r w:rsidR="00692135" w:rsidRPr="005D68C7">
        <w:rPr>
          <w:spacing w:val="-3"/>
        </w:rPr>
        <w:t>4766 Rising Sun Avenue, Philadelphia, Pennsylvania</w:t>
      </w:r>
      <w:r w:rsidRPr="005D68C7">
        <w:rPr>
          <w:spacing w:val="-3"/>
        </w:rPr>
        <w:t xml:space="preserve">, </w:t>
      </w:r>
      <w:r w:rsidR="00692135" w:rsidRPr="005D68C7">
        <w:rPr>
          <w:spacing w:val="-3"/>
        </w:rPr>
        <w:t xml:space="preserve">is a bar with a banquet facility in </w:t>
      </w:r>
      <w:r w:rsidRPr="005D68C7">
        <w:rPr>
          <w:spacing w:val="-3"/>
        </w:rPr>
        <w:t xml:space="preserve">a </w:t>
      </w:r>
      <w:r w:rsidR="00692135" w:rsidRPr="005D68C7">
        <w:rPr>
          <w:spacing w:val="-3"/>
        </w:rPr>
        <w:t>two</w:t>
      </w:r>
      <w:r w:rsidR="005C50D1" w:rsidRPr="005D68C7">
        <w:rPr>
          <w:spacing w:val="-3"/>
        </w:rPr>
        <w:t>-</w:t>
      </w:r>
      <w:r w:rsidRPr="005D68C7">
        <w:rPr>
          <w:spacing w:val="-3"/>
        </w:rPr>
        <w:t xml:space="preserve">story </w:t>
      </w:r>
      <w:r w:rsidR="005C50D1" w:rsidRPr="005D68C7">
        <w:rPr>
          <w:spacing w:val="-3"/>
        </w:rPr>
        <w:t>double-</w:t>
      </w:r>
      <w:r w:rsidR="00692135" w:rsidRPr="005D68C7">
        <w:rPr>
          <w:spacing w:val="-3"/>
        </w:rPr>
        <w:t>building</w:t>
      </w:r>
      <w:r w:rsidRPr="005D68C7">
        <w:rPr>
          <w:spacing w:val="-3"/>
        </w:rPr>
        <w:t xml:space="preserve"> </w:t>
      </w:r>
      <w:r w:rsidR="00144345" w:rsidRPr="005D68C7">
        <w:rPr>
          <w:spacing w:val="-3"/>
        </w:rPr>
        <w:t>(</w:t>
      </w:r>
      <w:r w:rsidR="002F742C" w:rsidRPr="005D68C7">
        <w:rPr>
          <w:spacing w:val="-3"/>
        </w:rPr>
        <w:t xml:space="preserve">at least </w:t>
      </w:r>
      <w:r w:rsidR="00144345" w:rsidRPr="005D68C7">
        <w:rPr>
          <w:spacing w:val="-3"/>
        </w:rPr>
        <w:t>4,4</w:t>
      </w:r>
      <w:r w:rsidR="00C614E4" w:rsidRPr="005D68C7">
        <w:rPr>
          <w:spacing w:val="-3"/>
        </w:rPr>
        <w:t xml:space="preserve">00 </w:t>
      </w:r>
      <w:r w:rsidR="00144345" w:rsidRPr="005D68C7">
        <w:rPr>
          <w:spacing w:val="-3"/>
        </w:rPr>
        <w:t xml:space="preserve">square feet) </w:t>
      </w:r>
      <w:r w:rsidRPr="005D68C7">
        <w:rPr>
          <w:spacing w:val="-3"/>
        </w:rPr>
        <w:t>with a basement</w:t>
      </w:r>
      <w:r w:rsidR="005C50D1" w:rsidRPr="005D68C7">
        <w:rPr>
          <w:spacing w:val="-3"/>
        </w:rPr>
        <w:t xml:space="preserve"> and two gas roof heaters</w:t>
      </w:r>
      <w:r w:rsidRPr="005D68C7">
        <w:rPr>
          <w:spacing w:val="-3"/>
        </w:rPr>
        <w:t>.</w:t>
      </w:r>
      <w:r w:rsidR="005C50D1" w:rsidRPr="005D68C7">
        <w:rPr>
          <w:spacing w:val="-3"/>
        </w:rPr>
        <w:t xml:space="preserve"> </w:t>
      </w:r>
      <w:r w:rsidR="00C067A5">
        <w:rPr>
          <w:spacing w:val="-3"/>
        </w:rPr>
        <w:t xml:space="preserve"> </w:t>
      </w:r>
      <w:r w:rsidR="005C50D1" w:rsidRPr="005D68C7">
        <w:rPr>
          <w:spacing w:val="-3"/>
        </w:rPr>
        <w:t>N.T. 16-17</w:t>
      </w:r>
      <w:r w:rsidR="00AD180D" w:rsidRPr="005D68C7">
        <w:rPr>
          <w:spacing w:val="-3"/>
        </w:rPr>
        <w:t>, 38</w:t>
      </w:r>
      <w:r w:rsidR="005C50D1" w:rsidRPr="005D68C7">
        <w:rPr>
          <w:spacing w:val="-3"/>
        </w:rPr>
        <w:t>.</w:t>
      </w:r>
    </w:p>
    <w:p w:rsidR="006F46B6" w:rsidRPr="005D68C7" w:rsidRDefault="006F46B6" w:rsidP="00C04C8C">
      <w:pPr>
        <w:tabs>
          <w:tab w:val="left" w:pos="-1440"/>
          <w:tab w:val="left" w:pos="-720"/>
        </w:tabs>
        <w:suppressAutoHyphens/>
        <w:rPr>
          <w:spacing w:val="-3"/>
        </w:rPr>
      </w:pPr>
    </w:p>
    <w:p w:rsidR="006F46B6" w:rsidRPr="005D68C7" w:rsidRDefault="006F46B6" w:rsidP="00C04C8C">
      <w:pPr>
        <w:tabs>
          <w:tab w:val="left" w:pos="-1440"/>
          <w:tab w:val="left" w:pos="-720"/>
        </w:tabs>
        <w:suppressAutoHyphens/>
        <w:rPr>
          <w:spacing w:val="-3"/>
        </w:rPr>
      </w:pPr>
      <w:r w:rsidRPr="005D68C7">
        <w:rPr>
          <w:spacing w:val="-3"/>
        </w:rPr>
        <w:t>3.</w:t>
      </w:r>
      <w:r w:rsidRPr="005D68C7">
        <w:rPr>
          <w:spacing w:val="-3"/>
        </w:rPr>
        <w:tab/>
        <w:t xml:space="preserve">During the period </w:t>
      </w:r>
      <w:r w:rsidR="00783536" w:rsidRPr="005D68C7">
        <w:rPr>
          <w:spacing w:val="-3"/>
        </w:rPr>
        <w:t xml:space="preserve">of </w:t>
      </w:r>
      <w:r w:rsidRPr="005D68C7">
        <w:rPr>
          <w:spacing w:val="-3"/>
        </w:rPr>
        <w:t>2010</w:t>
      </w:r>
      <w:r w:rsidR="005C50D1" w:rsidRPr="005D68C7">
        <w:rPr>
          <w:spacing w:val="-3"/>
        </w:rPr>
        <w:t>-2013 the double</w:t>
      </w:r>
      <w:r w:rsidR="00783536" w:rsidRPr="005D68C7">
        <w:rPr>
          <w:spacing w:val="-3"/>
        </w:rPr>
        <w:t>-</w:t>
      </w:r>
      <w:r w:rsidR="005C50D1" w:rsidRPr="005D68C7">
        <w:rPr>
          <w:spacing w:val="-3"/>
        </w:rPr>
        <w:t xml:space="preserve">building operated as a bar and although the building is owned by Ismael Castillo, Vanessa Kull </w:t>
      </w:r>
      <w:r w:rsidR="00B7269C">
        <w:rPr>
          <w:spacing w:val="-3"/>
        </w:rPr>
        <w:t>has been</w:t>
      </w:r>
      <w:r w:rsidR="005C50D1" w:rsidRPr="005D68C7">
        <w:rPr>
          <w:spacing w:val="-3"/>
        </w:rPr>
        <w:t xml:space="preserve"> the customer of record for natural gas service to the property</w:t>
      </w:r>
      <w:r w:rsidR="00AD180D" w:rsidRPr="005D68C7">
        <w:rPr>
          <w:spacing w:val="-3"/>
        </w:rPr>
        <w:t xml:space="preserve"> since June 7, 2005</w:t>
      </w:r>
      <w:r w:rsidR="005C50D1" w:rsidRPr="005D68C7">
        <w:rPr>
          <w:spacing w:val="-3"/>
        </w:rPr>
        <w:t xml:space="preserve">.  </w:t>
      </w:r>
      <w:r w:rsidR="00AD180D" w:rsidRPr="005D68C7">
        <w:rPr>
          <w:spacing w:val="-3"/>
        </w:rPr>
        <w:t xml:space="preserve">Vanessa Kull </w:t>
      </w:r>
      <w:r w:rsidR="00783536" w:rsidRPr="005D68C7">
        <w:rPr>
          <w:spacing w:val="-3"/>
        </w:rPr>
        <w:t xml:space="preserve">has been </w:t>
      </w:r>
      <w:r w:rsidR="00AD180D" w:rsidRPr="005D68C7">
        <w:rPr>
          <w:spacing w:val="-3"/>
        </w:rPr>
        <w:t>Mr. Castillo</w:t>
      </w:r>
      <w:r w:rsidR="00783536" w:rsidRPr="005D68C7">
        <w:rPr>
          <w:spacing w:val="-3"/>
        </w:rPr>
        <w:t>’s girlfriend</w:t>
      </w:r>
      <w:r w:rsidR="00AD180D" w:rsidRPr="005D68C7">
        <w:rPr>
          <w:spacing w:val="-3"/>
        </w:rPr>
        <w:t xml:space="preserve"> for twenty-five years.  </w:t>
      </w:r>
      <w:r w:rsidR="005C50D1" w:rsidRPr="005D68C7">
        <w:rPr>
          <w:spacing w:val="-3"/>
        </w:rPr>
        <w:t>N.T. 17-18.</w:t>
      </w:r>
    </w:p>
    <w:p w:rsidR="00AD180D" w:rsidRPr="005D68C7" w:rsidRDefault="00AD180D" w:rsidP="00C04C8C">
      <w:pPr>
        <w:tabs>
          <w:tab w:val="left" w:pos="-1440"/>
          <w:tab w:val="left" w:pos="-720"/>
        </w:tabs>
        <w:suppressAutoHyphens/>
        <w:rPr>
          <w:spacing w:val="-3"/>
        </w:rPr>
      </w:pPr>
    </w:p>
    <w:p w:rsidR="00AD180D" w:rsidRPr="005D68C7" w:rsidRDefault="00AD180D" w:rsidP="00C04C8C">
      <w:pPr>
        <w:tabs>
          <w:tab w:val="left" w:pos="-1440"/>
          <w:tab w:val="left" w:pos="-720"/>
        </w:tabs>
        <w:suppressAutoHyphens/>
        <w:rPr>
          <w:spacing w:val="-3"/>
        </w:rPr>
      </w:pPr>
      <w:r w:rsidRPr="005D68C7">
        <w:rPr>
          <w:spacing w:val="-3"/>
        </w:rPr>
        <w:t>4.</w:t>
      </w:r>
      <w:r w:rsidRPr="005D68C7">
        <w:rPr>
          <w:spacing w:val="-3"/>
        </w:rPr>
        <w:tab/>
      </w:r>
      <w:r w:rsidR="00783536" w:rsidRPr="005D68C7">
        <w:rPr>
          <w:spacing w:val="-3"/>
        </w:rPr>
        <w:t xml:space="preserve">Previously, when </w:t>
      </w:r>
      <w:r w:rsidRPr="005D68C7">
        <w:rPr>
          <w:spacing w:val="-3"/>
        </w:rPr>
        <w:t xml:space="preserve">Ismael Castillo was </w:t>
      </w:r>
      <w:r w:rsidR="00B7269C">
        <w:rPr>
          <w:spacing w:val="-3"/>
        </w:rPr>
        <w:t xml:space="preserve">the </w:t>
      </w:r>
      <w:r w:rsidRPr="005D68C7">
        <w:rPr>
          <w:spacing w:val="-3"/>
        </w:rPr>
        <w:t xml:space="preserve">customer of record, </w:t>
      </w:r>
      <w:r w:rsidR="00C614E4" w:rsidRPr="005D68C7">
        <w:rPr>
          <w:spacing w:val="-3"/>
        </w:rPr>
        <w:t>bypass</w:t>
      </w:r>
      <w:r w:rsidRPr="005D68C7">
        <w:rPr>
          <w:spacing w:val="-3"/>
        </w:rPr>
        <w:t xml:space="preserve"> meter tampering was found </w:t>
      </w:r>
      <w:r w:rsidR="00C614E4" w:rsidRPr="005D68C7">
        <w:rPr>
          <w:spacing w:val="-3"/>
        </w:rPr>
        <w:t>at</w:t>
      </w:r>
      <w:r w:rsidRPr="005D68C7">
        <w:rPr>
          <w:spacing w:val="-3"/>
        </w:rPr>
        <w:t xml:space="preserve"> the property</w:t>
      </w:r>
      <w:r w:rsidR="00BD5EAF" w:rsidRPr="005D68C7">
        <w:rPr>
          <w:spacing w:val="-3"/>
        </w:rPr>
        <w:t xml:space="preserve"> in March, 2005</w:t>
      </w:r>
      <w:r w:rsidRPr="005D68C7">
        <w:rPr>
          <w:spacing w:val="-3"/>
        </w:rPr>
        <w:t xml:space="preserve">.  Therefore, the instant case involves a second </w:t>
      </w:r>
      <w:r w:rsidR="00783536" w:rsidRPr="005D68C7">
        <w:rPr>
          <w:spacing w:val="-3"/>
        </w:rPr>
        <w:t xml:space="preserve">incident </w:t>
      </w:r>
      <w:r w:rsidRPr="005D68C7">
        <w:rPr>
          <w:spacing w:val="-3"/>
        </w:rPr>
        <w:t xml:space="preserve">of meter tampering at the same service property, albeit under </w:t>
      </w:r>
      <w:r w:rsidR="009C48A9" w:rsidRPr="005D68C7">
        <w:rPr>
          <w:spacing w:val="-3"/>
        </w:rPr>
        <w:t xml:space="preserve">a </w:t>
      </w:r>
      <w:r w:rsidRPr="005D68C7">
        <w:rPr>
          <w:spacing w:val="-3"/>
        </w:rPr>
        <w:t>different customer’s name and account.  N.T. 33</w:t>
      </w:r>
      <w:r w:rsidR="00C614E4" w:rsidRPr="005D68C7">
        <w:rPr>
          <w:spacing w:val="-3"/>
        </w:rPr>
        <w:t xml:space="preserve">, </w:t>
      </w:r>
      <w:r w:rsidR="00BD5EAF" w:rsidRPr="005D68C7">
        <w:rPr>
          <w:spacing w:val="-3"/>
        </w:rPr>
        <w:t>42-</w:t>
      </w:r>
      <w:r w:rsidR="00C614E4" w:rsidRPr="005D68C7">
        <w:rPr>
          <w:spacing w:val="-3"/>
        </w:rPr>
        <w:t>43</w:t>
      </w:r>
      <w:r w:rsidR="00B54B6A">
        <w:rPr>
          <w:spacing w:val="-3"/>
        </w:rPr>
        <w:t>.</w:t>
      </w:r>
    </w:p>
    <w:p w:rsidR="006F46B6" w:rsidRPr="005D68C7" w:rsidRDefault="006F46B6" w:rsidP="00C04C8C">
      <w:pPr>
        <w:tabs>
          <w:tab w:val="left" w:pos="-1440"/>
          <w:tab w:val="left" w:pos="-720"/>
        </w:tabs>
        <w:suppressAutoHyphens/>
        <w:rPr>
          <w:spacing w:val="-3"/>
        </w:rPr>
      </w:pPr>
    </w:p>
    <w:p w:rsidR="00CB76DB" w:rsidRPr="005D68C7" w:rsidRDefault="00783536" w:rsidP="00C04C8C">
      <w:pPr>
        <w:tabs>
          <w:tab w:val="left" w:pos="-1440"/>
          <w:tab w:val="left" w:pos="-720"/>
        </w:tabs>
        <w:suppressAutoHyphens/>
        <w:rPr>
          <w:spacing w:val="-3"/>
        </w:rPr>
      </w:pPr>
      <w:r w:rsidRPr="005D68C7">
        <w:rPr>
          <w:spacing w:val="-3"/>
        </w:rPr>
        <w:t>5</w:t>
      </w:r>
      <w:r w:rsidR="006F46B6" w:rsidRPr="005D68C7">
        <w:rPr>
          <w:spacing w:val="-3"/>
        </w:rPr>
        <w:t>.</w:t>
      </w:r>
      <w:r w:rsidR="006F46B6" w:rsidRPr="005D68C7">
        <w:rPr>
          <w:spacing w:val="-3"/>
        </w:rPr>
        <w:tab/>
      </w:r>
      <w:r w:rsidR="00CB76DB" w:rsidRPr="005D68C7">
        <w:rPr>
          <w:spacing w:val="-3"/>
        </w:rPr>
        <w:t xml:space="preserve">Gas appliances in the kitchen as well as some </w:t>
      </w:r>
      <w:r w:rsidR="009C48A9" w:rsidRPr="005D68C7">
        <w:rPr>
          <w:spacing w:val="-3"/>
        </w:rPr>
        <w:t xml:space="preserve">electric </w:t>
      </w:r>
      <w:r w:rsidR="00CB76DB" w:rsidRPr="005D68C7">
        <w:rPr>
          <w:spacing w:val="-3"/>
        </w:rPr>
        <w:t>crock pots and outdoor grills</w:t>
      </w:r>
      <w:r w:rsidR="00BD5EAF" w:rsidRPr="005D68C7">
        <w:rPr>
          <w:spacing w:val="-3"/>
        </w:rPr>
        <w:t xml:space="preserve"> were used for preparing food from February 9, 2012 through June 24, 2013</w:t>
      </w:r>
      <w:r w:rsidR="00291B89">
        <w:rPr>
          <w:spacing w:val="-3"/>
        </w:rPr>
        <w:t>.  N.T. 25-26.</w:t>
      </w:r>
    </w:p>
    <w:p w:rsidR="00B044A4" w:rsidRPr="005D68C7" w:rsidRDefault="00B044A4" w:rsidP="00C04C8C">
      <w:pPr>
        <w:tabs>
          <w:tab w:val="left" w:pos="-1440"/>
          <w:tab w:val="left" w:pos="-720"/>
        </w:tabs>
        <w:suppressAutoHyphens/>
        <w:rPr>
          <w:spacing w:val="-3"/>
        </w:rPr>
      </w:pPr>
    </w:p>
    <w:p w:rsidR="005C50D1" w:rsidRPr="005D68C7" w:rsidRDefault="00B044A4" w:rsidP="00C04C8C">
      <w:pPr>
        <w:tabs>
          <w:tab w:val="left" w:pos="-1440"/>
          <w:tab w:val="left" w:pos="-720"/>
        </w:tabs>
        <w:suppressAutoHyphens/>
        <w:rPr>
          <w:spacing w:val="-3"/>
        </w:rPr>
      </w:pPr>
      <w:r w:rsidRPr="005D68C7">
        <w:rPr>
          <w:spacing w:val="-3"/>
        </w:rPr>
        <w:t>6</w:t>
      </w:r>
      <w:r w:rsidR="00CB76DB" w:rsidRPr="005D68C7">
        <w:rPr>
          <w:spacing w:val="-3"/>
        </w:rPr>
        <w:t>.</w:t>
      </w:r>
      <w:r w:rsidR="00CB76DB" w:rsidRPr="005D68C7">
        <w:rPr>
          <w:spacing w:val="-3"/>
        </w:rPr>
        <w:tab/>
      </w:r>
      <w:r w:rsidR="005C50D1" w:rsidRPr="005D68C7">
        <w:rPr>
          <w:spacing w:val="-3"/>
        </w:rPr>
        <w:t>Food sales from the service property inc</w:t>
      </w:r>
      <w:r w:rsidR="00710417">
        <w:rPr>
          <w:spacing w:val="-3"/>
        </w:rPr>
        <w:t>reased steadily from $16,812 in </w:t>
      </w:r>
      <w:r w:rsidR="005C50D1" w:rsidRPr="005D68C7">
        <w:rPr>
          <w:spacing w:val="-3"/>
        </w:rPr>
        <w:t>2010 to $30,931 in 2013.  PGW Exhibit 6.</w:t>
      </w:r>
    </w:p>
    <w:p w:rsidR="005C50D1" w:rsidRPr="005D68C7" w:rsidRDefault="005C50D1" w:rsidP="00C04C8C">
      <w:pPr>
        <w:tabs>
          <w:tab w:val="left" w:pos="-1440"/>
          <w:tab w:val="left" w:pos="-720"/>
        </w:tabs>
        <w:suppressAutoHyphens/>
        <w:rPr>
          <w:spacing w:val="-3"/>
        </w:rPr>
      </w:pPr>
    </w:p>
    <w:p w:rsidR="005C50D1" w:rsidRPr="005D68C7" w:rsidRDefault="00B044A4" w:rsidP="00C04C8C">
      <w:pPr>
        <w:tabs>
          <w:tab w:val="left" w:pos="-1440"/>
          <w:tab w:val="left" w:pos="-720"/>
        </w:tabs>
        <w:suppressAutoHyphens/>
        <w:rPr>
          <w:spacing w:val="-3"/>
        </w:rPr>
      </w:pPr>
      <w:r w:rsidRPr="005D68C7">
        <w:rPr>
          <w:spacing w:val="-3"/>
        </w:rPr>
        <w:t>7</w:t>
      </w:r>
      <w:r w:rsidR="005C50D1" w:rsidRPr="005D68C7">
        <w:rPr>
          <w:spacing w:val="-3"/>
        </w:rPr>
        <w:t>.</w:t>
      </w:r>
      <w:r w:rsidR="005C50D1" w:rsidRPr="005D68C7">
        <w:rPr>
          <w:spacing w:val="-3"/>
        </w:rPr>
        <w:tab/>
        <w:t>Complainant</w:t>
      </w:r>
      <w:r w:rsidR="0033395B" w:rsidRPr="005D68C7">
        <w:rPr>
          <w:spacing w:val="-3"/>
        </w:rPr>
        <w:t xml:space="preserve"> may have</w:t>
      </w:r>
      <w:r w:rsidR="005C50D1" w:rsidRPr="005D68C7">
        <w:rPr>
          <w:spacing w:val="-3"/>
        </w:rPr>
        <w:t xml:space="preserve"> used more electric heaters for heat than gas heaters</w:t>
      </w:r>
      <w:r w:rsidR="0033395B" w:rsidRPr="005D68C7">
        <w:rPr>
          <w:spacing w:val="-3"/>
        </w:rPr>
        <w:t xml:space="preserve"> as she testified, but her PECO account activity statement for the years 2012 and 2013 shows her electricity usage to be comparable and subject to normal fluctuations due to seasonal changes as opposed to a switch from gas to electric heat which would have been supported by a sudden spiked increase in electricity costs</w:t>
      </w:r>
      <w:r w:rsidR="005C50D1" w:rsidRPr="005D68C7">
        <w:rPr>
          <w:spacing w:val="-3"/>
        </w:rPr>
        <w:t>.  N.T. 24</w:t>
      </w:r>
      <w:r w:rsidR="00CB76DB" w:rsidRPr="005D68C7">
        <w:rPr>
          <w:spacing w:val="-3"/>
        </w:rPr>
        <w:t>-25</w:t>
      </w:r>
      <w:r w:rsidR="0033395B" w:rsidRPr="005D68C7">
        <w:rPr>
          <w:spacing w:val="-3"/>
        </w:rPr>
        <w:t>, 43-44</w:t>
      </w:r>
      <w:r w:rsidR="00EF5C0F">
        <w:rPr>
          <w:spacing w:val="-3"/>
        </w:rPr>
        <w:t>.</w:t>
      </w:r>
    </w:p>
    <w:p w:rsidR="005C50D1" w:rsidRPr="005D68C7" w:rsidRDefault="005C50D1" w:rsidP="00C04C8C">
      <w:pPr>
        <w:tabs>
          <w:tab w:val="left" w:pos="-1440"/>
          <w:tab w:val="left" w:pos="-720"/>
        </w:tabs>
        <w:suppressAutoHyphens/>
        <w:rPr>
          <w:spacing w:val="-3"/>
        </w:rPr>
      </w:pPr>
    </w:p>
    <w:p w:rsidR="00CB76DB" w:rsidRPr="005D68C7" w:rsidRDefault="00B044A4" w:rsidP="00C04C8C">
      <w:pPr>
        <w:tabs>
          <w:tab w:val="left" w:pos="-1440"/>
          <w:tab w:val="left" w:pos="-720"/>
        </w:tabs>
        <w:suppressAutoHyphens/>
        <w:rPr>
          <w:spacing w:val="-3"/>
        </w:rPr>
      </w:pPr>
      <w:r w:rsidRPr="005D68C7">
        <w:rPr>
          <w:spacing w:val="-3"/>
        </w:rPr>
        <w:t>8</w:t>
      </w:r>
      <w:r w:rsidR="00CB76DB" w:rsidRPr="005D68C7">
        <w:rPr>
          <w:spacing w:val="-3"/>
        </w:rPr>
        <w:t>.</w:t>
      </w:r>
      <w:r w:rsidR="00CB76DB" w:rsidRPr="005D68C7">
        <w:rPr>
          <w:spacing w:val="-3"/>
        </w:rPr>
        <w:tab/>
        <w:t>On March 1, 2013, Clifford Brown, a PGW employee, went to the service property for a business district survey but was unable to gain access to the meter.  There was no answer at the premises.  N.T. 31.</w:t>
      </w:r>
      <w:r w:rsidR="009153F3" w:rsidRPr="005D68C7">
        <w:rPr>
          <w:spacing w:val="-3"/>
        </w:rPr>
        <w:t xml:space="preserve"> PGW Exhibit 3.</w:t>
      </w:r>
    </w:p>
    <w:p w:rsidR="00CB76DB" w:rsidRPr="005D68C7" w:rsidRDefault="00CB76DB" w:rsidP="00C04C8C">
      <w:pPr>
        <w:tabs>
          <w:tab w:val="left" w:pos="-1440"/>
          <w:tab w:val="left" w:pos="-720"/>
        </w:tabs>
        <w:suppressAutoHyphens/>
        <w:rPr>
          <w:spacing w:val="-3"/>
        </w:rPr>
      </w:pPr>
    </w:p>
    <w:p w:rsidR="00CB76DB" w:rsidRDefault="00B044A4" w:rsidP="00815A23">
      <w:pPr>
        <w:tabs>
          <w:tab w:val="left" w:pos="-1440"/>
          <w:tab w:val="left" w:pos="-720"/>
        </w:tabs>
        <w:suppressAutoHyphens/>
        <w:rPr>
          <w:spacing w:val="-3"/>
        </w:rPr>
      </w:pPr>
      <w:r w:rsidRPr="005D68C7">
        <w:rPr>
          <w:spacing w:val="-3"/>
        </w:rPr>
        <w:lastRenderedPageBreak/>
        <w:t>9</w:t>
      </w:r>
      <w:r w:rsidR="00CB76DB" w:rsidRPr="005D68C7">
        <w:rPr>
          <w:spacing w:val="-3"/>
        </w:rPr>
        <w:t>.</w:t>
      </w:r>
      <w:r w:rsidR="00CB76DB" w:rsidRPr="005D68C7">
        <w:rPr>
          <w:spacing w:val="-3"/>
        </w:rPr>
        <w:tab/>
        <w:t xml:space="preserve">On June 5, 2013, </w:t>
      </w:r>
      <w:r w:rsidR="00B7269C">
        <w:rPr>
          <w:spacing w:val="-3"/>
        </w:rPr>
        <w:t>Joseph Laughlin</w:t>
      </w:r>
      <w:r w:rsidR="009C48A9" w:rsidRPr="005D68C7">
        <w:rPr>
          <w:spacing w:val="-3"/>
        </w:rPr>
        <w:t>, a PGW employee,</w:t>
      </w:r>
      <w:r w:rsidR="00CB76DB" w:rsidRPr="005D68C7">
        <w:rPr>
          <w:spacing w:val="-3"/>
        </w:rPr>
        <w:t xml:space="preserve"> was at the property for a zero-usage</w:t>
      </w:r>
      <w:r w:rsidR="00B7269C">
        <w:rPr>
          <w:spacing w:val="-3"/>
        </w:rPr>
        <w:t xml:space="preserve"> investigation</w:t>
      </w:r>
      <w:r w:rsidR="00CB76DB" w:rsidRPr="005D68C7">
        <w:rPr>
          <w:spacing w:val="-3"/>
        </w:rPr>
        <w:t xml:space="preserve"> and left </w:t>
      </w:r>
      <w:r w:rsidR="009C48A9" w:rsidRPr="005D68C7">
        <w:rPr>
          <w:spacing w:val="-3"/>
        </w:rPr>
        <w:t>a 10-day shut off notice for lack of meter access at</w:t>
      </w:r>
      <w:r w:rsidR="00CB76DB" w:rsidRPr="005D68C7">
        <w:rPr>
          <w:spacing w:val="-3"/>
        </w:rPr>
        <w:t xml:space="preserve"> the property.  </w:t>
      </w:r>
      <w:r w:rsidR="00B7269C" w:rsidRPr="005D68C7">
        <w:rPr>
          <w:spacing w:val="-3"/>
        </w:rPr>
        <w:t>Christopher Sinko</w:t>
      </w:r>
      <w:r w:rsidR="00B7269C">
        <w:rPr>
          <w:spacing w:val="-3"/>
        </w:rPr>
        <w:t xml:space="preserve"> posted a</w:t>
      </w:r>
      <w:r w:rsidR="009C48A9" w:rsidRPr="005D68C7">
        <w:rPr>
          <w:spacing w:val="-3"/>
        </w:rPr>
        <w:t xml:space="preserve"> 72-hour shut off notice at the service address on June 14, 2013.  </w:t>
      </w:r>
      <w:r w:rsidR="00CB76DB" w:rsidRPr="005D68C7">
        <w:rPr>
          <w:spacing w:val="-3"/>
        </w:rPr>
        <w:t>N.T. 31.</w:t>
      </w:r>
      <w:r w:rsidR="00815A23">
        <w:rPr>
          <w:spacing w:val="-3"/>
        </w:rPr>
        <w:t xml:space="preserve">  PGW Exhibits 3 and </w:t>
      </w:r>
      <w:r w:rsidR="009C48A9" w:rsidRPr="005D68C7">
        <w:rPr>
          <w:spacing w:val="-3"/>
        </w:rPr>
        <w:t>4.</w:t>
      </w:r>
    </w:p>
    <w:p w:rsidR="00815A23" w:rsidRPr="005D68C7" w:rsidRDefault="00815A23" w:rsidP="00815A23">
      <w:pPr>
        <w:tabs>
          <w:tab w:val="left" w:pos="-1440"/>
          <w:tab w:val="left" w:pos="-720"/>
        </w:tabs>
        <w:suppressAutoHyphens/>
        <w:rPr>
          <w:spacing w:val="-3"/>
        </w:rPr>
      </w:pPr>
    </w:p>
    <w:p w:rsidR="00CB76DB" w:rsidRPr="005D68C7" w:rsidRDefault="00B044A4" w:rsidP="00C04C8C">
      <w:pPr>
        <w:tabs>
          <w:tab w:val="left" w:pos="-1440"/>
          <w:tab w:val="left" w:pos="-720"/>
        </w:tabs>
        <w:suppressAutoHyphens/>
        <w:rPr>
          <w:spacing w:val="-3"/>
        </w:rPr>
      </w:pPr>
      <w:r w:rsidRPr="005D68C7">
        <w:rPr>
          <w:spacing w:val="-3"/>
        </w:rPr>
        <w:t>10</w:t>
      </w:r>
      <w:r w:rsidR="00CB76DB" w:rsidRPr="005D68C7">
        <w:rPr>
          <w:spacing w:val="-3"/>
        </w:rPr>
        <w:t>.</w:t>
      </w:r>
      <w:r w:rsidR="00CB76DB" w:rsidRPr="005D68C7">
        <w:rPr>
          <w:spacing w:val="-3"/>
        </w:rPr>
        <w:tab/>
        <w:t>David DiRugeris</w:t>
      </w:r>
      <w:r w:rsidR="009C48A9" w:rsidRPr="005D68C7">
        <w:rPr>
          <w:spacing w:val="-3"/>
        </w:rPr>
        <w:t>, a PGW employee,</w:t>
      </w:r>
      <w:r w:rsidR="00CB76DB" w:rsidRPr="005D68C7">
        <w:rPr>
          <w:spacing w:val="-3"/>
        </w:rPr>
        <w:t xml:space="preserve"> went to the property on June 24, 2013, for a zero-usage noncompliance shut-off order.  He turned off the gas at the curb because </w:t>
      </w:r>
      <w:r w:rsidR="002F742C" w:rsidRPr="005D68C7">
        <w:rPr>
          <w:spacing w:val="-3"/>
        </w:rPr>
        <w:t xml:space="preserve">he was </w:t>
      </w:r>
      <w:r w:rsidR="00CB76DB" w:rsidRPr="005D68C7">
        <w:rPr>
          <w:spacing w:val="-3"/>
        </w:rPr>
        <w:t>refused access to the basement.  N.T. 31.</w:t>
      </w:r>
      <w:r w:rsidR="009153F3" w:rsidRPr="005D68C7">
        <w:rPr>
          <w:spacing w:val="-3"/>
        </w:rPr>
        <w:t xml:space="preserve"> PGW Exhibit 3.</w:t>
      </w:r>
    </w:p>
    <w:p w:rsidR="00CB76DB" w:rsidRPr="005D68C7" w:rsidRDefault="00CB76DB" w:rsidP="00416B01">
      <w:pPr>
        <w:tabs>
          <w:tab w:val="left" w:pos="-1440"/>
          <w:tab w:val="left" w:pos="-720"/>
        </w:tabs>
        <w:suppressAutoHyphens/>
        <w:rPr>
          <w:spacing w:val="-3"/>
        </w:rPr>
      </w:pPr>
    </w:p>
    <w:p w:rsidR="00CB76DB" w:rsidRPr="005D68C7" w:rsidRDefault="00CB76DB" w:rsidP="00C04C8C">
      <w:pPr>
        <w:tabs>
          <w:tab w:val="left" w:pos="-1440"/>
          <w:tab w:val="left" w:pos="-720"/>
        </w:tabs>
        <w:suppressAutoHyphens/>
        <w:rPr>
          <w:spacing w:val="-3"/>
        </w:rPr>
      </w:pPr>
      <w:r w:rsidRPr="005D68C7">
        <w:rPr>
          <w:spacing w:val="-3"/>
        </w:rPr>
        <w:t>1</w:t>
      </w:r>
      <w:r w:rsidR="00B044A4" w:rsidRPr="005D68C7">
        <w:rPr>
          <w:spacing w:val="-3"/>
        </w:rPr>
        <w:t>1</w:t>
      </w:r>
      <w:r w:rsidRPr="005D68C7">
        <w:rPr>
          <w:spacing w:val="-3"/>
        </w:rPr>
        <w:t>.</w:t>
      </w:r>
      <w:r w:rsidRPr="005D68C7">
        <w:rPr>
          <w:spacing w:val="-3"/>
        </w:rPr>
        <w:tab/>
        <w:t>On June 25, 2013, Randolph Ferguson</w:t>
      </w:r>
      <w:r w:rsidR="0033395B" w:rsidRPr="005D68C7">
        <w:rPr>
          <w:spacing w:val="-3"/>
        </w:rPr>
        <w:t>, a PGW technician,</w:t>
      </w:r>
      <w:r w:rsidRPr="005D68C7">
        <w:rPr>
          <w:spacing w:val="-3"/>
        </w:rPr>
        <w:t xml:space="preserve"> </w:t>
      </w:r>
      <w:r w:rsidR="0033395B" w:rsidRPr="005D68C7">
        <w:rPr>
          <w:spacing w:val="-3"/>
        </w:rPr>
        <w:t xml:space="preserve">and Carlos Figueroa, PGW Supervisor of the </w:t>
      </w:r>
      <w:r w:rsidR="00E74FA8">
        <w:rPr>
          <w:spacing w:val="-3"/>
        </w:rPr>
        <w:t>M</w:t>
      </w:r>
      <w:r w:rsidR="0033395B" w:rsidRPr="005D68C7">
        <w:rPr>
          <w:spacing w:val="-3"/>
        </w:rPr>
        <w:t xml:space="preserve">eter </w:t>
      </w:r>
      <w:r w:rsidR="00E74FA8">
        <w:rPr>
          <w:spacing w:val="-3"/>
        </w:rPr>
        <w:t>I</w:t>
      </w:r>
      <w:r w:rsidR="0033395B" w:rsidRPr="005D68C7">
        <w:rPr>
          <w:spacing w:val="-3"/>
        </w:rPr>
        <w:t xml:space="preserve">nvestigation </w:t>
      </w:r>
      <w:r w:rsidR="00E74FA8">
        <w:rPr>
          <w:spacing w:val="-3"/>
        </w:rPr>
        <w:t>U</w:t>
      </w:r>
      <w:r w:rsidR="0033395B" w:rsidRPr="005D68C7">
        <w:rPr>
          <w:spacing w:val="-3"/>
        </w:rPr>
        <w:t xml:space="preserve">nit, </w:t>
      </w:r>
      <w:r w:rsidRPr="005D68C7">
        <w:rPr>
          <w:spacing w:val="-3"/>
        </w:rPr>
        <w:t xml:space="preserve">visited the property for </w:t>
      </w:r>
      <w:r w:rsidR="00B7269C">
        <w:rPr>
          <w:spacing w:val="-3"/>
        </w:rPr>
        <w:t xml:space="preserve">an </w:t>
      </w:r>
      <w:r w:rsidRPr="005D68C7">
        <w:rPr>
          <w:spacing w:val="-3"/>
        </w:rPr>
        <w:t xml:space="preserve">unbilled usage investigation order.  </w:t>
      </w:r>
      <w:r w:rsidR="0033395B" w:rsidRPr="005D68C7">
        <w:rPr>
          <w:spacing w:val="-3"/>
        </w:rPr>
        <w:t>They</w:t>
      </w:r>
      <w:r w:rsidR="00B628D2" w:rsidRPr="005D68C7">
        <w:rPr>
          <w:spacing w:val="-3"/>
        </w:rPr>
        <w:t xml:space="preserve"> gained access to the meter in the basement,</w:t>
      </w:r>
      <w:r w:rsidRPr="005D68C7">
        <w:rPr>
          <w:spacing w:val="-3"/>
        </w:rPr>
        <w:t xml:space="preserve"> found the gas off and left </w:t>
      </w:r>
      <w:r w:rsidR="00B7269C">
        <w:rPr>
          <w:spacing w:val="-3"/>
        </w:rPr>
        <w:t xml:space="preserve">the gas </w:t>
      </w:r>
      <w:r w:rsidRPr="005D68C7">
        <w:rPr>
          <w:spacing w:val="-3"/>
        </w:rPr>
        <w:t>off</w:t>
      </w:r>
      <w:r w:rsidR="00B628D2" w:rsidRPr="005D68C7">
        <w:rPr>
          <w:spacing w:val="-3"/>
        </w:rPr>
        <w:t>,</w:t>
      </w:r>
      <w:r w:rsidRPr="005D68C7">
        <w:rPr>
          <w:spacing w:val="-3"/>
        </w:rPr>
        <w:t xml:space="preserve"> </w:t>
      </w:r>
      <w:r w:rsidR="0033395B" w:rsidRPr="005D68C7">
        <w:rPr>
          <w:spacing w:val="-3"/>
        </w:rPr>
        <w:t xml:space="preserve">and </w:t>
      </w:r>
      <w:r w:rsidRPr="005D68C7">
        <w:rPr>
          <w:spacing w:val="-3"/>
        </w:rPr>
        <w:t xml:space="preserve">pulled the meter from the property.  </w:t>
      </w:r>
      <w:r w:rsidR="0033395B" w:rsidRPr="005D68C7">
        <w:rPr>
          <w:spacing w:val="-3"/>
        </w:rPr>
        <w:t>They</w:t>
      </w:r>
      <w:r w:rsidRPr="005D68C7">
        <w:rPr>
          <w:spacing w:val="-3"/>
        </w:rPr>
        <w:t xml:space="preserve"> </w:t>
      </w:r>
      <w:r w:rsidR="00B628D2" w:rsidRPr="005D68C7">
        <w:rPr>
          <w:spacing w:val="-3"/>
        </w:rPr>
        <w:t>uncovered an unknown bypass at the meter</w:t>
      </w:r>
      <w:r w:rsidR="00144345" w:rsidRPr="005D68C7">
        <w:rPr>
          <w:spacing w:val="-3"/>
        </w:rPr>
        <w:t xml:space="preserve"> and </w:t>
      </w:r>
      <w:r w:rsidRPr="005D68C7">
        <w:rPr>
          <w:spacing w:val="-3"/>
        </w:rPr>
        <w:t xml:space="preserve">noted the read had been stopped at 8219 since February </w:t>
      </w:r>
      <w:r w:rsidR="00144345" w:rsidRPr="005D68C7">
        <w:rPr>
          <w:spacing w:val="-3"/>
        </w:rPr>
        <w:t xml:space="preserve">8, </w:t>
      </w:r>
      <w:r w:rsidRPr="005D68C7">
        <w:rPr>
          <w:spacing w:val="-3"/>
        </w:rPr>
        <w:t>2012.  N.T. 31.</w:t>
      </w:r>
      <w:r w:rsidR="009153F3" w:rsidRPr="005D68C7">
        <w:rPr>
          <w:spacing w:val="-3"/>
        </w:rPr>
        <w:t xml:space="preserve">  PGW Exhibit 3.</w:t>
      </w:r>
    </w:p>
    <w:p w:rsidR="00CB76DB" w:rsidRPr="005D68C7" w:rsidRDefault="00CB76DB" w:rsidP="00C04C8C">
      <w:pPr>
        <w:tabs>
          <w:tab w:val="left" w:pos="-1440"/>
          <w:tab w:val="left" w:pos="-720"/>
        </w:tabs>
        <w:suppressAutoHyphens/>
        <w:rPr>
          <w:spacing w:val="-3"/>
        </w:rPr>
      </w:pPr>
    </w:p>
    <w:p w:rsidR="00144345" w:rsidRPr="005D68C7" w:rsidRDefault="00CB76DB" w:rsidP="00C04C8C">
      <w:pPr>
        <w:tabs>
          <w:tab w:val="left" w:pos="-1440"/>
          <w:tab w:val="left" w:pos="-720"/>
        </w:tabs>
        <w:suppressAutoHyphens/>
        <w:rPr>
          <w:spacing w:val="-3"/>
        </w:rPr>
      </w:pPr>
      <w:r w:rsidRPr="005D68C7">
        <w:rPr>
          <w:spacing w:val="-3"/>
        </w:rPr>
        <w:t>1</w:t>
      </w:r>
      <w:r w:rsidR="00B044A4" w:rsidRPr="005D68C7">
        <w:rPr>
          <w:spacing w:val="-3"/>
        </w:rPr>
        <w:t>2</w:t>
      </w:r>
      <w:r w:rsidRPr="005D68C7">
        <w:rPr>
          <w:spacing w:val="-3"/>
        </w:rPr>
        <w:t>.</w:t>
      </w:r>
      <w:r w:rsidRPr="005D68C7">
        <w:rPr>
          <w:spacing w:val="-3"/>
        </w:rPr>
        <w:tab/>
      </w:r>
      <w:r w:rsidR="00144345" w:rsidRPr="005D68C7">
        <w:rPr>
          <w:spacing w:val="-3"/>
        </w:rPr>
        <w:t>Mr. Ferguson performed a test on the meter by turning up the thermostat on the hot water heater</w:t>
      </w:r>
      <w:r w:rsidR="00B7269C">
        <w:rPr>
          <w:spacing w:val="-3"/>
        </w:rPr>
        <w:t>.  T</w:t>
      </w:r>
      <w:r w:rsidR="00144345" w:rsidRPr="005D68C7">
        <w:rPr>
          <w:spacing w:val="-3"/>
        </w:rPr>
        <w:t>he half-foot dial and the two-foot dial w</w:t>
      </w:r>
      <w:r w:rsidR="00B7269C">
        <w:rPr>
          <w:spacing w:val="-3"/>
        </w:rPr>
        <w:t>ere</w:t>
      </w:r>
      <w:r w:rsidR="00144345" w:rsidRPr="005D68C7">
        <w:rPr>
          <w:spacing w:val="-3"/>
        </w:rPr>
        <w:t xml:space="preserve"> moving on the meter, but the account had showed zero </w:t>
      </w:r>
      <w:r w:rsidR="009C48A9" w:rsidRPr="005D68C7">
        <w:rPr>
          <w:spacing w:val="-3"/>
        </w:rPr>
        <w:t xml:space="preserve">CCF </w:t>
      </w:r>
      <w:r w:rsidR="00144345" w:rsidRPr="005D68C7">
        <w:rPr>
          <w:spacing w:val="-3"/>
        </w:rPr>
        <w:t>usage since February 8, 2012.  N.T. 32.</w:t>
      </w:r>
      <w:r w:rsidR="009C48A9" w:rsidRPr="005D68C7">
        <w:rPr>
          <w:spacing w:val="-3"/>
        </w:rPr>
        <w:t xml:space="preserve">  PGW Exhibit 1.</w:t>
      </w:r>
    </w:p>
    <w:p w:rsidR="00144345" w:rsidRPr="005D68C7" w:rsidRDefault="00144345" w:rsidP="00C04C8C">
      <w:pPr>
        <w:tabs>
          <w:tab w:val="left" w:pos="-1440"/>
          <w:tab w:val="left" w:pos="-720"/>
        </w:tabs>
        <w:suppressAutoHyphens/>
        <w:rPr>
          <w:spacing w:val="-3"/>
        </w:rPr>
      </w:pPr>
    </w:p>
    <w:p w:rsidR="00CB76DB" w:rsidRPr="005D68C7" w:rsidRDefault="00144345" w:rsidP="00C04C8C">
      <w:pPr>
        <w:tabs>
          <w:tab w:val="left" w:pos="-1440"/>
          <w:tab w:val="left" w:pos="-720"/>
        </w:tabs>
        <w:suppressAutoHyphens/>
        <w:rPr>
          <w:spacing w:val="-3"/>
        </w:rPr>
      </w:pPr>
      <w:r w:rsidRPr="005D68C7">
        <w:rPr>
          <w:spacing w:val="-3"/>
        </w:rPr>
        <w:t>1</w:t>
      </w:r>
      <w:r w:rsidR="00B044A4" w:rsidRPr="005D68C7">
        <w:rPr>
          <w:spacing w:val="-3"/>
        </w:rPr>
        <w:t>3</w:t>
      </w:r>
      <w:r w:rsidRPr="005D68C7">
        <w:rPr>
          <w:spacing w:val="-3"/>
        </w:rPr>
        <w:t>.</w:t>
      </w:r>
      <w:r w:rsidRPr="005D68C7">
        <w:rPr>
          <w:spacing w:val="-3"/>
        </w:rPr>
        <w:tab/>
      </w:r>
      <w:r w:rsidR="00CB76DB" w:rsidRPr="005D68C7">
        <w:rPr>
          <w:spacing w:val="-3"/>
        </w:rPr>
        <w:t xml:space="preserve">Mr. Ferguson noted that the premises had one hot water heater at 32,000 BTU, two rooftop heaters </w:t>
      </w:r>
      <w:r w:rsidR="002F742C" w:rsidRPr="005D68C7">
        <w:rPr>
          <w:spacing w:val="-3"/>
        </w:rPr>
        <w:t>with</w:t>
      </w:r>
      <w:r w:rsidR="00CB76DB" w:rsidRPr="005D68C7">
        <w:rPr>
          <w:spacing w:val="-3"/>
        </w:rPr>
        <w:t xml:space="preserve"> unknown BTU at the time, a 10-burner grill at 300,000 BTU, two fryers, at 21,000 BTU.  N.T. 32.  </w:t>
      </w:r>
      <w:r w:rsidRPr="005D68C7">
        <w:rPr>
          <w:spacing w:val="-3"/>
        </w:rPr>
        <w:t xml:space="preserve">Mr. Figueroa </w:t>
      </w:r>
      <w:r w:rsidR="009C48A9" w:rsidRPr="005D68C7">
        <w:rPr>
          <w:spacing w:val="-3"/>
        </w:rPr>
        <w:t xml:space="preserve">additionally </w:t>
      </w:r>
      <w:r w:rsidRPr="005D68C7">
        <w:rPr>
          <w:spacing w:val="-3"/>
        </w:rPr>
        <w:t xml:space="preserve">noted a </w:t>
      </w:r>
      <w:r w:rsidR="00416B01">
        <w:rPr>
          <w:spacing w:val="-3"/>
        </w:rPr>
        <w:t>convection oven which was </w:t>
      </w:r>
      <w:r w:rsidRPr="005D68C7">
        <w:rPr>
          <w:spacing w:val="-3"/>
        </w:rPr>
        <w:t>80,000 BTUs, a</w:t>
      </w:r>
      <w:r w:rsidR="009C48A9" w:rsidRPr="005D68C7">
        <w:rPr>
          <w:spacing w:val="-3"/>
        </w:rPr>
        <w:t>nd two</w:t>
      </w:r>
      <w:r w:rsidRPr="005D68C7">
        <w:rPr>
          <w:spacing w:val="-3"/>
        </w:rPr>
        <w:t xml:space="preserve"> warmer</w:t>
      </w:r>
      <w:r w:rsidR="009C48A9" w:rsidRPr="005D68C7">
        <w:rPr>
          <w:spacing w:val="-3"/>
        </w:rPr>
        <w:t>s</w:t>
      </w:r>
      <w:r w:rsidRPr="005D68C7">
        <w:rPr>
          <w:spacing w:val="-3"/>
        </w:rPr>
        <w:t xml:space="preserve"> </w:t>
      </w:r>
      <w:r w:rsidR="002F742C" w:rsidRPr="005D68C7">
        <w:rPr>
          <w:spacing w:val="-3"/>
        </w:rPr>
        <w:t>with</w:t>
      </w:r>
      <w:r w:rsidRPr="005D68C7">
        <w:rPr>
          <w:spacing w:val="-3"/>
        </w:rPr>
        <w:t xml:space="preserve"> 22,000 BTUs</w:t>
      </w:r>
      <w:r w:rsidR="009C48A9" w:rsidRPr="005D68C7">
        <w:rPr>
          <w:spacing w:val="-3"/>
        </w:rPr>
        <w:t xml:space="preserve"> each</w:t>
      </w:r>
      <w:r w:rsidRPr="005D68C7">
        <w:rPr>
          <w:spacing w:val="-3"/>
        </w:rPr>
        <w:t>.  N.T. 38</w:t>
      </w:r>
      <w:r w:rsidR="0033395B" w:rsidRPr="005D68C7">
        <w:rPr>
          <w:spacing w:val="-3"/>
        </w:rPr>
        <w:t xml:space="preserve"> and 45, PGW Exhibit 4</w:t>
      </w:r>
      <w:r w:rsidR="00BD3611">
        <w:rPr>
          <w:spacing w:val="-3"/>
        </w:rPr>
        <w:t>.</w:t>
      </w:r>
    </w:p>
    <w:p w:rsidR="00CB76DB" w:rsidRPr="005D68C7" w:rsidRDefault="00CB76DB" w:rsidP="00C04C8C">
      <w:pPr>
        <w:tabs>
          <w:tab w:val="left" w:pos="-1440"/>
          <w:tab w:val="left" w:pos="-720"/>
        </w:tabs>
        <w:suppressAutoHyphens/>
        <w:rPr>
          <w:spacing w:val="-3"/>
        </w:rPr>
      </w:pPr>
    </w:p>
    <w:p w:rsidR="006F46B6" w:rsidRPr="005D68C7" w:rsidRDefault="00175429" w:rsidP="00C04C8C">
      <w:pPr>
        <w:tabs>
          <w:tab w:val="left" w:pos="-1440"/>
          <w:tab w:val="left" w:pos="-720"/>
        </w:tabs>
        <w:suppressAutoHyphens/>
        <w:rPr>
          <w:spacing w:val="-3"/>
        </w:rPr>
      </w:pPr>
      <w:r w:rsidRPr="005D68C7">
        <w:rPr>
          <w:spacing w:val="-3"/>
        </w:rPr>
        <w:t>1</w:t>
      </w:r>
      <w:r w:rsidR="00B044A4" w:rsidRPr="005D68C7">
        <w:rPr>
          <w:spacing w:val="-3"/>
        </w:rPr>
        <w:t>4</w:t>
      </w:r>
      <w:r w:rsidRPr="005D68C7">
        <w:rPr>
          <w:spacing w:val="-3"/>
        </w:rPr>
        <w:t>.</w:t>
      </w:r>
      <w:r w:rsidRPr="005D68C7">
        <w:rPr>
          <w:spacing w:val="-3"/>
        </w:rPr>
        <w:tab/>
      </w:r>
      <w:r w:rsidR="006F46B6" w:rsidRPr="005D68C7">
        <w:rPr>
          <w:spacing w:val="-3"/>
        </w:rPr>
        <w:t xml:space="preserve">Complainant’s natural gas usage was metered by </w:t>
      </w:r>
      <w:r w:rsidR="00BB4ACF" w:rsidRPr="005D68C7">
        <w:rPr>
          <w:spacing w:val="-3"/>
        </w:rPr>
        <w:t xml:space="preserve">a remotely read meter using an </w:t>
      </w:r>
      <w:r w:rsidRPr="005D68C7">
        <w:rPr>
          <w:spacing w:val="-3"/>
        </w:rPr>
        <w:t xml:space="preserve">Automated Meter Reading (AMR) </w:t>
      </w:r>
      <w:r w:rsidR="00BB4ACF" w:rsidRPr="005D68C7">
        <w:rPr>
          <w:spacing w:val="-3"/>
        </w:rPr>
        <w:t>which enables usage to be measured and sent to respondent without a meter reader doing an in-person visit.</w:t>
      </w:r>
      <w:r w:rsidR="00A10AE5">
        <w:rPr>
          <w:spacing w:val="-3"/>
        </w:rPr>
        <w:t xml:space="preserve">  N.T. 32.</w:t>
      </w:r>
    </w:p>
    <w:p w:rsidR="00BB4ACF" w:rsidRPr="005D68C7" w:rsidRDefault="00BB4ACF" w:rsidP="00C04C8C">
      <w:pPr>
        <w:tabs>
          <w:tab w:val="left" w:pos="-1440"/>
          <w:tab w:val="left" w:pos="-720"/>
        </w:tabs>
        <w:suppressAutoHyphens/>
        <w:rPr>
          <w:spacing w:val="-3"/>
        </w:rPr>
      </w:pPr>
    </w:p>
    <w:p w:rsidR="00144345" w:rsidRPr="005D68C7" w:rsidRDefault="00144345" w:rsidP="00C04C8C">
      <w:pPr>
        <w:tabs>
          <w:tab w:val="left" w:pos="-1440"/>
          <w:tab w:val="left" w:pos="-720"/>
        </w:tabs>
        <w:suppressAutoHyphens/>
        <w:rPr>
          <w:spacing w:val="-3"/>
        </w:rPr>
      </w:pPr>
      <w:r w:rsidRPr="005D68C7">
        <w:rPr>
          <w:spacing w:val="-3"/>
        </w:rPr>
        <w:t>1</w:t>
      </w:r>
      <w:r w:rsidR="00B044A4" w:rsidRPr="005D68C7">
        <w:rPr>
          <w:spacing w:val="-3"/>
        </w:rPr>
        <w:t>5</w:t>
      </w:r>
      <w:r w:rsidR="00BE21C6" w:rsidRPr="005D68C7">
        <w:rPr>
          <w:spacing w:val="-3"/>
        </w:rPr>
        <w:t>.</w:t>
      </w:r>
      <w:r w:rsidR="00BE21C6" w:rsidRPr="005D68C7">
        <w:rPr>
          <w:spacing w:val="-3"/>
        </w:rPr>
        <w:tab/>
      </w:r>
      <w:r w:rsidRPr="005D68C7">
        <w:rPr>
          <w:spacing w:val="-3"/>
        </w:rPr>
        <w:t>The</w:t>
      </w:r>
      <w:r w:rsidR="00AD180D" w:rsidRPr="005D68C7">
        <w:rPr>
          <w:spacing w:val="-3"/>
        </w:rPr>
        <w:t xml:space="preserve"> pulled</w:t>
      </w:r>
      <w:r w:rsidRPr="005D68C7">
        <w:rPr>
          <w:spacing w:val="-3"/>
        </w:rPr>
        <w:t xml:space="preserve"> meter tested to be within 2% accuracy</w:t>
      </w:r>
      <w:r w:rsidR="00C614E4" w:rsidRPr="005D68C7">
        <w:rPr>
          <w:spacing w:val="-3"/>
        </w:rPr>
        <w:t xml:space="preserve"> on June 27, 2013</w:t>
      </w:r>
      <w:r w:rsidRPr="005D68C7">
        <w:rPr>
          <w:spacing w:val="-3"/>
        </w:rPr>
        <w:t xml:space="preserve">.  PGW Exhibit </w:t>
      </w:r>
      <w:r w:rsidR="00C614E4" w:rsidRPr="005D68C7">
        <w:rPr>
          <w:spacing w:val="-3"/>
        </w:rPr>
        <w:t>5</w:t>
      </w:r>
      <w:r w:rsidRPr="005D68C7">
        <w:rPr>
          <w:spacing w:val="-3"/>
        </w:rPr>
        <w:t>.  N.T. 33- 38.</w:t>
      </w:r>
    </w:p>
    <w:p w:rsidR="00AD180D" w:rsidRPr="005D68C7" w:rsidRDefault="00AD180D" w:rsidP="00C04C8C">
      <w:pPr>
        <w:tabs>
          <w:tab w:val="left" w:pos="-1440"/>
          <w:tab w:val="left" w:pos="-720"/>
        </w:tabs>
        <w:suppressAutoHyphens/>
        <w:rPr>
          <w:spacing w:val="-3"/>
        </w:rPr>
      </w:pPr>
    </w:p>
    <w:p w:rsidR="00AD180D" w:rsidRPr="005D68C7" w:rsidRDefault="00AD180D" w:rsidP="00C04C8C">
      <w:pPr>
        <w:tabs>
          <w:tab w:val="left" w:pos="-1440"/>
          <w:tab w:val="left" w:pos="-720"/>
        </w:tabs>
        <w:suppressAutoHyphens/>
        <w:rPr>
          <w:spacing w:val="-3"/>
        </w:rPr>
      </w:pPr>
      <w:r w:rsidRPr="005D68C7">
        <w:rPr>
          <w:spacing w:val="-3"/>
        </w:rPr>
        <w:t>1</w:t>
      </w:r>
      <w:r w:rsidR="00B044A4" w:rsidRPr="005D68C7">
        <w:rPr>
          <w:spacing w:val="-3"/>
        </w:rPr>
        <w:t>6</w:t>
      </w:r>
      <w:r w:rsidRPr="005D68C7">
        <w:rPr>
          <w:spacing w:val="-3"/>
        </w:rPr>
        <w:t>.</w:t>
      </w:r>
      <w:r w:rsidRPr="005D68C7">
        <w:rPr>
          <w:spacing w:val="-3"/>
        </w:rPr>
        <w:tab/>
        <w:t>The amount billed of $11,</w:t>
      </w:r>
      <w:r w:rsidR="00C614E4" w:rsidRPr="005D68C7">
        <w:rPr>
          <w:spacing w:val="-3"/>
        </w:rPr>
        <w:t>155.26 does not reflect estimated usage of two gas rooftop heaters which were later accessed and estimated to have added $6,464.41 to the $11,155.26 bill for a total bill of $17,6</w:t>
      </w:r>
      <w:r w:rsidR="00B7269C">
        <w:rPr>
          <w:spacing w:val="-3"/>
        </w:rPr>
        <w:t>19</w:t>
      </w:r>
      <w:r w:rsidR="00C614E4" w:rsidRPr="005D68C7">
        <w:rPr>
          <w:spacing w:val="-3"/>
        </w:rPr>
        <w:t>.67.  N.T. 41-42.  PGW Exhibit 4.</w:t>
      </w:r>
    </w:p>
    <w:p w:rsidR="00144345" w:rsidRPr="005D68C7" w:rsidRDefault="00144345" w:rsidP="00C04C8C">
      <w:pPr>
        <w:tabs>
          <w:tab w:val="left" w:pos="-1440"/>
          <w:tab w:val="left" w:pos="-720"/>
        </w:tabs>
        <w:suppressAutoHyphens/>
        <w:rPr>
          <w:spacing w:val="-3"/>
        </w:rPr>
      </w:pPr>
    </w:p>
    <w:p w:rsidR="00C8127B" w:rsidRPr="005D68C7" w:rsidRDefault="0033395B" w:rsidP="00C04C8C">
      <w:pPr>
        <w:tabs>
          <w:tab w:val="left" w:pos="-1440"/>
          <w:tab w:val="left" w:pos="-720"/>
        </w:tabs>
        <w:suppressAutoHyphens/>
        <w:rPr>
          <w:spacing w:val="-3"/>
        </w:rPr>
      </w:pPr>
      <w:r w:rsidRPr="005D68C7">
        <w:rPr>
          <w:spacing w:val="-3"/>
        </w:rPr>
        <w:t>1</w:t>
      </w:r>
      <w:r w:rsidR="00B044A4" w:rsidRPr="005D68C7">
        <w:rPr>
          <w:spacing w:val="-3"/>
        </w:rPr>
        <w:t>7</w:t>
      </w:r>
      <w:r w:rsidR="00C8127B" w:rsidRPr="005D68C7">
        <w:rPr>
          <w:spacing w:val="-3"/>
        </w:rPr>
        <w:t>.</w:t>
      </w:r>
      <w:r w:rsidR="00C8127B" w:rsidRPr="005D68C7">
        <w:rPr>
          <w:spacing w:val="-3"/>
        </w:rPr>
        <w:tab/>
        <w:t xml:space="preserve">Placing </w:t>
      </w:r>
      <w:r w:rsidRPr="005D68C7">
        <w:rPr>
          <w:spacing w:val="-3"/>
        </w:rPr>
        <w:t>a</w:t>
      </w:r>
      <w:r w:rsidR="009C48A9" w:rsidRPr="005D68C7">
        <w:rPr>
          <w:spacing w:val="-3"/>
        </w:rPr>
        <w:t>n iron</w:t>
      </w:r>
      <w:r w:rsidRPr="005D68C7">
        <w:rPr>
          <w:spacing w:val="-3"/>
        </w:rPr>
        <w:t xml:space="preserve"> bypass </w:t>
      </w:r>
      <w:r w:rsidR="00C8127B" w:rsidRPr="005D68C7">
        <w:rPr>
          <w:spacing w:val="-3"/>
        </w:rPr>
        <w:t>on a natural gas meter such as th</w:t>
      </w:r>
      <w:r w:rsidR="002F742C" w:rsidRPr="005D68C7">
        <w:rPr>
          <w:spacing w:val="-3"/>
        </w:rPr>
        <w:t>at found</w:t>
      </w:r>
      <w:r w:rsidR="00C8127B" w:rsidRPr="005D68C7">
        <w:rPr>
          <w:spacing w:val="-3"/>
        </w:rPr>
        <w:t xml:space="preserve"> </w:t>
      </w:r>
      <w:r w:rsidRPr="005D68C7">
        <w:rPr>
          <w:spacing w:val="-3"/>
        </w:rPr>
        <w:t xml:space="preserve">at the service property </w:t>
      </w:r>
      <w:r w:rsidR="002F742C" w:rsidRPr="005D68C7">
        <w:rPr>
          <w:spacing w:val="-3"/>
        </w:rPr>
        <w:t xml:space="preserve">on June 25, 2013, </w:t>
      </w:r>
      <w:r w:rsidR="00C8127B" w:rsidRPr="005D68C7">
        <w:rPr>
          <w:spacing w:val="-3"/>
        </w:rPr>
        <w:t xml:space="preserve">will interfere with the accuracy of </w:t>
      </w:r>
      <w:r w:rsidRPr="005D68C7">
        <w:rPr>
          <w:spacing w:val="-3"/>
        </w:rPr>
        <w:t>AMR</w:t>
      </w:r>
      <w:r w:rsidR="00C8127B" w:rsidRPr="005D68C7">
        <w:rPr>
          <w:spacing w:val="-3"/>
        </w:rPr>
        <w:t xml:space="preserve"> meter readings.</w:t>
      </w:r>
    </w:p>
    <w:p w:rsidR="00D83352" w:rsidRPr="005D68C7" w:rsidRDefault="00D83352" w:rsidP="00C04C8C">
      <w:pPr>
        <w:tabs>
          <w:tab w:val="left" w:pos="-1440"/>
          <w:tab w:val="left" w:pos="-720"/>
        </w:tabs>
        <w:suppressAutoHyphens/>
        <w:rPr>
          <w:spacing w:val="-3"/>
        </w:rPr>
      </w:pPr>
    </w:p>
    <w:p w:rsidR="00D83352" w:rsidRPr="005D68C7" w:rsidRDefault="00D83352" w:rsidP="00C04C8C">
      <w:pPr>
        <w:tabs>
          <w:tab w:val="left" w:pos="-1440"/>
          <w:tab w:val="left" w:pos="-720"/>
        </w:tabs>
        <w:suppressAutoHyphens/>
        <w:rPr>
          <w:spacing w:val="-3"/>
        </w:rPr>
      </w:pPr>
      <w:r w:rsidRPr="005D68C7">
        <w:rPr>
          <w:spacing w:val="-3"/>
        </w:rPr>
        <w:t>1</w:t>
      </w:r>
      <w:r w:rsidR="00B044A4" w:rsidRPr="005D68C7">
        <w:rPr>
          <w:spacing w:val="-3"/>
        </w:rPr>
        <w:t>8</w:t>
      </w:r>
      <w:r w:rsidRPr="005D68C7">
        <w:rPr>
          <w:spacing w:val="-3"/>
        </w:rPr>
        <w:t>.</w:t>
      </w:r>
      <w:r w:rsidRPr="005D68C7">
        <w:rPr>
          <w:spacing w:val="-3"/>
        </w:rPr>
        <w:tab/>
        <w:t xml:space="preserve">Mr. Richard Litscomb, Supervisor, Field Services, Revenue Protection Unit visited the </w:t>
      </w:r>
      <w:r w:rsidR="009C48A9" w:rsidRPr="005D68C7">
        <w:rPr>
          <w:spacing w:val="-3"/>
        </w:rPr>
        <w:t>property</w:t>
      </w:r>
      <w:r w:rsidRPr="005D68C7">
        <w:rPr>
          <w:spacing w:val="-3"/>
        </w:rPr>
        <w:t xml:space="preserve"> on </w:t>
      </w:r>
      <w:r w:rsidR="009C48A9" w:rsidRPr="005D68C7">
        <w:rPr>
          <w:spacing w:val="-3"/>
        </w:rPr>
        <w:t>January</w:t>
      </w:r>
      <w:r w:rsidRPr="005D68C7">
        <w:rPr>
          <w:spacing w:val="-3"/>
        </w:rPr>
        <w:t xml:space="preserve"> 31, 2014 and gained access to the building from Mr. Cast</w:t>
      </w:r>
      <w:r w:rsidR="00420339">
        <w:rPr>
          <w:spacing w:val="-3"/>
        </w:rPr>
        <w:t>illo.  N.T. </w:t>
      </w:r>
      <w:r w:rsidRPr="005D68C7">
        <w:rPr>
          <w:spacing w:val="-3"/>
        </w:rPr>
        <w:t>47.</w:t>
      </w:r>
    </w:p>
    <w:p w:rsidR="00D83352" w:rsidRPr="005D68C7" w:rsidRDefault="00D83352" w:rsidP="00C04C8C">
      <w:pPr>
        <w:tabs>
          <w:tab w:val="left" w:pos="-1440"/>
          <w:tab w:val="left" w:pos="-720"/>
        </w:tabs>
        <w:suppressAutoHyphens/>
        <w:rPr>
          <w:spacing w:val="-3"/>
        </w:rPr>
      </w:pPr>
    </w:p>
    <w:p w:rsidR="00D83352" w:rsidRPr="005D68C7" w:rsidRDefault="00D83352" w:rsidP="00C04C8C">
      <w:pPr>
        <w:tabs>
          <w:tab w:val="left" w:pos="-1440"/>
          <w:tab w:val="left" w:pos="-720"/>
        </w:tabs>
        <w:suppressAutoHyphens/>
        <w:rPr>
          <w:spacing w:val="-3"/>
        </w:rPr>
      </w:pPr>
      <w:r w:rsidRPr="005D68C7">
        <w:rPr>
          <w:spacing w:val="-3"/>
        </w:rPr>
        <w:t>1</w:t>
      </w:r>
      <w:r w:rsidR="00B044A4" w:rsidRPr="005D68C7">
        <w:rPr>
          <w:spacing w:val="-3"/>
        </w:rPr>
        <w:t>9</w:t>
      </w:r>
      <w:r w:rsidRPr="005D68C7">
        <w:rPr>
          <w:spacing w:val="-3"/>
        </w:rPr>
        <w:t>.</w:t>
      </w:r>
      <w:r w:rsidRPr="005D68C7">
        <w:rPr>
          <w:spacing w:val="-3"/>
        </w:rPr>
        <w:tab/>
        <w:t>Mr. Litscomb noted</w:t>
      </w:r>
      <w:r w:rsidR="009C48A9" w:rsidRPr="005D68C7">
        <w:rPr>
          <w:spacing w:val="-3"/>
        </w:rPr>
        <w:t xml:space="preserve"> the service property</w:t>
      </w:r>
      <w:r w:rsidRPr="005D68C7">
        <w:rPr>
          <w:spacing w:val="-3"/>
        </w:rPr>
        <w:t xml:space="preserve"> was a double building with a bar, a kitchen in the back, and a dance hall/banquet room on the second floor with a second bar.  N.T. 47-48.</w:t>
      </w:r>
    </w:p>
    <w:p w:rsidR="00D83352" w:rsidRPr="005D68C7" w:rsidRDefault="00D83352" w:rsidP="00C04C8C">
      <w:pPr>
        <w:tabs>
          <w:tab w:val="left" w:pos="-1440"/>
          <w:tab w:val="left" w:pos="-720"/>
        </w:tabs>
        <w:suppressAutoHyphens/>
        <w:rPr>
          <w:spacing w:val="-3"/>
        </w:rPr>
      </w:pPr>
    </w:p>
    <w:p w:rsidR="00D83352" w:rsidRPr="005D68C7" w:rsidRDefault="00B044A4" w:rsidP="00C04C8C">
      <w:pPr>
        <w:tabs>
          <w:tab w:val="left" w:pos="-1440"/>
          <w:tab w:val="left" w:pos="-720"/>
        </w:tabs>
        <w:suppressAutoHyphens/>
        <w:rPr>
          <w:spacing w:val="-3"/>
        </w:rPr>
      </w:pPr>
      <w:r w:rsidRPr="005D68C7">
        <w:rPr>
          <w:spacing w:val="-3"/>
        </w:rPr>
        <w:t>20</w:t>
      </w:r>
      <w:r w:rsidR="00D83352" w:rsidRPr="005D68C7">
        <w:rPr>
          <w:spacing w:val="-3"/>
        </w:rPr>
        <w:t>.</w:t>
      </w:r>
      <w:r w:rsidR="00D83352" w:rsidRPr="005D68C7">
        <w:rPr>
          <w:spacing w:val="-3"/>
        </w:rPr>
        <w:tab/>
      </w:r>
      <w:r w:rsidR="002F742C" w:rsidRPr="005D68C7">
        <w:rPr>
          <w:spacing w:val="-3"/>
        </w:rPr>
        <w:t>Mr. Litscomb noted t</w:t>
      </w:r>
      <w:r w:rsidR="00D83352" w:rsidRPr="005D68C7">
        <w:rPr>
          <w:spacing w:val="-3"/>
        </w:rPr>
        <w:t>he rooftop heaters had tags on them showing 235,000 and 270,000 BTUs respectively.  The kitchen appliances were still connected to gas service lines.  N.T. 49-50.</w:t>
      </w:r>
    </w:p>
    <w:p w:rsidR="00BD5EAF" w:rsidRPr="005D68C7" w:rsidRDefault="00BD5EAF" w:rsidP="00C04C8C">
      <w:pPr>
        <w:tabs>
          <w:tab w:val="left" w:pos="-1440"/>
          <w:tab w:val="left" w:pos="-720"/>
        </w:tabs>
        <w:suppressAutoHyphens/>
        <w:rPr>
          <w:spacing w:val="-3"/>
        </w:rPr>
      </w:pPr>
    </w:p>
    <w:p w:rsidR="00BD5EAF" w:rsidRPr="005D68C7" w:rsidRDefault="00B044A4" w:rsidP="00C04C8C">
      <w:pPr>
        <w:tabs>
          <w:tab w:val="left" w:pos="-1440"/>
          <w:tab w:val="left" w:pos="-720"/>
        </w:tabs>
        <w:suppressAutoHyphens/>
        <w:rPr>
          <w:spacing w:val="-3"/>
        </w:rPr>
      </w:pPr>
      <w:r w:rsidRPr="005D68C7">
        <w:rPr>
          <w:spacing w:val="-3"/>
        </w:rPr>
        <w:t>21</w:t>
      </w:r>
      <w:r w:rsidR="00BD5EAF" w:rsidRPr="005D68C7">
        <w:rPr>
          <w:spacing w:val="-3"/>
        </w:rPr>
        <w:t>.</w:t>
      </w:r>
      <w:r w:rsidR="00BD5EAF" w:rsidRPr="005D68C7">
        <w:rPr>
          <w:spacing w:val="-3"/>
        </w:rPr>
        <w:tab/>
        <w:t xml:space="preserve">Complainant’s gas service has been terminated as of June 24, 2013, and PGW is demanding </w:t>
      </w:r>
      <w:r w:rsidRPr="005D68C7">
        <w:rPr>
          <w:spacing w:val="-3"/>
        </w:rPr>
        <w:t xml:space="preserve">a total of $11,778.49 including: </w:t>
      </w:r>
      <w:r w:rsidR="00BD5EAF" w:rsidRPr="005D68C7">
        <w:rPr>
          <w:spacing w:val="-3"/>
        </w:rPr>
        <w:t>$11,155.26 for unbilled service plus a $123.23 reconnection fee and a $500 deposit before reconnecting service.  PGW Exhibit 4.</w:t>
      </w:r>
      <w:r w:rsidRPr="005D68C7">
        <w:rPr>
          <w:spacing w:val="-3"/>
        </w:rPr>
        <w:t xml:space="preserve">  N.T. 33.</w:t>
      </w:r>
    </w:p>
    <w:p w:rsidR="00C8127B" w:rsidRPr="005D68C7" w:rsidRDefault="00C8127B" w:rsidP="00C04C8C">
      <w:pPr>
        <w:tabs>
          <w:tab w:val="left" w:pos="-1440"/>
          <w:tab w:val="left" w:pos="-720"/>
        </w:tabs>
        <w:suppressAutoHyphens/>
        <w:rPr>
          <w:spacing w:val="-3"/>
        </w:rPr>
      </w:pPr>
    </w:p>
    <w:p w:rsidR="009153F3" w:rsidRPr="005D68C7" w:rsidRDefault="009153F3" w:rsidP="00C04C8C">
      <w:pPr>
        <w:tabs>
          <w:tab w:val="left" w:pos="-1440"/>
          <w:tab w:val="left" w:pos="-720"/>
        </w:tabs>
        <w:suppressAutoHyphens/>
        <w:rPr>
          <w:spacing w:val="-3"/>
        </w:rPr>
      </w:pPr>
      <w:r w:rsidRPr="005D68C7">
        <w:rPr>
          <w:spacing w:val="-3"/>
        </w:rPr>
        <w:t>22.</w:t>
      </w:r>
      <w:r w:rsidRPr="005D68C7">
        <w:rPr>
          <w:spacing w:val="-3"/>
        </w:rPr>
        <w:tab/>
        <w:t xml:space="preserve">In calculating </w:t>
      </w:r>
      <w:r w:rsidR="00F2390B" w:rsidRPr="005D68C7">
        <w:rPr>
          <w:spacing w:val="-3"/>
        </w:rPr>
        <w:t xml:space="preserve">the unauthorized usage, PGW estimated </w:t>
      </w:r>
      <w:r w:rsidR="00D56B4C" w:rsidRPr="005D68C7">
        <w:rPr>
          <w:spacing w:val="-3"/>
        </w:rPr>
        <w:t xml:space="preserve">usage </w:t>
      </w:r>
      <w:r w:rsidR="00F2390B" w:rsidRPr="005D68C7">
        <w:rPr>
          <w:spacing w:val="-3"/>
        </w:rPr>
        <w:t xml:space="preserve">based upon </w:t>
      </w:r>
      <w:r w:rsidR="00316C8A" w:rsidRPr="005D68C7">
        <w:rPr>
          <w:spacing w:val="-3"/>
        </w:rPr>
        <w:t>appliances using approximately 394,000</w:t>
      </w:r>
      <w:r w:rsidR="00F2390B" w:rsidRPr="005D68C7">
        <w:rPr>
          <w:spacing w:val="-3"/>
        </w:rPr>
        <w:t xml:space="preserve"> BTUs </w:t>
      </w:r>
      <w:r w:rsidR="00316C8A" w:rsidRPr="005D68C7">
        <w:rPr>
          <w:spacing w:val="-3"/>
        </w:rPr>
        <w:t xml:space="preserve">still connected to gas lines </w:t>
      </w:r>
      <w:r w:rsidR="00F2390B" w:rsidRPr="005D68C7">
        <w:rPr>
          <w:spacing w:val="-3"/>
        </w:rPr>
        <w:t xml:space="preserve">in </w:t>
      </w:r>
      <w:r w:rsidR="00316C8A" w:rsidRPr="005D68C7">
        <w:rPr>
          <w:spacing w:val="-3"/>
        </w:rPr>
        <w:t xml:space="preserve">the </w:t>
      </w:r>
      <w:r w:rsidR="00F2390B" w:rsidRPr="005D68C7">
        <w:rPr>
          <w:spacing w:val="-3"/>
        </w:rPr>
        <w:t>service property</w:t>
      </w:r>
      <w:r w:rsidR="002F742C" w:rsidRPr="005D68C7">
        <w:rPr>
          <w:spacing w:val="-3"/>
        </w:rPr>
        <w:t xml:space="preserve"> as shown in PGW Exhibit 4</w:t>
      </w:r>
      <w:r w:rsidR="00D56B4C" w:rsidRPr="005D68C7">
        <w:rPr>
          <w:spacing w:val="-3"/>
        </w:rPr>
        <w:t xml:space="preserve">.  </w:t>
      </w:r>
      <w:r w:rsidR="002F742C" w:rsidRPr="005D68C7">
        <w:rPr>
          <w:spacing w:val="-3"/>
        </w:rPr>
        <w:t xml:space="preserve">PGW did not take into consideration the rooftop heaters at the time it calculated the outstanding bill.  </w:t>
      </w:r>
      <w:r w:rsidR="00D56B4C" w:rsidRPr="005D68C7">
        <w:rPr>
          <w:spacing w:val="-3"/>
        </w:rPr>
        <w:t xml:space="preserve">PGW took into consideration </w:t>
      </w:r>
      <w:r w:rsidR="00316C8A" w:rsidRPr="005D68C7">
        <w:rPr>
          <w:spacing w:val="-3"/>
        </w:rPr>
        <w:t xml:space="preserve">that gas heat was </w:t>
      </w:r>
      <w:r w:rsidR="00D56B4C" w:rsidRPr="005D68C7">
        <w:rPr>
          <w:spacing w:val="-3"/>
        </w:rPr>
        <w:t xml:space="preserve">available </w:t>
      </w:r>
      <w:r w:rsidR="00316C8A" w:rsidRPr="005D68C7">
        <w:rPr>
          <w:spacing w:val="-3"/>
        </w:rPr>
        <w:t>at the property</w:t>
      </w:r>
      <w:r w:rsidR="00D56B4C" w:rsidRPr="005D68C7">
        <w:rPr>
          <w:spacing w:val="-3"/>
        </w:rPr>
        <w:t xml:space="preserve">, improvements had been made to the 4,400 </w:t>
      </w:r>
      <w:r w:rsidR="00316C8A" w:rsidRPr="005D68C7">
        <w:rPr>
          <w:spacing w:val="-3"/>
        </w:rPr>
        <w:t>square footage of the property</w:t>
      </w:r>
      <w:r w:rsidR="00F2390B" w:rsidRPr="005D68C7">
        <w:rPr>
          <w:spacing w:val="-3"/>
        </w:rPr>
        <w:t xml:space="preserve">, </w:t>
      </w:r>
      <w:r w:rsidR="00D56B4C" w:rsidRPr="005D68C7">
        <w:rPr>
          <w:spacing w:val="-3"/>
        </w:rPr>
        <w:t xml:space="preserve">and calculated </w:t>
      </w:r>
      <w:r w:rsidR="00F2390B" w:rsidRPr="005D68C7">
        <w:rPr>
          <w:spacing w:val="-3"/>
        </w:rPr>
        <w:t>that for 502 days the average consumption of gas per day was 16.88247012</w:t>
      </w:r>
      <w:r w:rsidR="00B7269C">
        <w:rPr>
          <w:spacing w:val="-3"/>
        </w:rPr>
        <w:t xml:space="preserve"> BTUs</w:t>
      </w:r>
      <w:r w:rsidR="00F2390B" w:rsidRPr="005D68C7">
        <w:rPr>
          <w:spacing w:val="-3"/>
        </w:rPr>
        <w:t>.  Given the commercial customer class</w:t>
      </w:r>
      <w:r w:rsidR="00D56B4C" w:rsidRPr="005D68C7">
        <w:rPr>
          <w:spacing w:val="-3"/>
        </w:rPr>
        <w:t xml:space="preserve"> rate</w:t>
      </w:r>
      <w:r w:rsidR="00F2390B" w:rsidRPr="005D68C7">
        <w:rPr>
          <w:spacing w:val="-3"/>
        </w:rPr>
        <w:t xml:space="preserve">, Complainant was charged a subtotal of $10,922.96 plus sales tax of </w:t>
      </w:r>
      <w:r w:rsidR="00F2390B" w:rsidRPr="005D68C7">
        <w:rPr>
          <w:spacing w:val="-3"/>
        </w:rPr>
        <w:lastRenderedPageBreak/>
        <w:t xml:space="preserve">$764.61 plus a 1% city tax of $109.23 for a total of $11,796.80 less a customer payment of $641.54 yielding a </w:t>
      </w:r>
      <w:r w:rsidR="00316C8A" w:rsidRPr="005D68C7">
        <w:rPr>
          <w:spacing w:val="-3"/>
        </w:rPr>
        <w:t xml:space="preserve">total outstanding bill of </w:t>
      </w:r>
      <w:r w:rsidR="00F2390B" w:rsidRPr="005D68C7">
        <w:rPr>
          <w:spacing w:val="-3"/>
        </w:rPr>
        <w:t>$11,155.26</w:t>
      </w:r>
      <w:r w:rsidR="00316C8A" w:rsidRPr="005D68C7">
        <w:rPr>
          <w:spacing w:val="-3"/>
        </w:rPr>
        <w:t xml:space="preserve"> for unauthorized gas</w:t>
      </w:r>
      <w:r w:rsidR="00F2390B" w:rsidRPr="005D68C7">
        <w:rPr>
          <w:spacing w:val="-3"/>
        </w:rPr>
        <w:t>.  PGW Exhibit 4.</w:t>
      </w:r>
    </w:p>
    <w:p w:rsidR="00B044A4" w:rsidRPr="005D68C7" w:rsidRDefault="00B044A4" w:rsidP="00C04C8C">
      <w:pPr>
        <w:tabs>
          <w:tab w:val="center" w:pos="4680"/>
        </w:tabs>
        <w:suppressAutoHyphens/>
        <w:ind w:firstLine="0"/>
        <w:jc w:val="center"/>
        <w:rPr>
          <w:spacing w:val="-3"/>
          <w:u w:val="single"/>
        </w:rPr>
      </w:pPr>
    </w:p>
    <w:p w:rsidR="00053D24" w:rsidRPr="005D68C7" w:rsidRDefault="00053D24" w:rsidP="00C04C8C">
      <w:pPr>
        <w:tabs>
          <w:tab w:val="center" w:pos="4680"/>
        </w:tabs>
        <w:suppressAutoHyphens/>
        <w:ind w:firstLine="0"/>
        <w:jc w:val="center"/>
        <w:rPr>
          <w:spacing w:val="-3"/>
          <w:u w:val="single"/>
        </w:rPr>
      </w:pPr>
      <w:r w:rsidRPr="005D68C7">
        <w:rPr>
          <w:spacing w:val="-3"/>
          <w:u w:val="single"/>
        </w:rPr>
        <w:t>DISCUSSION</w:t>
      </w:r>
    </w:p>
    <w:p w:rsidR="00053D24" w:rsidRPr="005D68C7" w:rsidRDefault="00053D24" w:rsidP="00C04C8C">
      <w:pPr>
        <w:tabs>
          <w:tab w:val="center" w:pos="4680"/>
        </w:tabs>
        <w:suppressAutoHyphens/>
        <w:rPr>
          <w:spacing w:val="-3"/>
        </w:rPr>
      </w:pPr>
    </w:p>
    <w:p w:rsidR="007879C8" w:rsidRPr="005D68C7" w:rsidRDefault="007879C8" w:rsidP="00C04C8C">
      <w:r w:rsidRPr="005D68C7">
        <w:t>As the proponent of a Commission order, complainant has the burden of proof in this case.  66 Pa.C.S.A. § 332(a).</w:t>
      </w:r>
    </w:p>
    <w:p w:rsidR="007879C8" w:rsidRPr="005D68C7" w:rsidRDefault="007879C8" w:rsidP="00C04C8C"/>
    <w:p w:rsidR="007879C8" w:rsidRPr="005D68C7" w:rsidRDefault="007879C8" w:rsidP="00C04C8C">
      <w:pPr>
        <w:tabs>
          <w:tab w:val="left" w:pos="-1440"/>
          <w:tab w:val="left" w:pos="-720"/>
        </w:tabs>
        <w:suppressAutoHyphens/>
        <w:rPr>
          <w:spacing w:val="-3"/>
        </w:rPr>
      </w:pPr>
      <w:r w:rsidRPr="005D68C7">
        <w:rPr>
          <w:spacing w:val="-3"/>
        </w:rPr>
        <w:t xml:space="preserve">The “burden of proof” is composed of two distinct burdens: the burden of production and the burden of persuasion.  </w:t>
      </w:r>
      <w:r w:rsidRPr="005D68C7">
        <w:rPr>
          <w:i/>
          <w:spacing w:val="-3"/>
        </w:rPr>
        <w:t>Hurley v. Hurley</w:t>
      </w:r>
      <w:r w:rsidRPr="005D68C7">
        <w:rPr>
          <w:spacing w:val="-3"/>
        </w:rPr>
        <w:t>, 2000 Pa.Super. 178, 754 A.2d 1283 (2000).</w:t>
      </w:r>
    </w:p>
    <w:p w:rsidR="007879C8" w:rsidRPr="005D68C7" w:rsidRDefault="007879C8" w:rsidP="00C04C8C">
      <w:pPr>
        <w:tabs>
          <w:tab w:val="left" w:pos="-1440"/>
          <w:tab w:val="left" w:pos="-720"/>
        </w:tabs>
        <w:suppressAutoHyphens/>
        <w:rPr>
          <w:spacing w:val="-3"/>
        </w:rPr>
      </w:pPr>
    </w:p>
    <w:p w:rsidR="007879C8" w:rsidRPr="005D68C7" w:rsidRDefault="007879C8" w:rsidP="00C04C8C">
      <w:pPr>
        <w:tabs>
          <w:tab w:val="left" w:pos="-1440"/>
          <w:tab w:val="left" w:pos="-720"/>
        </w:tabs>
        <w:suppressAutoHyphens/>
        <w:rPr>
          <w:spacing w:val="-3"/>
        </w:rPr>
      </w:pPr>
      <w:r w:rsidRPr="005D68C7">
        <w:rPr>
          <w:spacing w:val="-3"/>
        </w:rPr>
        <w:t xml:space="preserve">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That is, the opposing party would be entitled to a compulsory nonsuit, a directed verdict, or a judgment </w:t>
      </w:r>
      <w:r w:rsidR="00EA2E12" w:rsidRPr="005D68C7">
        <w:rPr>
          <w:spacing w:val="-3"/>
        </w:rPr>
        <w:t>notwithstanding</w:t>
      </w:r>
      <w:r w:rsidRPr="005D68C7">
        <w:rPr>
          <w:spacing w:val="-3"/>
        </w:rPr>
        <w:t xml:space="preserve"> the verdict.  Once the party with the initial burden of production introduces sufficient evidence to make out a </w:t>
      </w:r>
      <w:r w:rsidRPr="006751AE">
        <w:rPr>
          <w:i/>
          <w:spacing w:val="-3"/>
        </w:rPr>
        <w:t>prima facie</w:t>
      </w:r>
      <w:r w:rsidRPr="005D68C7">
        <w:rPr>
          <w:spacing w:val="-3"/>
        </w:rPr>
        <w:t xml:space="preserve"> case, the burden of production shifts to the opposing party.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7879C8" w:rsidRPr="005D68C7" w:rsidRDefault="007879C8" w:rsidP="00C04C8C">
      <w:pPr>
        <w:tabs>
          <w:tab w:val="left" w:pos="-1440"/>
          <w:tab w:val="left" w:pos="-720"/>
        </w:tabs>
        <w:suppressAutoHyphens/>
        <w:rPr>
          <w:spacing w:val="-3"/>
        </w:rPr>
      </w:pPr>
    </w:p>
    <w:p w:rsidR="007879C8" w:rsidRPr="005D68C7" w:rsidRDefault="007879C8" w:rsidP="00C04C8C">
      <w:pPr>
        <w:tabs>
          <w:tab w:val="left" w:pos="-1440"/>
          <w:tab w:val="left" w:pos="-720"/>
        </w:tabs>
        <w:suppressAutoHyphens/>
        <w:rPr>
          <w:spacing w:val="-3"/>
        </w:rPr>
      </w:pPr>
      <w:r w:rsidRPr="005D68C7">
        <w:rPr>
          <w:spacing w:val="-3"/>
        </w:rPr>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Pr="005D68C7">
        <w:rPr>
          <w:i/>
          <w:spacing w:val="-3"/>
        </w:rPr>
        <w:t>Riedel v. County of Allegheny</w:t>
      </w:r>
      <w:r w:rsidRPr="005D68C7">
        <w:rPr>
          <w:spacing w:val="-3"/>
        </w:rPr>
        <w:t xml:space="preserve">, 159 </w:t>
      </w:r>
      <w:r w:rsidRPr="005D68C7">
        <w:rPr>
          <w:spacing w:val="-3"/>
        </w:rPr>
        <w:lastRenderedPageBreak/>
        <w:t>Pa.Cm</w:t>
      </w:r>
      <w:r w:rsidR="00810CBC">
        <w:rPr>
          <w:spacing w:val="-3"/>
        </w:rPr>
        <w:t>wlth. 583; </w:t>
      </w:r>
      <w:r w:rsidRPr="005D68C7">
        <w:rPr>
          <w:spacing w:val="-3"/>
        </w:rPr>
        <w:t>591, 633 A.2d 1325; 1328 n. 11 (1993).  The burden of persuasion, usually placed on the complainant, applicant, or petitioner</w:t>
      </w:r>
      <w:r w:rsidRPr="005D68C7">
        <w:rPr>
          <w:rStyle w:val="FootnoteReference"/>
          <w:spacing w:val="-3"/>
        </w:rPr>
        <w:footnoteReference w:id="2"/>
      </w:r>
      <w:r w:rsidRPr="005D68C7">
        <w:rPr>
          <w:spacing w:val="-3"/>
        </w:rPr>
        <w:t xml:space="preserve">, determines which party must produce sufficient evidence to meet the applicable standard of proof.  </w:t>
      </w:r>
      <w:r w:rsidRPr="005D68C7">
        <w:rPr>
          <w:i/>
          <w:spacing w:val="-3"/>
        </w:rPr>
        <w:t>Hurley v. Hurley</w:t>
      </w:r>
      <w:r w:rsidRPr="005D68C7">
        <w:rPr>
          <w:spacing w:val="-3"/>
        </w:rPr>
        <w:t xml:space="preserve">, </w:t>
      </w:r>
      <w:r w:rsidR="00393840">
        <w:rPr>
          <w:spacing w:val="-3"/>
        </w:rPr>
        <w:t>2000 Pa.Super. 178, 754 A.2d </w:t>
      </w:r>
      <w:r w:rsidRPr="005D68C7">
        <w:rPr>
          <w:spacing w:val="-3"/>
        </w:rPr>
        <w:t xml:space="preserve">1283 (2000).  It is entirely possible for a party to successfully bear the burden of production but not be entitled to a verdict in his favor because the party did not bear the burden of persuasion.  Unlike the burden of production, the burden of persuasion includes determinations of credibility and acceptance or rejection of inferences.  Even unrebutted evidence may be disbelieved.  </w:t>
      </w:r>
      <w:r w:rsidRPr="005D68C7">
        <w:rPr>
          <w:i/>
          <w:spacing w:val="-3"/>
        </w:rPr>
        <w:t>Suber v. Pa. Comm’n on Crime and Delinquency</w:t>
      </w:r>
      <w:r w:rsidRPr="005D68C7">
        <w:rPr>
          <w:spacing w:val="-3"/>
        </w:rPr>
        <w:t>, 885 A.2d 678 (Pa.Cmwlth. 2005), app. denied, 586 P</w:t>
      </w:r>
      <w:r w:rsidR="006620DC">
        <w:rPr>
          <w:spacing w:val="-3"/>
        </w:rPr>
        <w:t>a. </w:t>
      </w:r>
      <w:r w:rsidRPr="005D68C7">
        <w:rPr>
          <w:spacing w:val="-3"/>
        </w:rPr>
        <w:t>776, 895 A.2d 1264 (2006).  In order to bear the burden of proof and be entitled to a decision in his favor, a party must bear both the burden of production and the burden of persuasion.</w:t>
      </w:r>
    </w:p>
    <w:p w:rsidR="007879C8" w:rsidRPr="005D68C7" w:rsidRDefault="007879C8" w:rsidP="00C04C8C"/>
    <w:p w:rsidR="007879C8" w:rsidRPr="005D68C7" w:rsidRDefault="007879C8" w:rsidP="00C04C8C">
      <w:pPr>
        <w:tabs>
          <w:tab w:val="left" w:pos="-1440"/>
          <w:tab w:val="left" w:pos="-720"/>
        </w:tabs>
        <w:suppressAutoHyphens/>
        <w:rPr>
          <w:spacing w:val="-3"/>
        </w:rPr>
      </w:pPr>
      <w:r w:rsidRPr="005D68C7">
        <w:rPr>
          <w:spacing w:val="-3"/>
        </w:rPr>
        <w:t xml:space="preserve">To establish a sufficient case and satisfy the burden of proof, complainant must show that respondent is responsible or accountable for the problem described in the Complaint.  </w:t>
      </w:r>
      <w:r w:rsidRPr="005D68C7">
        <w:rPr>
          <w:i/>
          <w:spacing w:val="-3"/>
        </w:rPr>
        <w:t>Patterson v. Bell Telephone Company of Pennsylvania</w:t>
      </w:r>
      <w:r w:rsidRPr="005D68C7">
        <w:rPr>
          <w:spacing w:val="-3"/>
        </w:rPr>
        <w:t xml:space="preserve">, 72 Pa. PUC 196 (1990), </w:t>
      </w:r>
      <w:r w:rsidRPr="005D68C7">
        <w:rPr>
          <w:i/>
          <w:spacing w:val="-3"/>
        </w:rPr>
        <w:t>Feinstein v. Philadelphia Suburban Water Company</w:t>
      </w:r>
      <w:r w:rsidRPr="005D68C7">
        <w:rPr>
          <w:spacing w:val="-3"/>
        </w:rPr>
        <w:t xml:space="preserve">, 50 Pa. PUC 300 (1976).  Such a showing must be by a preponderance of the evidence.  </w:t>
      </w:r>
      <w:r w:rsidRPr="005D68C7">
        <w:rPr>
          <w:i/>
          <w:spacing w:val="-3"/>
        </w:rPr>
        <w:t>Samuel J. Lansberry, Inc. v. Pa. Pub</w:t>
      </w:r>
      <w:r w:rsidR="002F742C" w:rsidRPr="005D68C7">
        <w:rPr>
          <w:i/>
          <w:spacing w:val="-3"/>
        </w:rPr>
        <w:t>.</w:t>
      </w:r>
      <w:r w:rsidRPr="005D68C7">
        <w:rPr>
          <w:i/>
          <w:spacing w:val="-3"/>
        </w:rPr>
        <w:t xml:space="preserve"> Util</w:t>
      </w:r>
      <w:r w:rsidR="002F742C" w:rsidRPr="005D68C7">
        <w:rPr>
          <w:i/>
          <w:spacing w:val="-3"/>
        </w:rPr>
        <w:t>.</w:t>
      </w:r>
      <w:r w:rsidRPr="005D68C7">
        <w:rPr>
          <w:i/>
          <w:spacing w:val="-3"/>
        </w:rPr>
        <w:t xml:space="preserve"> Comm’n</w:t>
      </w:r>
      <w:r w:rsidRPr="005D68C7">
        <w:rPr>
          <w:spacing w:val="-3"/>
        </w:rPr>
        <w:t xml:space="preserve">, 134 Pa.Cmwlth. 218; 221-222, 578 A.2d 600; 602 (1990), </w:t>
      </w:r>
      <w:r w:rsidRPr="005D68C7">
        <w:rPr>
          <w:iCs/>
          <w:spacing w:val="-3"/>
        </w:rPr>
        <w:t>app. denied,</w:t>
      </w:r>
      <w:r w:rsidRPr="005D68C7">
        <w:rPr>
          <w:spacing w:val="-3"/>
        </w:rPr>
        <w:t xml:space="preserve"> 529 Pa. 654, 602 A.2d 863 (1992).  That is, by presenting evidence more convincing, by even the smallest amount, than that presented by the other party.  </w:t>
      </w:r>
      <w:r w:rsidRPr="005D68C7">
        <w:rPr>
          <w:i/>
          <w:spacing w:val="-3"/>
        </w:rPr>
        <w:t>Se-Ling Hosiery v. Margulies</w:t>
      </w:r>
      <w:r w:rsidRPr="005D68C7">
        <w:rPr>
          <w:spacing w:val="-3"/>
        </w:rPr>
        <w:t xml:space="preserve">, 364 Pa. 45, 70 A.2d 854 (1950).  Complainant must initially produce sufficient credible evidence to establish a </w:t>
      </w:r>
      <w:r w:rsidRPr="00054C7F">
        <w:rPr>
          <w:i/>
          <w:spacing w:val="-3"/>
        </w:rPr>
        <w:t>prima facie</w:t>
      </w:r>
      <w:r w:rsidRPr="005D68C7">
        <w:rPr>
          <w:spacing w:val="-3"/>
        </w:rPr>
        <w:t xml:space="preserve"> case in order that complainant not lose summarily.  </w:t>
      </w:r>
      <w:r w:rsidRPr="005D68C7">
        <w:rPr>
          <w:i/>
          <w:spacing w:val="-3"/>
        </w:rPr>
        <w:t>Morrissey v. Dep’t of Highways</w:t>
      </w:r>
      <w:r w:rsidR="00D16E5F">
        <w:rPr>
          <w:spacing w:val="-3"/>
        </w:rPr>
        <w:t>, 424 Pa. 87, 225 A.2d </w:t>
      </w:r>
      <w:r w:rsidRPr="005D68C7">
        <w:rPr>
          <w:spacing w:val="-3"/>
        </w:rPr>
        <w:t xml:space="preserve">895 (1967).  If complainant does so, the burden of going forward with evidence shifts to respondent to produce credible evidence of at least co-equal weight.  This burden of going forward with evidence may shift back and forth between the parties, but the ultimate burden of persuasion remains with complainant.  </w:t>
      </w:r>
      <w:r w:rsidRPr="005D68C7">
        <w:rPr>
          <w:i/>
          <w:spacing w:val="-3"/>
        </w:rPr>
        <w:t>Milkie v. Pa. Pub</w:t>
      </w:r>
      <w:r w:rsidR="005A578C" w:rsidRPr="005D68C7">
        <w:rPr>
          <w:i/>
          <w:spacing w:val="-3"/>
        </w:rPr>
        <w:t>.</w:t>
      </w:r>
      <w:r w:rsidRPr="005D68C7">
        <w:rPr>
          <w:i/>
          <w:spacing w:val="-3"/>
        </w:rPr>
        <w:t xml:space="preserve"> Util</w:t>
      </w:r>
      <w:r w:rsidR="005A578C" w:rsidRPr="005D68C7">
        <w:rPr>
          <w:i/>
          <w:spacing w:val="-3"/>
        </w:rPr>
        <w:t>.</w:t>
      </w:r>
      <w:r w:rsidRPr="005D68C7">
        <w:rPr>
          <w:i/>
          <w:spacing w:val="-3"/>
        </w:rPr>
        <w:t xml:space="preserve"> Comm’n</w:t>
      </w:r>
      <w:r w:rsidRPr="005D68C7">
        <w:rPr>
          <w:spacing w:val="-3"/>
        </w:rPr>
        <w:t xml:space="preserve">, 768 A.2d 1217 (Pa.Cmwlth. 2001).  Additionally, any finding of fact necessary to support the Commission’s adjudication must be based upon substantial evidence.  </w:t>
      </w:r>
      <w:r w:rsidRPr="005D68C7">
        <w:rPr>
          <w:i/>
          <w:spacing w:val="-3"/>
        </w:rPr>
        <w:t>Mill v. Pa. Pub</w:t>
      </w:r>
      <w:r w:rsidR="005A578C" w:rsidRPr="005D68C7">
        <w:rPr>
          <w:i/>
          <w:spacing w:val="-3"/>
        </w:rPr>
        <w:t>.</w:t>
      </w:r>
      <w:r w:rsidRPr="005D68C7">
        <w:rPr>
          <w:i/>
          <w:spacing w:val="-3"/>
        </w:rPr>
        <w:t xml:space="preserve"> Util</w:t>
      </w:r>
      <w:r w:rsidR="005A578C" w:rsidRPr="005D68C7">
        <w:rPr>
          <w:i/>
          <w:spacing w:val="-3"/>
        </w:rPr>
        <w:t>.</w:t>
      </w:r>
      <w:r w:rsidRPr="005D68C7">
        <w:rPr>
          <w:i/>
          <w:spacing w:val="-3"/>
        </w:rPr>
        <w:t xml:space="preserve"> Comm’n</w:t>
      </w:r>
      <w:r w:rsidRPr="005D68C7">
        <w:rPr>
          <w:spacing w:val="-3"/>
        </w:rPr>
        <w:t xml:space="preserve">, 67 Pa.Cmwlth. 597, 447 A.2d 1100 (1982), </w:t>
      </w:r>
      <w:r w:rsidRPr="005D68C7">
        <w:rPr>
          <w:i/>
          <w:spacing w:val="-3"/>
        </w:rPr>
        <w:t>Edan Transportation Corp. v. Pa. Pub</w:t>
      </w:r>
      <w:r w:rsidR="005A578C" w:rsidRPr="005D68C7">
        <w:rPr>
          <w:i/>
          <w:spacing w:val="-3"/>
        </w:rPr>
        <w:t>.</w:t>
      </w:r>
      <w:r w:rsidRPr="005D68C7">
        <w:rPr>
          <w:i/>
          <w:spacing w:val="-3"/>
        </w:rPr>
        <w:t xml:space="preserve"> Uti</w:t>
      </w:r>
      <w:r w:rsidR="005A578C" w:rsidRPr="005D68C7">
        <w:rPr>
          <w:i/>
          <w:spacing w:val="-3"/>
        </w:rPr>
        <w:t>l.</w:t>
      </w:r>
      <w:r w:rsidRPr="005D68C7">
        <w:rPr>
          <w:i/>
          <w:spacing w:val="-3"/>
        </w:rPr>
        <w:t xml:space="preserve"> Comm’n</w:t>
      </w:r>
      <w:r w:rsidRPr="005D68C7">
        <w:rPr>
          <w:spacing w:val="-3"/>
        </w:rPr>
        <w:t>, 154 Pa.Cmwlth. 21, 623 A.2d 6 (1993)</w:t>
      </w:r>
      <w:r w:rsidR="00B7269C">
        <w:rPr>
          <w:spacing w:val="-3"/>
        </w:rPr>
        <w:t>;</w:t>
      </w:r>
      <w:r w:rsidRPr="005D68C7">
        <w:rPr>
          <w:spacing w:val="-3"/>
        </w:rPr>
        <w:t xml:space="preserve"> 2 Pa.C.S. § 704.  Substantial evidence has been defined as such relevant evidence as a </w:t>
      </w:r>
      <w:r w:rsidRPr="005D68C7">
        <w:rPr>
          <w:spacing w:val="-3"/>
        </w:rPr>
        <w:lastRenderedPageBreak/>
        <w:t xml:space="preserve">reasonable mind might accept as adequate to support a conclusion.  </w:t>
      </w:r>
      <w:r w:rsidRPr="005D68C7">
        <w:rPr>
          <w:i/>
          <w:spacing w:val="-3"/>
        </w:rPr>
        <w:t>Bethenergy Mines, Inc. v. Workmen’s Compensation Appeal Bd. (Skirpan)</w:t>
      </w:r>
      <w:r w:rsidRPr="005D68C7">
        <w:rPr>
          <w:spacing w:val="-3"/>
        </w:rPr>
        <w:t xml:space="preserve">, 531 Pa. 287, 612 A.2d 434 (1992).  More is required than a mere trace of evidence or a suspicion of the existence of a fact sought to be established.  </w:t>
      </w:r>
      <w:r w:rsidRPr="005D68C7">
        <w:rPr>
          <w:i/>
          <w:spacing w:val="-3"/>
        </w:rPr>
        <w:t>Norfolk and Western Ry. v. Pa. Pub</w:t>
      </w:r>
      <w:r w:rsidR="00575234" w:rsidRPr="005D68C7">
        <w:rPr>
          <w:i/>
          <w:spacing w:val="-3"/>
        </w:rPr>
        <w:t>.</w:t>
      </w:r>
      <w:r w:rsidRPr="005D68C7">
        <w:rPr>
          <w:i/>
          <w:spacing w:val="-3"/>
        </w:rPr>
        <w:t xml:space="preserve"> Util</w:t>
      </w:r>
      <w:r w:rsidR="00575234" w:rsidRPr="005D68C7">
        <w:rPr>
          <w:i/>
          <w:spacing w:val="-3"/>
        </w:rPr>
        <w:t>.</w:t>
      </w:r>
      <w:r w:rsidRPr="005D68C7">
        <w:rPr>
          <w:i/>
          <w:spacing w:val="-3"/>
        </w:rPr>
        <w:t xml:space="preserve"> Comm’n</w:t>
      </w:r>
      <w:r w:rsidRPr="005D68C7">
        <w:rPr>
          <w:spacing w:val="-3"/>
        </w:rPr>
        <w:t xml:space="preserve">, 489 Pa. 109, 413 A.2d 1037 (1980); </w:t>
      </w:r>
      <w:r w:rsidRPr="005D68C7">
        <w:rPr>
          <w:i/>
          <w:spacing w:val="-3"/>
        </w:rPr>
        <w:t>Erie Resistor Corp. v. Unemployment Compensation Bd. of Review</w:t>
      </w:r>
      <w:r w:rsidRPr="005D68C7">
        <w:rPr>
          <w:spacing w:val="-3"/>
        </w:rPr>
        <w:t xml:space="preserve">, 194 Pa.Super. 278, 166 A.2d 96 (1960); </w:t>
      </w:r>
      <w:r w:rsidRPr="005D68C7">
        <w:rPr>
          <w:i/>
          <w:spacing w:val="-3"/>
        </w:rPr>
        <w:t>Murphy v. Dep’t of Public Welfare</w:t>
      </w:r>
      <w:r w:rsidRPr="005D68C7">
        <w:rPr>
          <w:spacing w:val="-3"/>
        </w:rPr>
        <w:t>, 85 Pa.Cmwlth. 23, 480 A.2d 382 (1984).</w:t>
      </w:r>
    </w:p>
    <w:p w:rsidR="007879C8" w:rsidRPr="005D68C7" w:rsidRDefault="007879C8" w:rsidP="00C04C8C">
      <w:pPr>
        <w:tabs>
          <w:tab w:val="left" w:pos="-1440"/>
          <w:tab w:val="left" w:pos="-720"/>
        </w:tabs>
        <w:suppressAutoHyphens/>
        <w:rPr>
          <w:spacing w:val="-3"/>
        </w:rPr>
      </w:pPr>
    </w:p>
    <w:p w:rsidR="002F5F40" w:rsidRPr="005D68C7" w:rsidRDefault="00D55E42" w:rsidP="00C04C8C">
      <w:pPr>
        <w:tabs>
          <w:tab w:val="center" w:pos="4680"/>
        </w:tabs>
        <w:suppressAutoHyphens/>
        <w:rPr>
          <w:spacing w:val="-3"/>
        </w:rPr>
      </w:pPr>
      <w:r w:rsidRPr="005D68C7">
        <w:rPr>
          <w:spacing w:val="-3"/>
        </w:rPr>
        <w:t>In the instant case, complainant</w:t>
      </w:r>
      <w:r w:rsidR="004F3C38" w:rsidRPr="005D68C7">
        <w:rPr>
          <w:spacing w:val="-3"/>
        </w:rPr>
        <w:t xml:space="preserve"> has the burden of proving that the amount billed for previously unbilled natural gas is not correct</w:t>
      </w:r>
      <w:r w:rsidR="00D56B4C" w:rsidRPr="005D68C7">
        <w:rPr>
          <w:spacing w:val="-3"/>
        </w:rPr>
        <w:t xml:space="preserve">, that the termination of her gas was erroneous with </w:t>
      </w:r>
      <w:r w:rsidR="00737D02">
        <w:rPr>
          <w:spacing w:val="-3"/>
        </w:rPr>
        <w:t xml:space="preserve">insufficient </w:t>
      </w:r>
      <w:r w:rsidR="00D56B4C" w:rsidRPr="005D68C7">
        <w:rPr>
          <w:spacing w:val="-3"/>
        </w:rPr>
        <w:t>notice,</w:t>
      </w:r>
      <w:r w:rsidR="004F3C38" w:rsidRPr="005D68C7">
        <w:rPr>
          <w:spacing w:val="-3"/>
        </w:rPr>
        <w:t xml:space="preserve"> and that </w:t>
      </w:r>
      <w:r w:rsidR="00D56B4C" w:rsidRPr="005D68C7">
        <w:rPr>
          <w:spacing w:val="-3"/>
        </w:rPr>
        <w:t xml:space="preserve">PGW violated a statute, regulation or Commission Order.  </w:t>
      </w:r>
      <w:r w:rsidR="000B1208" w:rsidRPr="005D68C7">
        <w:rPr>
          <w:spacing w:val="-3"/>
        </w:rPr>
        <w:t xml:space="preserve">Based upon the credible evidence presented by the parties, complainant is </w:t>
      </w:r>
      <w:r w:rsidR="00D83352" w:rsidRPr="005D68C7">
        <w:rPr>
          <w:spacing w:val="-3"/>
        </w:rPr>
        <w:t xml:space="preserve">not </w:t>
      </w:r>
      <w:r w:rsidR="002F5F40" w:rsidRPr="005D68C7">
        <w:rPr>
          <w:spacing w:val="-3"/>
        </w:rPr>
        <w:t>entitled to relief.</w:t>
      </w:r>
    </w:p>
    <w:p w:rsidR="002F5F40" w:rsidRPr="005D68C7" w:rsidRDefault="002F5F40" w:rsidP="00C04C8C">
      <w:pPr>
        <w:tabs>
          <w:tab w:val="center" w:pos="4680"/>
        </w:tabs>
        <w:suppressAutoHyphens/>
        <w:rPr>
          <w:spacing w:val="-3"/>
        </w:rPr>
      </w:pPr>
    </w:p>
    <w:p w:rsidR="00431914" w:rsidRPr="005D68C7" w:rsidRDefault="00D56B4C" w:rsidP="00C04C8C">
      <w:pPr>
        <w:tabs>
          <w:tab w:val="center" w:pos="4680"/>
        </w:tabs>
        <w:suppressAutoHyphens/>
        <w:rPr>
          <w:spacing w:val="-3"/>
        </w:rPr>
      </w:pPr>
      <w:r w:rsidRPr="005D68C7">
        <w:rPr>
          <w:spacing w:val="-3"/>
        </w:rPr>
        <w:t xml:space="preserve">Complainant testified that she was always accurate in paying bills, and she was never notified about a pending termination of service prior to June 24, 2013.  N.T. 14.  However, </w:t>
      </w:r>
      <w:r w:rsidR="00431914" w:rsidRPr="005D68C7">
        <w:rPr>
          <w:spacing w:val="-3"/>
        </w:rPr>
        <w:t>I am persuaded to find notice was properly given 10-days and 72-hours prior to shut off by PGW’s Exhibits and</w:t>
      </w:r>
      <w:r w:rsidRPr="005D68C7">
        <w:rPr>
          <w:spacing w:val="-3"/>
        </w:rPr>
        <w:t xml:space="preserve"> the testimony of </w:t>
      </w:r>
      <w:r w:rsidR="00431914" w:rsidRPr="005D68C7">
        <w:rPr>
          <w:spacing w:val="-3"/>
        </w:rPr>
        <w:t>Cynthia Garner, Customer Review Unit Officer, who testified that Clifford Brown went to the property for a business district survey on March 1, 2013, and there was no answer at the service premises.  Then, on June 5, 2013, Joseph Laughlin visited the property and left a 10-day notice of termination at the property.  Additionally, on June 14, 2013, Christopher Sinko visited the property and left a seventy-two hour notice at the property.  On June 24, 2013, service was shut off at the curb because the customer refused</w:t>
      </w:r>
      <w:r w:rsidR="00BC6828">
        <w:rPr>
          <w:spacing w:val="-3"/>
        </w:rPr>
        <w:t xml:space="preserve"> access to the basement on June 24, </w:t>
      </w:r>
      <w:r w:rsidR="00431914" w:rsidRPr="005D68C7">
        <w:rPr>
          <w:spacing w:val="-3"/>
        </w:rPr>
        <w:t>2013 to PGW employee, David DiRugeri</w:t>
      </w:r>
      <w:r w:rsidR="00BC6828">
        <w:rPr>
          <w:spacing w:val="-3"/>
        </w:rPr>
        <w:t>s.  N.T. 31.  PGW Exhibits 1-4.</w:t>
      </w:r>
    </w:p>
    <w:p w:rsidR="00431914" w:rsidRPr="005D68C7" w:rsidRDefault="00431914" w:rsidP="00C04C8C">
      <w:pPr>
        <w:tabs>
          <w:tab w:val="center" w:pos="4680"/>
        </w:tabs>
        <w:suppressAutoHyphens/>
        <w:rPr>
          <w:spacing w:val="-3"/>
        </w:rPr>
      </w:pPr>
    </w:p>
    <w:p w:rsidR="007F3E76" w:rsidRPr="005D68C7" w:rsidRDefault="00431914" w:rsidP="00C04C8C">
      <w:pPr>
        <w:tabs>
          <w:tab w:val="center" w:pos="4680"/>
        </w:tabs>
        <w:suppressAutoHyphens/>
        <w:rPr>
          <w:spacing w:val="-3"/>
        </w:rPr>
      </w:pPr>
      <w:r w:rsidRPr="005D68C7">
        <w:rPr>
          <w:spacing w:val="-3"/>
        </w:rPr>
        <w:t xml:space="preserve">Complainant testified that the charge of $11,155.26 is too high based upon her assertions that this bill is based upon rooftop heaters and appliances in the kitchen.  Complainant </w:t>
      </w:r>
      <w:r w:rsidR="007F3E76" w:rsidRPr="005D68C7">
        <w:rPr>
          <w:spacing w:val="-3"/>
        </w:rPr>
        <w:t xml:space="preserve">first </w:t>
      </w:r>
      <w:r w:rsidRPr="005D68C7">
        <w:rPr>
          <w:spacing w:val="-3"/>
        </w:rPr>
        <w:t>claimed</w:t>
      </w:r>
      <w:r w:rsidR="00737D02">
        <w:rPr>
          <w:spacing w:val="-3"/>
        </w:rPr>
        <w:t>, “T</w:t>
      </w:r>
      <w:r w:rsidRPr="005D68C7">
        <w:rPr>
          <w:spacing w:val="-3"/>
        </w:rPr>
        <w:t>he kitchen has never been opened yet.</w:t>
      </w:r>
      <w:r w:rsidR="00737D02">
        <w:rPr>
          <w:spacing w:val="-3"/>
        </w:rPr>
        <w:t>”</w:t>
      </w:r>
      <w:r w:rsidRPr="005D68C7">
        <w:rPr>
          <w:spacing w:val="-3"/>
        </w:rPr>
        <w:t xml:space="preserve">  N.T. 15. </w:t>
      </w:r>
      <w:r w:rsidR="007F3E76" w:rsidRPr="005D68C7">
        <w:rPr>
          <w:spacing w:val="-3"/>
        </w:rPr>
        <w:t xml:space="preserve"> On cross-examination, Complainant admitted</w:t>
      </w:r>
      <w:r w:rsidR="009E1471" w:rsidRPr="005D68C7">
        <w:rPr>
          <w:spacing w:val="-3"/>
        </w:rPr>
        <w:t xml:space="preserve"> the kitchen</w:t>
      </w:r>
      <w:r w:rsidR="007F3E76" w:rsidRPr="005D68C7">
        <w:rPr>
          <w:spacing w:val="-3"/>
        </w:rPr>
        <w:t xml:space="preserve"> was “open maybe here and there, </w:t>
      </w:r>
      <w:r w:rsidR="00EF764C">
        <w:rPr>
          <w:spacing w:val="-3"/>
        </w:rPr>
        <w:t xml:space="preserve">nothing steady.”  N.T. 19-20.  </w:t>
      </w:r>
      <w:r w:rsidR="007F3E76" w:rsidRPr="005D68C7">
        <w:rPr>
          <w:spacing w:val="-3"/>
        </w:rPr>
        <w:t xml:space="preserve">Complainant also admitted and PGW Exhibits 6 and 7 show </w:t>
      </w:r>
      <w:r w:rsidR="009E1471" w:rsidRPr="005D68C7">
        <w:rPr>
          <w:spacing w:val="-3"/>
        </w:rPr>
        <w:t xml:space="preserve">that </w:t>
      </w:r>
      <w:r w:rsidR="007F3E76" w:rsidRPr="005D68C7">
        <w:rPr>
          <w:spacing w:val="-3"/>
        </w:rPr>
        <w:t>the bar’s food sales increased, almost doubling from 2010 to 2013</w:t>
      </w:r>
      <w:r w:rsidR="009E1471" w:rsidRPr="005D68C7">
        <w:rPr>
          <w:spacing w:val="-3"/>
        </w:rPr>
        <w:t xml:space="preserve"> even though</w:t>
      </w:r>
      <w:r w:rsidR="007F3E76" w:rsidRPr="005D68C7">
        <w:rPr>
          <w:spacing w:val="-3"/>
        </w:rPr>
        <w:t xml:space="preserve"> Complainant maintained that the food sales occurred at the bar, and not in the second floor banquet hall.  N.T. 20.  </w:t>
      </w:r>
      <w:r w:rsidRPr="005D68C7">
        <w:rPr>
          <w:spacing w:val="-3"/>
        </w:rPr>
        <w:t xml:space="preserve">Further, Complainant </w:t>
      </w:r>
      <w:r w:rsidR="007F3E76" w:rsidRPr="005D68C7">
        <w:rPr>
          <w:spacing w:val="-3"/>
        </w:rPr>
        <w:t>testified</w:t>
      </w:r>
      <w:r w:rsidRPr="005D68C7">
        <w:rPr>
          <w:spacing w:val="-3"/>
        </w:rPr>
        <w:t xml:space="preserve"> the rooftop heaters were installed but were not in use because the second floor was never </w:t>
      </w:r>
      <w:r w:rsidRPr="005D68C7">
        <w:rPr>
          <w:spacing w:val="-3"/>
        </w:rPr>
        <w:lastRenderedPageBreak/>
        <w:t>opened.  Further</w:t>
      </w:r>
      <w:r w:rsidR="00737D02">
        <w:rPr>
          <w:spacing w:val="-3"/>
        </w:rPr>
        <w:t>,</w:t>
      </w:r>
      <w:r w:rsidRPr="005D68C7">
        <w:rPr>
          <w:spacing w:val="-3"/>
        </w:rPr>
        <w:t xml:space="preserve"> Complainant claimed her food sales were less than $2,000 per month and they “don’t hardly use much heat.”  N.T. 15. </w:t>
      </w:r>
      <w:r w:rsidR="007F3E76" w:rsidRPr="005D68C7">
        <w:rPr>
          <w:spacing w:val="-3"/>
        </w:rPr>
        <w:t xml:space="preserve"> However, on cross-examination she testifi</w:t>
      </w:r>
      <w:r w:rsidR="009E1471" w:rsidRPr="005D68C7">
        <w:rPr>
          <w:spacing w:val="-3"/>
        </w:rPr>
        <w:t>ed</w:t>
      </w:r>
      <w:r w:rsidR="007F3E76" w:rsidRPr="005D68C7">
        <w:rPr>
          <w:spacing w:val="-3"/>
        </w:rPr>
        <w:t xml:space="preserve"> that the kitchen appliances used some gas, but the meter wasn’t working properly there.  N.T. 25.  Complainant testified that her food sales primarily were </w:t>
      </w:r>
      <w:r w:rsidR="0093543B" w:rsidRPr="005D68C7">
        <w:rPr>
          <w:spacing w:val="-3"/>
        </w:rPr>
        <w:t xml:space="preserve">made using crock pots on Sundays and grilling food outside during the </w:t>
      </w:r>
      <w:r w:rsidR="00F6729F" w:rsidRPr="005D68C7">
        <w:rPr>
          <w:spacing w:val="-3"/>
        </w:rPr>
        <w:t>summer</w:t>
      </w:r>
      <w:r w:rsidR="0093543B" w:rsidRPr="005D68C7">
        <w:rPr>
          <w:spacing w:val="-3"/>
        </w:rPr>
        <w:t xml:space="preserve">.  N.T. 26.  The PGW bill only takes into consideration kitchen appliances and a hot water heater.  It does not include any appliances from the second floor, banquet hall.  N.T. 50.  </w:t>
      </w:r>
      <w:r w:rsidR="007F3E76" w:rsidRPr="005D68C7">
        <w:rPr>
          <w:spacing w:val="-3"/>
        </w:rPr>
        <w:t>Complainant claims that in prior years her gas charges were approximately $1</w:t>
      </w:r>
      <w:r w:rsidR="000E7373">
        <w:rPr>
          <w:spacing w:val="-3"/>
        </w:rPr>
        <w:t>,</w:t>
      </w:r>
      <w:r w:rsidR="007F3E76" w:rsidRPr="005D68C7">
        <w:rPr>
          <w:spacing w:val="-3"/>
        </w:rPr>
        <w:t>900</w:t>
      </w:r>
      <w:r w:rsidR="0093543B" w:rsidRPr="005D68C7">
        <w:rPr>
          <w:spacing w:val="-3"/>
        </w:rPr>
        <w:t xml:space="preserve"> -$2,000</w:t>
      </w:r>
      <w:r w:rsidR="007F3E76" w:rsidRPr="005D68C7">
        <w:rPr>
          <w:spacing w:val="-3"/>
        </w:rPr>
        <w:t xml:space="preserve"> annually, and she believes $11,000 for a year and a half is excessive.  N.T. 16</w:t>
      </w:r>
      <w:r w:rsidR="0093543B" w:rsidRPr="005D68C7">
        <w:rPr>
          <w:spacing w:val="-3"/>
        </w:rPr>
        <w:t>, 54</w:t>
      </w:r>
      <w:r w:rsidR="007F3E76" w:rsidRPr="005D68C7">
        <w:rPr>
          <w:spacing w:val="-3"/>
        </w:rPr>
        <w:t xml:space="preserve">.  </w:t>
      </w:r>
      <w:r w:rsidRPr="005D68C7">
        <w:rPr>
          <w:spacing w:val="-3"/>
        </w:rPr>
        <w:t xml:space="preserve">Complainant </w:t>
      </w:r>
      <w:r w:rsidR="00D56B4C" w:rsidRPr="005D68C7">
        <w:rPr>
          <w:spacing w:val="-3"/>
        </w:rPr>
        <w:t xml:space="preserve">offered no prior bills </w:t>
      </w:r>
      <w:r w:rsidR="009E1471" w:rsidRPr="005D68C7">
        <w:rPr>
          <w:spacing w:val="-3"/>
        </w:rPr>
        <w:t xml:space="preserve">for comparison.  The evidence shows </w:t>
      </w:r>
      <w:r w:rsidR="00D56B4C" w:rsidRPr="005D68C7">
        <w:rPr>
          <w:spacing w:val="-3"/>
        </w:rPr>
        <w:t xml:space="preserve">that </w:t>
      </w:r>
      <w:r w:rsidR="007F3E76" w:rsidRPr="005D68C7">
        <w:rPr>
          <w:spacing w:val="-3"/>
        </w:rPr>
        <w:t xml:space="preserve">there were improvements made to the property </w:t>
      </w:r>
      <w:r w:rsidR="009E1471" w:rsidRPr="005D68C7">
        <w:rPr>
          <w:spacing w:val="-3"/>
        </w:rPr>
        <w:t>and possibly</w:t>
      </w:r>
      <w:r w:rsidR="007F3E76" w:rsidRPr="005D68C7">
        <w:rPr>
          <w:spacing w:val="-3"/>
        </w:rPr>
        <w:t xml:space="preserve"> changes made in gas </w:t>
      </w:r>
      <w:r w:rsidR="009E1471" w:rsidRPr="005D68C7">
        <w:rPr>
          <w:spacing w:val="-3"/>
        </w:rPr>
        <w:t>usa</w:t>
      </w:r>
      <w:r w:rsidR="007F3E76" w:rsidRPr="005D68C7">
        <w:rPr>
          <w:spacing w:val="-3"/>
        </w:rPr>
        <w:t>ge d</w:t>
      </w:r>
      <w:r w:rsidR="00926586">
        <w:rPr>
          <w:spacing w:val="-3"/>
        </w:rPr>
        <w:t xml:space="preserve">uring the period in question.  </w:t>
      </w:r>
      <w:r w:rsidR="007F3E76" w:rsidRPr="005D68C7">
        <w:rPr>
          <w:spacing w:val="-3"/>
        </w:rPr>
        <w:t>Complainant did not dispute there was a meter bypass during the period in question.</w:t>
      </w:r>
    </w:p>
    <w:p w:rsidR="007F3E76" w:rsidRPr="005D68C7" w:rsidRDefault="007F3E76" w:rsidP="00C04C8C">
      <w:pPr>
        <w:tabs>
          <w:tab w:val="center" w:pos="4680"/>
        </w:tabs>
        <w:suppressAutoHyphens/>
        <w:rPr>
          <w:spacing w:val="-3"/>
        </w:rPr>
      </w:pPr>
    </w:p>
    <w:p w:rsidR="009E1471" w:rsidRPr="005D68C7" w:rsidRDefault="002F5F40" w:rsidP="009E1471">
      <w:pPr>
        <w:tabs>
          <w:tab w:val="center" w:pos="4680"/>
        </w:tabs>
        <w:suppressAutoHyphens/>
        <w:rPr>
          <w:spacing w:val="-3"/>
        </w:rPr>
      </w:pPr>
      <w:r w:rsidRPr="005D68C7">
        <w:rPr>
          <w:spacing w:val="-3"/>
        </w:rPr>
        <w:t>The</w:t>
      </w:r>
      <w:r w:rsidR="009C48A9" w:rsidRPr="005D68C7">
        <w:rPr>
          <w:spacing w:val="-3"/>
        </w:rPr>
        <w:t>re is substantial</w:t>
      </w:r>
      <w:r w:rsidRPr="005D68C7">
        <w:rPr>
          <w:spacing w:val="-3"/>
        </w:rPr>
        <w:t xml:space="preserve"> evidence </w:t>
      </w:r>
      <w:r w:rsidR="009C48A9" w:rsidRPr="005D68C7">
        <w:rPr>
          <w:spacing w:val="-3"/>
        </w:rPr>
        <w:t xml:space="preserve">to support a finding that </w:t>
      </w:r>
      <w:r w:rsidRPr="005D68C7">
        <w:rPr>
          <w:spacing w:val="-3"/>
        </w:rPr>
        <w:t xml:space="preserve">meter tampering </w:t>
      </w:r>
      <w:r w:rsidR="0093543B" w:rsidRPr="005D68C7">
        <w:rPr>
          <w:spacing w:val="-3"/>
        </w:rPr>
        <w:t xml:space="preserve">in the form of a total meter bypass </w:t>
      </w:r>
      <w:r w:rsidRPr="005D68C7">
        <w:rPr>
          <w:spacing w:val="-3"/>
        </w:rPr>
        <w:t xml:space="preserve">occurred at </w:t>
      </w:r>
      <w:r w:rsidR="00D83352" w:rsidRPr="005D68C7">
        <w:rPr>
          <w:spacing w:val="-3"/>
        </w:rPr>
        <w:t xml:space="preserve">the service property </w:t>
      </w:r>
      <w:r w:rsidR="009C48A9" w:rsidRPr="005D68C7">
        <w:rPr>
          <w:spacing w:val="-3"/>
        </w:rPr>
        <w:t xml:space="preserve">on or about </w:t>
      </w:r>
      <w:r w:rsidR="00D83352" w:rsidRPr="005D68C7">
        <w:rPr>
          <w:spacing w:val="-3"/>
        </w:rPr>
        <w:t>February</w:t>
      </w:r>
      <w:r w:rsidR="009C48A9" w:rsidRPr="005D68C7">
        <w:rPr>
          <w:spacing w:val="-3"/>
        </w:rPr>
        <w:t xml:space="preserve"> 8</w:t>
      </w:r>
      <w:r w:rsidR="00D83352" w:rsidRPr="005D68C7">
        <w:rPr>
          <w:spacing w:val="-3"/>
        </w:rPr>
        <w:t>, 2012</w:t>
      </w:r>
      <w:r w:rsidR="0093543B" w:rsidRPr="005D68C7">
        <w:rPr>
          <w:spacing w:val="-3"/>
        </w:rPr>
        <w:t xml:space="preserve"> and lasted until June 24, 2013</w:t>
      </w:r>
      <w:r w:rsidR="001B66CF" w:rsidRPr="005D68C7">
        <w:rPr>
          <w:spacing w:val="-3"/>
        </w:rPr>
        <w:t xml:space="preserve">.  </w:t>
      </w:r>
      <w:r w:rsidR="00B044A4" w:rsidRPr="005D68C7">
        <w:rPr>
          <w:spacing w:val="-3"/>
        </w:rPr>
        <w:t xml:space="preserve">I am not concluding </w:t>
      </w:r>
      <w:r w:rsidR="001B66CF" w:rsidRPr="005D68C7">
        <w:rPr>
          <w:spacing w:val="-3"/>
        </w:rPr>
        <w:t xml:space="preserve">that complainant did the tampering or even </w:t>
      </w:r>
      <w:r w:rsidR="004716C4" w:rsidRPr="005D68C7">
        <w:rPr>
          <w:spacing w:val="-3"/>
        </w:rPr>
        <w:t>had knowledge of it</w:t>
      </w:r>
      <w:r w:rsidR="001B66CF" w:rsidRPr="005D68C7">
        <w:rPr>
          <w:spacing w:val="-3"/>
        </w:rPr>
        <w:t xml:space="preserve">.  However, natural gas provided by the respondent was consumed at the premises and not billed for because </w:t>
      </w:r>
      <w:r w:rsidR="00D83352" w:rsidRPr="005D68C7">
        <w:rPr>
          <w:spacing w:val="-3"/>
        </w:rPr>
        <w:t xml:space="preserve">of a bypass at the meter which was used to </w:t>
      </w:r>
      <w:r w:rsidR="001B66CF" w:rsidRPr="005D68C7">
        <w:rPr>
          <w:spacing w:val="-3"/>
        </w:rPr>
        <w:t xml:space="preserve">disrupt the accuracy of the </w:t>
      </w:r>
      <w:r w:rsidR="00D83352" w:rsidRPr="005D68C7">
        <w:rPr>
          <w:spacing w:val="-3"/>
        </w:rPr>
        <w:t>AMR</w:t>
      </w:r>
      <w:r w:rsidR="001B66CF" w:rsidRPr="005D68C7">
        <w:rPr>
          <w:spacing w:val="-3"/>
        </w:rPr>
        <w:t xml:space="preserve"> meter readings upon which respondent relied to create monthly bills.  Because complainant </w:t>
      </w:r>
      <w:r w:rsidR="00D83352" w:rsidRPr="005D68C7">
        <w:rPr>
          <w:spacing w:val="-3"/>
        </w:rPr>
        <w:t>is</w:t>
      </w:r>
      <w:r w:rsidR="001B66CF" w:rsidRPr="005D68C7">
        <w:rPr>
          <w:spacing w:val="-3"/>
        </w:rPr>
        <w:t xml:space="preserve"> the customer of record</w:t>
      </w:r>
      <w:r w:rsidR="00D83352" w:rsidRPr="005D68C7">
        <w:rPr>
          <w:spacing w:val="-3"/>
        </w:rPr>
        <w:t xml:space="preserve"> from February</w:t>
      </w:r>
      <w:r w:rsidR="00B044A4" w:rsidRPr="005D68C7">
        <w:rPr>
          <w:spacing w:val="-3"/>
        </w:rPr>
        <w:t xml:space="preserve"> 8</w:t>
      </w:r>
      <w:r w:rsidR="00D83352" w:rsidRPr="005D68C7">
        <w:rPr>
          <w:spacing w:val="-3"/>
        </w:rPr>
        <w:t>, 2012 through June</w:t>
      </w:r>
      <w:r w:rsidR="00B044A4" w:rsidRPr="005D68C7">
        <w:rPr>
          <w:spacing w:val="-3"/>
        </w:rPr>
        <w:t xml:space="preserve"> 25</w:t>
      </w:r>
      <w:r w:rsidR="00D83352" w:rsidRPr="005D68C7">
        <w:rPr>
          <w:spacing w:val="-3"/>
        </w:rPr>
        <w:t>, 2013</w:t>
      </w:r>
      <w:r w:rsidR="001B66CF" w:rsidRPr="005D68C7">
        <w:rPr>
          <w:spacing w:val="-3"/>
        </w:rPr>
        <w:t xml:space="preserve">, she is responsible for the </w:t>
      </w:r>
      <w:r w:rsidR="007E2318" w:rsidRPr="005D68C7">
        <w:rPr>
          <w:spacing w:val="-3"/>
        </w:rPr>
        <w:t>payment for previously unbilled natural gas</w:t>
      </w:r>
      <w:r w:rsidR="00B044A4" w:rsidRPr="005D68C7">
        <w:rPr>
          <w:spacing w:val="-3"/>
        </w:rPr>
        <w:t xml:space="preserve"> during this period</w:t>
      </w:r>
      <w:r w:rsidR="007E2318" w:rsidRPr="005D68C7">
        <w:rPr>
          <w:spacing w:val="-3"/>
        </w:rPr>
        <w:t>.</w:t>
      </w:r>
      <w:r w:rsidR="0093543B" w:rsidRPr="005D68C7">
        <w:rPr>
          <w:spacing w:val="-3"/>
        </w:rPr>
        <w:t xml:space="preserve">  </w:t>
      </w:r>
      <w:r w:rsidR="009E1471" w:rsidRPr="005D68C7">
        <w:rPr>
          <w:spacing w:val="-3"/>
        </w:rPr>
        <w:t>I further find that the meter was working as it tested within 2% accuracy in June, 2013.  The meter did not fail.  Rather, a bypass was placed such that gas was still being delivered to the service property, but its use did not register from February</w:t>
      </w:r>
      <w:r w:rsidR="006C67A9">
        <w:rPr>
          <w:spacing w:val="-3"/>
        </w:rPr>
        <w:t xml:space="preserve"> 8, 2012 through June 24, 2013.</w:t>
      </w:r>
    </w:p>
    <w:p w:rsidR="0093543B" w:rsidRPr="005D68C7" w:rsidRDefault="0093543B" w:rsidP="0093543B">
      <w:pPr>
        <w:rPr>
          <w:spacing w:val="-3"/>
        </w:rPr>
      </w:pPr>
    </w:p>
    <w:p w:rsidR="0093543B" w:rsidRPr="005D68C7" w:rsidRDefault="0093543B" w:rsidP="0093543B">
      <w:r w:rsidRPr="005D68C7">
        <w:t>With regard to a payment arrangement for the Complainant for the previo</w:t>
      </w:r>
      <w:r w:rsidR="00565F95">
        <w:t>usly unbilled gas usage, 52 Pa.</w:t>
      </w:r>
      <w:r w:rsidRPr="005D68C7">
        <w:t>Code §</w:t>
      </w:r>
      <w:r w:rsidR="00565F95">
        <w:t xml:space="preserve"> </w:t>
      </w:r>
      <w:r w:rsidRPr="005D68C7">
        <w:t>56.14 states as follows:</w:t>
      </w:r>
    </w:p>
    <w:p w:rsidR="0093543B" w:rsidRPr="005D68C7" w:rsidRDefault="0093543B" w:rsidP="00565F95"/>
    <w:p w:rsidR="0093543B" w:rsidRPr="005D68C7" w:rsidRDefault="0093543B" w:rsidP="00565F95">
      <w:pPr>
        <w:autoSpaceDE/>
        <w:spacing w:line="240" w:lineRule="auto"/>
        <w:ind w:left="1440" w:right="1440"/>
        <w:outlineLvl w:val="3"/>
        <w:rPr>
          <w:b/>
          <w:bCs/>
        </w:rPr>
      </w:pPr>
      <w:r w:rsidRPr="005D68C7">
        <w:rPr>
          <w:b/>
          <w:bCs/>
        </w:rPr>
        <w:t>§ 56.14. Previously unbilled utility service.</w:t>
      </w:r>
    </w:p>
    <w:p w:rsidR="0093543B" w:rsidRPr="005D68C7" w:rsidRDefault="00565F95" w:rsidP="00565F95">
      <w:pPr>
        <w:autoSpaceDE/>
        <w:spacing w:line="240" w:lineRule="auto"/>
        <w:ind w:left="1440" w:right="1440"/>
      </w:pPr>
      <w:r>
        <w:t> </w:t>
      </w:r>
    </w:p>
    <w:p w:rsidR="0093543B" w:rsidRPr="005D68C7" w:rsidRDefault="0093543B" w:rsidP="0093543B">
      <w:pPr>
        <w:autoSpaceDE/>
        <w:spacing w:line="240" w:lineRule="auto"/>
        <w:ind w:left="1440" w:right="1440"/>
      </w:pPr>
      <w:r w:rsidRPr="005D68C7">
        <w:t xml:space="preserve">When a utility renders a make-up bill for previously unbilled utility service resulting from utility billing error, meter failure, leakage that could not reasonably have been detected or loss of service, or four or more consecutive estimated bills and the </w:t>
      </w:r>
      <w:r w:rsidRPr="005D68C7">
        <w:lastRenderedPageBreak/>
        <w:t>make-up bill exceeds the otherwise normal estimated bill by</w:t>
      </w:r>
      <w:r w:rsidR="00877092">
        <w:t xml:space="preserve"> at least 50% and at least $50:</w:t>
      </w:r>
    </w:p>
    <w:p w:rsidR="0093543B" w:rsidRPr="005D68C7" w:rsidRDefault="0093543B" w:rsidP="0093543B">
      <w:pPr>
        <w:autoSpaceDE/>
        <w:spacing w:line="240" w:lineRule="auto"/>
        <w:ind w:left="1440" w:right="1440"/>
      </w:pPr>
    </w:p>
    <w:p w:rsidR="0093543B" w:rsidRPr="005D68C7" w:rsidRDefault="0093543B" w:rsidP="0093543B">
      <w:pPr>
        <w:autoSpaceDE/>
        <w:spacing w:line="240" w:lineRule="auto"/>
        <w:ind w:left="1440" w:right="1440"/>
      </w:pPr>
      <w:r w:rsidRPr="005D68C7">
        <w:t xml:space="preserve">(1)  The utility shall review the bill with the ratepayer and make a reasonable attempt to </w:t>
      </w:r>
      <w:r w:rsidR="00877092">
        <w:t>enter into a payment agreement.</w:t>
      </w:r>
    </w:p>
    <w:p w:rsidR="0093543B" w:rsidRPr="005D68C7" w:rsidRDefault="0093543B" w:rsidP="0093543B">
      <w:pPr>
        <w:autoSpaceDE/>
        <w:spacing w:line="240" w:lineRule="auto"/>
        <w:ind w:left="1440" w:right="1440"/>
      </w:pPr>
    </w:p>
    <w:p w:rsidR="0093543B" w:rsidRPr="005D68C7" w:rsidRDefault="0093543B" w:rsidP="0093543B">
      <w:pPr>
        <w:autoSpaceDE/>
        <w:spacing w:line="240" w:lineRule="auto"/>
        <w:ind w:left="1440" w:right="1440"/>
      </w:pPr>
      <w:r w:rsidRPr="005D68C7">
        <w:t>(2)  The period of the payment agreement may, at the option of the ratepay</w:t>
      </w:r>
      <w:r w:rsidR="00571664">
        <w:t>er, extend at least as long as:</w:t>
      </w:r>
    </w:p>
    <w:p w:rsidR="0093543B" w:rsidRPr="005D68C7" w:rsidRDefault="0093543B" w:rsidP="0093543B">
      <w:pPr>
        <w:autoSpaceDE/>
        <w:spacing w:line="240" w:lineRule="auto"/>
        <w:ind w:left="1440" w:right="1440"/>
      </w:pPr>
    </w:p>
    <w:p w:rsidR="0093543B" w:rsidRPr="005D68C7" w:rsidRDefault="0093543B" w:rsidP="0093543B">
      <w:pPr>
        <w:autoSpaceDE/>
        <w:spacing w:line="240" w:lineRule="auto"/>
        <w:ind w:left="1440" w:right="1440" w:firstLine="720"/>
      </w:pPr>
      <w:r w:rsidRPr="005D68C7">
        <w:t>(i)   The period during w</w:t>
      </w:r>
      <w:r w:rsidR="00571664">
        <w:t>hich the excess amount accrued.</w:t>
      </w:r>
    </w:p>
    <w:p w:rsidR="0093543B" w:rsidRPr="005D68C7" w:rsidRDefault="0093543B" w:rsidP="0093543B">
      <w:pPr>
        <w:autoSpaceDE/>
        <w:spacing w:line="240" w:lineRule="auto"/>
        <w:ind w:left="1440" w:right="1440"/>
      </w:pPr>
    </w:p>
    <w:p w:rsidR="0093543B" w:rsidRPr="005D68C7" w:rsidRDefault="0093543B" w:rsidP="0093543B">
      <w:pPr>
        <w:autoSpaceDE/>
        <w:spacing w:line="240" w:lineRule="auto"/>
        <w:ind w:left="1440" w:right="1440" w:firstLine="720"/>
      </w:pPr>
      <w:r w:rsidRPr="005D68C7">
        <w:t>(ii)   Necessary so that the quantity of service billed in any one billing period is not greater than the normal estimated quantity for that period plus 50%.</w:t>
      </w:r>
    </w:p>
    <w:p w:rsidR="0093543B" w:rsidRPr="005D68C7" w:rsidRDefault="0093543B" w:rsidP="00571664">
      <w:bookmarkStart w:id="1" w:name="56.14."/>
      <w:bookmarkEnd w:id="1"/>
    </w:p>
    <w:p w:rsidR="0093543B" w:rsidRPr="005D68C7" w:rsidRDefault="0093543B" w:rsidP="0093543B">
      <w:pPr>
        <w:pStyle w:val="ParaTab1"/>
        <w:tabs>
          <w:tab w:val="left" w:pos="0"/>
        </w:tabs>
        <w:spacing w:line="360" w:lineRule="auto"/>
        <w:ind w:firstLine="0"/>
        <w:rPr>
          <w:rFonts w:ascii="Times New Roman" w:hAnsi="Times New Roman" w:cs="Times New Roman"/>
        </w:rPr>
      </w:pPr>
      <w:r w:rsidRPr="005D68C7">
        <w:rPr>
          <w:rFonts w:ascii="Times New Roman" w:hAnsi="Times New Roman" w:cs="Times New Roman"/>
        </w:rPr>
        <w:tab/>
      </w:r>
      <w:r w:rsidRPr="005D68C7">
        <w:rPr>
          <w:rFonts w:ascii="Times New Roman" w:hAnsi="Times New Roman" w:cs="Times New Roman"/>
        </w:rPr>
        <w:tab/>
        <w:t>The regulation mandates that the utility make a reasonable attempt to enter into a payment agreement where the previously unbilled service results from utility billing error, meter failure, leakage that could not reasonably have been detected, or loss of service, or four or more consecutive estimated bills.  Here the previously unbilled service results from meter tampering.  Therefore, the Respondent has no</w:t>
      </w:r>
      <w:r w:rsidR="00571664">
        <w:rPr>
          <w:rFonts w:ascii="Times New Roman" w:hAnsi="Times New Roman" w:cs="Times New Roman"/>
        </w:rPr>
        <w:t xml:space="preserve"> obligation, pursuant to 52 Pa.</w:t>
      </w:r>
      <w:r w:rsidRPr="005D68C7">
        <w:rPr>
          <w:rFonts w:ascii="Times New Roman" w:hAnsi="Times New Roman" w:cs="Times New Roman"/>
        </w:rPr>
        <w:t>Code §</w:t>
      </w:r>
      <w:r w:rsidR="00571664">
        <w:rPr>
          <w:rFonts w:ascii="Times New Roman" w:hAnsi="Times New Roman" w:cs="Times New Roman"/>
        </w:rPr>
        <w:t xml:space="preserve"> </w:t>
      </w:r>
      <w:r w:rsidRPr="005D68C7">
        <w:rPr>
          <w:rFonts w:ascii="Times New Roman" w:hAnsi="Times New Roman" w:cs="Times New Roman"/>
        </w:rPr>
        <w:t xml:space="preserve">56.14, to enter into a payment agreement with the Complainant for payment of the previously unbilled service.  The Complainant will </w:t>
      </w:r>
      <w:r w:rsidR="00E74FA8">
        <w:rPr>
          <w:rFonts w:ascii="Times New Roman" w:hAnsi="Times New Roman" w:cs="Times New Roman"/>
        </w:rPr>
        <w:t>have to pay the full amount</w:t>
      </w:r>
      <w:r w:rsidR="00737D02">
        <w:rPr>
          <w:rFonts w:ascii="Times New Roman" w:hAnsi="Times New Roman" w:cs="Times New Roman"/>
        </w:rPr>
        <w:t xml:space="preserve"> billed for unauthorized use</w:t>
      </w:r>
      <w:r w:rsidR="00E74FA8">
        <w:rPr>
          <w:rFonts w:ascii="Times New Roman" w:hAnsi="Times New Roman" w:cs="Times New Roman"/>
        </w:rPr>
        <w:t xml:space="preserve"> before reconnection.</w:t>
      </w:r>
    </w:p>
    <w:p w:rsidR="00BA588F" w:rsidRPr="005D68C7" w:rsidRDefault="00BA588F" w:rsidP="005D2963">
      <w:pPr>
        <w:tabs>
          <w:tab w:val="center" w:pos="4680"/>
        </w:tabs>
        <w:suppressAutoHyphens/>
        <w:ind w:firstLine="0"/>
        <w:rPr>
          <w:spacing w:val="-3"/>
        </w:rPr>
      </w:pPr>
    </w:p>
    <w:p w:rsidR="004716C4" w:rsidRPr="005D68C7" w:rsidRDefault="0093543B" w:rsidP="00C04C8C">
      <w:pPr>
        <w:tabs>
          <w:tab w:val="center" w:pos="4680"/>
        </w:tabs>
        <w:suppressAutoHyphens/>
      </w:pPr>
      <w:r w:rsidRPr="005D68C7">
        <w:t>I find the amount of $11,155.26 billed to be reasonable given the evidence of appliances in the service property which use a total of approximately 3</w:t>
      </w:r>
      <w:r w:rsidR="009E1471" w:rsidRPr="005D68C7">
        <w:t>94</w:t>
      </w:r>
      <w:r w:rsidRPr="005D68C7">
        <w:t xml:space="preserve">,000 BTUs and the fact that two rooftop heaters were not included in the calculation.  PGW Exhibit 4 is persuasive to show the calculation is reasonable for the period of February 8, 2012 through June 24, 2013.  </w:t>
      </w:r>
      <w:r w:rsidR="00B80C39" w:rsidRPr="005D68C7">
        <w:t>Further, the testimony of complainant that the food sales from the bar were made with little or no use of the kitchen appliances</w:t>
      </w:r>
      <w:r w:rsidR="00B7269C">
        <w:t xml:space="preserve"> lacked credibility</w:t>
      </w:r>
      <w:r w:rsidR="00B80C39" w:rsidRPr="005D68C7">
        <w:t xml:space="preserve">. </w:t>
      </w:r>
      <w:r w:rsidR="00021AD8">
        <w:t xml:space="preserve"> </w:t>
      </w:r>
      <w:r w:rsidR="00B80C39" w:rsidRPr="005D68C7">
        <w:t>Complainant failed to show there was less usage in gas at the premises in 2012-2013 compared with prior years.</w:t>
      </w:r>
    </w:p>
    <w:p w:rsidR="00B506BE" w:rsidRDefault="00B506BE" w:rsidP="00B506BE">
      <w:pPr>
        <w:tabs>
          <w:tab w:val="left" w:pos="-720"/>
        </w:tabs>
        <w:suppressAutoHyphens/>
        <w:ind w:firstLine="0"/>
      </w:pPr>
    </w:p>
    <w:p w:rsidR="00453D3B" w:rsidRPr="005D68C7" w:rsidRDefault="00453D3B" w:rsidP="00B506BE">
      <w:pPr>
        <w:tabs>
          <w:tab w:val="left" w:pos="-720"/>
        </w:tabs>
        <w:suppressAutoHyphens/>
        <w:ind w:firstLine="0"/>
        <w:jc w:val="center"/>
        <w:rPr>
          <w:spacing w:val="-3"/>
          <w:u w:val="single"/>
        </w:rPr>
      </w:pPr>
      <w:r w:rsidRPr="005D68C7">
        <w:rPr>
          <w:spacing w:val="-3"/>
          <w:u w:val="single"/>
        </w:rPr>
        <w:t>CONCLUSIONS OF LAW</w:t>
      </w:r>
    </w:p>
    <w:p w:rsidR="00453D3B" w:rsidRPr="005D68C7" w:rsidRDefault="00453D3B" w:rsidP="00453D3B"/>
    <w:p w:rsidR="00453D3B" w:rsidRPr="005D68C7" w:rsidRDefault="00453D3B" w:rsidP="00453D3B">
      <w:pPr>
        <w:numPr>
          <w:ilvl w:val="0"/>
          <w:numId w:val="2"/>
        </w:numPr>
        <w:autoSpaceDE/>
        <w:autoSpaceDN/>
        <w:ind w:left="0" w:firstLine="1440"/>
      </w:pPr>
      <w:r w:rsidRPr="005D68C7">
        <w:t>Section 332(a) of the Public Utility Code provides that the party seeking relief from the Commission has the burden of proof.  66 Pa.C.S. § 332(a).</w:t>
      </w:r>
    </w:p>
    <w:p w:rsidR="00453D3B" w:rsidRPr="005D68C7" w:rsidRDefault="00453D3B" w:rsidP="00453D3B">
      <w:pPr>
        <w:contextualSpacing/>
        <w:rPr>
          <w:rFonts w:eastAsia="SimSun"/>
        </w:rPr>
      </w:pPr>
    </w:p>
    <w:p w:rsidR="00453D3B" w:rsidRPr="005D68C7" w:rsidRDefault="00453D3B" w:rsidP="00453D3B">
      <w:pPr>
        <w:numPr>
          <w:ilvl w:val="0"/>
          <w:numId w:val="2"/>
        </w:numPr>
        <w:autoSpaceDE/>
        <w:autoSpaceDN/>
        <w:ind w:left="0" w:firstLine="1440"/>
      </w:pPr>
      <w:r w:rsidRPr="005D68C7">
        <w:t xml:space="preserve">"Burden of proof" means a duty to establish a fact by a preponderance of the evidence, or evidence more convincing, by even the smallest degree, than the evidence presented by the other party.  </w:t>
      </w:r>
      <w:r w:rsidRPr="005D68C7">
        <w:rPr>
          <w:u w:val="single"/>
        </w:rPr>
        <w:t>Se-Ling Hosiery v. Margulies</w:t>
      </w:r>
      <w:r w:rsidRPr="005D68C7">
        <w:t>, 364 Pa. 54, 70 A.2d 854 (1950).</w:t>
      </w:r>
    </w:p>
    <w:p w:rsidR="00453D3B" w:rsidRPr="005D68C7" w:rsidRDefault="00453D3B" w:rsidP="00453D3B">
      <w:pPr>
        <w:ind w:left="1440"/>
      </w:pPr>
    </w:p>
    <w:p w:rsidR="00453D3B" w:rsidRPr="005D68C7" w:rsidRDefault="00453D3B" w:rsidP="00453D3B">
      <w:pPr>
        <w:numPr>
          <w:ilvl w:val="0"/>
          <w:numId w:val="2"/>
        </w:numPr>
        <w:autoSpaceDE/>
        <w:autoSpaceDN/>
        <w:ind w:left="0" w:firstLine="1440"/>
      </w:pPr>
      <w:r w:rsidRPr="005D68C7">
        <w:t xml:space="preserve">If a complainant establishes a </w:t>
      </w:r>
      <w:r w:rsidRPr="005D68C7">
        <w:rPr>
          <w:i/>
        </w:rPr>
        <w:t xml:space="preserve">prima facie </w:t>
      </w:r>
      <w:r w:rsidRPr="005D68C7">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5D68C7">
        <w:rPr>
          <w:u w:val="single"/>
        </w:rPr>
        <w:t>Replogle v. Pennsylvania Electric Company</w:t>
      </w:r>
      <w:r w:rsidRPr="005D68C7">
        <w:t xml:space="preserve">, 54 Pa. PUC 528 (1980), and </w:t>
      </w:r>
      <w:r w:rsidRPr="005D68C7">
        <w:rPr>
          <w:u w:val="single"/>
        </w:rPr>
        <w:t>Waldron v. Philadelphia Electric Company</w:t>
      </w:r>
      <w:r w:rsidRPr="005D68C7">
        <w:t>, 54 Pa. PUC 98 (1980).</w:t>
      </w:r>
    </w:p>
    <w:p w:rsidR="00453D3B" w:rsidRPr="005D68C7" w:rsidRDefault="00453D3B" w:rsidP="00453D3B">
      <w:pPr>
        <w:ind w:left="720"/>
        <w:contextualSpacing/>
        <w:rPr>
          <w:rFonts w:eastAsia="SimSun"/>
        </w:rPr>
      </w:pPr>
    </w:p>
    <w:p w:rsidR="00453D3B" w:rsidRPr="005D68C7" w:rsidRDefault="00453D3B" w:rsidP="00453D3B">
      <w:pPr>
        <w:numPr>
          <w:ilvl w:val="0"/>
          <w:numId w:val="2"/>
        </w:numPr>
        <w:autoSpaceDE/>
        <w:autoSpaceDN/>
        <w:ind w:left="0" w:firstLine="1440"/>
      </w:pPr>
      <w:r w:rsidRPr="005D68C7">
        <w:t>The decision of the Commission must be supported by substantial evidence.  2 Pa.C.S. § 704.</w:t>
      </w:r>
    </w:p>
    <w:p w:rsidR="00453D3B" w:rsidRPr="005D68C7" w:rsidRDefault="00453D3B" w:rsidP="00453D3B">
      <w:pPr>
        <w:pStyle w:val="ListParagraph"/>
        <w:spacing w:after="0" w:line="360" w:lineRule="auto"/>
        <w:contextualSpacing w:val="0"/>
        <w:rPr>
          <w:rFonts w:ascii="Times New Roman" w:eastAsia="Times New Roman" w:hAnsi="Times New Roman"/>
          <w:sz w:val="24"/>
          <w:szCs w:val="24"/>
        </w:rPr>
      </w:pPr>
    </w:p>
    <w:p w:rsidR="00453D3B" w:rsidRPr="005D68C7" w:rsidRDefault="00453D3B" w:rsidP="00453D3B">
      <w:pPr>
        <w:numPr>
          <w:ilvl w:val="0"/>
          <w:numId w:val="2"/>
        </w:numPr>
        <w:autoSpaceDE/>
        <w:autoSpaceDN/>
        <w:ind w:left="0" w:firstLine="1440"/>
        <w:rPr>
          <w:rFonts w:eastAsia="SimSun"/>
        </w:rPr>
      </w:pPr>
      <w:r w:rsidRPr="005D68C7">
        <w:t xml:space="preserve">"Substantial evidence" is such relevant evidence that a reasonable mind might accept as adequate to support a conclusion.  More is required than a mere trace of evidence or a suspicion of the existence of a fact sought to be established.  </w:t>
      </w:r>
      <w:r w:rsidRPr="005D68C7">
        <w:rPr>
          <w:u w:val="single"/>
        </w:rPr>
        <w:t>Norfolk &amp; Western Ry. Co. v. Pa. Pub. Util. Comm’n</w:t>
      </w:r>
      <w:r w:rsidRPr="005D68C7">
        <w:t xml:space="preserve">, 489 Pa. 109, 413 A.2d 1037 (1980); </w:t>
      </w:r>
      <w:r w:rsidRPr="005D68C7">
        <w:rPr>
          <w:u w:val="single"/>
        </w:rPr>
        <w:t>Erie Resistor Corp. v. Unemployment Comp. Bd. of Review</w:t>
      </w:r>
      <w:r w:rsidRPr="005D68C7">
        <w:t xml:space="preserve">, 194 Pa. Superior Ct. 278, 166 A.2d 96 (1961); and </w:t>
      </w:r>
      <w:r w:rsidRPr="005D68C7">
        <w:rPr>
          <w:u w:val="single"/>
        </w:rPr>
        <w:t>Murphy v. Comm., Dept. of Public Welfare, White Haven Center</w:t>
      </w:r>
      <w:r w:rsidRPr="005D68C7">
        <w:t>, 85 Pa. Cmwlth Ct. 23, 480 A.2d 382 (1984).</w:t>
      </w:r>
    </w:p>
    <w:p w:rsidR="00453D3B" w:rsidRPr="005D68C7" w:rsidRDefault="00453D3B" w:rsidP="00453D3B">
      <w:pPr>
        <w:pStyle w:val="ListParagraph"/>
        <w:spacing w:after="0" w:line="360" w:lineRule="auto"/>
        <w:contextualSpacing w:val="0"/>
        <w:rPr>
          <w:rFonts w:ascii="Times New Roman" w:hAnsi="Times New Roman"/>
          <w:sz w:val="24"/>
          <w:szCs w:val="24"/>
        </w:rPr>
      </w:pPr>
    </w:p>
    <w:p w:rsidR="00453D3B" w:rsidRPr="005D68C7" w:rsidRDefault="00453D3B" w:rsidP="00453D3B">
      <w:pPr>
        <w:numPr>
          <w:ilvl w:val="0"/>
          <w:numId w:val="2"/>
        </w:numPr>
        <w:autoSpaceDE/>
        <w:autoSpaceDN/>
        <w:spacing w:before="100" w:beforeAutospacing="1" w:afterAutospacing="1"/>
        <w:ind w:left="0" w:firstLine="1440"/>
        <w:contextualSpacing/>
        <w:rPr>
          <w:rFonts w:eastAsia="SimSun"/>
        </w:rPr>
      </w:pPr>
      <w:r w:rsidRPr="005D68C7">
        <w:t xml:space="preserve">When a public utility renders a make-up bill for previously unbilled public utility service resulting from public utility billing error, meter failure, leakage that could not reasonably have been detected or loss of service, or four or more consecutive estimated bills and the make-up bill exceeds the otherwise normal estimated bill for the billing period during which the make-up bill is issued by at least 50% or at least $50, whichever is greater: (1) the public </w:t>
      </w:r>
      <w:r w:rsidRPr="005D68C7">
        <w:lastRenderedPageBreak/>
        <w:t>utility shall explain the bill to the customer and make a reasonable attempt to amortize the bill and (2) the period of amortization may, at the option of the customer, extend at least as long as: (i) the period during which the excess amount accrued and (ii) necessary so that the quantity of service billed in any one billing period is not greater than the normal estimated quantity for that period plus 50%.  52 Pa.Code § 56.14.</w:t>
      </w:r>
    </w:p>
    <w:p w:rsidR="00453D3B" w:rsidRPr="005D68C7" w:rsidRDefault="00453D3B" w:rsidP="00453D3B">
      <w:pPr>
        <w:pStyle w:val="ListParagraph"/>
        <w:spacing w:after="0" w:line="360" w:lineRule="auto"/>
        <w:contextualSpacing w:val="0"/>
        <w:rPr>
          <w:rFonts w:ascii="Times New Roman" w:eastAsia="SimSun" w:hAnsi="Times New Roman"/>
          <w:sz w:val="24"/>
          <w:szCs w:val="24"/>
        </w:rPr>
      </w:pPr>
    </w:p>
    <w:p w:rsidR="00453D3B" w:rsidRPr="005D68C7" w:rsidRDefault="00B80C39" w:rsidP="00453D3B">
      <w:r w:rsidRPr="005D68C7">
        <w:t>7.</w:t>
      </w:r>
      <w:r w:rsidRPr="005D68C7">
        <w:tab/>
        <w:t>Complainant has failed to prove PGW incorrectly billed her for unauthorized unbilled gas service for the time period of February 8, 2012 th</w:t>
      </w:r>
      <w:r w:rsidR="00B506BE">
        <w:t>rough June 24, 2013.</w:t>
      </w:r>
    </w:p>
    <w:p w:rsidR="00453D3B" w:rsidRPr="005D68C7" w:rsidRDefault="00453D3B" w:rsidP="00453D3B">
      <w:pPr>
        <w:jc w:val="center"/>
        <w:rPr>
          <w:u w:val="single"/>
        </w:rPr>
      </w:pPr>
    </w:p>
    <w:p w:rsidR="00F1566C" w:rsidRPr="005D68C7" w:rsidRDefault="00B80C39" w:rsidP="00F1566C">
      <w:pPr>
        <w:jc w:val="both"/>
      </w:pPr>
      <w:r w:rsidRPr="005D68C7">
        <w:t>8</w:t>
      </w:r>
      <w:r w:rsidR="00F1566C" w:rsidRPr="005D68C7">
        <w:t>.</w:t>
      </w:r>
      <w:r w:rsidR="00F1566C" w:rsidRPr="005D68C7">
        <w:tab/>
        <w:t>The Respondent has established by a preponderance of the evidence that it is entitled to payment for unbilled usage in the amount of $</w:t>
      </w:r>
      <w:r w:rsidRPr="005D68C7">
        <w:t>11</w:t>
      </w:r>
      <w:r w:rsidR="00F1566C" w:rsidRPr="005D68C7">
        <w:t>,</w:t>
      </w:r>
      <w:r w:rsidRPr="005D68C7">
        <w:t>155.26</w:t>
      </w:r>
      <w:r w:rsidR="00F1566C" w:rsidRPr="005D68C7">
        <w:t>.</w:t>
      </w:r>
    </w:p>
    <w:p w:rsidR="00F1566C" w:rsidRPr="005D68C7" w:rsidRDefault="00F1566C" w:rsidP="00F1566C">
      <w:pPr>
        <w:jc w:val="both"/>
      </w:pPr>
    </w:p>
    <w:p w:rsidR="00F1566C" w:rsidRPr="005D68C7" w:rsidRDefault="00B80C39" w:rsidP="00F1566C">
      <w:pPr>
        <w:jc w:val="both"/>
      </w:pPr>
      <w:r w:rsidRPr="005D68C7">
        <w:t>9</w:t>
      </w:r>
      <w:r w:rsidR="00124D37">
        <w:t>.</w:t>
      </w:r>
      <w:r w:rsidR="00124D37">
        <w:tab/>
      </w:r>
      <w:r w:rsidR="00F1566C" w:rsidRPr="005D68C7">
        <w:t>The Respondent has no obligation to enter into a payment agreement with the Complainant for payment of the previ</w:t>
      </w:r>
      <w:r w:rsidR="00124D37">
        <w:t>ously unbilled service.  52 Pa.</w:t>
      </w:r>
      <w:r w:rsidR="00F1566C" w:rsidRPr="005D68C7">
        <w:t>Code §</w:t>
      </w:r>
      <w:r w:rsidR="00124D37">
        <w:t xml:space="preserve"> </w:t>
      </w:r>
      <w:r w:rsidR="00F1566C" w:rsidRPr="005D68C7">
        <w:t>56.14</w:t>
      </w:r>
      <w:r w:rsidR="00124D37">
        <w:t>.</w:t>
      </w:r>
    </w:p>
    <w:p w:rsidR="00B80C39" w:rsidRPr="005D68C7" w:rsidRDefault="00B80C39" w:rsidP="00F1566C"/>
    <w:p w:rsidR="00F1566C" w:rsidRPr="005D68C7" w:rsidRDefault="00B80C39" w:rsidP="00F1566C">
      <w:r w:rsidRPr="005D68C7">
        <w:t>10.</w:t>
      </w:r>
      <w:r w:rsidRPr="005D68C7">
        <w:tab/>
        <w:t xml:space="preserve">PGW </w:t>
      </w:r>
      <w:r w:rsidR="005A578C" w:rsidRPr="005D68C7">
        <w:t xml:space="preserve">gave proper notice and </w:t>
      </w:r>
      <w:r w:rsidRPr="005D68C7">
        <w:t>did not erroneously terminate Complainant’s gas service on June 24, 2013.</w:t>
      </w:r>
    </w:p>
    <w:p w:rsidR="00072F24" w:rsidRPr="005D68C7" w:rsidRDefault="00072F24" w:rsidP="002347A2">
      <w:pPr>
        <w:tabs>
          <w:tab w:val="left" w:pos="-1440"/>
          <w:tab w:val="left" w:pos="-720"/>
        </w:tabs>
        <w:suppressAutoHyphens/>
        <w:ind w:firstLine="0"/>
        <w:rPr>
          <w:spacing w:val="-3"/>
        </w:rPr>
      </w:pPr>
    </w:p>
    <w:p w:rsidR="00053D24" w:rsidRPr="005D68C7" w:rsidRDefault="00053D24" w:rsidP="00C04C8C">
      <w:pPr>
        <w:tabs>
          <w:tab w:val="center" w:pos="4680"/>
        </w:tabs>
        <w:suppressAutoHyphens/>
        <w:ind w:firstLine="0"/>
        <w:jc w:val="center"/>
        <w:rPr>
          <w:bCs/>
          <w:spacing w:val="-3"/>
          <w:u w:val="single"/>
        </w:rPr>
      </w:pPr>
      <w:r w:rsidRPr="005D68C7">
        <w:rPr>
          <w:bCs/>
          <w:spacing w:val="-3"/>
          <w:u w:val="single"/>
        </w:rPr>
        <w:t>ORDER</w:t>
      </w:r>
    </w:p>
    <w:p w:rsidR="00822561" w:rsidRPr="005D68C7" w:rsidRDefault="00822561" w:rsidP="00C83E13">
      <w:pPr>
        <w:tabs>
          <w:tab w:val="center" w:pos="4680"/>
        </w:tabs>
        <w:suppressAutoHyphens/>
        <w:rPr>
          <w:bCs/>
          <w:spacing w:val="-3"/>
          <w:u w:val="single"/>
        </w:rPr>
      </w:pPr>
    </w:p>
    <w:p w:rsidR="00053D24" w:rsidRPr="005D68C7" w:rsidRDefault="00053D24" w:rsidP="00C04C8C">
      <w:pPr>
        <w:tabs>
          <w:tab w:val="left" w:pos="-1440"/>
          <w:tab w:val="left" w:pos="-720"/>
        </w:tabs>
        <w:suppressAutoHyphens/>
        <w:rPr>
          <w:bCs/>
          <w:spacing w:val="-3"/>
        </w:rPr>
      </w:pPr>
      <w:r w:rsidRPr="005D68C7">
        <w:rPr>
          <w:bCs/>
          <w:spacing w:val="-3"/>
        </w:rPr>
        <w:t>THEREFORE,</w:t>
      </w:r>
    </w:p>
    <w:p w:rsidR="00053D24" w:rsidRPr="005D68C7" w:rsidRDefault="00053D24" w:rsidP="00C04C8C">
      <w:pPr>
        <w:tabs>
          <w:tab w:val="left" w:pos="-1440"/>
          <w:tab w:val="left" w:pos="-720"/>
        </w:tabs>
        <w:suppressAutoHyphens/>
        <w:rPr>
          <w:bCs/>
          <w:spacing w:val="-3"/>
        </w:rPr>
      </w:pPr>
      <w:r w:rsidRPr="005D68C7">
        <w:rPr>
          <w:bCs/>
          <w:spacing w:val="-3"/>
        </w:rPr>
        <w:t>IT IS ORDERED:</w:t>
      </w:r>
    </w:p>
    <w:p w:rsidR="00053D24" w:rsidRPr="005D68C7" w:rsidRDefault="00053D24" w:rsidP="00C83E13">
      <w:pPr>
        <w:tabs>
          <w:tab w:val="left" w:pos="-1440"/>
          <w:tab w:val="left" w:pos="-720"/>
        </w:tabs>
        <w:suppressAutoHyphens/>
        <w:rPr>
          <w:spacing w:val="-3"/>
        </w:rPr>
      </w:pPr>
    </w:p>
    <w:p w:rsidR="00053D24" w:rsidRPr="005D68C7" w:rsidRDefault="00CD42F8" w:rsidP="00C04C8C">
      <w:pPr>
        <w:tabs>
          <w:tab w:val="left" w:pos="-1440"/>
          <w:tab w:val="left" w:pos="-720"/>
        </w:tabs>
        <w:suppressAutoHyphens/>
        <w:rPr>
          <w:spacing w:val="-3"/>
        </w:rPr>
      </w:pPr>
      <w:r w:rsidRPr="005D68C7">
        <w:rPr>
          <w:spacing w:val="-3"/>
        </w:rPr>
        <w:t>1</w:t>
      </w:r>
      <w:r w:rsidR="00053D24" w:rsidRPr="005D68C7">
        <w:rPr>
          <w:spacing w:val="-3"/>
        </w:rPr>
        <w:t>.</w:t>
      </w:r>
      <w:r w:rsidR="00053D24" w:rsidRPr="005D68C7">
        <w:rPr>
          <w:spacing w:val="-3"/>
        </w:rPr>
        <w:tab/>
        <w:t xml:space="preserve">That the Complaint of </w:t>
      </w:r>
      <w:r w:rsidR="00F1566C" w:rsidRPr="005D68C7">
        <w:rPr>
          <w:spacing w:val="-3"/>
        </w:rPr>
        <w:t>Vanessa Kull</w:t>
      </w:r>
      <w:r w:rsidR="00002B69" w:rsidRPr="005D68C7">
        <w:rPr>
          <w:spacing w:val="-3"/>
        </w:rPr>
        <w:t xml:space="preserve"> </w:t>
      </w:r>
      <w:r w:rsidR="00C42A12" w:rsidRPr="005D68C7">
        <w:rPr>
          <w:spacing w:val="-3"/>
        </w:rPr>
        <w:t>a</w:t>
      </w:r>
      <w:r w:rsidR="00053D24" w:rsidRPr="005D68C7">
        <w:rPr>
          <w:spacing w:val="-3"/>
        </w:rPr>
        <w:t xml:space="preserve">gainst </w:t>
      </w:r>
      <w:r w:rsidR="00F1566C" w:rsidRPr="005D68C7">
        <w:rPr>
          <w:spacing w:val="-3"/>
        </w:rPr>
        <w:t xml:space="preserve">Philadelphia Gas Works </w:t>
      </w:r>
      <w:r w:rsidR="00053D24" w:rsidRPr="005D68C7">
        <w:rPr>
          <w:spacing w:val="-3"/>
        </w:rPr>
        <w:t xml:space="preserve">at Docket Number </w:t>
      </w:r>
      <w:r w:rsidR="00F1566C" w:rsidRPr="005D68C7">
        <w:rPr>
          <w:spacing w:val="-3"/>
        </w:rPr>
        <w:t>C</w:t>
      </w:r>
      <w:r w:rsidR="0020720A" w:rsidRPr="005D68C7">
        <w:rPr>
          <w:spacing w:val="-3"/>
        </w:rPr>
        <w:t>-201</w:t>
      </w:r>
      <w:r w:rsidR="00F1566C" w:rsidRPr="005D68C7">
        <w:rPr>
          <w:spacing w:val="-3"/>
        </w:rPr>
        <w:t>3</w:t>
      </w:r>
      <w:r w:rsidR="0020720A" w:rsidRPr="005D68C7">
        <w:rPr>
          <w:spacing w:val="-3"/>
        </w:rPr>
        <w:t>-2</w:t>
      </w:r>
      <w:r w:rsidR="00F1566C" w:rsidRPr="005D68C7">
        <w:rPr>
          <w:spacing w:val="-3"/>
        </w:rPr>
        <w:t>379510</w:t>
      </w:r>
      <w:r w:rsidR="004D2EFA" w:rsidRPr="005D68C7">
        <w:rPr>
          <w:spacing w:val="-3"/>
        </w:rPr>
        <w:t xml:space="preserve"> </w:t>
      </w:r>
      <w:r w:rsidR="00053D24" w:rsidRPr="005D68C7">
        <w:rPr>
          <w:spacing w:val="-3"/>
        </w:rPr>
        <w:t xml:space="preserve">is </w:t>
      </w:r>
      <w:r w:rsidR="0020720A" w:rsidRPr="005D68C7">
        <w:rPr>
          <w:spacing w:val="-3"/>
        </w:rPr>
        <w:t xml:space="preserve">denied </w:t>
      </w:r>
      <w:r w:rsidR="00F1566C" w:rsidRPr="005D68C7">
        <w:rPr>
          <w:spacing w:val="-3"/>
        </w:rPr>
        <w:t>and dismissed</w:t>
      </w:r>
      <w:r w:rsidR="00053D24" w:rsidRPr="005D68C7">
        <w:rPr>
          <w:spacing w:val="-3"/>
        </w:rPr>
        <w:t>.</w:t>
      </w:r>
    </w:p>
    <w:p w:rsidR="00573533" w:rsidRPr="005D68C7" w:rsidRDefault="00573533" w:rsidP="00C83E13">
      <w:pPr>
        <w:tabs>
          <w:tab w:val="left" w:pos="-1440"/>
          <w:tab w:val="left" w:pos="-720"/>
        </w:tabs>
        <w:suppressAutoHyphens/>
        <w:rPr>
          <w:spacing w:val="-3"/>
        </w:rPr>
      </w:pPr>
    </w:p>
    <w:p w:rsidR="00121E9F" w:rsidRPr="005D68C7" w:rsidRDefault="005A578C" w:rsidP="00C04C8C">
      <w:pPr>
        <w:tabs>
          <w:tab w:val="left" w:pos="-1440"/>
          <w:tab w:val="left" w:pos="-720"/>
        </w:tabs>
        <w:suppressAutoHyphens/>
        <w:rPr>
          <w:spacing w:val="-3"/>
        </w:rPr>
      </w:pPr>
      <w:r w:rsidRPr="005D68C7">
        <w:rPr>
          <w:spacing w:val="-3"/>
        </w:rPr>
        <w:t>2</w:t>
      </w:r>
      <w:r w:rsidR="00121E9F" w:rsidRPr="005D68C7">
        <w:rPr>
          <w:spacing w:val="-3"/>
        </w:rPr>
        <w:t>.</w:t>
      </w:r>
      <w:r w:rsidR="00121E9F" w:rsidRPr="005D68C7">
        <w:rPr>
          <w:spacing w:val="-3"/>
        </w:rPr>
        <w:tab/>
        <w:t xml:space="preserve">That the </w:t>
      </w:r>
      <w:r w:rsidR="00B7269C">
        <w:rPr>
          <w:spacing w:val="-3"/>
        </w:rPr>
        <w:t>case</w:t>
      </w:r>
      <w:r w:rsidR="00121E9F" w:rsidRPr="005D68C7">
        <w:rPr>
          <w:spacing w:val="-3"/>
        </w:rPr>
        <w:t xml:space="preserve"> at Docket Number </w:t>
      </w:r>
      <w:r w:rsidR="00F1566C" w:rsidRPr="005D68C7">
        <w:rPr>
          <w:spacing w:val="-3"/>
        </w:rPr>
        <w:t xml:space="preserve">C-2013-2379510 </w:t>
      </w:r>
      <w:r w:rsidR="00121E9F" w:rsidRPr="005D68C7">
        <w:rPr>
          <w:spacing w:val="-3"/>
        </w:rPr>
        <w:t>be marked closed.</w:t>
      </w:r>
    </w:p>
    <w:p w:rsidR="00D82DBF" w:rsidRPr="005D68C7" w:rsidRDefault="00D82DBF" w:rsidP="00C83E13">
      <w:pPr>
        <w:tabs>
          <w:tab w:val="left" w:pos="-1440"/>
          <w:tab w:val="left" w:pos="-720"/>
        </w:tabs>
        <w:suppressAutoHyphens/>
        <w:rPr>
          <w:spacing w:val="-3"/>
        </w:rPr>
      </w:pPr>
    </w:p>
    <w:p w:rsidR="00053D24" w:rsidRPr="005D68C7" w:rsidRDefault="00053D24" w:rsidP="007F435D">
      <w:pPr>
        <w:tabs>
          <w:tab w:val="left" w:pos="-1440"/>
          <w:tab w:val="left" w:pos="-720"/>
        </w:tabs>
        <w:suppressAutoHyphens/>
        <w:spacing w:line="240" w:lineRule="auto"/>
        <w:ind w:firstLine="0"/>
      </w:pPr>
      <w:r w:rsidRPr="005D68C7">
        <w:rPr>
          <w:spacing w:val="-3"/>
        </w:rPr>
        <w:t>Date:</w:t>
      </w:r>
      <w:r w:rsidRPr="005D68C7">
        <w:rPr>
          <w:spacing w:val="-3"/>
        </w:rPr>
        <w:tab/>
      </w:r>
      <w:r w:rsidR="00F1566C" w:rsidRPr="005D68C7">
        <w:rPr>
          <w:spacing w:val="-3"/>
          <w:u w:val="single"/>
        </w:rPr>
        <w:t>April 15,</w:t>
      </w:r>
      <w:r w:rsidR="002165E5" w:rsidRPr="005D68C7">
        <w:rPr>
          <w:spacing w:val="-3"/>
          <w:u w:val="single"/>
        </w:rPr>
        <w:t xml:space="preserve"> 20</w:t>
      </w:r>
      <w:r w:rsidR="002C58D5" w:rsidRPr="005D68C7">
        <w:rPr>
          <w:spacing w:val="-3"/>
          <w:u w:val="single"/>
        </w:rPr>
        <w:t>1</w:t>
      </w:r>
      <w:r w:rsidR="00F1566C" w:rsidRPr="005D68C7">
        <w:rPr>
          <w:spacing w:val="-3"/>
          <w:u w:val="single"/>
        </w:rPr>
        <w:t>4</w:t>
      </w:r>
      <w:r w:rsidR="004D2EFA" w:rsidRPr="005D68C7">
        <w:rPr>
          <w:spacing w:val="-3"/>
        </w:rPr>
        <w:tab/>
      </w:r>
      <w:r w:rsidR="00CC27A5" w:rsidRPr="005D68C7">
        <w:rPr>
          <w:spacing w:val="-3"/>
        </w:rPr>
        <w:tab/>
      </w:r>
      <w:r w:rsidR="005073EF" w:rsidRPr="005D68C7">
        <w:rPr>
          <w:spacing w:val="-3"/>
        </w:rPr>
        <w:tab/>
      </w:r>
      <w:r w:rsidR="007F435D" w:rsidRPr="005D68C7">
        <w:rPr>
          <w:spacing w:val="-3"/>
        </w:rPr>
        <w:tab/>
      </w:r>
      <w:r w:rsidR="00C83E13">
        <w:rPr>
          <w:spacing w:val="-3"/>
        </w:rPr>
        <w:tab/>
      </w:r>
      <w:r w:rsidR="00B02C5D" w:rsidRPr="005D68C7">
        <w:rPr>
          <w:spacing w:val="-3"/>
          <w:u w:val="single"/>
        </w:rPr>
        <w:tab/>
      </w:r>
      <w:r w:rsidR="00B02C5D" w:rsidRPr="005D68C7">
        <w:rPr>
          <w:spacing w:val="-3"/>
          <w:u w:val="single"/>
        </w:rPr>
        <w:tab/>
      </w:r>
      <w:r w:rsidR="00F1566C" w:rsidRPr="005D68C7">
        <w:rPr>
          <w:spacing w:val="-3"/>
          <w:u w:val="single"/>
        </w:rPr>
        <w:t>/s/</w:t>
      </w:r>
      <w:r w:rsidR="002165E5" w:rsidRPr="005D68C7">
        <w:rPr>
          <w:spacing w:val="-3"/>
          <w:u w:val="single"/>
        </w:rPr>
        <w:tab/>
      </w:r>
      <w:r w:rsidR="00B02C5D" w:rsidRPr="005D68C7">
        <w:rPr>
          <w:spacing w:val="-3"/>
          <w:u w:val="single"/>
        </w:rPr>
        <w:tab/>
      </w:r>
      <w:r w:rsidR="00AB2F35" w:rsidRPr="005D68C7">
        <w:rPr>
          <w:spacing w:val="-3"/>
          <w:u w:val="single"/>
        </w:rPr>
        <w:tab/>
      </w:r>
      <w:r w:rsidR="00AB2F35" w:rsidRPr="005D68C7">
        <w:rPr>
          <w:spacing w:val="-3"/>
          <w:u w:val="single"/>
        </w:rPr>
        <w:tab/>
      </w:r>
      <w:r w:rsidRPr="005D68C7">
        <w:tab/>
      </w:r>
      <w:r w:rsidRPr="005D68C7">
        <w:tab/>
      </w:r>
      <w:r w:rsidR="00635095" w:rsidRPr="005D68C7">
        <w:tab/>
      </w:r>
      <w:r w:rsidRPr="005D68C7">
        <w:tab/>
      </w:r>
      <w:r w:rsidR="00CC27A5" w:rsidRPr="005D68C7">
        <w:tab/>
      </w:r>
      <w:r w:rsidR="00AB2F35" w:rsidRPr="005D68C7">
        <w:tab/>
      </w:r>
      <w:r w:rsidR="007F435D" w:rsidRPr="005D68C7">
        <w:tab/>
      </w:r>
      <w:r w:rsidR="00F1566C" w:rsidRPr="005D68C7">
        <w:t>Elizabeth H. Barnes</w:t>
      </w:r>
    </w:p>
    <w:p w:rsidR="00053D24" w:rsidRPr="005D68C7" w:rsidRDefault="00053D24" w:rsidP="00C04C8C">
      <w:pPr>
        <w:spacing w:line="240" w:lineRule="auto"/>
      </w:pPr>
      <w:r w:rsidRPr="005D68C7">
        <w:tab/>
      </w:r>
      <w:r w:rsidRPr="005D68C7">
        <w:tab/>
      </w:r>
      <w:r w:rsidR="00CC27A5" w:rsidRPr="005D68C7">
        <w:tab/>
      </w:r>
      <w:r w:rsidRPr="005D68C7">
        <w:tab/>
      </w:r>
      <w:r w:rsidR="00C83E13">
        <w:tab/>
      </w:r>
      <w:r w:rsidRPr="005D68C7">
        <w:t>Administrative Law Judge</w:t>
      </w:r>
    </w:p>
    <w:sectPr w:rsidR="00053D24" w:rsidRPr="005D68C7" w:rsidSect="00724A6F">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4C9" w:rsidRDefault="008D24C9">
      <w:pPr>
        <w:spacing w:line="20" w:lineRule="exact"/>
        <w:rPr>
          <w:sz w:val="23"/>
          <w:szCs w:val="23"/>
        </w:rPr>
      </w:pPr>
    </w:p>
  </w:endnote>
  <w:endnote w:type="continuationSeparator" w:id="0">
    <w:p w:rsidR="008D24C9" w:rsidRDefault="008D24C9">
      <w:pPr>
        <w:rPr>
          <w:sz w:val="23"/>
          <w:szCs w:val="23"/>
        </w:rPr>
      </w:pPr>
      <w:r>
        <w:rPr>
          <w:sz w:val="23"/>
          <w:szCs w:val="23"/>
        </w:rPr>
        <w:t xml:space="preserve"> </w:t>
      </w:r>
    </w:p>
  </w:endnote>
  <w:endnote w:type="continuationNotice" w:id="1">
    <w:p w:rsidR="008D24C9" w:rsidRDefault="008D24C9">
      <w:pPr>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352" w:rsidRDefault="00D83352" w:rsidP="009C69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3352" w:rsidRDefault="00D833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352" w:rsidRPr="00B61414" w:rsidRDefault="00D83352" w:rsidP="00E9413E">
    <w:pPr>
      <w:pStyle w:val="Footer"/>
      <w:framePr w:wrap="around" w:vAnchor="text" w:hAnchor="margin" w:xAlign="center" w:y="1"/>
      <w:ind w:firstLine="0"/>
      <w:rPr>
        <w:rStyle w:val="PageNumber"/>
        <w:sz w:val="20"/>
        <w:szCs w:val="20"/>
      </w:rPr>
    </w:pPr>
    <w:r w:rsidRPr="00B61414">
      <w:rPr>
        <w:rStyle w:val="PageNumber"/>
        <w:sz w:val="20"/>
        <w:szCs w:val="20"/>
      </w:rPr>
      <w:fldChar w:fldCharType="begin"/>
    </w:r>
    <w:r w:rsidRPr="00B61414">
      <w:rPr>
        <w:rStyle w:val="PageNumber"/>
        <w:sz w:val="20"/>
        <w:szCs w:val="20"/>
      </w:rPr>
      <w:instrText xml:space="preserve">PAGE  </w:instrText>
    </w:r>
    <w:r w:rsidRPr="00B61414">
      <w:rPr>
        <w:rStyle w:val="PageNumber"/>
        <w:sz w:val="20"/>
        <w:szCs w:val="20"/>
      </w:rPr>
      <w:fldChar w:fldCharType="separate"/>
    </w:r>
    <w:r w:rsidR="008A5612">
      <w:rPr>
        <w:rStyle w:val="PageNumber"/>
        <w:noProof/>
        <w:sz w:val="20"/>
        <w:szCs w:val="20"/>
      </w:rPr>
      <w:t>12</w:t>
    </w:r>
    <w:r w:rsidRPr="00B61414">
      <w:rPr>
        <w:rStyle w:val="PageNumber"/>
        <w:sz w:val="20"/>
        <w:szCs w:val="20"/>
      </w:rPr>
      <w:fldChar w:fldCharType="end"/>
    </w:r>
  </w:p>
  <w:p w:rsidR="00D83352" w:rsidRDefault="00D83352">
    <w:pPr>
      <w:pStyle w:val="Footer"/>
      <w:spacing w:line="240" w:lineRule="auto"/>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352" w:rsidRDefault="00D83352">
    <w:pPr>
      <w:pStyle w:val="Footer"/>
      <w:spacing w:line="240" w:lineRule="auto"/>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4C9" w:rsidRDefault="008D24C9" w:rsidP="00054C7F">
      <w:pPr>
        <w:ind w:firstLine="0"/>
        <w:rPr>
          <w:sz w:val="23"/>
          <w:szCs w:val="23"/>
        </w:rPr>
      </w:pPr>
      <w:r>
        <w:separator/>
      </w:r>
    </w:p>
  </w:footnote>
  <w:footnote w:type="continuationSeparator" w:id="0">
    <w:p w:rsidR="008D24C9" w:rsidRPr="00D06E66" w:rsidRDefault="008D24C9" w:rsidP="00D06E66">
      <w:pPr>
        <w:pStyle w:val="Footer"/>
        <w:ind w:firstLine="0"/>
      </w:pPr>
    </w:p>
  </w:footnote>
  <w:footnote w:type="continuationNotice" w:id="1">
    <w:p w:rsidR="008D24C9" w:rsidRDefault="008D24C9">
      <w:pPr>
        <w:spacing w:line="240" w:lineRule="auto"/>
      </w:pPr>
    </w:p>
  </w:footnote>
  <w:footnote w:id="2">
    <w:p w:rsidR="00D83352" w:rsidRDefault="00D83352" w:rsidP="007879C8">
      <w:pPr>
        <w:pStyle w:val="FootnoteText"/>
      </w:pPr>
      <w:r>
        <w:rPr>
          <w:rStyle w:val="FootnoteReference"/>
        </w:rPr>
        <w:footnoteRef/>
      </w:r>
      <w:r>
        <w:tab/>
        <w:t>See, 66 Pa.C.S.A. §§ 332(a), 315.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352" w:rsidRDefault="00D83352">
    <w:pPr>
      <w:pStyle w:val="Header"/>
      <w:spacing w:line="240" w:lineRule="auto"/>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352" w:rsidRDefault="00D83352">
    <w:pPr>
      <w:pStyle w:val="Header"/>
      <w:spacing w:line="240" w:lineRule="aut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95638"/>
    <w:multiLevelType w:val="hybridMultilevel"/>
    <w:tmpl w:val="0D8C0A42"/>
    <w:lvl w:ilvl="0" w:tplc="34340278">
      <w:start w:val="1"/>
      <w:numFmt w:val="decimal"/>
      <w:lvlText w:val="(%1)"/>
      <w:lvlJc w:val="left"/>
      <w:pPr>
        <w:ind w:left="2010" w:hanging="405"/>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
    <w:nsid w:val="6CC6466D"/>
    <w:multiLevelType w:val="hybridMultilevel"/>
    <w:tmpl w:val="F0B88D0E"/>
    <w:lvl w:ilvl="0" w:tplc="D96A518C">
      <w:start w:val="1"/>
      <w:numFmt w:val="decimal"/>
      <w:lvlText w:val="%1."/>
      <w:lvlJc w:val="left"/>
      <w:pPr>
        <w:ind w:left="216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721F5045"/>
    <w:multiLevelType w:val="hybridMultilevel"/>
    <w:tmpl w:val="12B62CE4"/>
    <w:lvl w:ilvl="0" w:tplc="ACC6951E">
      <w:start w:val="1"/>
      <w:numFmt w:val="lowerRoman"/>
      <w:lvlText w:val="(%1)"/>
      <w:lvlJc w:val="left"/>
      <w:pPr>
        <w:ind w:left="2445" w:hanging="72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0B6"/>
    <w:rsid w:val="00000135"/>
    <w:rsid w:val="0000257E"/>
    <w:rsid w:val="00002B69"/>
    <w:rsid w:val="0000733B"/>
    <w:rsid w:val="00015788"/>
    <w:rsid w:val="00016C10"/>
    <w:rsid w:val="00021AD8"/>
    <w:rsid w:val="0004547C"/>
    <w:rsid w:val="00050D9B"/>
    <w:rsid w:val="00053D24"/>
    <w:rsid w:val="000548E9"/>
    <w:rsid w:val="00054C7F"/>
    <w:rsid w:val="00060ACF"/>
    <w:rsid w:val="00060B5B"/>
    <w:rsid w:val="00061EEA"/>
    <w:rsid w:val="000625AD"/>
    <w:rsid w:val="00062D0D"/>
    <w:rsid w:val="000634A6"/>
    <w:rsid w:val="00067499"/>
    <w:rsid w:val="00071326"/>
    <w:rsid w:val="00071564"/>
    <w:rsid w:val="00072F24"/>
    <w:rsid w:val="0007355B"/>
    <w:rsid w:val="00077584"/>
    <w:rsid w:val="00091CD9"/>
    <w:rsid w:val="000973E8"/>
    <w:rsid w:val="000A0123"/>
    <w:rsid w:val="000A2E41"/>
    <w:rsid w:val="000A3A26"/>
    <w:rsid w:val="000B0C3A"/>
    <w:rsid w:val="000B1208"/>
    <w:rsid w:val="000B17AA"/>
    <w:rsid w:val="000B3328"/>
    <w:rsid w:val="000B4401"/>
    <w:rsid w:val="000B45E7"/>
    <w:rsid w:val="000B58F4"/>
    <w:rsid w:val="000C2183"/>
    <w:rsid w:val="000C220B"/>
    <w:rsid w:val="000C30A5"/>
    <w:rsid w:val="000E4565"/>
    <w:rsid w:val="000E4E04"/>
    <w:rsid w:val="000E7373"/>
    <w:rsid w:val="000F3E69"/>
    <w:rsid w:val="000F5FFB"/>
    <w:rsid w:val="000F732D"/>
    <w:rsid w:val="001119E8"/>
    <w:rsid w:val="00120392"/>
    <w:rsid w:val="0012137D"/>
    <w:rsid w:val="00121E9F"/>
    <w:rsid w:val="00124D37"/>
    <w:rsid w:val="00125FE7"/>
    <w:rsid w:val="00127A00"/>
    <w:rsid w:val="00131FAC"/>
    <w:rsid w:val="0013698F"/>
    <w:rsid w:val="001377E3"/>
    <w:rsid w:val="001439F4"/>
    <w:rsid w:val="00143DBE"/>
    <w:rsid w:val="00144345"/>
    <w:rsid w:val="0014676A"/>
    <w:rsid w:val="0014686C"/>
    <w:rsid w:val="00147C58"/>
    <w:rsid w:val="001508B9"/>
    <w:rsid w:val="00160870"/>
    <w:rsid w:val="00167B69"/>
    <w:rsid w:val="00170D0E"/>
    <w:rsid w:val="001729BB"/>
    <w:rsid w:val="001753D3"/>
    <w:rsid w:val="00175429"/>
    <w:rsid w:val="001812E3"/>
    <w:rsid w:val="00185A33"/>
    <w:rsid w:val="00185B44"/>
    <w:rsid w:val="001914DE"/>
    <w:rsid w:val="00196CD4"/>
    <w:rsid w:val="001B0F03"/>
    <w:rsid w:val="001B26AE"/>
    <w:rsid w:val="001B3F94"/>
    <w:rsid w:val="001B66CF"/>
    <w:rsid w:val="001B6DF4"/>
    <w:rsid w:val="001B70E8"/>
    <w:rsid w:val="001C109C"/>
    <w:rsid w:val="001D0B7A"/>
    <w:rsid w:val="001D1226"/>
    <w:rsid w:val="001E58CE"/>
    <w:rsid w:val="001F2356"/>
    <w:rsid w:val="001F507D"/>
    <w:rsid w:val="00203E27"/>
    <w:rsid w:val="0020720A"/>
    <w:rsid w:val="00207CEA"/>
    <w:rsid w:val="00212CD8"/>
    <w:rsid w:val="002131CA"/>
    <w:rsid w:val="002165E5"/>
    <w:rsid w:val="00216C5A"/>
    <w:rsid w:val="00224D8B"/>
    <w:rsid w:val="00225DAF"/>
    <w:rsid w:val="002315B8"/>
    <w:rsid w:val="002347A2"/>
    <w:rsid w:val="002458F6"/>
    <w:rsid w:val="00250B2A"/>
    <w:rsid w:val="00251958"/>
    <w:rsid w:val="00261BD1"/>
    <w:rsid w:val="00263A55"/>
    <w:rsid w:val="002658BE"/>
    <w:rsid w:val="00266E93"/>
    <w:rsid w:val="002732D6"/>
    <w:rsid w:val="00274EB6"/>
    <w:rsid w:val="00282EE3"/>
    <w:rsid w:val="0029132D"/>
    <w:rsid w:val="00291B89"/>
    <w:rsid w:val="00291C66"/>
    <w:rsid w:val="00294440"/>
    <w:rsid w:val="0029539F"/>
    <w:rsid w:val="0029675B"/>
    <w:rsid w:val="002A4461"/>
    <w:rsid w:val="002A5C12"/>
    <w:rsid w:val="002A67B1"/>
    <w:rsid w:val="002B13D8"/>
    <w:rsid w:val="002B1BCC"/>
    <w:rsid w:val="002B49C5"/>
    <w:rsid w:val="002B7431"/>
    <w:rsid w:val="002C09E3"/>
    <w:rsid w:val="002C0AE8"/>
    <w:rsid w:val="002C2E40"/>
    <w:rsid w:val="002C58D5"/>
    <w:rsid w:val="002C5E46"/>
    <w:rsid w:val="002D17E7"/>
    <w:rsid w:val="002D3736"/>
    <w:rsid w:val="002D4EE3"/>
    <w:rsid w:val="002D6DA7"/>
    <w:rsid w:val="002F366B"/>
    <w:rsid w:val="002F4DAB"/>
    <w:rsid w:val="002F5F40"/>
    <w:rsid w:val="002F742C"/>
    <w:rsid w:val="00302E41"/>
    <w:rsid w:val="00304814"/>
    <w:rsid w:val="00306E36"/>
    <w:rsid w:val="00311F02"/>
    <w:rsid w:val="003132E4"/>
    <w:rsid w:val="00316C8A"/>
    <w:rsid w:val="00326455"/>
    <w:rsid w:val="00327EFE"/>
    <w:rsid w:val="00331E99"/>
    <w:rsid w:val="0033395B"/>
    <w:rsid w:val="00333F74"/>
    <w:rsid w:val="00336943"/>
    <w:rsid w:val="003418A9"/>
    <w:rsid w:val="00352F9A"/>
    <w:rsid w:val="00353885"/>
    <w:rsid w:val="0037004B"/>
    <w:rsid w:val="00371021"/>
    <w:rsid w:val="00373322"/>
    <w:rsid w:val="00383EF0"/>
    <w:rsid w:val="003854AF"/>
    <w:rsid w:val="003874F0"/>
    <w:rsid w:val="00393523"/>
    <w:rsid w:val="00393840"/>
    <w:rsid w:val="003A2ECA"/>
    <w:rsid w:val="003A5481"/>
    <w:rsid w:val="003A6172"/>
    <w:rsid w:val="003B592B"/>
    <w:rsid w:val="003D1C18"/>
    <w:rsid w:val="003D506E"/>
    <w:rsid w:val="003D6264"/>
    <w:rsid w:val="003D66AD"/>
    <w:rsid w:val="003D6717"/>
    <w:rsid w:val="003F16F4"/>
    <w:rsid w:val="003F47C5"/>
    <w:rsid w:val="003F47DD"/>
    <w:rsid w:val="003F49F8"/>
    <w:rsid w:val="003F72C5"/>
    <w:rsid w:val="0040594F"/>
    <w:rsid w:val="00412E1F"/>
    <w:rsid w:val="00416B01"/>
    <w:rsid w:val="00420339"/>
    <w:rsid w:val="00420EA7"/>
    <w:rsid w:val="00420F92"/>
    <w:rsid w:val="00422AB7"/>
    <w:rsid w:val="00424244"/>
    <w:rsid w:val="00426E39"/>
    <w:rsid w:val="0043106D"/>
    <w:rsid w:val="00431914"/>
    <w:rsid w:val="00434CF2"/>
    <w:rsid w:val="00434FEA"/>
    <w:rsid w:val="00443AF9"/>
    <w:rsid w:val="0045055E"/>
    <w:rsid w:val="00453D3B"/>
    <w:rsid w:val="004630DC"/>
    <w:rsid w:val="004640B4"/>
    <w:rsid w:val="00465165"/>
    <w:rsid w:val="004716C4"/>
    <w:rsid w:val="004768C6"/>
    <w:rsid w:val="00476B19"/>
    <w:rsid w:val="0048219F"/>
    <w:rsid w:val="0048427B"/>
    <w:rsid w:val="004854F6"/>
    <w:rsid w:val="00486A1B"/>
    <w:rsid w:val="00487738"/>
    <w:rsid w:val="00491F34"/>
    <w:rsid w:val="00497A6E"/>
    <w:rsid w:val="004A057B"/>
    <w:rsid w:val="004A6EC9"/>
    <w:rsid w:val="004B1013"/>
    <w:rsid w:val="004B1CDA"/>
    <w:rsid w:val="004B5141"/>
    <w:rsid w:val="004B5A92"/>
    <w:rsid w:val="004C4580"/>
    <w:rsid w:val="004D29FE"/>
    <w:rsid w:val="004D2EFA"/>
    <w:rsid w:val="004D5B2C"/>
    <w:rsid w:val="004E4720"/>
    <w:rsid w:val="004F3C38"/>
    <w:rsid w:val="004F49A3"/>
    <w:rsid w:val="004F4F36"/>
    <w:rsid w:val="004F636F"/>
    <w:rsid w:val="00501699"/>
    <w:rsid w:val="00502ACA"/>
    <w:rsid w:val="005073EF"/>
    <w:rsid w:val="00511838"/>
    <w:rsid w:val="005160F4"/>
    <w:rsid w:val="00516DFC"/>
    <w:rsid w:val="00522902"/>
    <w:rsid w:val="00525C33"/>
    <w:rsid w:val="00531C34"/>
    <w:rsid w:val="0053269B"/>
    <w:rsid w:val="0053323A"/>
    <w:rsid w:val="00541B67"/>
    <w:rsid w:val="00544D20"/>
    <w:rsid w:val="00556F73"/>
    <w:rsid w:val="005619F9"/>
    <w:rsid w:val="00565E99"/>
    <w:rsid w:val="00565F95"/>
    <w:rsid w:val="00566198"/>
    <w:rsid w:val="0057094B"/>
    <w:rsid w:val="00571664"/>
    <w:rsid w:val="00573533"/>
    <w:rsid w:val="00575234"/>
    <w:rsid w:val="00580458"/>
    <w:rsid w:val="00580B4D"/>
    <w:rsid w:val="00581732"/>
    <w:rsid w:val="00582793"/>
    <w:rsid w:val="0058347E"/>
    <w:rsid w:val="00586905"/>
    <w:rsid w:val="00590062"/>
    <w:rsid w:val="00590A1B"/>
    <w:rsid w:val="00591E52"/>
    <w:rsid w:val="00593A1E"/>
    <w:rsid w:val="00595521"/>
    <w:rsid w:val="005A43CA"/>
    <w:rsid w:val="005A5427"/>
    <w:rsid w:val="005A578C"/>
    <w:rsid w:val="005B1539"/>
    <w:rsid w:val="005B7B4D"/>
    <w:rsid w:val="005C266F"/>
    <w:rsid w:val="005C50D1"/>
    <w:rsid w:val="005D2963"/>
    <w:rsid w:val="005D3891"/>
    <w:rsid w:val="005D68C7"/>
    <w:rsid w:val="005E069F"/>
    <w:rsid w:val="005E4676"/>
    <w:rsid w:val="005F258B"/>
    <w:rsid w:val="005F586F"/>
    <w:rsid w:val="005F7B73"/>
    <w:rsid w:val="00603100"/>
    <w:rsid w:val="006122B9"/>
    <w:rsid w:val="00613271"/>
    <w:rsid w:val="0062044E"/>
    <w:rsid w:val="00621CF8"/>
    <w:rsid w:val="006247A7"/>
    <w:rsid w:val="00632D40"/>
    <w:rsid w:val="00635095"/>
    <w:rsid w:val="00641540"/>
    <w:rsid w:val="00644FF1"/>
    <w:rsid w:val="00647336"/>
    <w:rsid w:val="00654B76"/>
    <w:rsid w:val="00654D68"/>
    <w:rsid w:val="00654E34"/>
    <w:rsid w:val="00656660"/>
    <w:rsid w:val="006620DC"/>
    <w:rsid w:val="00664CC1"/>
    <w:rsid w:val="00666CB8"/>
    <w:rsid w:val="00673C93"/>
    <w:rsid w:val="00674184"/>
    <w:rsid w:val="006751AE"/>
    <w:rsid w:val="00676247"/>
    <w:rsid w:val="00680999"/>
    <w:rsid w:val="00685066"/>
    <w:rsid w:val="00686038"/>
    <w:rsid w:val="00687727"/>
    <w:rsid w:val="00692135"/>
    <w:rsid w:val="00692C0F"/>
    <w:rsid w:val="00697E7D"/>
    <w:rsid w:val="006A285D"/>
    <w:rsid w:val="006A7C3F"/>
    <w:rsid w:val="006C4072"/>
    <w:rsid w:val="006C67A9"/>
    <w:rsid w:val="006E282F"/>
    <w:rsid w:val="006F46B6"/>
    <w:rsid w:val="007006F3"/>
    <w:rsid w:val="0070312A"/>
    <w:rsid w:val="00704A74"/>
    <w:rsid w:val="00705001"/>
    <w:rsid w:val="007056AE"/>
    <w:rsid w:val="007101B6"/>
    <w:rsid w:val="00710417"/>
    <w:rsid w:val="007167AC"/>
    <w:rsid w:val="00724A6F"/>
    <w:rsid w:val="0072517E"/>
    <w:rsid w:val="0073058B"/>
    <w:rsid w:val="007313AB"/>
    <w:rsid w:val="00732FE9"/>
    <w:rsid w:val="00735BC3"/>
    <w:rsid w:val="0073640F"/>
    <w:rsid w:val="00737D02"/>
    <w:rsid w:val="0075040E"/>
    <w:rsid w:val="007528BA"/>
    <w:rsid w:val="0075341C"/>
    <w:rsid w:val="00754479"/>
    <w:rsid w:val="00764964"/>
    <w:rsid w:val="007662C6"/>
    <w:rsid w:val="007731AB"/>
    <w:rsid w:val="00774677"/>
    <w:rsid w:val="00774E6B"/>
    <w:rsid w:val="00776CDC"/>
    <w:rsid w:val="0078134F"/>
    <w:rsid w:val="00783536"/>
    <w:rsid w:val="00783700"/>
    <w:rsid w:val="007857F1"/>
    <w:rsid w:val="007879C8"/>
    <w:rsid w:val="00787E18"/>
    <w:rsid w:val="00787FF0"/>
    <w:rsid w:val="007948B0"/>
    <w:rsid w:val="007A0C51"/>
    <w:rsid w:val="007A4326"/>
    <w:rsid w:val="007A5A19"/>
    <w:rsid w:val="007A714D"/>
    <w:rsid w:val="007B08FB"/>
    <w:rsid w:val="007B1848"/>
    <w:rsid w:val="007B6C91"/>
    <w:rsid w:val="007B7338"/>
    <w:rsid w:val="007B7A18"/>
    <w:rsid w:val="007C1C61"/>
    <w:rsid w:val="007C29F8"/>
    <w:rsid w:val="007C3F0D"/>
    <w:rsid w:val="007C73D6"/>
    <w:rsid w:val="007D078E"/>
    <w:rsid w:val="007D0EC1"/>
    <w:rsid w:val="007D17DD"/>
    <w:rsid w:val="007D6B9F"/>
    <w:rsid w:val="007E2318"/>
    <w:rsid w:val="007E7026"/>
    <w:rsid w:val="007E763E"/>
    <w:rsid w:val="007F3E76"/>
    <w:rsid w:val="007F435D"/>
    <w:rsid w:val="007F544C"/>
    <w:rsid w:val="007F6B68"/>
    <w:rsid w:val="008050F6"/>
    <w:rsid w:val="00805C19"/>
    <w:rsid w:val="00806C56"/>
    <w:rsid w:val="008075C2"/>
    <w:rsid w:val="00807B39"/>
    <w:rsid w:val="0081057B"/>
    <w:rsid w:val="00810CBC"/>
    <w:rsid w:val="00811072"/>
    <w:rsid w:val="00811614"/>
    <w:rsid w:val="008121B7"/>
    <w:rsid w:val="00815A23"/>
    <w:rsid w:val="00822561"/>
    <w:rsid w:val="00826369"/>
    <w:rsid w:val="008300BB"/>
    <w:rsid w:val="0083053E"/>
    <w:rsid w:val="008408D8"/>
    <w:rsid w:val="00841563"/>
    <w:rsid w:val="00847CBA"/>
    <w:rsid w:val="008717CA"/>
    <w:rsid w:val="00876AA4"/>
    <w:rsid w:val="00877092"/>
    <w:rsid w:val="00877637"/>
    <w:rsid w:val="00880167"/>
    <w:rsid w:val="008819CE"/>
    <w:rsid w:val="008A4E83"/>
    <w:rsid w:val="008A5612"/>
    <w:rsid w:val="008A5C71"/>
    <w:rsid w:val="008A6D29"/>
    <w:rsid w:val="008A6D71"/>
    <w:rsid w:val="008B7295"/>
    <w:rsid w:val="008B79B0"/>
    <w:rsid w:val="008C307E"/>
    <w:rsid w:val="008C491B"/>
    <w:rsid w:val="008C5ED6"/>
    <w:rsid w:val="008C6622"/>
    <w:rsid w:val="008C7006"/>
    <w:rsid w:val="008D0B80"/>
    <w:rsid w:val="008D24C9"/>
    <w:rsid w:val="008D5C5E"/>
    <w:rsid w:val="008D634C"/>
    <w:rsid w:val="008F48CE"/>
    <w:rsid w:val="008F7723"/>
    <w:rsid w:val="009033A7"/>
    <w:rsid w:val="00907EE2"/>
    <w:rsid w:val="009153F3"/>
    <w:rsid w:val="009162AD"/>
    <w:rsid w:val="009167BC"/>
    <w:rsid w:val="00923C95"/>
    <w:rsid w:val="00926586"/>
    <w:rsid w:val="009275F5"/>
    <w:rsid w:val="00927EEC"/>
    <w:rsid w:val="009341A5"/>
    <w:rsid w:val="009346A0"/>
    <w:rsid w:val="00934C91"/>
    <w:rsid w:val="0093543B"/>
    <w:rsid w:val="00942963"/>
    <w:rsid w:val="009543F1"/>
    <w:rsid w:val="00961156"/>
    <w:rsid w:val="0096120F"/>
    <w:rsid w:val="009624E9"/>
    <w:rsid w:val="00964B47"/>
    <w:rsid w:val="0097227A"/>
    <w:rsid w:val="009762EF"/>
    <w:rsid w:val="00986149"/>
    <w:rsid w:val="00987EC6"/>
    <w:rsid w:val="00993312"/>
    <w:rsid w:val="00996726"/>
    <w:rsid w:val="00996BF1"/>
    <w:rsid w:val="009B7917"/>
    <w:rsid w:val="009B7C63"/>
    <w:rsid w:val="009C09BF"/>
    <w:rsid w:val="009C0AA5"/>
    <w:rsid w:val="009C0AC3"/>
    <w:rsid w:val="009C48A9"/>
    <w:rsid w:val="009C58A9"/>
    <w:rsid w:val="009C6961"/>
    <w:rsid w:val="009C7D10"/>
    <w:rsid w:val="009D1626"/>
    <w:rsid w:val="009D2738"/>
    <w:rsid w:val="009D5084"/>
    <w:rsid w:val="009D5A4F"/>
    <w:rsid w:val="009D7D69"/>
    <w:rsid w:val="009E0203"/>
    <w:rsid w:val="009E0227"/>
    <w:rsid w:val="009E05A3"/>
    <w:rsid w:val="009E0A97"/>
    <w:rsid w:val="009E1471"/>
    <w:rsid w:val="009E3D92"/>
    <w:rsid w:val="009E6367"/>
    <w:rsid w:val="009F7757"/>
    <w:rsid w:val="00A0262F"/>
    <w:rsid w:val="00A10AE5"/>
    <w:rsid w:val="00A10F42"/>
    <w:rsid w:val="00A1110F"/>
    <w:rsid w:val="00A15686"/>
    <w:rsid w:val="00A21C9F"/>
    <w:rsid w:val="00A2309D"/>
    <w:rsid w:val="00A2714C"/>
    <w:rsid w:val="00A329C8"/>
    <w:rsid w:val="00A3789B"/>
    <w:rsid w:val="00A43D1A"/>
    <w:rsid w:val="00A54342"/>
    <w:rsid w:val="00A55A36"/>
    <w:rsid w:val="00A55D67"/>
    <w:rsid w:val="00A56092"/>
    <w:rsid w:val="00A566A0"/>
    <w:rsid w:val="00A67E0B"/>
    <w:rsid w:val="00A7655A"/>
    <w:rsid w:val="00A76794"/>
    <w:rsid w:val="00A77D3F"/>
    <w:rsid w:val="00A77DD2"/>
    <w:rsid w:val="00A805B0"/>
    <w:rsid w:val="00A82ABC"/>
    <w:rsid w:val="00A840FE"/>
    <w:rsid w:val="00A862D2"/>
    <w:rsid w:val="00A87D8A"/>
    <w:rsid w:val="00A9288F"/>
    <w:rsid w:val="00A96B8B"/>
    <w:rsid w:val="00AA1DB1"/>
    <w:rsid w:val="00AA7915"/>
    <w:rsid w:val="00AA7F33"/>
    <w:rsid w:val="00AB07F9"/>
    <w:rsid w:val="00AB271E"/>
    <w:rsid w:val="00AB2F35"/>
    <w:rsid w:val="00AC2682"/>
    <w:rsid w:val="00AD180D"/>
    <w:rsid w:val="00AD2EE6"/>
    <w:rsid w:val="00AD4008"/>
    <w:rsid w:val="00AD411D"/>
    <w:rsid w:val="00AD7EE1"/>
    <w:rsid w:val="00AF0E49"/>
    <w:rsid w:val="00B02C5D"/>
    <w:rsid w:val="00B04177"/>
    <w:rsid w:val="00B044A4"/>
    <w:rsid w:val="00B1103A"/>
    <w:rsid w:val="00B11E6E"/>
    <w:rsid w:val="00B16C4B"/>
    <w:rsid w:val="00B1795D"/>
    <w:rsid w:val="00B22F59"/>
    <w:rsid w:val="00B3602E"/>
    <w:rsid w:val="00B43635"/>
    <w:rsid w:val="00B47D2C"/>
    <w:rsid w:val="00B506BE"/>
    <w:rsid w:val="00B50EBC"/>
    <w:rsid w:val="00B516CB"/>
    <w:rsid w:val="00B54B6A"/>
    <w:rsid w:val="00B559CF"/>
    <w:rsid w:val="00B5772E"/>
    <w:rsid w:val="00B57C16"/>
    <w:rsid w:val="00B61414"/>
    <w:rsid w:val="00B628D2"/>
    <w:rsid w:val="00B62C74"/>
    <w:rsid w:val="00B63339"/>
    <w:rsid w:val="00B7269C"/>
    <w:rsid w:val="00B7321F"/>
    <w:rsid w:val="00B750E6"/>
    <w:rsid w:val="00B76440"/>
    <w:rsid w:val="00B80C39"/>
    <w:rsid w:val="00B8185D"/>
    <w:rsid w:val="00B84A1E"/>
    <w:rsid w:val="00B86468"/>
    <w:rsid w:val="00B949D6"/>
    <w:rsid w:val="00B96208"/>
    <w:rsid w:val="00BA588F"/>
    <w:rsid w:val="00BA7298"/>
    <w:rsid w:val="00BB0094"/>
    <w:rsid w:val="00BB0B47"/>
    <w:rsid w:val="00BB4ACF"/>
    <w:rsid w:val="00BB51F7"/>
    <w:rsid w:val="00BC1D41"/>
    <w:rsid w:val="00BC324C"/>
    <w:rsid w:val="00BC4CF1"/>
    <w:rsid w:val="00BC6828"/>
    <w:rsid w:val="00BD1B8A"/>
    <w:rsid w:val="00BD3611"/>
    <w:rsid w:val="00BD4CEC"/>
    <w:rsid w:val="00BD5EAF"/>
    <w:rsid w:val="00BD636F"/>
    <w:rsid w:val="00BD7C1C"/>
    <w:rsid w:val="00BE0C26"/>
    <w:rsid w:val="00BE21C6"/>
    <w:rsid w:val="00BE3944"/>
    <w:rsid w:val="00BE4638"/>
    <w:rsid w:val="00BF1082"/>
    <w:rsid w:val="00BF240B"/>
    <w:rsid w:val="00BF634F"/>
    <w:rsid w:val="00BF64A7"/>
    <w:rsid w:val="00C04C8C"/>
    <w:rsid w:val="00C057CE"/>
    <w:rsid w:val="00C06528"/>
    <w:rsid w:val="00C067A5"/>
    <w:rsid w:val="00C10410"/>
    <w:rsid w:val="00C148F2"/>
    <w:rsid w:val="00C17233"/>
    <w:rsid w:val="00C22B17"/>
    <w:rsid w:val="00C2334F"/>
    <w:rsid w:val="00C249BD"/>
    <w:rsid w:val="00C24FA0"/>
    <w:rsid w:val="00C36B32"/>
    <w:rsid w:val="00C42A12"/>
    <w:rsid w:val="00C464A0"/>
    <w:rsid w:val="00C47303"/>
    <w:rsid w:val="00C5020F"/>
    <w:rsid w:val="00C51F51"/>
    <w:rsid w:val="00C531FE"/>
    <w:rsid w:val="00C54CDB"/>
    <w:rsid w:val="00C614E4"/>
    <w:rsid w:val="00C617F0"/>
    <w:rsid w:val="00C7324D"/>
    <w:rsid w:val="00C74F3B"/>
    <w:rsid w:val="00C759D8"/>
    <w:rsid w:val="00C759FF"/>
    <w:rsid w:val="00C7665F"/>
    <w:rsid w:val="00C7782C"/>
    <w:rsid w:val="00C8127B"/>
    <w:rsid w:val="00C83E13"/>
    <w:rsid w:val="00C8702F"/>
    <w:rsid w:val="00C92076"/>
    <w:rsid w:val="00C9320C"/>
    <w:rsid w:val="00C93858"/>
    <w:rsid w:val="00C975D8"/>
    <w:rsid w:val="00CA6EC4"/>
    <w:rsid w:val="00CB0FDF"/>
    <w:rsid w:val="00CB5708"/>
    <w:rsid w:val="00CB6CF0"/>
    <w:rsid w:val="00CB76DB"/>
    <w:rsid w:val="00CB7EEA"/>
    <w:rsid w:val="00CC0FA2"/>
    <w:rsid w:val="00CC27A5"/>
    <w:rsid w:val="00CD42F8"/>
    <w:rsid w:val="00CD6ACD"/>
    <w:rsid w:val="00CE4F74"/>
    <w:rsid w:val="00CE74A9"/>
    <w:rsid w:val="00CF6D69"/>
    <w:rsid w:val="00D06E66"/>
    <w:rsid w:val="00D1292F"/>
    <w:rsid w:val="00D16E5F"/>
    <w:rsid w:val="00D17406"/>
    <w:rsid w:val="00D234EC"/>
    <w:rsid w:val="00D435BB"/>
    <w:rsid w:val="00D4743A"/>
    <w:rsid w:val="00D509EC"/>
    <w:rsid w:val="00D51FD3"/>
    <w:rsid w:val="00D53773"/>
    <w:rsid w:val="00D540B6"/>
    <w:rsid w:val="00D559AA"/>
    <w:rsid w:val="00D55E42"/>
    <w:rsid w:val="00D56B4C"/>
    <w:rsid w:val="00D61E12"/>
    <w:rsid w:val="00D72B4D"/>
    <w:rsid w:val="00D75B9D"/>
    <w:rsid w:val="00D82DBF"/>
    <w:rsid w:val="00D83352"/>
    <w:rsid w:val="00D84EFF"/>
    <w:rsid w:val="00D946D3"/>
    <w:rsid w:val="00DA18F7"/>
    <w:rsid w:val="00DA37EE"/>
    <w:rsid w:val="00DB0FDB"/>
    <w:rsid w:val="00DB6897"/>
    <w:rsid w:val="00DB6D01"/>
    <w:rsid w:val="00DC334F"/>
    <w:rsid w:val="00DC5B65"/>
    <w:rsid w:val="00DC664B"/>
    <w:rsid w:val="00DC77A4"/>
    <w:rsid w:val="00DC7A15"/>
    <w:rsid w:val="00DC7A3E"/>
    <w:rsid w:val="00DC7FA7"/>
    <w:rsid w:val="00DD298B"/>
    <w:rsid w:val="00DD549F"/>
    <w:rsid w:val="00DD5E51"/>
    <w:rsid w:val="00DE1622"/>
    <w:rsid w:val="00E14A21"/>
    <w:rsid w:val="00E14F99"/>
    <w:rsid w:val="00E2206E"/>
    <w:rsid w:val="00E243C9"/>
    <w:rsid w:val="00E24ADA"/>
    <w:rsid w:val="00E41783"/>
    <w:rsid w:val="00E420AF"/>
    <w:rsid w:val="00E43D5E"/>
    <w:rsid w:val="00E534D2"/>
    <w:rsid w:val="00E5491D"/>
    <w:rsid w:val="00E62331"/>
    <w:rsid w:val="00E64AAE"/>
    <w:rsid w:val="00E70735"/>
    <w:rsid w:val="00E74FA8"/>
    <w:rsid w:val="00E77ADC"/>
    <w:rsid w:val="00E84AD5"/>
    <w:rsid w:val="00E85190"/>
    <w:rsid w:val="00E92CF8"/>
    <w:rsid w:val="00E9413E"/>
    <w:rsid w:val="00E943C0"/>
    <w:rsid w:val="00EA1860"/>
    <w:rsid w:val="00EA1D09"/>
    <w:rsid w:val="00EA2E12"/>
    <w:rsid w:val="00EA40E3"/>
    <w:rsid w:val="00EB04E0"/>
    <w:rsid w:val="00EB25AC"/>
    <w:rsid w:val="00EB3CDF"/>
    <w:rsid w:val="00EB4147"/>
    <w:rsid w:val="00EC084F"/>
    <w:rsid w:val="00ED07CE"/>
    <w:rsid w:val="00ED0F1D"/>
    <w:rsid w:val="00ED272C"/>
    <w:rsid w:val="00ED2987"/>
    <w:rsid w:val="00ED36C8"/>
    <w:rsid w:val="00EE4046"/>
    <w:rsid w:val="00EE5809"/>
    <w:rsid w:val="00EF01BB"/>
    <w:rsid w:val="00EF0CC5"/>
    <w:rsid w:val="00EF37ED"/>
    <w:rsid w:val="00EF3B47"/>
    <w:rsid w:val="00EF4298"/>
    <w:rsid w:val="00EF5C0F"/>
    <w:rsid w:val="00EF764C"/>
    <w:rsid w:val="00F01717"/>
    <w:rsid w:val="00F0187E"/>
    <w:rsid w:val="00F03CF0"/>
    <w:rsid w:val="00F057A9"/>
    <w:rsid w:val="00F14BE0"/>
    <w:rsid w:val="00F1566C"/>
    <w:rsid w:val="00F16753"/>
    <w:rsid w:val="00F1766E"/>
    <w:rsid w:val="00F224DD"/>
    <w:rsid w:val="00F2390B"/>
    <w:rsid w:val="00F256C5"/>
    <w:rsid w:val="00F35889"/>
    <w:rsid w:val="00F35B87"/>
    <w:rsid w:val="00F35E7B"/>
    <w:rsid w:val="00F41DE9"/>
    <w:rsid w:val="00F42BAE"/>
    <w:rsid w:val="00F46FAF"/>
    <w:rsid w:val="00F51740"/>
    <w:rsid w:val="00F52EDC"/>
    <w:rsid w:val="00F54673"/>
    <w:rsid w:val="00F579E9"/>
    <w:rsid w:val="00F63791"/>
    <w:rsid w:val="00F6729F"/>
    <w:rsid w:val="00F7048D"/>
    <w:rsid w:val="00F734DC"/>
    <w:rsid w:val="00F73963"/>
    <w:rsid w:val="00F74E4A"/>
    <w:rsid w:val="00F7674D"/>
    <w:rsid w:val="00F81035"/>
    <w:rsid w:val="00F85F42"/>
    <w:rsid w:val="00F86107"/>
    <w:rsid w:val="00F94572"/>
    <w:rsid w:val="00F949C6"/>
    <w:rsid w:val="00F97A56"/>
    <w:rsid w:val="00FA2AAA"/>
    <w:rsid w:val="00FA4977"/>
    <w:rsid w:val="00FB39B4"/>
    <w:rsid w:val="00FB5CA0"/>
    <w:rsid w:val="00FB6EC9"/>
    <w:rsid w:val="00FC0BDA"/>
    <w:rsid w:val="00FC7CD1"/>
    <w:rsid w:val="00FD03C1"/>
    <w:rsid w:val="00FD5B37"/>
    <w:rsid w:val="00FE25BB"/>
    <w:rsid w:val="00FE3E30"/>
    <w:rsid w:val="00FE4E54"/>
    <w:rsid w:val="00FF5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spacing w:line="360" w:lineRule="auto"/>
      <w:ind w:firstLine="144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semiHidden/>
    <w:rsid w:val="00BF634F"/>
    <w:pPr>
      <w:spacing w:line="240" w:lineRule="auto"/>
      <w:ind w:firstLine="0"/>
    </w:pPr>
    <w:rPr>
      <w:sz w:val="20"/>
      <w:szCs w:val="20"/>
    </w:rPr>
  </w:style>
  <w:style w:type="character" w:styleId="FootnoteReference">
    <w:name w:val="footnote reference"/>
    <w:aliases w:val="o,fr"/>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autoSpaceDE w:val="0"/>
      <w:autoSpaceDN w:val="0"/>
      <w:ind w:left="720"/>
    </w:pPr>
    <w:rPr>
      <w:rFonts w:ascii="Courier New" w:hAnsi="Courier New" w:cs="Courier New"/>
      <w:sz w:val="24"/>
      <w:szCs w:val="24"/>
    </w:rPr>
  </w:style>
  <w:style w:type="paragraph" w:customStyle="1" w:styleId="RightPar2">
    <w:name w:val="Right Par 2"/>
    <w:pPr>
      <w:tabs>
        <w:tab w:val="left" w:pos="-720"/>
        <w:tab w:val="left" w:pos="0"/>
        <w:tab w:val="left" w:pos="720"/>
        <w:tab w:val="decimal" w:pos="1440"/>
      </w:tabs>
      <w:suppressAutoHyphens/>
      <w:autoSpaceDE w:val="0"/>
      <w:autoSpaceDN w:val="0"/>
      <w:ind w:left="1440"/>
    </w:pPr>
    <w:rPr>
      <w:rFonts w:ascii="Courier New" w:hAnsi="Courier New" w:cs="Courier New"/>
      <w:sz w:val="24"/>
      <w:szCs w:val="24"/>
    </w:rPr>
  </w:style>
  <w:style w:type="character" w:customStyle="1" w:styleId="Document3">
    <w:name w:val="Document 3"/>
    <w:rPr>
      <w:rFonts w:ascii="Courier New" w:hAnsi="Courier New" w:cs="Courier New"/>
      <w:sz w:val="24"/>
      <w:szCs w:val="24"/>
      <w:lang w:val="en-US"/>
    </w:rPr>
  </w:style>
  <w:style w:type="paragraph" w:customStyle="1" w:styleId="RightPar3">
    <w:name w:val="Right Par 3"/>
    <w:pPr>
      <w:tabs>
        <w:tab w:val="left" w:pos="-720"/>
        <w:tab w:val="left" w:pos="0"/>
        <w:tab w:val="left" w:pos="720"/>
        <w:tab w:val="left" w:pos="1440"/>
        <w:tab w:val="decimal" w:pos="2160"/>
      </w:tabs>
      <w:suppressAutoHyphens/>
      <w:autoSpaceDE w:val="0"/>
      <w:autoSpaceDN w:val="0"/>
      <w:ind w:left="2160"/>
    </w:pPr>
    <w:rPr>
      <w:rFonts w:ascii="Courier New" w:hAnsi="Courier New" w:cs="Courier New"/>
      <w:sz w:val="24"/>
      <w:szCs w:val="24"/>
    </w:rPr>
  </w:style>
  <w:style w:type="paragraph" w:customStyle="1" w:styleId="RightPar4">
    <w:name w:val="Right Par 4"/>
    <w:pPr>
      <w:tabs>
        <w:tab w:val="left" w:pos="-720"/>
        <w:tab w:val="left" w:pos="0"/>
        <w:tab w:val="left" w:pos="720"/>
        <w:tab w:val="left" w:pos="1440"/>
        <w:tab w:val="left" w:pos="2160"/>
        <w:tab w:val="decimal" w:pos="2880"/>
      </w:tabs>
      <w:suppressAutoHyphens/>
      <w:autoSpaceDE w:val="0"/>
      <w:autoSpaceDN w:val="0"/>
      <w:ind w:left="2880"/>
    </w:pPr>
    <w:rPr>
      <w:rFonts w:ascii="Courier New" w:hAnsi="Courier New" w:cs="Courier New"/>
      <w:sz w:val="24"/>
      <w:szCs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autoSpaceDE w:val="0"/>
      <w:autoSpaceDN w:val="0"/>
      <w:ind w:left="3600"/>
    </w:pPr>
    <w:rPr>
      <w:rFonts w:ascii="Courier New" w:hAnsi="Courier New" w:cs="Courier New"/>
      <w:sz w:val="24"/>
      <w:szCs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autoSpaceDE w:val="0"/>
      <w:autoSpaceDN w:val="0"/>
      <w:ind w:left="4320"/>
    </w:pPr>
    <w:rPr>
      <w:rFonts w:ascii="Courier New" w:hAnsi="Courier New" w:cs="Courier New"/>
      <w:sz w:val="24"/>
      <w:szCs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autoSpaceDE w:val="0"/>
      <w:autoSpaceDN w:val="0"/>
      <w:ind w:left="5040"/>
    </w:pPr>
    <w:rPr>
      <w:rFonts w:ascii="Courier New" w:hAnsi="Courier New" w:cs="Courier New"/>
      <w:sz w:val="24"/>
      <w:szCs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ind w:left="5760"/>
    </w:pPr>
    <w:rPr>
      <w:rFonts w:ascii="Courier New" w:hAnsi="Courier New" w:cs="Courier New"/>
      <w:sz w:val="24"/>
      <w:szCs w:val="24"/>
    </w:rPr>
  </w:style>
  <w:style w:type="paragraph" w:customStyle="1" w:styleId="Document1">
    <w:name w:val="Document 1"/>
    <w:pPr>
      <w:keepNext/>
      <w:keepLines/>
      <w:tabs>
        <w:tab w:val="left" w:pos="-720"/>
      </w:tabs>
      <w:suppressAutoHyphens/>
      <w:autoSpaceDE w:val="0"/>
      <w:autoSpaceDN w:val="0"/>
    </w:pPr>
    <w:rPr>
      <w:rFonts w:ascii="Courier New" w:hAnsi="Courier New" w:cs="Courier New"/>
      <w:sz w:val="24"/>
      <w:szCs w:val="24"/>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paragraph" w:customStyle="1" w:styleId="Technical5">
    <w:name w:val="Technical 5"/>
    <w:pPr>
      <w:tabs>
        <w:tab w:val="left" w:pos="-720"/>
      </w:tabs>
      <w:suppressAutoHyphens/>
      <w:autoSpaceDE w:val="0"/>
      <w:autoSpaceDN w:val="0"/>
      <w:ind w:firstLine="720"/>
    </w:pPr>
    <w:rPr>
      <w:rFonts w:ascii="Courier New" w:hAnsi="Courier New" w:cs="Courier New"/>
      <w:b/>
      <w:bCs/>
      <w:sz w:val="24"/>
      <w:szCs w:val="24"/>
    </w:rPr>
  </w:style>
  <w:style w:type="paragraph" w:customStyle="1" w:styleId="Technical6">
    <w:name w:val="Technical 6"/>
    <w:pPr>
      <w:tabs>
        <w:tab w:val="left" w:pos="-720"/>
      </w:tabs>
      <w:suppressAutoHyphens/>
      <w:autoSpaceDE w:val="0"/>
      <w:autoSpaceDN w:val="0"/>
      <w:ind w:firstLine="720"/>
    </w:pPr>
    <w:rPr>
      <w:rFonts w:ascii="Courier New" w:hAnsi="Courier New" w:cs="Courier New"/>
      <w:b/>
      <w:bCs/>
      <w:sz w:val="24"/>
      <w:szCs w:val="24"/>
    </w:rPr>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paragraph" w:customStyle="1" w:styleId="Technical4">
    <w:name w:val="Technical 4"/>
    <w:pPr>
      <w:tabs>
        <w:tab w:val="left" w:pos="-720"/>
      </w:tabs>
      <w:suppressAutoHyphens/>
      <w:autoSpaceDE w:val="0"/>
      <w:autoSpaceDN w:val="0"/>
    </w:pPr>
    <w:rPr>
      <w:rFonts w:ascii="Courier New" w:hAnsi="Courier New" w:cs="Courier New"/>
      <w:b/>
      <w:bCs/>
      <w:sz w:val="24"/>
      <w:szCs w:val="24"/>
    </w:rPr>
  </w:style>
  <w:style w:type="character" w:customStyle="1" w:styleId="Technical1">
    <w:name w:val="Technical 1"/>
    <w:rPr>
      <w:rFonts w:ascii="Courier New" w:hAnsi="Courier New" w:cs="Courier New"/>
      <w:sz w:val="24"/>
      <w:szCs w:val="24"/>
      <w:lang w:val="en-US"/>
    </w:rPr>
  </w:style>
  <w:style w:type="paragraph" w:customStyle="1" w:styleId="Technical7">
    <w:name w:val="Technical 7"/>
    <w:pPr>
      <w:tabs>
        <w:tab w:val="left" w:pos="-720"/>
      </w:tabs>
      <w:suppressAutoHyphens/>
      <w:autoSpaceDE w:val="0"/>
      <w:autoSpaceDN w:val="0"/>
      <w:ind w:firstLine="720"/>
    </w:pPr>
    <w:rPr>
      <w:rFonts w:ascii="Courier New" w:hAnsi="Courier New" w:cs="Courier New"/>
      <w:b/>
      <w:bCs/>
      <w:sz w:val="24"/>
      <w:szCs w:val="24"/>
    </w:rPr>
  </w:style>
  <w:style w:type="paragraph" w:customStyle="1" w:styleId="Technical8">
    <w:name w:val="Technical 8"/>
    <w:pPr>
      <w:tabs>
        <w:tab w:val="left" w:pos="-720"/>
      </w:tabs>
      <w:suppressAutoHyphens/>
      <w:autoSpaceDE w:val="0"/>
      <w:autoSpaceDN w:val="0"/>
      <w:ind w:firstLine="720"/>
    </w:pPr>
    <w:rPr>
      <w:rFonts w:ascii="Courier New" w:hAnsi="Courier New" w:cs="Courier New"/>
      <w:b/>
      <w:bC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rPr>
      <w:rFonts w:ascii="Times New Roman" w:hAnsi="Times New Roman" w:cs="Times New Roman"/>
      <w:sz w:val="26"/>
      <w:szCs w:val="26"/>
      <w:lang w:val="en-US"/>
    </w:rPr>
  </w:style>
  <w:style w:type="paragraph" w:customStyle="1" w:styleId="TxBrp4">
    <w:name w:val="TxBr_p4"/>
    <w:basedOn w:val="Normal"/>
    <w:rsid w:val="00121E9F"/>
    <w:pPr>
      <w:widowControl w:val="0"/>
      <w:tabs>
        <w:tab w:val="left" w:pos="810"/>
      </w:tabs>
      <w:autoSpaceDE/>
      <w:autoSpaceDN/>
      <w:spacing w:line="266" w:lineRule="atLeast"/>
      <w:ind w:firstLine="811"/>
    </w:pPr>
    <w:rPr>
      <w:snapToGrid w:val="0"/>
      <w:szCs w:val="20"/>
    </w:rPr>
  </w:style>
  <w:style w:type="paragraph" w:customStyle="1" w:styleId="TxBrp8">
    <w:name w:val="TxBr_p8"/>
    <w:basedOn w:val="Normal"/>
    <w:rsid w:val="00D53773"/>
    <w:pPr>
      <w:widowControl w:val="0"/>
      <w:tabs>
        <w:tab w:val="left" w:pos="1468"/>
      </w:tabs>
      <w:adjustRightInd w:val="0"/>
      <w:spacing w:line="464" w:lineRule="atLeast"/>
      <w:ind w:firstLine="1468"/>
    </w:p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semiHidden/>
    <w:rsid w:val="007879C8"/>
  </w:style>
  <w:style w:type="paragraph" w:customStyle="1" w:styleId="TxBrp1">
    <w:name w:val="TxBr_p1"/>
    <w:basedOn w:val="Normal"/>
    <w:rsid w:val="00C249BD"/>
    <w:pPr>
      <w:widowControl w:val="0"/>
      <w:tabs>
        <w:tab w:val="left" w:pos="204"/>
      </w:tabs>
      <w:adjustRightInd w:val="0"/>
      <w:spacing w:line="425" w:lineRule="atLeast"/>
      <w:ind w:firstLine="0"/>
    </w:pPr>
  </w:style>
  <w:style w:type="paragraph" w:customStyle="1" w:styleId="TxBrp6">
    <w:name w:val="TxBr_p6"/>
    <w:basedOn w:val="Normal"/>
    <w:rsid w:val="00C249BD"/>
    <w:pPr>
      <w:widowControl w:val="0"/>
      <w:tabs>
        <w:tab w:val="left" w:pos="1468"/>
      </w:tabs>
      <w:adjustRightInd w:val="0"/>
      <w:spacing w:line="283" w:lineRule="atLeast"/>
      <w:ind w:left="74" w:firstLine="0"/>
    </w:pPr>
  </w:style>
  <w:style w:type="paragraph" w:customStyle="1" w:styleId="TxBrp7">
    <w:name w:val="TxBr_p7"/>
    <w:basedOn w:val="Normal"/>
    <w:rsid w:val="00C249BD"/>
    <w:pPr>
      <w:widowControl w:val="0"/>
      <w:tabs>
        <w:tab w:val="left" w:pos="2182"/>
      </w:tabs>
      <w:adjustRightInd w:val="0"/>
      <w:spacing w:line="283" w:lineRule="atLeast"/>
      <w:ind w:left="1468" w:firstLine="715"/>
    </w:pPr>
  </w:style>
  <w:style w:type="table" w:styleId="TableGrid">
    <w:name w:val="Table Grid"/>
    <w:basedOn w:val="TableNormal"/>
    <w:rsid w:val="00BD1B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rsid w:val="00B3602E"/>
    <w:rPr>
      <w:sz w:val="16"/>
      <w:szCs w:val="16"/>
    </w:rPr>
  </w:style>
  <w:style w:type="paragraph" w:styleId="CommentText">
    <w:name w:val="annotation text"/>
    <w:basedOn w:val="Normal"/>
    <w:link w:val="CommentTextChar"/>
    <w:rsid w:val="00B3602E"/>
    <w:rPr>
      <w:sz w:val="20"/>
      <w:szCs w:val="20"/>
    </w:rPr>
  </w:style>
  <w:style w:type="character" w:customStyle="1" w:styleId="CommentTextChar">
    <w:name w:val="Comment Text Char"/>
    <w:basedOn w:val="DefaultParagraphFont"/>
    <w:link w:val="CommentText"/>
    <w:rsid w:val="00B3602E"/>
  </w:style>
  <w:style w:type="paragraph" w:styleId="CommentSubject">
    <w:name w:val="annotation subject"/>
    <w:basedOn w:val="CommentText"/>
    <w:next w:val="CommentText"/>
    <w:link w:val="CommentSubjectChar"/>
    <w:rsid w:val="00B3602E"/>
    <w:rPr>
      <w:b/>
      <w:bCs/>
    </w:rPr>
  </w:style>
  <w:style w:type="character" w:customStyle="1" w:styleId="CommentSubjectChar">
    <w:name w:val="Comment Subject Char"/>
    <w:link w:val="CommentSubject"/>
    <w:rsid w:val="00B3602E"/>
    <w:rPr>
      <w:b/>
      <w:bCs/>
    </w:rPr>
  </w:style>
  <w:style w:type="paragraph" w:styleId="BalloonText">
    <w:name w:val="Balloon Text"/>
    <w:basedOn w:val="Normal"/>
    <w:link w:val="BalloonTextChar"/>
    <w:rsid w:val="00B3602E"/>
    <w:pPr>
      <w:spacing w:line="240" w:lineRule="auto"/>
    </w:pPr>
    <w:rPr>
      <w:rFonts w:ascii="Tahoma" w:hAnsi="Tahoma" w:cs="Tahoma"/>
      <w:sz w:val="16"/>
      <w:szCs w:val="16"/>
    </w:rPr>
  </w:style>
  <w:style w:type="character" w:customStyle="1" w:styleId="BalloonTextChar">
    <w:name w:val="Balloon Text Char"/>
    <w:link w:val="BalloonText"/>
    <w:rsid w:val="00B3602E"/>
    <w:rPr>
      <w:rFonts w:ascii="Tahoma" w:hAnsi="Tahoma" w:cs="Tahoma"/>
      <w:sz w:val="16"/>
      <w:szCs w:val="16"/>
    </w:rPr>
  </w:style>
  <w:style w:type="paragraph" w:styleId="BodyText">
    <w:name w:val="Body Text"/>
    <w:basedOn w:val="Normal"/>
    <w:link w:val="BodyTextChar"/>
    <w:unhideWhenUsed/>
    <w:rsid w:val="00F1566C"/>
    <w:pPr>
      <w:tabs>
        <w:tab w:val="left" w:pos="-1440"/>
        <w:tab w:val="left" w:pos="-720"/>
        <w:tab w:val="left" w:pos="0"/>
        <w:tab w:val="left" w:pos="720"/>
        <w:tab w:val="left" w:pos="1440"/>
      </w:tabs>
      <w:autoSpaceDE/>
      <w:autoSpaceDN/>
      <w:spacing w:line="480" w:lineRule="auto"/>
      <w:ind w:firstLine="0"/>
      <w:jc w:val="both"/>
    </w:pPr>
    <w:rPr>
      <w:szCs w:val="20"/>
    </w:rPr>
  </w:style>
  <w:style w:type="character" w:customStyle="1" w:styleId="BodyTextChar">
    <w:name w:val="Body Text Char"/>
    <w:link w:val="BodyText"/>
    <w:rsid w:val="00F1566C"/>
    <w:rPr>
      <w:sz w:val="24"/>
      <w:lang w:eastAsia="en-US"/>
    </w:rPr>
  </w:style>
  <w:style w:type="paragraph" w:customStyle="1" w:styleId="ParaTab1">
    <w:name w:val="ParaTab 1"/>
    <w:rsid w:val="00F1566C"/>
    <w:pPr>
      <w:tabs>
        <w:tab w:val="left" w:pos="-720"/>
      </w:tabs>
      <w:suppressAutoHyphens/>
      <w:autoSpaceDE w:val="0"/>
      <w:autoSpaceDN w:val="0"/>
      <w:ind w:firstLine="1440"/>
    </w:pPr>
    <w:rPr>
      <w:rFonts w:ascii="CG Times" w:hAnsi="CG Times" w:cs="CG Times"/>
      <w:sz w:val="24"/>
      <w:szCs w:val="24"/>
    </w:rPr>
  </w:style>
  <w:style w:type="character" w:styleId="Hyperlink">
    <w:name w:val="Hyperlink"/>
    <w:uiPriority w:val="99"/>
    <w:unhideWhenUsed/>
    <w:rsid w:val="00E534D2"/>
    <w:rPr>
      <w:strike w:val="0"/>
      <w:dstrike w:val="0"/>
      <w:color w:val="0000FF"/>
      <w:u w:val="none"/>
      <w:effect w:val="none"/>
    </w:rPr>
  </w:style>
  <w:style w:type="paragraph" w:styleId="ListParagraph">
    <w:name w:val="List Paragraph"/>
    <w:basedOn w:val="Normal"/>
    <w:uiPriority w:val="34"/>
    <w:qFormat/>
    <w:rsid w:val="00453D3B"/>
    <w:pPr>
      <w:autoSpaceDE/>
      <w:autoSpaceDN/>
      <w:spacing w:after="200" w:line="276" w:lineRule="auto"/>
      <w:ind w:left="720" w:firstLine="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spacing w:line="360" w:lineRule="auto"/>
      <w:ind w:firstLine="144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semiHidden/>
    <w:rsid w:val="00BF634F"/>
    <w:pPr>
      <w:spacing w:line="240" w:lineRule="auto"/>
      <w:ind w:firstLine="0"/>
    </w:pPr>
    <w:rPr>
      <w:sz w:val="20"/>
      <w:szCs w:val="20"/>
    </w:rPr>
  </w:style>
  <w:style w:type="character" w:styleId="FootnoteReference">
    <w:name w:val="footnote reference"/>
    <w:aliases w:val="o,fr"/>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autoSpaceDE w:val="0"/>
      <w:autoSpaceDN w:val="0"/>
      <w:ind w:left="720"/>
    </w:pPr>
    <w:rPr>
      <w:rFonts w:ascii="Courier New" w:hAnsi="Courier New" w:cs="Courier New"/>
      <w:sz w:val="24"/>
      <w:szCs w:val="24"/>
    </w:rPr>
  </w:style>
  <w:style w:type="paragraph" w:customStyle="1" w:styleId="RightPar2">
    <w:name w:val="Right Par 2"/>
    <w:pPr>
      <w:tabs>
        <w:tab w:val="left" w:pos="-720"/>
        <w:tab w:val="left" w:pos="0"/>
        <w:tab w:val="left" w:pos="720"/>
        <w:tab w:val="decimal" w:pos="1440"/>
      </w:tabs>
      <w:suppressAutoHyphens/>
      <w:autoSpaceDE w:val="0"/>
      <w:autoSpaceDN w:val="0"/>
      <w:ind w:left="1440"/>
    </w:pPr>
    <w:rPr>
      <w:rFonts w:ascii="Courier New" w:hAnsi="Courier New" w:cs="Courier New"/>
      <w:sz w:val="24"/>
      <w:szCs w:val="24"/>
    </w:rPr>
  </w:style>
  <w:style w:type="character" w:customStyle="1" w:styleId="Document3">
    <w:name w:val="Document 3"/>
    <w:rPr>
      <w:rFonts w:ascii="Courier New" w:hAnsi="Courier New" w:cs="Courier New"/>
      <w:sz w:val="24"/>
      <w:szCs w:val="24"/>
      <w:lang w:val="en-US"/>
    </w:rPr>
  </w:style>
  <w:style w:type="paragraph" w:customStyle="1" w:styleId="RightPar3">
    <w:name w:val="Right Par 3"/>
    <w:pPr>
      <w:tabs>
        <w:tab w:val="left" w:pos="-720"/>
        <w:tab w:val="left" w:pos="0"/>
        <w:tab w:val="left" w:pos="720"/>
        <w:tab w:val="left" w:pos="1440"/>
        <w:tab w:val="decimal" w:pos="2160"/>
      </w:tabs>
      <w:suppressAutoHyphens/>
      <w:autoSpaceDE w:val="0"/>
      <w:autoSpaceDN w:val="0"/>
      <w:ind w:left="2160"/>
    </w:pPr>
    <w:rPr>
      <w:rFonts w:ascii="Courier New" w:hAnsi="Courier New" w:cs="Courier New"/>
      <w:sz w:val="24"/>
      <w:szCs w:val="24"/>
    </w:rPr>
  </w:style>
  <w:style w:type="paragraph" w:customStyle="1" w:styleId="RightPar4">
    <w:name w:val="Right Par 4"/>
    <w:pPr>
      <w:tabs>
        <w:tab w:val="left" w:pos="-720"/>
        <w:tab w:val="left" w:pos="0"/>
        <w:tab w:val="left" w:pos="720"/>
        <w:tab w:val="left" w:pos="1440"/>
        <w:tab w:val="left" w:pos="2160"/>
        <w:tab w:val="decimal" w:pos="2880"/>
      </w:tabs>
      <w:suppressAutoHyphens/>
      <w:autoSpaceDE w:val="0"/>
      <w:autoSpaceDN w:val="0"/>
      <w:ind w:left="2880"/>
    </w:pPr>
    <w:rPr>
      <w:rFonts w:ascii="Courier New" w:hAnsi="Courier New" w:cs="Courier New"/>
      <w:sz w:val="24"/>
      <w:szCs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autoSpaceDE w:val="0"/>
      <w:autoSpaceDN w:val="0"/>
      <w:ind w:left="3600"/>
    </w:pPr>
    <w:rPr>
      <w:rFonts w:ascii="Courier New" w:hAnsi="Courier New" w:cs="Courier New"/>
      <w:sz w:val="24"/>
      <w:szCs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autoSpaceDE w:val="0"/>
      <w:autoSpaceDN w:val="0"/>
      <w:ind w:left="4320"/>
    </w:pPr>
    <w:rPr>
      <w:rFonts w:ascii="Courier New" w:hAnsi="Courier New" w:cs="Courier New"/>
      <w:sz w:val="24"/>
      <w:szCs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autoSpaceDE w:val="0"/>
      <w:autoSpaceDN w:val="0"/>
      <w:ind w:left="5040"/>
    </w:pPr>
    <w:rPr>
      <w:rFonts w:ascii="Courier New" w:hAnsi="Courier New" w:cs="Courier New"/>
      <w:sz w:val="24"/>
      <w:szCs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ind w:left="5760"/>
    </w:pPr>
    <w:rPr>
      <w:rFonts w:ascii="Courier New" w:hAnsi="Courier New" w:cs="Courier New"/>
      <w:sz w:val="24"/>
      <w:szCs w:val="24"/>
    </w:rPr>
  </w:style>
  <w:style w:type="paragraph" w:customStyle="1" w:styleId="Document1">
    <w:name w:val="Document 1"/>
    <w:pPr>
      <w:keepNext/>
      <w:keepLines/>
      <w:tabs>
        <w:tab w:val="left" w:pos="-720"/>
      </w:tabs>
      <w:suppressAutoHyphens/>
      <w:autoSpaceDE w:val="0"/>
      <w:autoSpaceDN w:val="0"/>
    </w:pPr>
    <w:rPr>
      <w:rFonts w:ascii="Courier New" w:hAnsi="Courier New" w:cs="Courier New"/>
      <w:sz w:val="24"/>
      <w:szCs w:val="24"/>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paragraph" w:customStyle="1" w:styleId="Technical5">
    <w:name w:val="Technical 5"/>
    <w:pPr>
      <w:tabs>
        <w:tab w:val="left" w:pos="-720"/>
      </w:tabs>
      <w:suppressAutoHyphens/>
      <w:autoSpaceDE w:val="0"/>
      <w:autoSpaceDN w:val="0"/>
      <w:ind w:firstLine="720"/>
    </w:pPr>
    <w:rPr>
      <w:rFonts w:ascii="Courier New" w:hAnsi="Courier New" w:cs="Courier New"/>
      <w:b/>
      <w:bCs/>
      <w:sz w:val="24"/>
      <w:szCs w:val="24"/>
    </w:rPr>
  </w:style>
  <w:style w:type="paragraph" w:customStyle="1" w:styleId="Technical6">
    <w:name w:val="Technical 6"/>
    <w:pPr>
      <w:tabs>
        <w:tab w:val="left" w:pos="-720"/>
      </w:tabs>
      <w:suppressAutoHyphens/>
      <w:autoSpaceDE w:val="0"/>
      <w:autoSpaceDN w:val="0"/>
      <w:ind w:firstLine="720"/>
    </w:pPr>
    <w:rPr>
      <w:rFonts w:ascii="Courier New" w:hAnsi="Courier New" w:cs="Courier New"/>
      <w:b/>
      <w:bCs/>
      <w:sz w:val="24"/>
      <w:szCs w:val="24"/>
    </w:rPr>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paragraph" w:customStyle="1" w:styleId="Technical4">
    <w:name w:val="Technical 4"/>
    <w:pPr>
      <w:tabs>
        <w:tab w:val="left" w:pos="-720"/>
      </w:tabs>
      <w:suppressAutoHyphens/>
      <w:autoSpaceDE w:val="0"/>
      <w:autoSpaceDN w:val="0"/>
    </w:pPr>
    <w:rPr>
      <w:rFonts w:ascii="Courier New" w:hAnsi="Courier New" w:cs="Courier New"/>
      <w:b/>
      <w:bCs/>
      <w:sz w:val="24"/>
      <w:szCs w:val="24"/>
    </w:rPr>
  </w:style>
  <w:style w:type="character" w:customStyle="1" w:styleId="Technical1">
    <w:name w:val="Technical 1"/>
    <w:rPr>
      <w:rFonts w:ascii="Courier New" w:hAnsi="Courier New" w:cs="Courier New"/>
      <w:sz w:val="24"/>
      <w:szCs w:val="24"/>
      <w:lang w:val="en-US"/>
    </w:rPr>
  </w:style>
  <w:style w:type="paragraph" w:customStyle="1" w:styleId="Technical7">
    <w:name w:val="Technical 7"/>
    <w:pPr>
      <w:tabs>
        <w:tab w:val="left" w:pos="-720"/>
      </w:tabs>
      <w:suppressAutoHyphens/>
      <w:autoSpaceDE w:val="0"/>
      <w:autoSpaceDN w:val="0"/>
      <w:ind w:firstLine="720"/>
    </w:pPr>
    <w:rPr>
      <w:rFonts w:ascii="Courier New" w:hAnsi="Courier New" w:cs="Courier New"/>
      <w:b/>
      <w:bCs/>
      <w:sz w:val="24"/>
      <w:szCs w:val="24"/>
    </w:rPr>
  </w:style>
  <w:style w:type="paragraph" w:customStyle="1" w:styleId="Technical8">
    <w:name w:val="Technical 8"/>
    <w:pPr>
      <w:tabs>
        <w:tab w:val="left" w:pos="-720"/>
      </w:tabs>
      <w:suppressAutoHyphens/>
      <w:autoSpaceDE w:val="0"/>
      <w:autoSpaceDN w:val="0"/>
      <w:ind w:firstLine="720"/>
    </w:pPr>
    <w:rPr>
      <w:rFonts w:ascii="Courier New" w:hAnsi="Courier New" w:cs="Courier New"/>
      <w:b/>
      <w:bC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rPr>
      <w:rFonts w:ascii="Times New Roman" w:hAnsi="Times New Roman" w:cs="Times New Roman"/>
      <w:sz w:val="26"/>
      <w:szCs w:val="26"/>
      <w:lang w:val="en-US"/>
    </w:rPr>
  </w:style>
  <w:style w:type="paragraph" w:customStyle="1" w:styleId="TxBrp4">
    <w:name w:val="TxBr_p4"/>
    <w:basedOn w:val="Normal"/>
    <w:rsid w:val="00121E9F"/>
    <w:pPr>
      <w:widowControl w:val="0"/>
      <w:tabs>
        <w:tab w:val="left" w:pos="810"/>
      </w:tabs>
      <w:autoSpaceDE/>
      <w:autoSpaceDN/>
      <w:spacing w:line="266" w:lineRule="atLeast"/>
      <w:ind w:firstLine="811"/>
    </w:pPr>
    <w:rPr>
      <w:snapToGrid w:val="0"/>
      <w:szCs w:val="20"/>
    </w:rPr>
  </w:style>
  <w:style w:type="paragraph" w:customStyle="1" w:styleId="TxBrp8">
    <w:name w:val="TxBr_p8"/>
    <w:basedOn w:val="Normal"/>
    <w:rsid w:val="00D53773"/>
    <w:pPr>
      <w:widowControl w:val="0"/>
      <w:tabs>
        <w:tab w:val="left" w:pos="1468"/>
      </w:tabs>
      <w:adjustRightInd w:val="0"/>
      <w:spacing w:line="464" w:lineRule="atLeast"/>
      <w:ind w:firstLine="1468"/>
    </w:p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semiHidden/>
    <w:rsid w:val="007879C8"/>
  </w:style>
  <w:style w:type="paragraph" w:customStyle="1" w:styleId="TxBrp1">
    <w:name w:val="TxBr_p1"/>
    <w:basedOn w:val="Normal"/>
    <w:rsid w:val="00C249BD"/>
    <w:pPr>
      <w:widowControl w:val="0"/>
      <w:tabs>
        <w:tab w:val="left" w:pos="204"/>
      </w:tabs>
      <w:adjustRightInd w:val="0"/>
      <w:spacing w:line="425" w:lineRule="atLeast"/>
      <w:ind w:firstLine="0"/>
    </w:pPr>
  </w:style>
  <w:style w:type="paragraph" w:customStyle="1" w:styleId="TxBrp6">
    <w:name w:val="TxBr_p6"/>
    <w:basedOn w:val="Normal"/>
    <w:rsid w:val="00C249BD"/>
    <w:pPr>
      <w:widowControl w:val="0"/>
      <w:tabs>
        <w:tab w:val="left" w:pos="1468"/>
      </w:tabs>
      <w:adjustRightInd w:val="0"/>
      <w:spacing w:line="283" w:lineRule="atLeast"/>
      <w:ind w:left="74" w:firstLine="0"/>
    </w:pPr>
  </w:style>
  <w:style w:type="paragraph" w:customStyle="1" w:styleId="TxBrp7">
    <w:name w:val="TxBr_p7"/>
    <w:basedOn w:val="Normal"/>
    <w:rsid w:val="00C249BD"/>
    <w:pPr>
      <w:widowControl w:val="0"/>
      <w:tabs>
        <w:tab w:val="left" w:pos="2182"/>
      </w:tabs>
      <w:adjustRightInd w:val="0"/>
      <w:spacing w:line="283" w:lineRule="atLeast"/>
      <w:ind w:left="1468" w:firstLine="715"/>
    </w:pPr>
  </w:style>
  <w:style w:type="table" w:styleId="TableGrid">
    <w:name w:val="Table Grid"/>
    <w:basedOn w:val="TableNormal"/>
    <w:rsid w:val="00BD1B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rsid w:val="00B3602E"/>
    <w:rPr>
      <w:sz w:val="16"/>
      <w:szCs w:val="16"/>
    </w:rPr>
  </w:style>
  <w:style w:type="paragraph" w:styleId="CommentText">
    <w:name w:val="annotation text"/>
    <w:basedOn w:val="Normal"/>
    <w:link w:val="CommentTextChar"/>
    <w:rsid w:val="00B3602E"/>
    <w:rPr>
      <w:sz w:val="20"/>
      <w:szCs w:val="20"/>
    </w:rPr>
  </w:style>
  <w:style w:type="character" w:customStyle="1" w:styleId="CommentTextChar">
    <w:name w:val="Comment Text Char"/>
    <w:basedOn w:val="DefaultParagraphFont"/>
    <w:link w:val="CommentText"/>
    <w:rsid w:val="00B3602E"/>
  </w:style>
  <w:style w:type="paragraph" w:styleId="CommentSubject">
    <w:name w:val="annotation subject"/>
    <w:basedOn w:val="CommentText"/>
    <w:next w:val="CommentText"/>
    <w:link w:val="CommentSubjectChar"/>
    <w:rsid w:val="00B3602E"/>
    <w:rPr>
      <w:b/>
      <w:bCs/>
    </w:rPr>
  </w:style>
  <w:style w:type="character" w:customStyle="1" w:styleId="CommentSubjectChar">
    <w:name w:val="Comment Subject Char"/>
    <w:link w:val="CommentSubject"/>
    <w:rsid w:val="00B3602E"/>
    <w:rPr>
      <w:b/>
      <w:bCs/>
    </w:rPr>
  </w:style>
  <w:style w:type="paragraph" w:styleId="BalloonText">
    <w:name w:val="Balloon Text"/>
    <w:basedOn w:val="Normal"/>
    <w:link w:val="BalloonTextChar"/>
    <w:rsid w:val="00B3602E"/>
    <w:pPr>
      <w:spacing w:line="240" w:lineRule="auto"/>
    </w:pPr>
    <w:rPr>
      <w:rFonts w:ascii="Tahoma" w:hAnsi="Tahoma" w:cs="Tahoma"/>
      <w:sz w:val="16"/>
      <w:szCs w:val="16"/>
    </w:rPr>
  </w:style>
  <w:style w:type="character" w:customStyle="1" w:styleId="BalloonTextChar">
    <w:name w:val="Balloon Text Char"/>
    <w:link w:val="BalloonText"/>
    <w:rsid w:val="00B3602E"/>
    <w:rPr>
      <w:rFonts w:ascii="Tahoma" w:hAnsi="Tahoma" w:cs="Tahoma"/>
      <w:sz w:val="16"/>
      <w:szCs w:val="16"/>
    </w:rPr>
  </w:style>
  <w:style w:type="paragraph" w:styleId="BodyText">
    <w:name w:val="Body Text"/>
    <w:basedOn w:val="Normal"/>
    <w:link w:val="BodyTextChar"/>
    <w:unhideWhenUsed/>
    <w:rsid w:val="00F1566C"/>
    <w:pPr>
      <w:tabs>
        <w:tab w:val="left" w:pos="-1440"/>
        <w:tab w:val="left" w:pos="-720"/>
        <w:tab w:val="left" w:pos="0"/>
        <w:tab w:val="left" w:pos="720"/>
        <w:tab w:val="left" w:pos="1440"/>
      </w:tabs>
      <w:autoSpaceDE/>
      <w:autoSpaceDN/>
      <w:spacing w:line="480" w:lineRule="auto"/>
      <w:ind w:firstLine="0"/>
      <w:jc w:val="both"/>
    </w:pPr>
    <w:rPr>
      <w:szCs w:val="20"/>
    </w:rPr>
  </w:style>
  <w:style w:type="character" w:customStyle="1" w:styleId="BodyTextChar">
    <w:name w:val="Body Text Char"/>
    <w:link w:val="BodyText"/>
    <w:rsid w:val="00F1566C"/>
    <w:rPr>
      <w:sz w:val="24"/>
      <w:lang w:eastAsia="en-US"/>
    </w:rPr>
  </w:style>
  <w:style w:type="paragraph" w:customStyle="1" w:styleId="ParaTab1">
    <w:name w:val="ParaTab 1"/>
    <w:rsid w:val="00F1566C"/>
    <w:pPr>
      <w:tabs>
        <w:tab w:val="left" w:pos="-720"/>
      </w:tabs>
      <w:suppressAutoHyphens/>
      <w:autoSpaceDE w:val="0"/>
      <w:autoSpaceDN w:val="0"/>
      <w:ind w:firstLine="1440"/>
    </w:pPr>
    <w:rPr>
      <w:rFonts w:ascii="CG Times" w:hAnsi="CG Times" w:cs="CG Times"/>
      <w:sz w:val="24"/>
      <w:szCs w:val="24"/>
    </w:rPr>
  </w:style>
  <w:style w:type="character" w:styleId="Hyperlink">
    <w:name w:val="Hyperlink"/>
    <w:uiPriority w:val="99"/>
    <w:unhideWhenUsed/>
    <w:rsid w:val="00E534D2"/>
    <w:rPr>
      <w:strike w:val="0"/>
      <w:dstrike w:val="0"/>
      <w:color w:val="0000FF"/>
      <w:u w:val="none"/>
      <w:effect w:val="none"/>
    </w:rPr>
  </w:style>
  <w:style w:type="paragraph" w:styleId="ListParagraph">
    <w:name w:val="List Paragraph"/>
    <w:basedOn w:val="Normal"/>
    <w:uiPriority w:val="34"/>
    <w:qFormat/>
    <w:rsid w:val="00453D3B"/>
    <w:pPr>
      <w:autoSpaceDE/>
      <w:autoSpaceDN/>
      <w:spacing w:after="200" w:line="276" w:lineRule="auto"/>
      <w:ind w:left="720" w:firstLine="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656291">
      <w:bodyDiv w:val="1"/>
      <w:marLeft w:val="0"/>
      <w:marRight w:val="0"/>
      <w:marTop w:val="0"/>
      <w:marBottom w:val="0"/>
      <w:divBdr>
        <w:top w:val="none" w:sz="0" w:space="0" w:color="auto"/>
        <w:left w:val="none" w:sz="0" w:space="0" w:color="auto"/>
        <w:bottom w:val="none" w:sz="0" w:space="0" w:color="auto"/>
        <w:right w:val="none" w:sz="0" w:space="0" w:color="auto"/>
      </w:divBdr>
      <w:divsChild>
        <w:div w:id="645665755">
          <w:marLeft w:val="0"/>
          <w:marRight w:val="0"/>
          <w:marTop w:val="0"/>
          <w:marBottom w:val="0"/>
          <w:divBdr>
            <w:top w:val="none" w:sz="0" w:space="0" w:color="auto"/>
            <w:left w:val="none" w:sz="0" w:space="0" w:color="auto"/>
            <w:bottom w:val="none" w:sz="0" w:space="0" w:color="auto"/>
            <w:right w:val="none" w:sz="0" w:space="0" w:color="auto"/>
          </w:divBdr>
          <w:divsChild>
            <w:div w:id="658928048">
              <w:marLeft w:val="0"/>
              <w:marRight w:val="0"/>
              <w:marTop w:val="0"/>
              <w:marBottom w:val="0"/>
              <w:divBdr>
                <w:top w:val="none" w:sz="0" w:space="0" w:color="auto"/>
                <w:left w:val="none" w:sz="0" w:space="0" w:color="auto"/>
                <w:bottom w:val="none" w:sz="0" w:space="0" w:color="auto"/>
                <w:right w:val="none" w:sz="0" w:space="0" w:color="auto"/>
              </w:divBdr>
              <w:divsChild>
                <w:div w:id="649747710">
                  <w:marLeft w:val="0"/>
                  <w:marRight w:val="0"/>
                  <w:marTop w:val="0"/>
                  <w:marBottom w:val="8752"/>
                  <w:divBdr>
                    <w:top w:val="none" w:sz="0" w:space="0" w:color="auto"/>
                    <w:left w:val="none" w:sz="0" w:space="0" w:color="auto"/>
                    <w:bottom w:val="none" w:sz="0" w:space="0" w:color="auto"/>
                    <w:right w:val="none" w:sz="0" w:space="0" w:color="auto"/>
                  </w:divBdr>
                  <w:divsChild>
                    <w:div w:id="256791242">
                      <w:marLeft w:val="0"/>
                      <w:marRight w:val="0"/>
                      <w:marTop w:val="0"/>
                      <w:marBottom w:val="0"/>
                      <w:divBdr>
                        <w:top w:val="none" w:sz="0" w:space="0" w:color="auto"/>
                        <w:left w:val="none" w:sz="0" w:space="0" w:color="auto"/>
                        <w:bottom w:val="none" w:sz="0" w:space="0" w:color="auto"/>
                        <w:right w:val="none" w:sz="0" w:space="0" w:color="auto"/>
                      </w:divBdr>
                      <w:divsChild>
                        <w:div w:id="428086681">
                          <w:marLeft w:val="0"/>
                          <w:marRight w:val="0"/>
                          <w:marTop w:val="0"/>
                          <w:marBottom w:val="0"/>
                          <w:divBdr>
                            <w:top w:val="none" w:sz="0" w:space="0" w:color="auto"/>
                            <w:left w:val="none" w:sz="0" w:space="0" w:color="auto"/>
                            <w:bottom w:val="none" w:sz="0" w:space="0" w:color="auto"/>
                            <w:right w:val="none" w:sz="0" w:space="0" w:color="auto"/>
                          </w:divBdr>
                          <w:divsChild>
                            <w:div w:id="580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690570">
      <w:bodyDiv w:val="1"/>
      <w:marLeft w:val="0"/>
      <w:marRight w:val="0"/>
      <w:marTop w:val="0"/>
      <w:marBottom w:val="0"/>
      <w:divBdr>
        <w:top w:val="none" w:sz="0" w:space="0" w:color="auto"/>
        <w:left w:val="none" w:sz="0" w:space="0" w:color="auto"/>
        <w:bottom w:val="none" w:sz="0" w:space="0" w:color="auto"/>
        <w:right w:val="none" w:sz="0" w:space="0" w:color="auto"/>
      </w:divBdr>
    </w:div>
    <w:div w:id="17419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B4833-6C1E-425D-B69B-790FDB18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3602</Words>
  <Characters>20537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24091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PA PUC</dc:creator>
  <cp:lastModifiedBy>Leonard, Allyson</cp:lastModifiedBy>
  <cp:revision>2</cp:revision>
  <cp:lastPrinted>2014-04-16T17:46:00Z</cp:lastPrinted>
  <dcterms:created xsi:type="dcterms:W3CDTF">2014-04-25T18:43:00Z</dcterms:created>
  <dcterms:modified xsi:type="dcterms:W3CDTF">2014-04-25T18:43:00Z</dcterms:modified>
</cp:coreProperties>
</file>