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11" w:rsidRPr="009A52FA" w:rsidRDefault="00FF4D11" w:rsidP="00FF4D11">
      <w:pPr>
        <w:widowControl w:val="0"/>
        <w:spacing w:line="240" w:lineRule="auto"/>
        <w:rPr>
          <w:b/>
          <w:bCs/>
        </w:rPr>
      </w:pPr>
      <w:r w:rsidRPr="009A52FA">
        <w:rPr>
          <w:b/>
          <w:bCs/>
        </w:rPr>
        <w:t>BEFORE THE</w:t>
      </w:r>
    </w:p>
    <w:p w:rsidR="00FF4D11" w:rsidRPr="009A52FA" w:rsidRDefault="00FF4D11" w:rsidP="00FF4D11">
      <w:pPr>
        <w:widowControl w:val="0"/>
        <w:spacing w:line="240" w:lineRule="auto"/>
        <w:rPr>
          <w:b/>
          <w:bCs/>
        </w:rPr>
      </w:pPr>
      <w:r w:rsidRPr="009A52FA">
        <w:rPr>
          <w:b/>
          <w:bCs/>
        </w:rPr>
        <w:t>PENNSYLVANIA PUBLIC UTILITY COMMISSION</w:t>
      </w:r>
    </w:p>
    <w:p w:rsidR="00FF4D11" w:rsidRPr="00474C19" w:rsidRDefault="00FF4D11" w:rsidP="00474C19">
      <w:pPr>
        <w:widowControl w:val="0"/>
        <w:spacing w:line="240" w:lineRule="auto"/>
        <w:rPr>
          <w:bCs/>
        </w:rPr>
      </w:pPr>
    </w:p>
    <w:p w:rsidR="00474C19" w:rsidRPr="00474C19" w:rsidRDefault="00474C19" w:rsidP="00474C19">
      <w:pPr>
        <w:widowControl w:val="0"/>
        <w:spacing w:line="240" w:lineRule="auto"/>
        <w:rPr>
          <w:bCs/>
        </w:rPr>
      </w:pPr>
    </w:p>
    <w:p w:rsidR="00FF4D11" w:rsidRPr="00474C19" w:rsidRDefault="00FF4D11" w:rsidP="00474C19">
      <w:pPr>
        <w:widowControl w:val="0"/>
        <w:spacing w:line="240" w:lineRule="auto"/>
        <w:rPr>
          <w:bCs/>
        </w:rPr>
      </w:pPr>
    </w:p>
    <w:p w:rsidR="00FF4D11" w:rsidRPr="00396D6E" w:rsidRDefault="00FF4D11" w:rsidP="00FF4D11">
      <w:pPr>
        <w:widowControl w:val="0"/>
        <w:spacing w:line="240" w:lineRule="auto"/>
        <w:jc w:val="left"/>
        <w:rPr>
          <w:bCs/>
        </w:rPr>
      </w:pPr>
      <w:r w:rsidRPr="00396D6E">
        <w:rPr>
          <w:bCs/>
        </w:rPr>
        <w:t xml:space="preserve">Petition of PPL Electric Utilities Corporation </w:t>
      </w:r>
      <w:r w:rsidRPr="00396D6E">
        <w:rPr>
          <w:bCs/>
        </w:rPr>
        <w:tab/>
        <w:t>:</w:t>
      </w:r>
    </w:p>
    <w:p w:rsidR="00FF4D11" w:rsidRPr="00396D6E" w:rsidRDefault="00FF4D11" w:rsidP="00FF4D11">
      <w:pPr>
        <w:widowControl w:val="0"/>
        <w:spacing w:line="240" w:lineRule="auto"/>
        <w:jc w:val="left"/>
        <w:rPr>
          <w:bCs/>
        </w:rPr>
      </w:pPr>
      <w:r w:rsidRPr="00396D6E">
        <w:rPr>
          <w:bCs/>
        </w:rPr>
        <w:t xml:space="preserve">For Approval of a New Pilot Time-of-Use </w:t>
      </w:r>
      <w:r w:rsidRPr="00396D6E">
        <w:rPr>
          <w:bCs/>
        </w:rPr>
        <w:tab/>
      </w:r>
      <w:r w:rsidRPr="00396D6E">
        <w:rPr>
          <w:bCs/>
        </w:rPr>
        <w:tab/>
        <w:t>:</w:t>
      </w:r>
      <w:r w:rsidRPr="00396D6E">
        <w:rPr>
          <w:bCs/>
        </w:rPr>
        <w:tab/>
      </w:r>
      <w:r w:rsidRPr="00396D6E">
        <w:rPr>
          <w:bCs/>
        </w:rPr>
        <w:tab/>
        <w:t>P-2013-2389572</w:t>
      </w:r>
    </w:p>
    <w:p w:rsidR="00FF4D11" w:rsidRPr="00396D6E" w:rsidRDefault="00FF4D11" w:rsidP="00FF4D11">
      <w:pPr>
        <w:widowControl w:val="0"/>
        <w:spacing w:line="240" w:lineRule="auto"/>
        <w:jc w:val="left"/>
        <w:rPr>
          <w:bCs/>
        </w:rPr>
      </w:pPr>
      <w:r w:rsidRPr="00396D6E">
        <w:rPr>
          <w:bCs/>
        </w:rPr>
        <w:t>Program</w:t>
      </w:r>
      <w:r w:rsidRPr="00396D6E">
        <w:rPr>
          <w:bCs/>
        </w:rPr>
        <w:tab/>
      </w:r>
      <w:r w:rsidRPr="00396D6E">
        <w:rPr>
          <w:bCs/>
        </w:rPr>
        <w:tab/>
      </w:r>
      <w:r w:rsidRPr="00396D6E">
        <w:rPr>
          <w:bCs/>
        </w:rPr>
        <w:tab/>
      </w:r>
      <w:r w:rsidRPr="00396D6E">
        <w:rPr>
          <w:bCs/>
        </w:rPr>
        <w:tab/>
      </w:r>
      <w:r w:rsidRPr="00396D6E">
        <w:rPr>
          <w:bCs/>
        </w:rPr>
        <w:tab/>
      </w:r>
      <w:r w:rsidRPr="00396D6E">
        <w:rPr>
          <w:bCs/>
        </w:rPr>
        <w:tab/>
        <w:t>:</w:t>
      </w:r>
    </w:p>
    <w:p w:rsidR="00FF4D11" w:rsidRDefault="00FF4D11" w:rsidP="00FF4D11">
      <w:pPr>
        <w:widowControl w:val="0"/>
        <w:jc w:val="left"/>
        <w:rPr>
          <w:b/>
          <w:bCs/>
        </w:rPr>
      </w:pPr>
    </w:p>
    <w:p w:rsidR="00FF4D11" w:rsidRPr="00396D6E" w:rsidRDefault="00FF4D11" w:rsidP="00FF4D11">
      <w:pPr>
        <w:widowControl w:val="0"/>
        <w:jc w:val="left"/>
        <w:rPr>
          <w:bCs/>
        </w:rPr>
      </w:pPr>
      <w:r>
        <w:rPr>
          <w:bCs/>
        </w:rPr>
        <w:t>A case stemming from:</w:t>
      </w:r>
    </w:p>
    <w:p w:rsidR="00FF4D11" w:rsidRDefault="00FF4D11" w:rsidP="00FF4D11">
      <w:pPr>
        <w:widowControl w:val="0"/>
        <w:spacing w:line="240" w:lineRule="auto"/>
        <w:jc w:val="left"/>
        <w:rPr>
          <w:bCs/>
        </w:rPr>
      </w:pPr>
      <w:r>
        <w:rPr>
          <w:bCs/>
        </w:rPr>
        <w:t>Petition of PPL Electric Utilities Corporation</w:t>
      </w:r>
      <w:r>
        <w:rPr>
          <w:bCs/>
        </w:rPr>
        <w:tab/>
        <w:t>:</w:t>
      </w:r>
    </w:p>
    <w:p w:rsidR="00FF4D11" w:rsidRDefault="00FF4D11" w:rsidP="00FF4D11">
      <w:pPr>
        <w:widowControl w:val="0"/>
        <w:spacing w:line="240" w:lineRule="auto"/>
        <w:jc w:val="left"/>
        <w:rPr>
          <w:bCs/>
        </w:rPr>
      </w:pPr>
      <w:r>
        <w:rPr>
          <w:bCs/>
        </w:rPr>
        <w:t>For Approval of a Default Service Program</w:t>
      </w:r>
      <w:r>
        <w:rPr>
          <w:bCs/>
        </w:rPr>
        <w:tab/>
      </w:r>
      <w:r>
        <w:rPr>
          <w:bCs/>
        </w:rPr>
        <w:tab/>
        <w:t>:</w:t>
      </w:r>
      <w:r>
        <w:rPr>
          <w:bCs/>
        </w:rPr>
        <w:tab/>
      </w:r>
      <w:r>
        <w:rPr>
          <w:bCs/>
        </w:rPr>
        <w:tab/>
        <w:t>(P-2012-2302074)</w:t>
      </w:r>
    </w:p>
    <w:p w:rsidR="00FF4D11" w:rsidRDefault="00FF4D11" w:rsidP="00FF4D11">
      <w:pPr>
        <w:widowControl w:val="0"/>
        <w:spacing w:line="240" w:lineRule="auto"/>
        <w:jc w:val="left"/>
        <w:rPr>
          <w:bCs/>
        </w:rPr>
      </w:pPr>
      <w:r>
        <w:rPr>
          <w:bCs/>
        </w:rPr>
        <w:t xml:space="preserve">For the Period June </w:t>
      </w:r>
      <w:r w:rsidR="00474C19">
        <w:rPr>
          <w:bCs/>
        </w:rPr>
        <w:t>1, 2013 through May 31, 2015</w:t>
      </w:r>
      <w:r w:rsidR="00474C19">
        <w:rPr>
          <w:bCs/>
        </w:rPr>
        <w:tab/>
        <w:t>:</w:t>
      </w:r>
    </w:p>
    <w:p w:rsidR="00FF4D11" w:rsidRPr="00474C19" w:rsidRDefault="00FF4D11" w:rsidP="00FF4D11">
      <w:pPr>
        <w:widowControl w:val="0"/>
        <w:spacing w:line="240" w:lineRule="auto"/>
        <w:jc w:val="left"/>
        <w:rPr>
          <w:bCs/>
        </w:rPr>
      </w:pPr>
    </w:p>
    <w:p w:rsidR="00FF4D11" w:rsidRPr="00474C19" w:rsidRDefault="00FF4D11" w:rsidP="00FF4D11">
      <w:pPr>
        <w:widowControl w:val="0"/>
        <w:spacing w:line="240" w:lineRule="auto"/>
        <w:jc w:val="left"/>
        <w:rPr>
          <w:bCs/>
        </w:rPr>
      </w:pPr>
    </w:p>
    <w:p w:rsidR="00474C19" w:rsidRPr="00474C19" w:rsidRDefault="00474C19" w:rsidP="00FF4D11">
      <w:pPr>
        <w:widowControl w:val="0"/>
        <w:spacing w:line="240" w:lineRule="auto"/>
        <w:jc w:val="left"/>
        <w:rPr>
          <w:bCs/>
          <w:u w:val="single"/>
        </w:rPr>
      </w:pPr>
    </w:p>
    <w:p w:rsidR="00FF4D11" w:rsidRDefault="00FF4D11" w:rsidP="00474C19">
      <w:pPr>
        <w:widowControl w:val="0"/>
        <w:spacing w:line="240" w:lineRule="auto"/>
        <w:rPr>
          <w:b/>
          <w:bCs/>
          <w:u w:val="single"/>
        </w:rPr>
      </w:pPr>
      <w:r>
        <w:rPr>
          <w:b/>
          <w:bCs/>
          <w:u w:val="single"/>
        </w:rPr>
        <w:t>RECOMMENDED DECISION</w:t>
      </w:r>
    </w:p>
    <w:p w:rsidR="00FF4D11" w:rsidRPr="00474C19" w:rsidRDefault="00FF4D11" w:rsidP="00474C19">
      <w:pPr>
        <w:widowControl w:val="0"/>
        <w:spacing w:line="240" w:lineRule="auto"/>
        <w:rPr>
          <w:bCs/>
        </w:rPr>
      </w:pPr>
    </w:p>
    <w:p w:rsidR="00474C19" w:rsidRPr="00474C19" w:rsidRDefault="00474C19" w:rsidP="00474C19">
      <w:pPr>
        <w:widowControl w:val="0"/>
        <w:spacing w:line="240" w:lineRule="auto"/>
        <w:rPr>
          <w:bCs/>
        </w:rPr>
      </w:pPr>
    </w:p>
    <w:p w:rsidR="00FF4D11" w:rsidRDefault="00FF4D11" w:rsidP="00474C19">
      <w:pPr>
        <w:widowControl w:val="0"/>
        <w:spacing w:line="240" w:lineRule="auto"/>
        <w:rPr>
          <w:bCs/>
        </w:rPr>
      </w:pPr>
      <w:r>
        <w:rPr>
          <w:bCs/>
        </w:rPr>
        <w:t>Before</w:t>
      </w:r>
    </w:p>
    <w:p w:rsidR="00FF4D11" w:rsidRDefault="00FF4D11" w:rsidP="00474C19">
      <w:pPr>
        <w:widowControl w:val="0"/>
        <w:spacing w:line="240" w:lineRule="auto"/>
        <w:rPr>
          <w:bCs/>
        </w:rPr>
      </w:pPr>
      <w:r>
        <w:rPr>
          <w:bCs/>
        </w:rPr>
        <w:t>Susan D. Colwell</w:t>
      </w:r>
    </w:p>
    <w:p w:rsidR="00474C19" w:rsidRDefault="00474C19" w:rsidP="00474C19">
      <w:pPr>
        <w:widowControl w:val="0"/>
        <w:spacing w:line="240" w:lineRule="auto"/>
        <w:rPr>
          <w:bCs/>
        </w:rPr>
      </w:pPr>
      <w:r>
        <w:rPr>
          <w:bCs/>
        </w:rPr>
        <w:t>and</w:t>
      </w:r>
    </w:p>
    <w:p w:rsidR="00FF4D11" w:rsidRDefault="00FF4D11" w:rsidP="00474C19">
      <w:pPr>
        <w:widowControl w:val="0"/>
        <w:spacing w:line="240" w:lineRule="auto"/>
        <w:rPr>
          <w:bCs/>
        </w:rPr>
      </w:pPr>
      <w:r>
        <w:rPr>
          <w:bCs/>
        </w:rPr>
        <w:t xml:space="preserve">Joel </w:t>
      </w:r>
      <w:r w:rsidR="00474C19">
        <w:rPr>
          <w:bCs/>
        </w:rPr>
        <w:t xml:space="preserve">H. </w:t>
      </w:r>
      <w:r>
        <w:rPr>
          <w:bCs/>
        </w:rPr>
        <w:t>Cheskis</w:t>
      </w:r>
    </w:p>
    <w:p w:rsidR="00FF4D11" w:rsidRDefault="00FF4D11" w:rsidP="00474C19">
      <w:pPr>
        <w:widowControl w:val="0"/>
        <w:spacing w:line="240" w:lineRule="auto"/>
        <w:rPr>
          <w:bCs/>
        </w:rPr>
      </w:pPr>
      <w:r>
        <w:rPr>
          <w:bCs/>
        </w:rPr>
        <w:t>Administrative Law Judges</w:t>
      </w:r>
    </w:p>
    <w:p w:rsidR="00FF4D11" w:rsidRDefault="00FF4D11" w:rsidP="00474C19">
      <w:pPr>
        <w:widowControl w:val="0"/>
        <w:spacing w:line="240" w:lineRule="auto"/>
        <w:rPr>
          <w:bCs/>
        </w:rPr>
      </w:pPr>
    </w:p>
    <w:p w:rsidR="00474C19" w:rsidRDefault="00474C19" w:rsidP="00474C19">
      <w:pPr>
        <w:widowControl w:val="0"/>
        <w:spacing w:line="240" w:lineRule="auto"/>
        <w:rPr>
          <w:bCs/>
        </w:rPr>
      </w:pPr>
    </w:p>
    <w:p w:rsidR="00FF4D11" w:rsidRPr="00FF4D11" w:rsidRDefault="00FF4D11" w:rsidP="00474C19">
      <w:pPr>
        <w:widowControl w:val="0"/>
        <w:spacing w:line="240" w:lineRule="auto"/>
        <w:rPr>
          <w:bCs/>
          <w:u w:val="single"/>
        </w:rPr>
      </w:pPr>
      <w:r>
        <w:rPr>
          <w:bCs/>
          <w:u w:val="single"/>
        </w:rPr>
        <w:t>HISTORY OF THE PROCEEDING</w:t>
      </w:r>
    </w:p>
    <w:p w:rsidR="00FF4D11" w:rsidRPr="00474C19" w:rsidRDefault="00FF4D11" w:rsidP="00474C19">
      <w:pPr>
        <w:widowControl w:val="0"/>
        <w:spacing w:line="240" w:lineRule="auto"/>
        <w:rPr>
          <w:bCs/>
        </w:rPr>
      </w:pPr>
    </w:p>
    <w:p w:rsidR="00474C19" w:rsidRPr="00474C19" w:rsidRDefault="00474C19" w:rsidP="00474C19">
      <w:pPr>
        <w:widowControl w:val="0"/>
        <w:spacing w:line="240" w:lineRule="auto"/>
        <w:rPr>
          <w:bCs/>
        </w:rPr>
      </w:pPr>
    </w:p>
    <w:p w:rsidR="00FF4D11" w:rsidRDefault="00FF4D11" w:rsidP="00FF4D11">
      <w:pPr>
        <w:pStyle w:val="BodyTextIndent"/>
        <w:rPr>
          <w:sz w:val="24"/>
          <w:szCs w:val="24"/>
        </w:rPr>
      </w:pPr>
      <w:r>
        <w:rPr>
          <w:sz w:val="24"/>
          <w:szCs w:val="24"/>
        </w:rPr>
        <w:t>On May 1, 2012, PPL Electric Utilities Corporation (PPL or “the Company”) filed with the Pennsylvania Public Utility Commission (Commission) a petition for approval of a default service program for the period June 1, 2013 through M</w:t>
      </w:r>
      <w:r w:rsidR="00474C19">
        <w:rPr>
          <w:sz w:val="24"/>
          <w:szCs w:val="24"/>
        </w:rPr>
        <w:t>ay 31, 2015, at Docket Number P</w:t>
      </w:r>
      <w:r w:rsidR="00474C19">
        <w:rPr>
          <w:sz w:val="24"/>
          <w:szCs w:val="24"/>
        </w:rPr>
        <w:noBreakHyphen/>
      </w:r>
      <w:r>
        <w:rPr>
          <w:sz w:val="24"/>
          <w:szCs w:val="24"/>
        </w:rPr>
        <w:t>2012-2302074 (Petition for DSP).  The Petition for DSP included a proposal for a new Time of Use (TOU) program, which was not approved with the rest of the Petition for DSP.  Instead, PPL was directed to conduct a collaborative with interested stakeholders in order to resolve any issue regarding the development and implementation of the TOU rate option.  In the interim, the TOU in effect at that time was continued by Commission Order entered May 23, 2013.</w:t>
      </w:r>
    </w:p>
    <w:p w:rsidR="00FF4D11" w:rsidRDefault="00FF4D11" w:rsidP="00FF4D11">
      <w:pPr>
        <w:pStyle w:val="BodyTextIndent"/>
        <w:rPr>
          <w:sz w:val="24"/>
          <w:szCs w:val="24"/>
        </w:rPr>
      </w:pPr>
    </w:p>
    <w:p w:rsidR="009F7E9C" w:rsidRDefault="00FF4D11" w:rsidP="009F7E9C">
      <w:pPr>
        <w:pStyle w:val="BodyTextIndent"/>
        <w:ind w:right="-180"/>
        <w:rPr>
          <w:sz w:val="24"/>
          <w:szCs w:val="24"/>
        </w:rPr>
        <w:sectPr w:rsidR="009F7E9C" w:rsidSect="00167CBB">
          <w:footerReference w:type="default" r:id="rId9"/>
          <w:pgSz w:w="12240" w:h="15840"/>
          <w:pgMar w:top="1296" w:right="1440" w:bottom="1296" w:left="1440" w:header="720" w:footer="720" w:gutter="0"/>
          <w:cols w:space="720"/>
          <w:titlePg/>
          <w:docGrid w:linePitch="360"/>
        </w:sectPr>
      </w:pPr>
      <w:r>
        <w:rPr>
          <w:sz w:val="24"/>
          <w:szCs w:val="24"/>
        </w:rPr>
        <w:t>The May 23, 2013 Order further directed PPL to file a new TOU rate proposal on or before August 23, 2013, which PPL did.  The Petition included a detailed description of the Pilot TOU program, details regarding electric generati</w:t>
      </w:r>
      <w:r w:rsidR="00167CBB">
        <w:rPr>
          <w:sz w:val="24"/>
          <w:szCs w:val="24"/>
        </w:rPr>
        <w:t>on suppliers (EGS) and customer</w:t>
      </w:r>
      <w:r w:rsidR="009F7E9C">
        <w:rPr>
          <w:sz w:val="24"/>
          <w:szCs w:val="24"/>
        </w:rPr>
        <w:t xml:space="preserve"> </w:t>
      </w:r>
      <w:r>
        <w:rPr>
          <w:sz w:val="24"/>
          <w:szCs w:val="24"/>
        </w:rPr>
        <w:t xml:space="preserve">participation </w:t>
      </w:r>
    </w:p>
    <w:p w:rsidR="00FF4D11" w:rsidRDefault="00FF4D11" w:rsidP="009F7E9C">
      <w:pPr>
        <w:pStyle w:val="BodyTextIndent"/>
        <w:ind w:right="-180" w:firstLine="0"/>
        <w:rPr>
          <w:sz w:val="24"/>
          <w:szCs w:val="24"/>
        </w:rPr>
      </w:pPr>
      <w:r>
        <w:rPr>
          <w:sz w:val="24"/>
          <w:szCs w:val="24"/>
        </w:rPr>
        <w:lastRenderedPageBreak/>
        <w:t>and a contingency proposal.  On September 6, 2013, the Sustainable Energy Fund of Central Eastern Pennsylvania (SEF) filed an Answer to the August 23, 2013 Petition.  On September 12, 2013, the Office of Consumer Advocate (OCA) and the Coalition of Affordable Utility Services and Energy Efficiency in Pennsylvania (CAUSE-PA) each filed separate Answers to the Petition.  On October 17, 2013, a Petition to Intervene was filed by the Dauphin County Industrial Development Authority (DCIDA).</w:t>
      </w:r>
    </w:p>
    <w:p w:rsidR="00FF4D11" w:rsidRDefault="00FF4D11" w:rsidP="00FF4D11">
      <w:pPr>
        <w:pStyle w:val="BodyTextIndent"/>
        <w:rPr>
          <w:sz w:val="24"/>
          <w:szCs w:val="24"/>
        </w:rPr>
      </w:pPr>
    </w:p>
    <w:p w:rsidR="00FF4D11" w:rsidRPr="00E73AB7" w:rsidRDefault="00FF4D11" w:rsidP="009F7E9C">
      <w:pPr>
        <w:pStyle w:val="BodyTextIndent"/>
        <w:rPr>
          <w:bCs/>
          <w:sz w:val="24"/>
          <w:szCs w:val="24"/>
        </w:rPr>
      </w:pPr>
      <w:r>
        <w:rPr>
          <w:sz w:val="24"/>
          <w:szCs w:val="24"/>
        </w:rPr>
        <w:t xml:space="preserve">The matter was assigned to the Office of Administrative Law Judge and, on October 7, 2013, the Commission issued a Notice establishing an Initial Prehearing Conference for this matter for Monday, October 21, 2013 at 1:00 p.m. in Hearing Room 2 of the Commonwealth Keystone Building in Harrisburg and assigning us as Presiding Officers.  The </w:t>
      </w:r>
      <w:r w:rsidRPr="00E73AB7">
        <w:rPr>
          <w:sz w:val="24"/>
          <w:szCs w:val="24"/>
        </w:rPr>
        <w:t xml:space="preserve">Notice was sent to all parties who participated in the original proceeding at Docket Number </w:t>
      </w:r>
      <w:r w:rsidR="00167CBB">
        <w:rPr>
          <w:bCs/>
          <w:sz w:val="24"/>
          <w:szCs w:val="24"/>
        </w:rPr>
        <w:t>P</w:t>
      </w:r>
      <w:r w:rsidR="00167CBB">
        <w:rPr>
          <w:bCs/>
          <w:sz w:val="24"/>
          <w:szCs w:val="24"/>
        </w:rPr>
        <w:noBreakHyphen/>
      </w:r>
      <w:r w:rsidRPr="00E73AB7">
        <w:rPr>
          <w:bCs/>
          <w:sz w:val="24"/>
          <w:szCs w:val="24"/>
        </w:rPr>
        <w:t>2012-2302074 that resulted in the Order entered May 23, 2013.</w:t>
      </w:r>
    </w:p>
    <w:p w:rsidR="00FF4D11" w:rsidRPr="00E73AB7" w:rsidRDefault="00FF4D11" w:rsidP="00FF4D11">
      <w:pPr>
        <w:pStyle w:val="BodyTextIndent"/>
        <w:rPr>
          <w:bCs/>
          <w:sz w:val="24"/>
          <w:szCs w:val="24"/>
        </w:rPr>
      </w:pPr>
    </w:p>
    <w:p w:rsidR="00FF4D11" w:rsidRDefault="00FF4D11" w:rsidP="00FF4D11">
      <w:pPr>
        <w:pStyle w:val="BodyTextIndent"/>
        <w:rPr>
          <w:sz w:val="24"/>
          <w:szCs w:val="24"/>
        </w:rPr>
      </w:pPr>
      <w:r>
        <w:rPr>
          <w:sz w:val="24"/>
          <w:szCs w:val="24"/>
        </w:rPr>
        <w:t>A Prehearing Order was issued on October 4, 2013 establishing the procedural rules that would govern the Initial Prehearing Conference and direct</w:t>
      </w:r>
      <w:r w:rsidR="00167CBB">
        <w:rPr>
          <w:sz w:val="24"/>
          <w:szCs w:val="24"/>
        </w:rPr>
        <w:t xml:space="preserve">ing that each litigating party </w:t>
      </w:r>
      <w:r>
        <w:rPr>
          <w:sz w:val="24"/>
          <w:szCs w:val="24"/>
        </w:rPr>
        <w:t>file and serve a Prehearing Memorandum by Thursday, October 17, 2013.</w:t>
      </w:r>
    </w:p>
    <w:p w:rsidR="00FF4D11" w:rsidRDefault="00FF4D11" w:rsidP="00FF4D11">
      <w:pPr>
        <w:pStyle w:val="BodyTextIndent"/>
        <w:rPr>
          <w:sz w:val="24"/>
          <w:szCs w:val="24"/>
        </w:rPr>
      </w:pPr>
    </w:p>
    <w:p w:rsidR="00FF4D11" w:rsidRDefault="00FF4D11" w:rsidP="00FF4D11">
      <w:pPr>
        <w:pStyle w:val="BodyTextIndent"/>
        <w:rPr>
          <w:sz w:val="24"/>
          <w:szCs w:val="24"/>
        </w:rPr>
      </w:pPr>
      <w:r>
        <w:rPr>
          <w:sz w:val="24"/>
          <w:szCs w:val="24"/>
        </w:rPr>
        <w:t>In response to the Prehearing Order, Prehearing Memorandum were received from PPL, OCA, SEF, CAUSE-PA, DCIDA, the Office of Small Business Advocate (OSBA), Direct Energy Services, LLC (“Direct Energy”), FirstEnergy Solutions Corp. (FirstEnergy), Interstate Gas Supply, d/b/a IGS Energy (“IGS Energy”) and PPL Industrial Customer Alliance (PPLICA).</w:t>
      </w:r>
    </w:p>
    <w:p w:rsidR="00FF4D11" w:rsidRDefault="00FF4D11" w:rsidP="00FF4D11">
      <w:pPr>
        <w:pStyle w:val="BodyTextIndent"/>
        <w:rPr>
          <w:sz w:val="24"/>
          <w:szCs w:val="24"/>
        </w:rPr>
      </w:pPr>
    </w:p>
    <w:p w:rsidR="00167CBB" w:rsidRDefault="00FF4D11" w:rsidP="00FF4D11">
      <w:pPr>
        <w:pStyle w:val="BodyTextIndent"/>
        <w:rPr>
          <w:sz w:val="24"/>
          <w:szCs w:val="24"/>
        </w:rPr>
      </w:pPr>
      <w:r>
        <w:rPr>
          <w:sz w:val="24"/>
          <w:szCs w:val="24"/>
        </w:rPr>
        <w:t>The Initial Prehearing Conference was held as scheduled on October 21, 2013.  The following counsel appeared:  Amy Klodowski, Esquire, on behalf of First Energy; David B. MacGregor, Esquire and Paul E. Russell, Esquire, on behalf of PPL; Todd S. Stewart, Esquire, on behalf of IGS Energy; Kenneth L. Mickens, Esquire, on behalf of SEF; Aron Beatty, Esquire, on behalf of the OCA; Harry Geller, Esquire, on behalf of CAUSE-PA; Scott Wyland, Esquire and Isaac Wakefield, Esquire, on behalf of DCIDA; Adeolu A. Bakare, Esquire, on behalf of PPLICA; and Steven C. Gray, Esquire, on behalf of OSBA.</w:t>
      </w:r>
      <w:r w:rsidR="00167CBB">
        <w:rPr>
          <w:sz w:val="24"/>
          <w:szCs w:val="24"/>
        </w:rPr>
        <w:t xml:space="preserve">  </w:t>
      </w:r>
    </w:p>
    <w:p w:rsidR="009F7E9C" w:rsidRDefault="009F7E9C" w:rsidP="00FF4D11">
      <w:pPr>
        <w:pStyle w:val="BodyTextIndent"/>
        <w:rPr>
          <w:sz w:val="24"/>
          <w:szCs w:val="24"/>
        </w:rPr>
      </w:pPr>
    </w:p>
    <w:p w:rsidR="00FF4D11" w:rsidRDefault="00FF4D11" w:rsidP="00FF4D11">
      <w:pPr>
        <w:pStyle w:val="BodyTextIndent"/>
        <w:rPr>
          <w:sz w:val="24"/>
          <w:szCs w:val="24"/>
        </w:rPr>
      </w:pPr>
      <w:r>
        <w:rPr>
          <w:sz w:val="24"/>
          <w:szCs w:val="24"/>
        </w:rPr>
        <w:t xml:space="preserve">Following the Initial Prehearing Conference, on October 25, 2013, a scheduling order was issued which, among other things, adopted a litigation schedule that had been agreed upon by the parties.  Additionally, the Petition to Intervene filed by DCIDA was granted because there was no objection.  The service list was limited to those parties present at the Initial Prehearing Conference.  The parties were reminded that the Protective Order in place in the prior proceeding at the Petition for DSP docket would remain in place for this proceeding, to the extent necessary.  The parties agreed that the modifications made to the Commission’s discovery rules in the prior proceeding, as set forth below, would be applied to this proceeding.  </w:t>
      </w:r>
    </w:p>
    <w:p w:rsidR="00FF4D11" w:rsidRDefault="00FF4D11" w:rsidP="00FF4D11">
      <w:pPr>
        <w:pStyle w:val="BodyTextIndent"/>
        <w:ind w:firstLine="0"/>
        <w:rPr>
          <w:sz w:val="24"/>
          <w:szCs w:val="24"/>
        </w:rPr>
      </w:pPr>
    </w:p>
    <w:p w:rsidR="00FF4D11" w:rsidRDefault="00FF4D11" w:rsidP="00FF4D11">
      <w:pPr>
        <w:pStyle w:val="BodyTextIndent"/>
        <w:rPr>
          <w:sz w:val="24"/>
          <w:szCs w:val="24"/>
        </w:rPr>
      </w:pPr>
      <w:r>
        <w:rPr>
          <w:sz w:val="24"/>
          <w:szCs w:val="24"/>
        </w:rPr>
        <w:t>Of note, a discussion was held regarding the potential for establishing a new docket number specifically to litigate the Petition filed by PPL on August 23, 2013.  A majority of the parties agreed that a new docket number and caption specific to the TOU program would be appropriate.  As a result, the P-2013-</w:t>
      </w:r>
      <w:r w:rsidRPr="00377294">
        <w:rPr>
          <w:bCs/>
          <w:sz w:val="24"/>
          <w:szCs w:val="24"/>
        </w:rPr>
        <w:t xml:space="preserve">2389572 </w:t>
      </w:r>
      <w:r>
        <w:rPr>
          <w:sz w:val="24"/>
          <w:szCs w:val="24"/>
        </w:rPr>
        <w:t>docket number included with the caption above was received from the Secretary’s Bureau.  It was further determined that documents filed in the prior proceeding with the P-2012-</w:t>
      </w:r>
      <w:r w:rsidRPr="006319C2">
        <w:rPr>
          <w:bCs/>
          <w:sz w:val="24"/>
          <w:szCs w:val="24"/>
        </w:rPr>
        <w:t>2302074</w:t>
      </w:r>
      <w:r w:rsidRPr="006319C2">
        <w:rPr>
          <w:sz w:val="24"/>
          <w:szCs w:val="24"/>
        </w:rPr>
        <w:t xml:space="preserve"> </w:t>
      </w:r>
      <w:r>
        <w:rPr>
          <w:sz w:val="24"/>
          <w:szCs w:val="24"/>
        </w:rPr>
        <w:t>docket number could be incorporated by reference into this proceeding with the new docket number.  All documents filed at the P-2012-</w:t>
      </w:r>
      <w:r w:rsidRPr="006319C2">
        <w:rPr>
          <w:bCs/>
          <w:sz w:val="24"/>
          <w:szCs w:val="24"/>
        </w:rPr>
        <w:t>2302074</w:t>
      </w:r>
      <w:r w:rsidRPr="006319C2">
        <w:rPr>
          <w:sz w:val="24"/>
          <w:szCs w:val="24"/>
        </w:rPr>
        <w:t xml:space="preserve"> </w:t>
      </w:r>
      <w:r>
        <w:rPr>
          <w:sz w:val="24"/>
          <w:szCs w:val="24"/>
        </w:rPr>
        <w:t>docket number on and after August 23, 2013 will be incorporated into the P-2013-</w:t>
      </w:r>
      <w:r w:rsidRPr="00377294">
        <w:rPr>
          <w:bCs/>
          <w:sz w:val="24"/>
          <w:szCs w:val="24"/>
        </w:rPr>
        <w:t>2389572</w:t>
      </w:r>
      <w:r>
        <w:rPr>
          <w:sz w:val="24"/>
          <w:szCs w:val="24"/>
        </w:rPr>
        <w:t xml:space="preserve"> docket number to alleviate the need to re-file any documents.</w:t>
      </w:r>
    </w:p>
    <w:p w:rsidR="00FF4D11" w:rsidRDefault="00FF4D11" w:rsidP="00FF4D11">
      <w:pPr>
        <w:pStyle w:val="BodyTextIndent"/>
        <w:rPr>
          <w:sz w:val="24"/>
          <w:szCs w:val="24"/>
        </w:rPr>
      </w:pPr>
    </w:p>
    <w:p w:rsidR="00FF4D11" w:rsidRDefault="00FF4D11" w:rsidP="00FF4D11">
      <w:pPr>
        <w:pStyle w:val="BodyTextIndent"/>
        <w:rPr>
          <w:sz w:val="24"/>
          <w:szCs w:val="24"/>
        </w:rPr>
      </w:pPr>
      <w:r>
        <w:rPr>
          <w:sz w:val="24"/>
          <w:szCs w:val="24"/>
        </w:rPr>
        <w:t xml:space="preserve">Finally, the parties were informed at the Initial Prehearing Conference that it is our intention that a workable, final TOU program be recommended for the Commission’s consideration at the end of this proceeding.  As the parties are aware, this is the third time this issue is being litigated with the first two proposals having been rejected in the entirety.  The parties </w:t>
      </w:r>
      <w:r w:rsidR="00E71194">
        <w:rPr>
          <w:sz w:val="24"/>
          <w:szCs w:val="24"/>
        </w:rPr>
        <w:t>we</w:t>
      </w:r>
      <w:r>
        <w:rPr>
          <w:sz w:val="24"/>
          <w:szCs w:val="24"/>
        </w:rPr>
        <w:t>re, therefore, strongly encouraged to submit proposals and supporting evidence in this proceeding in sufficient detail so that the litigation will result in a recommended plan, in lieu of rejecting a third proposal, if the plan as filed is not recommended for approval following a full exploration of its provisions.</w:t>
      </w:r>
    </w:p>
    <w:p w:rsidR="00FF4D11" w:rsidRDefault="00FF4D11" w:rsidP="00FF4D11">
      <w:pPr>
        <w:pStyle w:val="BodyTextIndent"/>
        <w:rPr>
          <w:sz w:val="24"/>
          <w:szCs w:val="24"/>
        </w:rPr>
      </w:pPr>
    </w:p>
    <w:p w:rsidR="009F7E9C" w:rsidRDefault="00FF4D11" w:rsidP="00FF4D11">
      <w:pPr>
        <w:pStyle w:val="BodyTextIndent"/>
        <w:rPr>
          <w:sz w:val="24"/>
          <w:szCs w:val="24"/>
        </w:rPr>
        <w:sectPr w:rsidR="009F7E9C" w:rsidSect="009F7E9C">
          <w:footerReference w:type="first" r:id="rId10"/>
          <w:pgSz w:w="12240" w:h="15840"/>
          <w:pgMar w:top="1296" w:right="1440" w:bottom="1296" w:left="1440" w:header="720" w:footer="720" w:gutter="0"/>
          <w:cols w:space="720"/>
          <w:titlePg/>
          <w:docGrid w:linePitch="360"/>
        </w:sectPr>
      </w:pPr>
      <w:r>
        <w:rPr>
          <w:sz w:val="24"/>
          <w:szCs w:val="24"/>
        </w:rPr>
        <w:t xml:space="preserve">The evidentiary hearing was held on February 26, 2014, and the parties stated that there was a settlement in principal resolving all issues with one </w:t>
      </w:r>
      <w:r w:rsidR="003A7501">
        <w:rPr>
          <w:sz w:val="24"/>
          <w:szCs w:val="24"/>
        </w:rPr>
        <w:t>party opposing the Plan in its present form as it does not require EGSs to offer</w:t>
      </w:r>
      <w:r>
        <w:rPr>
          <w:sz w:val="24"/>
          <w:szCs w:val="24"/>
        </w:rPr>
        <w:t xml:space="preserve"> net metering </w:t>
      </w:r>
      <w:r w:rsidR="003A7501">
        <w:rPr>
          <w:sz w:val="24"/>
          <w:szCs w:val="24"/>
        </w:rPr>
        <w:t>to TOU customers</w:t>
      </w:r>
      <w:r>
        <w:rPr>
          <w:sz w:val="24"/>
          <w:szCs w:val="24"/>
        </w:rPr>
        <w:t xml:space="preserve">.  The hearing resulted in a transcript of 62 pages.  </w:t>
      </w:r>
    </w:p>
    <w:p w:rsidR="00665E8E" w:rsidRDefault="00665E8E" w:rsidP="00FF4D11">
      <w:pPr>
        <w:pStyle w:val="BodyTextIndent"/>
        <w:rPr>
          <w:sz w:val="24"/>
          <w:szCs w:val="24"/>
        </w:rPr>
      </w:pPr>
      <w:r>
        <w:rPr>
          <w:sz w:val="24"/>
          <w:szCs w:val="24"/>
        </w:rPr>
        <w:t>Main briefs were filed on March 21, 2014, by PPL, OSBA, and DCIDA</w:t>
      </w:r>
      <w:r w:rsidR="00397BBD">
        <w:rPr>
          <w:sz w:val="24"/>
          <w:szCs w:val="24"/>
        </w:rPr>
        <w:t>, who actively opposes the TOU program as presented here</w:t>
      </w:r>
      <w:r>
        <w:rPr>
          <w:sz w:val="24"/>
          <w:szCs w:val="24"/>
        </w:rPr>
        <w:t>.  PPLICA, CAUSE-PA, IGS, OCA, FirstEnergy Solutions and Direct Energy informed the presiding officers by letter or email that they would not be filing main briefs.  On April 11, 2014, the Joint Petition for Partial Settlement was filed.  PPL, OCA, OSBA, CAUSE-PA, and Direct Energy filed Statements in Support of the Settlement.  IGS filed a letter indicating no opposition.</w:t>
      </w:r>
    </w:p>
    <w:p w:rsidR="00665E8E" w:rsidRDefault="00665E8E" w:rsidP="00FF4D11">
      <w:pPr>
        <w:pStyle w:val="BodyTextIndent"/>
        <w:rPr>
          <w:sz w:val="24"/>
          <w:szCs w:val="24"/>
        </w:rPr>
      </w:pPr>
    </w:p>
    <w:p w:rsidR="00665E8E" w:rsidRDefault="00665E8E" w:rsidP="00FF4D11">
      <w:pPr>
        <w:pStyle w:val="BodyTextIndent"/>
        <w:rPr>
          <w:sz w:val="24"/>
          <w:szCs w:val="24"/>
        </w:rPr>
      </w:pPr>
      <w:r>
        <w:rPr>
          <w:sz w:val="24"/>
          <w:szCs w:val="24"/>
        </w:rPr>
        <w:t>Also on April 11, 2014, PPL, OSBA and DCIDA filed Reply Briefs, and the record closed upon their receipt. The matter is ripe for disposition.</w:t>
      </w:r>
    </w:p>
    <w:p w:rsidR="00C47E3E" w:rsidRDefault="00C47E3E" w:rsidP="00FF4D11">
      <w:pPr>
        <w:pStyle w:val="BodyTextIndent"/>
        <w:rPr>
          <w:sz w:val="24"/>
          <w:szCs w:val="24"/>
        </w:rPr>
      </w:pPr>
    </w:p>
    <w:p w:rsidR="00665E8E" w:rsidRDefault="00C47E3E" w:rsidP="00FF4D11">
      <w:pPr>
        <w:pStyle w:val="BodyTextIndent"/>
        <w:rPr>
          <w:sz w:val="24"/>
          <w:szCs w:val="24"/>
        </w:rPr>
      </w:pPr>
      <w:r>
        <w:rPr>
          <w:sz w:val="24"/>
          <w:szCs w:val="24"/>
        </w:rPr>
        <w:t xml:space="preserve">Note that the Company has recently filed its next DSP case, </w:t>
      </w:r>
      <w:r>
        <w:rPr>
          <w:i/>
          <w:sz w:val="24"/>
          <w:szCs w:val="24"/>
        </w:rPr>
        <w:t>Petition of PPL Electric Utilities Corporation for Approval of a Default Service Program and Procurement Plan for the Period June 1, 2015 through May 31, 2017</w:t>
      </w:r>
      <w:r>
        <w:rPr>
          <w:sz w:val="24"/>
          <w:szCs w:val="24"/>
        </w:rPr>
        <w:t>, Docket No. P-2014-2417907 (filed April 18, 2014)(</w:t>
      </w:r>
      <w:r>
        <w:rPr>
          <w:i/>
          <w:sz w:val="24"/>
          <w:szCs w:val="24"/>
        </w:rPr>
        <w:t>DSP III)</w:t>
      </w:r>
      <w:r>
        <w:rPr>
          <w:sz w:val="24"/>
          <w:szCs w:val="24"/>
        </w:rPr>
        <w:t xml:space="preserve">, set for publication in the </w:t>
      </w:r>
      <w:r>
        <w:rPr>
          <w:i/>
          <w:sz w:val="24"/>
          <w:szCs w:val="24"/>
        </w:rPr>
        <w:t xml:space="preserve">Pennsylvania Bulletin </w:t>
      </w:r>
      <w:r>
        <w:rPr>
          <w:sz w:val="24"/>
          <w:szCs w:val="24"/>
        </w:rPr>
        <w:t>on May 10, 2014, with a protest/intervention deadline of May 30, 2014.  This new proposal includes a TOU proposal that will follow the expiration date of the one before the Commission in this Recommended Decision.</w:t>
      </w:r>
      <w:r>
        <w:rPr>
          <w:sz w:val="24"/>
          <w:szCs w:val="24"/>
        </w:rPr>
        <w:tab/>
      </w:r>
      <w:r>
        <w:rPr>
          <w:sz w:val="24"/>
          <w:szCs w:val="24"/>
        </w:rPr>
        <w:tab/>
      </w:r>
    </w:p>
    <w:p w:rsidR="00FF4D11" w:rsidRDefault="00397BBD" w:rsidP="00665E8E">
      <w:pPr>
        <w:pStyle w:val="BodyTextIndent"/>
        <w:ind w:firstLine="0"/>
        <w:jc w:val="center"/>
        <w:rPr>
          <w:sz w:val="24"/>
          <w:szCs w:val="24"/>
          <w:u w:val="single"/>
        </w:rPr>
      </w:pPr>
      <w:r>
        <w:rPr>
          <w:sz w:val="24"/>
          <w:szCs w:val="24"/>
          <w:u w:val="single"/>
        </w:rPr>
        <w:t xml:space="preserve">ALJS' </w:t>
      </w:r>
      <w:r w:rsidR="00665E8E">
        <w:rPr>
          <w:sz w:val="24"/>
          <w:szCs w:val="24"/>
          <w:u w:val="single"/>
        </w:rPr>
        <w:t>FINDINGS OF FACT</w:t>
      </w:r>
    </w:p>
    <w:p w:rsidR="00665E8E" w:rsidRDefault="00665E8E" w:rsidP="00665E8E">
      <w:pPr>
        <w:pStyle w:val="BodyTextIndent"/>
        <w:ind w:firstLine="0"/>
        <w:jc w:val="center"/>
        <w:rPr>
          <w:sz w:val="24"/>
          <w:szCs w:val="24"/>
          <w:u w:val="single"/>
        </w:rPr>
      </w:pPr>
    </w:p>
    <w:p w:rsidR="00665E8E" w:rsidRDefault="00665E8E" w:rsidP="00665E8E">
      <w:pPr>
        <w:pStyle w:val="Pleading2L3"/>
        <w:numPr>
          <w:ilvl w:val="0"/>
          <w:numId w:val="0"/>
        </w:numPr>
        <w:tabs>
          <w:tab w:val="num" w:pos="0"/>
        </w:tabs>
        <w:spacing w:line="360" w:lineRule="auto"/>
        <w:contextualSpacing/>
        <w:rPr>
          <w:szCs w:val="24"/>
        </w:rPr>
      </w:pPr>
      <w:r>
        <w:rPr>
          <w:szCs w:val="24"/>
        </w:rPr>
        <w:tab/>
      </w:r>
      <w:r>
        <w:rPr>
          <w:szCs w:val="24"/>
        </w:rPr>
        <w:tab/>
        <w:t>1.</w:t>
      </w:r>
      <w:r>
        <w:rPr>
          <w:szCs w:val="24"/>
        </w:rPr>
        <w:tab/>
      </w:r>
      <w:r w:rsidRPr="007C4E34">
        <w:rPr>
          <w:szCs w:val="24"/>
        </w:rPr>
        <w:t xml:space="preserve">PPL Electric Utilities Corporation is an electric distribution company providing service to approximately 1.4 million customers in its certificated service territory over about 10,000 square miles in 29 counties of the Commonwealth.  </w:t>
      </w:r>
    </w:p>
    <w:p w:rsidR="00665E8E" w:rsidRPr="007C4E34" w:rsidRDefault="00665E8E" w:rsidP="00665E8E">
      <w:pPr>
        <w:pStyle w:val="Pleading2L3"/>
        <w:numPr>
          <w:ilvl w:val="0"/>
          <w:numId w:val="0"/>
        </w:numPr>
        <w:tabs>
          <w:tab w:val="num" w:pos="0"/>
        </w:tabs>
        <w:spacing w:line="360" w:lineRule="auto"/>
        <w:contextualSpacing/>
        <w:rPr>
          <w:szCs w:val="24"/>
        </w:rPr>
      </w:pPr>
    </w:p>
    <w:p w:rsidR="00665E8E" w:rsidRPr="007C4E34" w:rsidRDefault="00665E8E" w:rsidP="00665E8E">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2.</w:t>
      </w:r>
      <w:r w:rsidRPr="007C4E34">
        <w:rPr>
          <w:szCs w:val="24"/>
        </w:rPr>
        <w:tab/>
        <w:t xml:space="preserve">OCA is a statutorily created public advocate empowered to represent the interests of consumers before the Public Utility Commission pursuant to Act 161 of the General Assembly, as amended, 71 P.S. §§ 309-1 </w:t>
      </w:r>
      <w:r w:rsidRPr="007C4E34">
        <w:rPr>
          <w:i/>
          <w:szCs w:val="24"/>
        </w:rPr>
        <w:t>et seq.</w:t>
      </w:r>
      <w:r w:rsidRPr="007C4E34">
        <w:rPr>
          <w:szCs w:val="24"/>
        </w:rPr>
        <w:t xml:space="preserve">  OCA Complaint and Notice of Intervention.</w:t>
      </w:r>
    </w:p>
    <w:p w:rsidR="00665E8E" w:rsidRPr="007C4E34" w:rsidRDefault="00665E8E" w:rsidP="00665E8E">
      <w:pPr>
        <w:pStyle w:val="Pleading2L3"/>
        <w:numPr>
          <w:ilvl w:val="0"/>
          <w:numId w:val="0"/>
        </w:numPr>
        <w:tabs>
          <w:tab w:val="num" w:pos="0"/>
        </w:tabs>
        <w:spacing w:line="360" w:lineRule="auto"/>
        <w:contextualSpacing/>
        <w:rPr>
          <w:szCs w:val="24"/>
        </w:rPr>
      </w:pPr>
    </w:p>
    <w:p w:rsidR="00665E8E" w:rsidRPr="007C4E34" w:rsidRDefault="00665E8E" w:rsidP="00665E8E">
      <w:pPr>
        <w:pStyle w:val="Pleading2L3"/>
        <w:numPr>
          <w:ilvl w:val="0"/>
          <w:numId w:val="0"/>
        </w:numPr>
        <w:tabs>
          <w:tab w:val="num" w:pos="0"/>
        </w:tabs>
        <w:spacing w:line="360" w:lineRule="auto"/>
        <w:contextualSpacing/>
        <w:rPr>
          <w:szCs w:val="24"/>
        </w:rPr>
      </w:pPr>
      <w:r w:rsidRPr="007C4E34">
        <w:rPr>
          <w:szCs w:val="24"/>
        </w:rPr>
        <w:tab/>
      </w:r>
      <w:r w:rsidRPr="007C4E34">
        <w:rPr>
          <w:szCs w:val="24"/>
        </w:rPr>
        <w:tab/>
        <w:t>3.</w:t>
      </w:r>
      <w:r w:rsidRPr="007C4E34">
        <w:rPr>
          <w:szCs w:val="24"/>
        </w:rPr>
        <w:tab/>
        <w:t>OSBA is authorized to represent the interests of small business customers of utility services before the Commission pursuant to the provisions of the Small Business Advocate Act, Act 181 of 1988, 73 P.S. §§ 399.41-399.50.  OSBA Prehearing Memo at 1.</w:t>
      </w:r>
    </w:p>
    <w:p w:rsidR="00665E8E" w:rsidRDefault="00665E8E" w:rsidP="00665E8E">
      <w:pPr>
        <w:contextualSpacing/>
        <w:jc w:val="left"/>
      </w:pPr>
    </w:p>
    <w:p w:rsidR="007B646E" w:rsidRDefault="007B646E" w:rsidP="00665E8E">
      <w:pPr>
        <w:contextualSpacing/>
        <w:jc w:val="left"/>
      </w:pPr>
      <w:r>
        <w:tab/>
      </w:r>
      <w:r>
        <w:tab/>
        <w:t>4</w:t>
      </w:r>
      <w:r w:rsidR="00665E8E">
        <w:t>.</w:t>
      </w:r>
      <w:r>
        <w:tab/>
        <w:t xml:space="preserve">CAUSE-PA </w:t>
      </w:r>
      <w:r w:rsidR="00E0501A">
        <w:t>is an unincorporated association of low-income individuals that advocates on behalf of its members to enable consumers of limited economic means to connect to and maintain affordable water, electric, hearing, and telecommunications services.  CAUSE-PA Answer at 1.</w:t>
      </w:r>
    </w:p>
    <w:p w:rsidR="007B646E" w:rsidRDefault="007B646E" w:rsidP="00665E8E">
      <w:pPr>
        <w:contextualSpacing/>
        <w:jc w:val="left"/>
      </w:pPr>
    </w:p>
    <w:p w:rsidR="00665E8E" w:rsidRDefault="007B646E" w:rsidP="00665E8E">
      <w:pPr>
        <w:contextualSpacing/>
        <w:jc w:val="left"/>
      </w:pPr>
      <w:r>
        <w:tab/>
      </w:r>
      <w:r>
        <w:tab/>
        <w:t>5.</w:t>
      </w:r>
      <w:r>
        <w:tab/>
        <w:t>Direct Energy Services, LLC,</w:t>
      </w:r>
      <w:r w:rsidR="00665E8E">
        <w:tab/>
        <w:t xml:space="preserve"> </w:t>
      </w:r>
      <w:r w:rsidR="00E0501A">
        <w:t xml:space="preserve">is a licensed electric generation supplier (EGS) serving customers in the PPL service territory.  </w:t>
      </w:r>
      <w:r w:rsidR="00665E8E">
        <w:t xml:space="preserve"> </w:t>
      </w:r>
    </w:p>
    <w:p w:rsidR="007B646E" w:rsidRDefault="007B646E" w:rsidP="00665E8E">
      <w:pPr>
        <w:contextualSpacing/>
        <w:jc w:val="left"/>
      </w:pPr>
    </w:p>
    <w:p w:rsidR="007B646E" w:rsidRDefault="007B646E" w:rsidP="00665E8E">
      <w:pPr>
        <w:contextualSpacing/>
        <w:jc w:val="left"/>
      </w:pPr>
      <w:r>
        <w:tab/>
      </w:r>
      <w:r>
        <w:tab/>
        <w:t>6.</w:t>
      </w:r>
      <w:r>
        <w:tab/>
        <w:t>Interstate Gas Supply, Inc. d/b/a IGS Energy</w:t>
      </w:r>
      <w:r w:rsidR="00CC36E9">
        <w:t xml:space="preserve"> is a licensed electric generation supplier serving customers in the PPL service territory.  IGS Prehearing Memo at 1.</w:t>
      </w:r>
    </w:p>
    <w:p w:rsidR="007B646E" w:rsidRDefault="007B646E" w:rsidP="00665E8E">
      <w:pPr>
        <w:contextualSpacing/>
        <w:jc w:val="left"/>
      </w:pPr>
    </w:p>
    <w:p w:rsidR="007B646E" w:rsidRDefault="007B646E" w:rsidP="00665E8E">
      <w:pPr>
        <w:contextualSpacing/>
        <w:jc w:val="left"/>
      </w:pPr>
      <w:r>
        <w:tab/>
      </w:r>
      <w:r>
        <w:tab/>
        <w:t>7.</w:t>
      </w:r>
      <w:r>
        <w:tab/>
        <w:t xml:space="preserve">PPLICA </w:t>
      </w:r>
      <w:r w:rsidR="00E0501A">
        <w:t>is the PP&amp;L Industrial Customer Alliance.</w:t>
      </w:r>
    </w:p>
    <w:p w:rsidR="007B646E" w:rsidRDefault="007B646E" w:rsidP="00665E8E">
      <w:pPr>
        <w:contextualSpacing/>
        <w:jc w:val="left"/>
      </w:pPr>
    </w:p>
    <w:p w:rsidR="007B646E" w:rsidRDefault="007B646E" w:rsidP="00665E8E">
      <w:pPr>
        <w:contextualSpacing/>
        <w:jc w:val="left"/>
      </w:pPr>
      <w:r>
        <w:tab/>
      </w:r>
      <w:r>
        <w:tab/>
        <w:t>8.</w:t>
      </w:r>
      <w:r>
        <w:tab/>
        <w:t>FirstEnergy Solutions Corporation</w:t>
      </w:r>
      <w:r w:rsidR="00CC36E9">
        <w:t>, a subsidiary of FirstEnergy Corporation, is a licensed electric generation supplier authorized to serve all categories of retail customers throughout the Commonwealth.  FES Prehearing Memo at 1.</w:t>
      </w:r>
      <w:r>
        <w:t xml:space="preserve"> </w:t>
      </w:r>
    </w:p>
    <w:p w:rsidR="007B646E" w:rsidRDefault="007B646E" w:rsidP="00665E8E">
      <w:pPr>
        <w:contextualSpacing/>
        <w:jc w:val="left"/>
      </w:pPr>
    </w:p>
    <w:p w:rsidR="007B646E" w:rsidRDefault="007B646E" w:rsidP="007B646E">
      <w:pPr>
        <w:contextualSpacing/>
        <w:jc w:val="left"/>
      </w:pPr>
      <w:r>
        <w:tab/>
      </w:r>
      <w:r>
        <w:tab/>
        <w:t>9.</w:t>
      </w:r>
      <w:r>
        <w:tab/>
        <w:t xml:space="preserve">SEF is a Pennsylvania corporation established at the conclusion of PPL Electric’s restructuring proceeding and pursuant to the terms of the joint settlement filed in that proceeding.  Its mission is to promote and invest in energy efficiency, renewable energy and energy conservation in order to provide opportunities and benefits for PPL Electric’s ratepayers.  </w:t>
      </w:r>
    </w:p>
    <w:p w:rsidR="007B646E" w:rsidRDefault="007B646E" w:rsidP="007B646E">
      <w:pPr>
        <w:contextualSpacing/>
        <w:jc w:val="left"/>
      </w:pPr>
    </w:p>
    <w:p w:rsidR="00665E8E" w:rsidRDefault="00E0501A" w:rsidP="00665E8E">
      <w:pPr>
        <w:contextualSpacing/>
        <w:jc w:val="left"/>
      </w:pPr>
      <w:r>
        <w:tab/>
      </w:r>
      <w:r>
        <w:tab/>
        <w:t>10</w:t>
      </w:r>
      <w:r w:rsidR="00665E8E">
        <w:t>.</w:t>
      </w:r>
      <w:r w:rsidR="00665E8E">
        <w:tab/>
        <w:t>On September 26, 2011, PPL Electric filed Supplement No. 10 to the Company's Tariff Electric – Pa. P.U.C. No. 201 ("Supplement No. 110").  PPL Electric Ex. 1.</w:t>
      </w:r>
    </w:p>
    <w:p w:rsidR="00665E8E" w:rsidRDefault="00665E8E" w:rsidP="00665E8E">
      <w:pPr>
        <w:contextualSpacing/>
        <w:jc w:val="left"/>
      </w:pPr>
    </w:p>
    <w:p w:rsidR="00665E8E" w:rsidRPr="0001430C" w:rsidRDefault="00665E8E" w:rsidP="00665E8E">
      <w:pPr>
        <w:contextualSpacing/>
        <w:jc w:val="left"/>
      </w:pPr>
      <w:r>
        <w:tab/>
      </w:r>
      <w:r>
        <w:tab/>
        <w:t>11.</w:t>
      </w:r>
      <w:r>
        <w:tab/>
        <w:t xml:space="preserve">The Company filed its first TOU program on July 31, 2009.  PPL Electric Stmt. 1 at 4.  </w:t>
      </w:r>
      <w:r w:rsidR="00BD3EA2">
        <w:rPr>
          <w:i/>
        </w:rPr>
        <w:t>Pa. Pub</w:t>
      </w:r>
      <w:r>
        <w:rPr>
          <w:i/>
        </w:rPr>
        <w:t>. Util. Comm'n v. PPL Electric Utilities Corporation,</w:t>
      </w:r>
      <w:r>
        <w:t xml:space="preserve"> Docket No. R-2009-2122718 (Order entered March 9, 2010).</w:t>
      </w:r>
    </w:p>
    <w:p w:rsidR="00665E8E" w:rsidRDefault="00665E8E" w:rsidP="00665E8E">
      <w:pPr>
        <w:contextualSpacing/>
        <w:jc w:val="left"/>
      </w:pPr>
    </w:p>
    <w:p w:rsidR="00665E8E" w:rsidRDefault="00665E8E" w:rsidP="00665E8E">
      <w:pPr>
        <w:contextualSpacing/>
        <w:jc w:val="left"/>
      </w:pPr>
      <w:r>
        <w:tab/>
      </w:r>
      <w:r>
        <w:tab/>
        <w:t>12.</w:t>
      </w:r>
      <w:r>
        <w:tab/>
        <w:t xml:space="preserve">The Commission approved the first TOU program as modified by the Order entered March 9, 2010.  </w:t>
      </w:r>
      <w:r>
        <w:rPr>
          <w:i/>
        </w:rPr>
        <w:t>Pa. Pub. Util. Comm'n v. PPL Electric Utilities Corporation,</w:t>
      </w:r>
      <w:r>
        <w:t xml:space="preserve"> Docket No. R-2009-2122718 (Order entered March 9, 2010).</w:t>
      </w:r>
    </w:p>
    <w:p w:rsidR="00665E8E" w:rsidRDefault="00665E8E" w:rsidP="00665E8E">
      <w:pPr>
        <w:contextualSpacing/>
        <w:jc w:val="left"/>
      </w:pPr>
    </w:p>
    <w:p w:rsidR="00665E8E" w:rsidRDefault="00665E8E" w:rsidP="00665E8E">
      <w:pPr>
        <w:contextualSpacing/>
        <w:jc w:val="left"/>
      </w:pPr>
      <w:r>
        <w:tab/>
      </w:r>
      <w:r>
        <w:tab/>
        <w:t>13.</w:t>
      </w:r>
      <w:r>
        <w:tab/>
        <w:t xml:space="preserve">The March 9, 2010, Order prohibited PPL Electric from reconciling any over/under-recoveries resulting from increased or decreased revenues due to shifted demand from the TOU program through the proposed cost recovery mechanism.  </w:t>
      </w:r>
      <w:r>
        <w:rPr>
          <w:i/>
        </w:rPr>
        <w:t>Pa. Pub. Util. Comm'n v. PPL Electric Utilities Corporation,</w:t>
      </w:r>
      <w:r>
        <w:t xml:space="preserve"> Docket No. R-2009-2122718 (Order entered March 9, 2010).</w:t>
      </w:r>
    </w:p>
    <w:p w:rsidR="00665E8E" w:rsidRDefault="00665E8E" w:rsidP="00665E8E">
      <w:pPr>
        <w:contextualSpacing/>
        <w:jc w:val="left"/>
      </w:pPr>
    </w:p>
    <w:p w:rsidR="00665E8E" w:rsidRDefault="00665E8E" w:rsidP="00665E8E">
      <w:pPr>
        <w:contextualSpacing/>
        <w:jc w:val="left"/>
      </w:pPr>
      <w:r>
        <w:tab/>
      </w:r>
      <w:r>
        <w:tab/>
        <w:t>14.</w:t>
      </w:r>
      <w:r>
        <w:tab/>
        <w:t xml:space="preserve">On September 23, 2010, the Company filed Supplement No. 94 to its Tariff-Electric Pa. P.U.C. No. 201, which contained a revised TOU program for default service beginning in 2011.  </w:t>
      </w:r>
    </w:p>
    <w:p w:rsidR="00665E8E" w:rsidRDefault="00665E8E" w:rsidP="00665E8E">
      <w:pPr>
        <w:contextualSpacing/>
        <w:jc w:val="left"/>
      </w:pPr>
    </w:p>
    <w:p w:rsidR="00434E8A" w:rsidRDefault="00665E8E" w:rsidP="00665E8E">
      <w:pPr>
        <w:contextualSpacing/>
        <w:jc w:val="left"/>
      </w:pPr>
      <w:r>
        <w:tab/>
      </w:r>
      <w:r>
        <w:tab/>
        <w:t>15.</w:t>
      </w:r>
      <w:r>
        <w:tab/>
        <w:t>On December 2, 2010, the Commission entered an Order at Docket No.</w:t>
      </w:r>
    </w:p>
    <w:p w:rsidR="00665E8E" w:rsidRDefault="00665E8E" w:rsidP="00665E8E">
      <w:pPr>
        <w:contextualSpacing/>
        <w:jc w:val="left"/>
      </w:pPr>
      <w:r>
        <w:t>R-2010-2201138 approving Supplement No. 94 for service rendered on and after January 1, 2011.</w:t>
      </w:r>
    </w:p>
    <w:p w:rsidR="00665E8E" w:rsidRDefault="00665E8E" w:rsidP="00665E8E">
      <w:pPr>
        <w:contextualSpacing/>
        <w:jc w:val="left"/>
      </w:pPr>
    </w:p>
    <w:p w:rsidR="00665E8E" w:rsidRDefault="00665E8E" w:rsidP="00665E8E">
      <w:pPr>
        <w:contextualSpacing/>
        <w:jc w:val="left"/>
      </w:pPr>
      <w:r>
        <w:tab/>
      </w:r>
      <w:r>
        <w:tab/>
        <w:t>16.</w:t>
      </w:r>
      <w:r>
        <w:tab/>
        <w:t>On August 22, 2011, PPL Electric submitted its quarterly Generation Supply Charge-1 (GSC-1) filing that reflected proposed updates to its default service rates, including TOU rates, which would become effective on September 1, 2011, for the application period September 1, 2011 through November 30, 2011.</w:t>
      </w:r>
    </w:p>
    <w:p w:rsidR="00665E8E" w:rsidRDefault="00665E8E" w:rsidP="00665E8E">
      <w:pPr>
        <w:contextualSpacing/>
        <w:jc w:val="left"/>
      </w:pPr>
    </w:p>
    <w:p w:rsidR="00665E8E" w:rsidRDefault="00665E8E" w:rsidP="00665E8E">
      <w:pPr>
        <w:contextualSpacing/>
        <w:jc w:val="left"/>
      </w:pPr>
      <w:r>
        <w:tab/>
      </w:r>
      <w:r>
        <w:tab/>
        <w:t>17.</w:t>
      </w:r>
      <w:r>
        <w:tab/>
        <w:t xml:space="preserve">The proposed TOU default service rates submitted on August 22, 2011 were significantly higher than the Company's proposed fixed price default service rates.  </w:t>
      </w:r>
    </w:p>
    <w:p w:rsidR="00434E8A" w:rsidRDefault="00434E8A" w:rsidP="00665E8E">
      <w:pPr>
        <w:contextualSpacing/>
        <w:jc w:val="left"/>
      </w:pPr>
    </w:p>
    <w:p w:rsidR="00665E8E" w:rsidRDefault="00665E8E" w:rsidP="00665E8E">
      <w:pPr>
        <w:pStyle w:val="BodyTextIndent"/>
        <w:ind w:firstLine="0"/>
        <w:rPr>
          <w:sz w:val="24"/>
          <w:szCs w:val="24"/>
        </w:rPr>
      </w:pPr>
      <w:r>
        <w:tab/>
      </w:r>
      <w:r>
        <w:tab/>
      </w:r>
      <w:r w:rsidRPr="00E0501A">
        <w:rPr>
          <w:sz w:val="24"/>
          <w:szCs w:val="24"/>
        </w:rPr>
        <w:t>18.</w:t>
      </w:r>
      <w:r w:rsidRPr="00E0501A">
        <w:rPr>
          <w:sz w:val="24"/>
          <w:szCs w:val="24"/>
        </w:rPr>
        <w:tab/>
        <w:t>By Order entered on August 25, 2011, the Commission suspended the proposed TOU default service rates contained in the August 22, 2011 filing; ordered that the Company's currently effective TOU rates remain in effect for up to a six-month period</w:t>
      </w:r>
      <w:r w:rsidR="00434E8A">
        <w:rPr>
          <w:sz w:val="24"/>
          <w:szCs w:val="24"/>
        </w:rPr>
        <w:t xml:space="preserve">; </w:t>
      </w:r>
      <w:r w:rsidRPr="00E0501A">
        <w:rPr>
          <w:sz w:val="24"/>
          <w:szCs w:val="24"/>
        </w:rPr>
        <w:t xml:space="preserve"> and</w:t>
      </w:r>
      <w:r w:rsidR="00434E8A">
        <w:rPr>
          <w:sz w:val="24"/>
          <w:szCs w:val="24"/>
        </w:rPr>
        <w:t>,</w:t>
      </w:r>
      <w:r w:rsidRPr="00E0501A">
        <w:rPr>
          <w:sz w:val="24"/>
          <w:szCs w:val="24"/>
        </w:rPr>
        <w:t xml:space="preserve"> ordered PPL Electric to submit a revised TOU plan within 30 days.  </w:t>
      </w:r>
    </w:p>
    <w:p w:rsidR="008913C7" w:rsidRDefault="008913C7" w:rsidP="00665E8E">
      <w:pPr>
        <w:pStyle w:val="BodyTextIndent"/>
        <w:ind w:firstLine="0"/>
        <w:rPr>
          <w:sz w:val="24"/>
          <w:szCs w:val="24"/>
        </w:rPr>
      </w:pPr>
    </w:p>
    <w:p w:rsidR="008913C7" w:rsidRDefault="008913C7" w:rsidP="00665E8E">
      <w:pPr>
        <w:pStyle w:val="BodyTextIndent"/>
        <w:ind w:firstLine="0"/>
        <w:rPr>
          <w:sz w:val="24"/>
          <w:szCs w:val="24"/>
        </w:rPr>
      </w:pPr>
      <w:r>
        <w:rPr>
          <w:sz w:val="24"/>
          <w:szCs w:val="24"/>
        </w:rPr>
        <w:tab/>
      </w:r>
      <w:r>
        <w:rPr>
          <w:sz w:val="24"/>
          <w:szCs w:val="24"/>
        </w:rPr>
        <w:tab/>
      </w:r>
      <w:r w:rsidR="00397BBD">
        <w:rPr>
          <w:sz w:val="24"/>
          <w:szCs w:val="24"/>
        </w:rPr>
        <w:t>19.</w:t>
      </w:r>
      <w:r w:rsidR="00397BBD">
        <w:rPr>
          <w:sz w:val="24"/>
          <w:szCs w:val="24"/>
        </w:rPr>
        <w:tab/>
      </w:r>
      <w:r>
        <w:rPr>
          <w:sz w:val="24"/>
          <w:szCs w:val="24"/>
        </w:rPr>
        <w:t xml:space="preserve">On May 1, 2012, the Company filed a TOU proposal as part of its Default Service Program and Procurement Plan for the period June 1, 2013, through May 31, 2015, approved by the Commission, with modifications.  </w:t>
      </w:r>
      <w:r>
        <w:rPr>
          <w:i/>
          <w:sz w:val="24"/>
          <w:szCs w:val="24"/>
        </w:rPr>
        <w:t xml:space="preserve">Petition of PPL Elec. Utils. Corp. for Approval of a Default Service Program and Procurement Plan for the Period June 1, 2013 through May 31, 2015, </w:t>
      </w:r>
      <w:r>
        <w:rPr>
          <w:sz w:val="24"/>
          <w:szCs w:val="24"/>
        </w:rPr>
        <w:t>Docket No. P-2012-230207</w:t>
      </w:r>
      <w:r w:rsidR="005729EE">
        <w:rPr>
          <w:sz w:val="24"/>
          <w:szCs w:val="24"/>
        </w:rPr>
        <w:t>4</w:t>
      </w:r>
      <w:r>
        <w:rPr>
          <w:sz w:val="24"/>
          <w:szCs w:val="24"/>
        </w:rPr>
        <w:t xml:space="preserve"> (Order Entered January 24, 2013)(</w:t>
      </w:r>
      <w:r>
        <w:rPr>
          <w:i/>
          <w:sz w:val="24"/>
          <w:szCs w:val="24"/>
        </w:rPr>
        <w:t>DSP II January Order)</w:t>
      </w:r>
      <w:r>
        <w:rPr>
          <w:sz w:val="24"/>
          <w:szCs w:val="24"/>
        </w:rPr>
        <w:t xml:space="preserve">.  </w:t>
      </w:r>
    </w:p>
    <w:p w:rsidR="008913C7" w:rsidRDefault="008913C7" w:rsidP="00665E8E">
      <w:pPr>
        <w:pStyle w:val="BodyTextIndent"/>
        <w:ind w:firstLine="0"/>
        <w:rPr>
          <w:sz w:val="24"/>
          <w:szCs w:val="24"/>
        </w:rPr>
      </w:pPr>
    </w:p>
    <w:p w:rsidR="008913C7" w:rsidRDefault="008913C7" w:rsidP="00665E8E">
      <w:pPr>
        <w:pStyle w:val="BodyTextIndent"/>
        <w:ind w:firstLine="0"/>
        <w:rPr>
          <w:sz w:val="24"/>
          <w:szCs w:val="24"/>
        </w:rPr>
      </w:pPr>
      <w:r>
        <w:rPr>
          <w:sz w:val="24"/>
          <w:szCs w:val="24"/>
        </w:rPr>
        <w:tab/>
      </w:r>
      <w:r>
        <w:rPr>
          <w:sz w:val="24"/>
          <w:szCs w:val="24"/>
        </w:rPr>
        <w:tab/>
      </w:r>
      <w:r w:rsidR="00397BBD">
        <w:rPr>
          <w:sz w:val="24"/>
          <w:szCs w:val="24"/>
        </w:rPr>
        <w:t>20.</w:t>
      </w:r>
      <w:r w:rsidR="00397BBD">
        <w:rPr>
          <w:sz w:val="24"/>
          <w:szCs w:val="24"/>
        </w:rPr>
        <w:tab/>
      </w:r>
      <w:r>
        <w:rPr>
          <w:sz w:val="24"/>
          <w:szCs w:val="24"/>
        </w:rPr>
        <w:t xml:space="preserve">The </w:t>
      </w:r>
      <w:r>
        <w:rPr>
          <w:i/>
          <w:sz w:val="24"/>
          <w:szCs w:val="24"/>
        </w:rPr>
        <w:t xml:space="preserve">DSP II </w:t>
      </w:r>
      <w:r w:rsidR="003E5448">
        <w:rPr>
          <w:i/>
          <w:sz w:val="24"/>
          <w:szCs w:val="24"/>
        </w:rPr>
        <w:t xml:space="preserve">January </w:t>
      </w:r>
      <w:r>
        <w:rPr>
          <w:i/>
          <w:sz w:val="24"/>
          <w:szCs w:val="24"/>
        </w:rPr>
        <w:t>Order</w:t>
      </w:r>
      <w:r>
        <w:rPr>
          <w:sz w:val="24"/>
          <w:szCs w:val="24"/>
        </w:rPr>
        <w:t xml:space="preserve"> did not approve the TOU proposal but directed that the Company hold a collaborative to formulate an acceptable program.</w:t>
      </w:r>
    </w:p>
    <w:p w:rsidR="008913C7" w:rsidRDefault="008913C7" w:rsidP="00665E8E">
      <w:pPr>
        <w:pStyle w:val="BodyTextIndent"/>
        <w:ind w:firstLine="0"/>
        <w:rPr>
          <w:sz w:val="24"/>
          <w:szCs w:val="24"/>
        </w:rPr>
      </w:pPr>
    </w:p>
    <w:p w:rsidR="008913C7" w:rsidRDefault="008913C7" w:rsidP="00665E8E">
      <w:pPr>
        <w:pStyle w:val="BodyTextIndent"/>
        <w:ind w:firstLine="0"/>
        <w:rPr>
          <w:sz w:val="24"/>
          <w:szCs w:val="24"/>
        </w:rPr>
      </w:pPr>
      <w:r>
        <w:rPr>
          <w:sz w:val="24"/>
          <w:szCs w:val="24"/>
        </w:rPr>
        <w:tab/>
      </w:r>
      <w:r>
        <w:rPr>
          <w:sz w:val="24"/>
          <w:szCs w:val="24"/>
        </w:rPr>
        <w:tab/>
      </w:r>
      <w:r w:rsidR="00397BBD">
        <w:rPr>
          <w:sz w:val="24"/>
          <w:szCs w:val="24"/>
        </w:rPr>
        <w:t>21.</w:t>
      </w:r>
      <w:r w:rsidR="00397BBD">
        <w:rPr>
          <w:sz w:val="24"/>
          <w:szCs w:val="24"/>
        </w:rPr>
        <w:tab/>
      </w:r>
      <w:r>
        <w:rPr>
          <w:sz w:val="24"/>
          <w:szCs w:val="24"/>
        </w:rPr>
        <w:t>On March 25, 2013, PPL requested authority to continue its currently effective TOU rate option until the Commission's approval of a successor program.</w:t>
      </w:r>
    </w:p>
    <w:p w:rsidR="008913C7" w:rsidRDefault="008913C7" w:rsidP="00665E8E">
      <w:pPr>
        <w:pStyle w:val="BodyTextIndent"/>
        <w:ind w:firstLine="0"/>
        <w:rPr>
          <w:sz w:val="24"/>
          <w:szCs w:val="24"/>
        </w:rPr>
      </w:pPr>
    </w:p>
    <w:p w:rsidR="008913C7" w:rsidRDefault="008913C7" w:rsidP="00665E8E">
      <w:pPr>
        <w:pStyle w:val="BodyTextIndent"/>
        <w:ind w:firstLine="0"/>
        <w:rPr>
          <w:i/>
          <w:sz w:val="24"/>
          <w:szCs w:val="24"/>
        </w:rPr>
      </w:pPr>
      <w:r>
        <w:rPr>
          <w:sz w:val="24"/>
          <w:szCs w:val="24"/>
        </w:rPr>
        <w:tab/>
      </w:r>
      <w:r>
        <w:rPr>
          <w:sz w:val="24"/>
          <w:szCs w:val="24"/>
        </w:rPr>
        <w:tab/>
      </w:r>
      <w:r w:rsidR="00397BBD">
        <w:rPr>
          <w:sz w:val="24"/>
          <w:szCs w:val="24"/>
        </w:rPr>
        <w:t>22.</w:t>
      </w:r>
      <w:r w:rsidR="00397BBD">
        <w:rPr>
          <w:sz w:val="24"/>
          <w:szCs w:val="24"/>
        </w:rPr>
        <w:tab/>
      </w:r>
      <w:r>
        <w:rPr>
          <w:sz w:val="24"/>
          <w:szCs w:val="24"/>
        </w:rPr>
        <w:t>On May 23, 2013, the Commission granted the authority requested to continue the existing TOU rate option (</w:t>
      </w:r>
      <w:r>
        <w:rPr>
          <w:i/>
          <w:sz w:val="24"/>
          <w:szCs w:val="24"/>
        </w:rPr>
        <w:t xml:space="preserve">DSP II May 23 Order).  </w:t>
      </w:r>
    </w:p>
    <w:p w:rsidR="008913C7" w:rsidRDefault="008913C7" w:rsidP="00665E8E">
      <w:pPr>
        <w:pStyle w:val="BodyTextIndent"/>
        <w:ind w:firstLine="0"/>
        <w:rPr>
          <w:i/>
          <w:sz w:val="24"/>
          <w:szCs w:val="24"/>
        </w:rPr>
      </w:pPr>
    </w:p>
    <w:p w:rsidR="008913C7" w:rsidRDefault="008913C7" w:rsidP="00665E8E">
      <w:pPr>
        <w:pStyle w:val="BodyTextIndent"/>
        <w:ind w:firstLine="0"/>
        <w:rPr>
          <w:sz w:val="24"/>
          <w:szCs w:val="24"/>
        </w:rPr>
      </w:pPr>
      <w:r>
        <w:rPr>
          <w:i/>
          <w:sz w:val="24"/>
          <w:szCs w:val="24"/>
        </w:rPr>
        <w:tab/>
      </w:r>
      <w:r>
        <w:rPr>
          <w:i/>
          <w:sz w:val="24"/>
          <w:szCs w:val="24"/>
        </w:rPr>
        <w:tab/>
      </w:r>
      <w:r w:rsidR="00397BBD" w:rsidRPr="00397BBD">
        <w:rPr>
          <w:sz w:val="24"/>
          <w:szCs w:val="24"/>
        </w:rPr>
        <w:t>23.</w:t>
      </w:r>
      <w:r w:rsidR="00397BBD">
        <w:rPr>
          <w:i/>
          <w:sz w:val="24"/>
          <w:szCs w:val="24"/>
        </w:rPr>
        <w:tab/>
      </w:r>
      <w:r>
        <w:rPr>
          <w:sz w:val="24"/>
          <w:szCs w:val="24"/>
        </w:rPr>
        <w:t>On August 23, 2013, the Company filed its Petition for approval of a new pilot TOU program that would provide that the Company offer the TOU rate option to customers in its tariff but would rely on the retail market and EGSs to provide TOU service to customers.</w:t>
      </w:r>
    </w:p>
    <w:p w:rsidR="008913C7" w:rsidRDefault="008913C7" w:rsidP="00665E8E">
      <w:pPr>
        <w:pStyle w:val="BodyTextIndent"/>
        <w:ind w:firstLine="0"/>
        <w:rPr>
          <w:sz w:val="24"/>
          <w:szCs w:val="24"/>
        </w:rPr>
      </w:pPr>
    </w:p>
    <w:p w:rsidR="00271F35" w:rsidRDefault="008913C7" w:rsidP="00665E8E">
      <w:pPr>
        <w:pStyle w:val="BodyTextIndent"/>
        <w:ind w:firstLine="0"/>
        <w:rPr>
          <w:sz w:val="24"/>
          <w:szCs w:val="24"/>
        </w:rPr>
      </w:pPr>
      <w:r>
        <w:rPr>
          <w:sz w:val="24"/>
          <w:szCs w:val="24"/>
        </w:rPr>
        <w:tab/>
      </w:r>
      <w:r>
        <w:rPr>
          <w:sz w:val="24"/>
          <w:szCs w:val="24"/>
        </w:rPr>
        <w:tab/>
      </w:r>
      <w:r w:rsidR="00397BBD">
        <w:rPr>
          <w:sz w:val="24"/>
          <w:szCs w:val="24"/>
        </w:rPr>
        <w:t>24.</w:t>
      </w:r>
      <w:r w:rsidR="00397BBD">
        <w:rPr>
          <w:sz w:val="24"/>
          <w:szCs w:val="24"/>
        </w:rPr>
        <w:tab/>
        <w:t>O</w:t>
      </w:r>
      <w:r w:rsidR="00271F35">
        <w:rPr>
          <w:sz w:val="24"/>
          <w:szCs w:val="24"/>
        </w:rPr>
        <w:t xml:space="preserve">n April 11, 2014, a Joint Petition for Partial Settlement </w:t>
      </w:r>
      <w:r w:rsidR="00397BBD">
        <w:rPr>
          <w:sz w:val="24"/>
          <w:szCs w:val="24"/>
        </w:rPr>
        <w:t xml:space="preserve">(JPPS) </w:t>
      </w:r>
      <w:r w:rsidR="00271F35">
        <w:rPr>
          <w:sz w:val="24"/>
          <w:szCs w:val="24"/>
        </w:rPr>
        <w:t>was filed to fully settle all issues with the exception of one issue raised by DCIDA</w:t>
      </w:r>
      <w:r w:rsidR="00397BBD">
        <w:rPr>
          <w:sz w:val="24"/>
          <w:szCs w:val="24"/>
        </w:rPr>
        <w:t>, which opposes the present TOU plan both as-filed and as presented by the JPPS.</w:t>
      </w:r>
      <w:r w:rsidR="00271F35">
        <w:rPr>
          <w:sz w:val="24"/>
          <w:szCs w:val="24"/>
        </w:rPr>
        <w:t xml:space="preserve">  </w:t>
      </w:r>
    </w:p>
    <w:p w:rsidR="00397BBD" w:rsidRDefault="00397BBD" w:rsidP="00665E8E">
      <w:pPr>
        <w:pStyle w:val="BodyTextIndent"/>
        <w:ind w:firstLine="0"/>
        <w:rPr>
          <w:sz w:val="24"/>
          <w:szCs w:val="24"/>
        </w:rPr>
      </w:pPr>
    </w:p>
    <w:p w:rsidR="00397BBD" w:rsidRDefault="00397BBD" w:rsidP="00665E8E">
      <w:pPr>
        <w:pStyle w:val="BodyTextIndent"/>
        <w:ind w:firstLine="0"/>
        <w:rPr>
          <w:sz w:val="24"/>
          <w:szCs w:val="24"/>
        </w:rPr>
      </w:pPr>
      <w:r>
        <w:rPr>
          <w:sz w:val="24"/>
          <w:szCs w:val="24"/>
        </w:rPr>
        <w:tab/>
      </w:r>
      <w:r>
        <w:rPr>
          <w:sz w:val="24"/>
          <w:szCs w:val="24"/>
        </w:rPr>
        <w:tab/>
        <w:t>25.</w:t>
      </w:r>
      <w:r>
        <w:rPr>
          <w:sz w:val="24"/>
          <w:szCs w:val="24"/>
        </w:rPr>
        <w:tab/>
      </w:r>
      <w:r w:rsidR="006D71E5">
        <w:rPr>
          <w:sz w:val="24"/>
          <w:szCs w:val="24"/>
        </w:rPr>
        <w:t xml:space="preserve">Current TOU prices are higher than the </w:t>
      </w:r>
      <w:r w:rsidR="00E71194">
        <w:rPr>
          <w:sz w:val="24"/>
          <w:szCs w:val="24"/>
        </w:rPr>
        <w:t>Price-To-Compare (</w:t>
      </w:r>
      <w:r w:rsidR="006D71E5">
        <w:rPr>
          <w:sz w:val="24"/>
          <w:szCs w:val="24"/>
        </w:rPr>
        <w:t>PTC</w:t>
      </w:r>
      <w:r w:rsidR="00E71194">
        <w:rPr>
          <w:sz w:val="24"/>
          <w:szCs w:val="24"/>
        </w:rPr>
        <w:t>)</w:t>
      </w:r>
      <w:r w:rsidR="006D71E5">
        <w:rPr>
          <w:sz w:val="24"/>
          <w:szCs w:val="24"/>
        </w:rPr>
        <w:t>, both on- and off-peak.</w:t>
      </w:r>
    </w:p>
    <w:p w:rsidR="006D71E5" w:rsidRDefault="006D71E5" w:rsidP="00665E8E">
      <w:pPr>
        <w:pStyle w:val="BodyTextIndent"/>
        <w:ind w:firstLine="0"/>
        <w:rPr>
          <w:sz w:val="24"/>
          <w:szCs w:val="24"/>
        </w:rPr>
      </w:pPr>
    </w:p>
    <w:p w:rsidR="006D71E5" w:rsidRDefault="006D71E5" w:rsidP="00665E8E">
      <w:pPr>
        <w:pStyle w:val="BodyTextIndent"/>
        <w:ind w:firstLine="0"/>
        <w:rPr>
          <w:sz w:val="24"/>
          <w:szCs w:val="24"/>
        </w:rPr>
      </w:pPr>
      <w:r>
        <w:rPr>
          <w:sz w:val="24"/>
          <w:szCs w:val="24"/>
        </w:rPr>
        <w:tab/>
      </w:r>
      <w:r>
        <w:rPr>
          <w:sz w:val="24"/>
          <w:szCs w:val="24"/>
        </w:rPr>
        <w:tab/>
        <w:t>26.</w:t>
      </w:r>
      <w:r>
        <w:rPr>
          <w:sz w:val="24"/>
          <w:szCs w:val="24"/>
        </w:rPr>
        <w:tab/>
        <w:t>DCIDA operates a solar farm that receives net metering service from PPL Electric, and DCIDA is currently a TOU customer.  DCIDA St. 1 at 3.</w:t>
      </w:r>
    </w:p>
    <w:p w:rsidR="006D71E5" w:rsidRDefault="006D71E5" w:rsidP="00665E8E">
      <w:pPr>
        <w:pStyle w:val="BodyTextIndent"/>
        <w:ind w:firstLine="0"/>
        <w:rPr>
          <w:sz w:val="24"/>
          <w:szCs w:val="24"/>
        </w:rPr>
      </w:pPr>
    </w:p>
    <w:p w:rsidR="002771EF" w:rsidRDefault="002771EF" w:rsidP="00665E8E">
      <w:pPr>
        <w:pStyle w:val="BodyTextIndent"/>
        <w:ind w:firstLine="0"/>
        <w:rPr>
          <w:sz w:val="24"/>
          <w:szCs w:val="24"/>
        </w:rPr>
      </w:pPr>
    </w:p>
    <w:p w:rsidR="006D71E5" w:rsidRDefault="002771EF" w:rsidP="00665E8E">
      <w:pPr>
        <w:pStyle w:val="BodyTextIndent"/>
        <w:ind w:firstLine="0"/>
        <w:rPr>
          <w:sz w:val="24"/>
          <w:szCs w:val="24"/>
        </w:rPr>
      </w:pPr>
      <w:r>
        <w:rPr>
          <w:sz w:val="24"/>
          <w:szCs w:val="24"/>
        </w:rPr>
        <w:tab/>
      </w:r>
      <w:r>
        <w:rPr>
          <w:sz w:val="24"/>
          <w:szCs w:val="24"/>
        </w:rPr>
        <w:tab/>
      </w:r>
      <w:r w:rsidR="006D71E5">
        <w:rPr>
          <w:sz w:val="24"/>
          <w:szCs w:val="24"/>
        </w:rPr>
        <w:t>27.</w:t>
      </w:r>
      <w:r w:rsidR="006D71E5">
        <w:rPr>
          <w:sz w:val="24"/>
          <w:szCs w:val="24"/>
        </w:rPr>
        <w:tab/>
        <w:t>The fact that the current TOU rates are higher than the PTC creates a situation where DCIDA receives between $50,000 and $80,000 annually, which is paid through the rates of the other customers.  PPL St. 2-R at 18; OSBA St. 1 at 9.</w:t>
      </w:r>
    </w:p>
    <w:p w:rsidR="006D71E5" w:rsidRDefault="006D71E5" w:rsidP="00665E8E">
      <w:pPr>
        <w:pStyle w:val="BodyTextIndent"/>
        <w:ind w:firstLine="0"/>
        <w:rPr>
          <w:sz w:val="24"/>
          <w:szCs w:val="24"/>
        </w:rPr>
      </w:pPr>
    </w:p>
    <w:p w:rsidR="006D71E5" w:rsidRDefault="006D71E5" w:rsidP="00665E8E">
      <w:pPr>
        <w:pStyle w:val="BodyTextIndent"/>
        <w:ind w:firstLine="0"/>
        <w:rPr>
          <w:sz w:val="24"/>
          <w:szCs w:val="24"/>
        </w:rPr>
      </w:pPr>
      <w:r>
        <w:rPr>
          <w:sz w:val="24"/>
          <w:szCs w:val="24"/>
        </w:rPr>
        <w:tab/>
      </w:r>
      <w:r>
        <w:rPr>
          <w:sz w:val="24"/>
          <w:szCs w:val="24"/>
        </w:rPr>
        <w:tab/>
        <w:t>28.</w:t>
      </w:r>
      <w:r>
        <w:rPr>
          <w:sz w:val="24"/>
          <w:szCs w:val="24"/>
        </w:rPr>
        <w:tab/>
        <w:t>DCIDA has never consumed more electricity than it has produced.  PPL St. 2-R at 19.</w:t>
      </w:r>
    </w:p>
    <w:p w:rsidR="006D71E5" w:rsidRDefault="006D71E5" w:rsidP="00665E8E">
      <w:pPr>
        <w:pStyle w:val="BodyTextIndent"/>
        <w:ind w:firstLine="0"/>
        <w:rPr>
          <w:sz w:val="24"/>
          <w:szCs w:val="24"/>
        </w:rPr>
      </w:pPr>
    </w:p>
    <w:p w:rsidR="006D71E5" w:rsidRDefault="006D71E5" w:rsidP="00665E8E">
      <w:pPr>
        <w:pStyle w:val="BodyTextIndent"/>
        <w:ind w:firstLine="0"/>
        <w:rPr>
          <w:sz w:val="24"/>
          <w:szCs w:val="24"/>
        </w:rPr>
      </w:pPr>
      <w:r>
        <w:rPr>
          <w:sz w:val="24"/>
          <w:szCs w:val="24"/>
        </w:rPr>
        <w:tab/>
      </w:r>
      <w:r>
        <w:rPr>
          <w:sz w:val="24"/>
          <w:szCs w:val="24"/>
        </w:rPr>
        <w:tab/>
        <w:t>29.</w:t>
      </w:r>
      <w:r>
        <w:rPr>
          <w:sz w:val="24"/>
          <w:szCs w:val="24"/>
        </w:rPr>
        <w:tab/>
        <w:t>DCIDA initiated service as a PPL net metering customer in October 2011.  PPL St. 2-R at 18.</w:t>
      </w:r>
    </w:p>
    <w:p w:rsidR="006D71E5" w:rsidRDefault="006D71E5" w:rsidP="00665E8E">
      <w:pPr>
        <w:pStyle w:val="BodyTextIndent"/>
        <w:ind w:firstLine="0"/>
        <w:rPr>
          <w:sz w:val="24"/>
          <w:szCs w:val="24"/>
        </w:rPr>
      </w:pPr>
    </w:p>
    <w:p w:rsidR="006D71E5" w:rsidRDefault="006D71E5" w:rsidP="00665E8E">
      <w:pPr>
        <w:pStyle w:val="BodyTextIndent"/>
        <w:ind w:firstLine="0"/>
        <w:rPr>
          <w:sz w:val="24"/>
          <w:szCs w:val="24"/>
        </w:rPr>
      </w:pPr>
      <w:r>
        <w:rPr>
          <w:sz w:val="24"/>
          <w:szCs w:val="24"/>
        </w:rPr>
        <w:tab/>
      </w:r>
      <w:r>
        <w:rPr>
          <w:sz w:val="24"/>
          <w:szCs w:val="24"/>
        </w:rPr>
        <w:tab/>
        <w:t>30.</w:t>
      </w:r>
      <w:r>
        <w:rPr>
          <w:sz w:val="24"/>
          <w:szCs w:val="24"/>
        </w:rPr>
        <w:tab/>
        <w:t xml:space="preserve">DCIDA became a TOU customer in June 2013, after the Commission directed PPL to file a new TOU plan.  </w:t>
      </w:r>
      <w:r w:rsidRPr="006D71E5">
        <w:rPr>
          <w:i/>
          <w:sz w:val="24"/>
          <w:szCs w:val="24"/>
        </w:rPr>
        <w:t>DSP II January 24 Order</w:t>
      </w:r>
      <w:r>
        <w:rPr>
          <w:sz w:val="24"/>
          <w:szCs w:val="24"/>
        </w:rPr>
        <w:t>.</w:t>
      </w:r>
    </w:p>
    <w:p w:rsidR="006D71E5" w:rsidRDefault="006D71E5" w:rsidP="00665E8E">
      <w:pPr>
        <w:pStyle w:val="BodyTextIndent"/>
        <w:ind w:firstLine="0"/>
        <w:rPr>
          <w:sz w:val="24"/>
          <w:szCs w:val="24"/>
        </w:rPr>
      </w:pPr>
    </w:p>
    <w:p w:rsidR="00271F35" w:rsidRDefault="006E176F" w:rsidP="00665E8E">
      <w:pPr>
        <w:pStyle w:val="BodyTextIndent"/>
        <w:ind w:firstLine="0"/>
        <w:rPr>
          <w:b/>
          <w:sz w:val="24"/>
          <w:szCs w:val="24"/>
        </w:rPr>
      </w:pPr>
      <w:r>
        <w:rPr>
          <w:b/>
          <w:sz w:val="24"/>
          <w:szCs w:val="24"/>
        </w:rPr>
        <w:tab/>
        <w:t>A.</w:t>
      </w:r>
      <w:r>
        <w:rPr>
          <w:b/>
          <w:sz w:val="24"/>
          <w:szCs w:val="24"/>
        </w:rPr>
        <w:tab/>
      </w:r>
      <w:r w:rsidR="00271F35">
        <w:rPr>
          <w:b/>
          <w:sz w:val="24"/>
          <w:szCs w:val="24"/>
        </w:rPr>
        <w:t>SETTLEMENT TERMS</w:t>
      </w:r>
      <w:r w:rsidR="00397BBD">
        <w:rPr>
          <w:b/>
          <w:sz w:val="24"/>
          <w:szCs w:val="24"/>
        </w:rPr>
        <w:t xml:space="preserve"> </w:t>
      </w:r>
    </w:p>
    <w:p w:rsidR="00397BBD" w:rsidRDefault="00397BBD" w:rsidP="00665E8E">
      <w:pPr>
        <w:pStyle w:val="BodyTextIndent"/>
        <w:ind w:firstLine="0"/>
        <w:rPr>
          <w:b/>
          <w:sz w:val="24"/>
          <w:szCs w:val="24"/>
        </w:rPr>
      </w:pPr>
    </w:p>
    <w:p w:rsidR="00397BBD" w:rsidRPr="00397BBD" w:rsidRDefault="00397BBD" w:rsidP="00665E8E">
      <w:pPr>
        <w:pStyle w:val="BodyTextIndent"/>
        <w:ind w:firstLine="0"/>
        <w:rPr>
          <w:sz w:val="24"/>
          <w:szCs w:val="24"/>
        </w:rPr>
      </w:pPr>
      <w:r>
        <w:rPr>
          <w:b/>
          <w:sz w:val="24"/>
          <w:szCs w:val="24"/>
        </w:rPr>
        <w:tab/>
      </w:r>
      <w:r>
        <w:rPr>
          <w:b/>
          <w:sz w:val="24"/>
          <w:szCs w:val="24"/>
        </w:rPr>
        <w:tab/>
      </w:r>
      <w:r>
        <w:rPr>
          <w:sz w:val="24"/>
          <w:szCs w:val="24"/>
        </w:rPr>
        <w:t>The JPPS paragraphs 1-18 are introductory and list the history of the case, and as such are omitted here.  The numbering below replicates numbering as it appears in the JPPS for ease of reference.</w:t>
      </w:r>
    </w:p>
    <w:p w:rsidR="00271F35" w:rsidRDefault="00271F35" w:rsidP="00665E8E">
      <w:pPr>
        <w:pStyle w:val="BodyTextIndent"/>
        <w:ind w:firstLine="0"/>
        <w:rPr>
          <w:b/>
          <w:sz w:val="24"/>
          <w:szCs w:val="24"/>
        </w:rPr>
      </w:pPr>
    </w:p>
    <w:p w:rsidR="00271F35" w:rsidRDefault="00271F35" w:rsidP="00665E8E">
      <w:pPr>
        <w:pStyle w:val="BodyTextIndent"/>
        <w:ind w:firstLine="0"/>
        <w:rPr>
          <w:sz w:val="24"/>
          <w:szCs w:val="24"/>
        </w:rPr>
      </w:pPr>
      <w:r>
        <w:rPr>
          <w:b/>
          <w:sz w:val="24"/>
          <w:szCs w:val="24"/>
        </w:rPr>
        <w:tab/>
      </w:r>
      <w:r>
        <w:rPr>
          <w:b/>
          <w:sz w:val="24"/>
          <w:szCs w:val="24"/>
        </w:rPr>
        <w:tab/>
      </w:r>
      <w:r>
        <w:rPr>
          <w:sz w:val="24"/>
          <w:szCs w:val="24"/>
        </w:rPr>
        <w:t>19.</w:t>
      </w:r>
      <w:r>
        <w:rPr>
          <w:sz w:val="24"/>
          <w:szCs w:val="24"/>
        </w:rPr>
        <w:tab/>
        <w:t>PPL Electric will provide a TOU rate option to customers in its tariff; however, it will utilize the retail market and EGSs to satisfy its statutory obligation to offer TOU service to its default service customers.</w:t>
      </w:r>
      <w:r>
        <w:rPr>
          <w:rStyle w:val="FootnoteReference"/>
          <w:sz w:val="24"/>
          <w:szCs w:val="24"/>
        </w:rPr>
        <w:footnoteReference w:id="2"/>
      </w:r>
    </w:p>
    <w:p w:rsidR="00271F35" w:rsidRDefault="00271F35" w:rsidP="00665E8E">
      <w:pPr>
        <w:pStyle w:val="BodyTextIndent"/>
        <w:ind w:firstLine="0"/>
        <w:rPr>
          <w:sz w:val="24"/>
          <w:szCs w:val="24"/>
        </w:rPr>
      </w:pPr>
    </w:p>
    <w:p w:rsidR="00271F35" w:rsidRDefault="00271F35" w:rsidP="00665E8E">
      <w:pPr>
        <w:pStyle w:val="BodyTextIndent"/>
        <w:ind w:firstLine="0"/>
        <w:rPr>
          <w:sz w:val="24"/>
          <w:szCs w:val="24"/>
        </w:rPr>
      </w:pPr>
      <w:r>
        <w:rPr>
          <w:sz w:val="24"/>
          <w:szCs w:val="24"/>
        </w:rPr>
        <w:tab/>
      </w:r>
      <w:r>
        <w:rPr>
          <w:sz w:val="24"/>
          <w:szCs w:val="24"/>
        </w:rPr>
        <w:tab/>
        <w:t>20.</w:t>
      </w:r>
      <w:r>
        <w:rPr>
          <w:sz w:val="24"/>
          <w:szCs w:val="24"/>
        </w:rPr>
        <w:tab/>
        <w:t>Retail EGSs that choose to participate in the Pilot TOU Program will offer TOU rate options and provide the TOU service to customers in PPL Electric's service territory.</w:t>
      </w:r>
    </w:p>
    <w:p w:rsidR="000E3A9B" w:rsidRDefault="000E3A9B" w:rsidP="00665E8E">
      <w:pPr>
        <w:pStyle w:val="BodyTextIndent"/>
        <w:ind w:firstLine="0"/>
        <w:rPr>
          <w:sz w:val="24"/>
          <w:szCs w:val="24"/>
        </w:rPr>
      </w:pPr>
    </w:p>
    <w:p w:rsidR="00271F35" w:rsidRDefault="00271F35" w:rsidP="00665E8E">
      <w:pPr>
        <w:pStyle w:val="BodyTextIndent"/>
        <w:ind w:firstLine="0"/>
        <w:rPr>
          <w:b/>
          <w:sz w:val="24"/>
          <w:szCs w:val="24"/>
        </w:rPr>
      </w:pPr>
      <w:r>
        <w:rPr>
          <w:sz w:val="24"/>
          <w:szCs w:val="24"/>
        </w:rPr>
        <w:tab/>
      </w:r>
      <w:r w:rsidR="002771EF">
        <w:rPr>
          <w:b/>
          <w:sz w:val="24"/>
          <w:szCs w:val="24"/>
        </w:rPr>
        <w:t>B.</w:t>
      </w:r>
      <w:r w:rsidR="002771EF">
        <w:rPr>
          <w:b/>
          <w:sz w:val="24"/>
          <w:szCs w:val="24"/>
        </w:rPr>
        <w:tab/>
      </w:r>
      <w:r>
        <w:rPr>
          <w:b/>
          <w:sz w:val="24"/>
          <w:szCs w:val="24"/>
        </w:rPr>
        <w:t>EGS RESPONSIBILITIES AND REQUIREMENTS</w:t>
      </w:r>
    </w:p>
    <w:p w:rsidR="00271F35" w:rsidRDefault="00271F35" w:rsidP="00665E8E">
      <w:pPr>
        <w:pStyle w:val="BodyTextIndent"/>
        <w:ind w:firstLine="0"/>
        <w:rPr>
          <w:b/>
          <w:sz w:val="24"/>
          <w:szCs w:val="24"/>
        </w:rPr>
      </w:pPr>
    </w:p>
    <w:p w:rsidR="00271F35" w:rsidRDefault="00271F35" w:rsidP="00665E8E">
      <w:pPr>
        <w:pStyle w:val="BodyTextIndent"/>
        <w:ind w:firstLine="0"/>
        <w:rPr>
          <w:sz w:val="24"/>
          <w:szCs w:val="24"/>
        </w:rPr>
      </w:pPr>
      <w:r>
        <w:rPr>
          <w:b/>
          <w:sz w:val="24"/>
          <w:szCs w:val="24"/>
        </w:rPr>
        <w:tab/>
      </w:r>
      <w:r>
        <w:rPr>
          <w:sz w:val="24"/>
          <w:szCs w:val="24"/>
        </w:rPr>
        <w:tab/>
        <w:t>21.</w:t>
      </w:r>
      <w:r>
        <w:rPr>
          <w:sz w:val="24"/>
          <w:szCs w:val="24"/>
        </w:rPr>
        <w:tab/>
        <w:t>EGSs interested in providing TOU service through the Pilot TOU Program must first qualify to participate.  An in</w:t>
      </w:r>
      <w:r w:rsidR="00E71194">
        <w:rPr>
          <w:sz w:val="24"/>
          <w:szCs w:val="24"/>
        </w:rPr>
        <w:t>terested EGS must be licensed a</w:t>
      </w:r>
      <w:r>
        <w:rPr>
          <w:sz w:val="24"/>
          <w:szCs w:val="24"/>
        </w:rPr>
        <w:t>s an EGS by the Commission with authority to provide service to Residential and/or Small Commercial and Industrial ("C&amp;I") customers in PPL Electric's service territory.  Participating EGSs must provide a TOU rate option to Residential and/or Small C&amp;I customers, from the initiation</w:t>
      </w:r>
      <w:r w:rsidR="00A334A9">
        <w:rPr>
          <w:sz w:val="24"/>
          <w:szCs w:val="24"/>
        </w:rPr>
        <w:t xml:space="preserve"> </w:t>
      </w:r>
      <w:r w:rsidR="00E71194">
        <w:rPr>
          <w:sz w:val="24"/>
          <w:szCs w:val="24"/>
        </w:rPr>
        <w:t>o</w:t>
      </w:r>
      <w:r w:rsidR="00A334A9">
        <w:rPr>
          <w:sz w:val="24"/>
          <w:szCs w:val="24"/>
        </w:rPr>
        <w:t>f the Pilot TOU Program until May 31, 2015, which coincides with the end of the default service plan approved by the Commission in Docket No. P-2012-2302074.</w:t>
      </w:r>
    </w:p>
    <w:p w:rsidR="00A334A9" w:rsidRDefault="00A334A9" w:rsidP="00665E8E">
      <w:pPr>
        <w:pStyle w:val="BodyTextIndent"/>
        <w:ind w:firstLine="0"/>
        <w:rPr>
          <w:sz w:val="24"/>
          <w:szCs w:val="24"/>
        </w:rPr>
      </w:pPr>
    </w:p>
    <w:p w:rsidR="00A334A9" w:rsidRDefault="00A334A9" w:rsidP="00665E8E">
      <w:pPr>
        <w:pStyle w:val="BodyTextIndent"/>
        <w:ind w:firstLine="0"/>
        <w:rPr>
          <w:sz w:val="24"/>
          <w:szCs w:val="24"/>
        </w:rPr>
      </w:pPr>
      <w:r>
        <w:rPr>
          <w:sz w:val="24"/>
          <w:szCs w:val="24"/>
        </w:rPr>
        <w:tab/>
      </w:r>
      <w:r>
        <w:rPr>
          <w:sz w:val="24"/>
          <w:szCs w:val="24"/>
        </w:rPr>
        <w:tab/>
        <w:t>22.</w:t>
      </w:r>
      <w:r>
        <w:rPr>
          <w:sz w:val="24"/>
          <w:szCs w:val="24"/>
        </w:rPr>
        <w:tab/>
        <w:t>EGSs also must execute a binding participation form ("Participation Form") to participate in the Pilot TOU Program.  This form can be submitted any time from the initiation of the program through February 28, 2015.  The Participation Form is attached as Appendix A.</w:t>
      </w:r>
      <w:r>
        <w:rPr>
          <w:rStyle w:val="FootnoteReference"/>
          <w:sz w:val="24"/>
          <w:szCs w:val="24"/>
        </w:rPr>
        <w:footnoteReference w:id="3"/>
      </w:r>
    </w:p>
    <w:p w:rsidR="00A334A9" w:rsidRDefault="00A334A9" w:rsidP="00665E8E">
      <w:pPr>
        <w:pStyle w:val="BodyTextIndent"/>
        <w:ind w:firstLine="0"/>
        <w:rPr>
          <w:sz w:val="24"/>
          <w:szCs w:val="24"/>
        </w:rPr>
      </w:pPr>
    </w:p>
    <w:p w:rsidR="00A334A9" w:rsidRDefault="00A334A9" w:rsidP="00665E8E">
      <w:pPr>
        <w:pStyle w:val="BodyTextIndent"/>
        <w:ind w:firstLine="0"/>
        <w:rPr>
          <w:sz w:val="24"/>
          <w:szCs w:val="24"/>
        </w:rPr>
      </w:pPr>
      <w:r>
        <w:rPr>
          <w:sz w:val="24"/>
          <w:szCs w:val="24"/>
        </w:rPr>
        <w:tab/>
      </w:r>
      <w:r>
        <w:rPr>
          <w:sz w:val="24"/>
          <w:szCs w:val="24"/>
        </w:rPr>
        <w:tab/>
        <w:t>23.</w:t>
      </w:r>
      <w:r>
        <w:rPr>
          <w:sz w:val="24"/>
          <w:szCs w:val="24"/>
        </w:rPr>
        <w:tab/>
        <w:t>The Participation Form describes the Pilot TOU Program and an EGS's responsibilities under the program.</w:t>
      </w:r>
    </w:p>
    <w:p w:rsidR="00A334A9" w:rsidRDefault="00A334A9" w:rsidP="00665E8E">
      <w:pPr>
        <w:pStyle w:val="BodyTextIndent"/>
        <w:ind w:firstLine="0"/>
        <w:rPr>
          <w:sz w:val="24"/>
          <w:szCs w:val="24"/>
        </w:rPr>
      </w:pPr>
    </w:p>
    <w:p w:rsidR="00A334A9" w:rsidRDefault="00A334A9" w:rsidP="00665E8E">
      <w:pPr>
        <w:pStyle w:val="BodyTextIndent"/>
        <w:ind w:firstLine="0"/>
        <w:rPr>
          <w:sz w:val="24"/>
          <w:szCs w:val="24"/>
        </w:rPr>
      </w:pPr>
      <w:r>
        <w:rPr>
          <w:sz w:val="24"/>
          <w:szCs w:val="24"/>
        </w:rPr>
        <w:tab/>
      </w:r>
      <w:r>
        <w:rPr>
          <w:sz w:val="24"/>
          <w:szCs w:val="24"/>
        </w:rPr>
        <w:tab/>
        <w:t>24.</w:t>
      </w:r>
      <w:r>
        <w:rPr>
          <w:sz w:val="24"/>
          <w:szCs w:val="24"/>
        </w:rPr>
        <w:tab/>
        <w:t>A participating EGS will define the term of the contract between the EGS and the TOU customer, provided that the term may not be less than three calendar months, which coincides with the changes to the Price-to-Compare ("PTC").</w:t>
      </w:r>
      <w:r>
        <w:rPr>
          <w:rStyle w:val="FootnoteReference"/>
          <w:sz w:val="24"/>
          <w:szCs w:val="24"/>
        </w:rPr>
        <w:footnoteReference w:id="4"/>
      </w:r>
      <w:r>
        <w:rPr>
          <w:sz w:val="24"/>
          <w:szCs w:val="24"/>
        </w:rPr>
        <w:t xml:space="preserve"> However, it is up to the EGS to determine if it wants to alter its TOU offerings each quarter.</w:t>
      </w:r>
    </w:p>
    <w:p w:rsidR="00A334A9" w:rsidRDefault="00A334A9" w:rsidP="00665E8E">
      <w:pPr>
        <w:pStyle w:val="BodyTextIndent"/>
        <w:ind w:firstLine="0"/>
        <w:rPr>
          <w:sz w:val="24"/>
          <w:szCs w:val="24"/>
        </w:rPr>
      </w:pPr>
    </w:p>
    <w:p w:rsidR="00A334A9" w:rsidRDefault="00A334A9" w:rsidP="00665E8E">
      <w:pPr>
        <w:pStyle w:val="BodyTextIndent"/>
        <w:ind w:firstLine="0"/>
        <w:rPr>
          <w:sz w:val="24"/>
          <w:szCs w:val="24"/>
        </w:rPr>
      </w:pPr>
      <w:r>
        <w:rPr>
          <w:sz w:val="24"/>
          <w:szCs w:val="24"/>
        </w:rPr>
        <w:tab/>
      </w:r>
      <w:r>
        <w:rPr>
          <w:sz w:val="24"/>
          <w:szCs w:val="24"/>
        </w:rPr>
        <w:tab/>
        <w:t>25.</w:t>
      </w:r>
      <w:r>
        <w:rPr>
          <w:sz w:val="24"/>
          <w:szCs w:val="24"/>
        </w:rPr>
        <w:tab/>
        <w:t xml:space="preserve">A participating EGS also will define the on- and off-peak rates that it will offer to customers.  However, an EGS's off-peak/discounted pricing hours cannot include 2 p.m. to 6 p.m., Monday through Friday, excluding PJM holidays during the summer, </w:t>
      </w:r>
      <w:r>
        <w:rPr>
          <w:i/>
          <w:sz w:val="24"/>
          <w:szCs w:val="24"/>
        </w:rPr>
        <w:t xml:space="preserve">i.e., </w:t>
      </w:r>
      <w:r>
        <w:rPr>
          <w:sz w:val="24"/>
          <w:szCs w:val="24"/>
        </w:rPr>
        <w:t>June, July, and August.  The TOU rate options offered by the participating EGSs will consist of a rate that varies with time of use, but not as frequently as each hour, and includes off-peak and on-peak periods, with rates during off-peak periods being lower than rates during on-peak periods.</w:t>
      </w:r>
    </w:p>
    <w:p w:rsidR="00A334A9" w:rsidRDefault="00A334A9" w:rsidP="00665E8E">
      <w:pPr>
        <w:pStyle w:val="BodyTextIndent"/>
        <w:ind w:firstLine="0"/>
        <w:rPr>
          <w:sz w:val="24"/>
          <w:szCs w:val="24"/>
        </w:rPr>
      </w:pPr>
      <w:r>
        <w:rPr>
          <w:sz w:val="24"/>
          <w:szCs w:val="24"/>
        </w:rPr>
        <w:tab/>
      </w:r>
      <w:r>
        <w:rPr>
          <w:sz w:val="24"/>
          <w:szCs w:val="24"/>
        </w:rPr>
        <w:tab/>
        <w:t>26.</w:t>
      </w:r>
      <w:r>
        <w:rPr>
          <w:sz w:val="24"/>
          <w:szCs w:val="24"/>
        </w:rPr>
        <w:tab/>
        <w:t>A participating EGS must create and maintain a webpage, which will be cross-referenced by PPL Electric on its TOU webpage that provides details about the available TOU rate options offered by EGSs for the current quarter and the rates currently available.  The rate options posted on the EGS's webpage must be the same as reported to the Company in the quarterly reports, and the EGS must explicitly state that the rate option is being offered as part of the PPL Electric Pilot TOU Program.</w:t>
      </w:r>
    </w:p>
    <w:p w:rsidR="00A334A9" w:rsidRDefault="00A334A9" w:rsidP="00665E8E">
      <w:pPr>
        <w:pStyle w:val="BodyTextIndent"/>
        <w:ind w:firstLine="0"/>
        <w:rPr>
          <w:sz w:val="24"/>
          <w:szCs w:val="24"/>
        </w:rPr>
      </w:pPr>
    </w:p>
    <w:p w:rsidR="00A334A9" w:rsidRDefault="00A334A9" w:rsidP="00665E8E">
      <w:pPr>
        <w:pStyle w:val="BodyTextIndent"/>
        <w:ind w:firstLine="0"/>
        <w:rPr>
          <w:sz w:val="24"/>
          <w:szCs w:val="24"/>
        </w:rPr>
      </w:pPr>
      <w:r>
        <w:rPr>
          <w:sz w:val="24"/>
          <w:szCs w:val="24"/>
        </w:rPr>
        <w:tab/>
      </w:r>
      <w:r>
        <w:rPr>
          <w:sz w:val="24"/>
          <w:szCs w:val="24"/>
        </w:rPr>
        <w:tab/>
        <w:t>27.</w:t>
      </w:r>
      <w:r>
        <w:rPr>
          <w:sz w:val="24"/>
          <w:szCs w:val="24"/>
        </w:rPr>
        <w:tab/>
        <w:t xml:space="preserve">Participating EGSs must provide PPL Electric with an initial report and quarterly reports thereafter describing the TOU rate options being offered and the pricing for on-and off-peak hours for the </w:t>
      </w:r>
      <w:r w:rsidR="008838C4">
        <w:rPr>
          <w:sz w:val="24"/>
          <w:szCs w:val="24"/>
        </w:rPr>
        <w:t>upcoming quarter.  The Participation Form will require participating EGSs to report the TOU rates and other rate option details to the Company, and this information can be provided to the Commission upon request.  The Participation Form also requires a participating EGS's quarterly reports to provide the number of customers that participate in the EGS's rate offerings under the program during the previous quarter.  Furthermore, the Participation Form requires a participating EGS to provide, in the quarterly reports, its aggregate monthly on- and off-peak load information for customers participating in the Pilot TOU Program, per rate schedule.</w:t>
      </w:r>
    </w:p>
    <w:p w:rsidR="008838C4" w:rsidRDefault="008838C4" w:rsidP="00665E8E">
      <w:pPr>
        <w:pStyle w:val="BodyTextIndent"/>
        <w:ind w:firstLine="0"/>
        <w:rPr>
          <w:sz w:val="24"/>
          <w:szCs w:val="24"/>
        </w:rPr>
      </w:pPr>
    </w:p>
    <w:p w:rsidR="008838C4" w:rsidRDefault="008838C4" w:rsidP="00665E8E">
      <w:pPr>
        <w:pStyle w:val="BodyTextIndent"/>
        <w:ind w:firstLine="0"/>
        <w:rPr>
          <w:sz w:val="24"/>
          <w:szCs w:val="24"/>
        </w:rPr>
      </w:pPr>
      <w:r>
        <w:rPr>
          <w:sz w:val="24"/>
          <w:szCs w:val="24"/>
        </w:rPr>
        <w:tab/>
      </w:r>
      <w:r>
        <w:rPr>
          <w:sz w:val="24"/>
          <w:szCs w:val="24"/>
        </w:rPr>
        <w:tab/>
        <w:t>28.</w:t>
      </w:r>
      <w:r>
        <w:rPr>
          <w:sz w:val="24"/>
          <w:szCs w:val="24"/>
        </w:rPr>
        <w:tab/>
        <w:t>EGSs must use the electronic data interchange ("EDI") process for data/information exchange and forward "bill ready" data to PPL Electric.</w:t>
      </w:r>
    </w:p>
    <w:p w:rsidR="008838C4" w:rsidRDefault="008838C4" w:rsidP="00665E8E">
      <w:pPr>
        <w:pStyle w:val="BodyTextIndent"/>
        <w:ind w:firstLine="0"/>
        <w:rPr>
          <w:sz w:val="24"/>
          <w:szCs w:val="24"/>
        </w:rPr>
      </w:pPr>
    </w:p>
    <w:p w:rsidR="008838C4" w:rsidRDefault="008838C4" w:rsidP="00665E8E">
      <w:pPr>
        <w:pStyle w:val="BodyTextIndent"/>
        <w:ind w:firstLine="0"/>
        <w:rPr>
          <w:sz w:val="24"/>
          <w:szCs w:val="24"/>
        </w:rPr>
      </w:pPr>
      <w:r>
        <w:rPr>
          <w:sz w:val="24"/>
          <w:szCs w:val="24"/>
        </w:rPr>
        <w:tab/>
      </w:r>
      <w:r>
        <w:rPr>
          <w:sz w:val="24"/>
          <w:szCs w:val="24"/>
        </w:rPr>
        <w:tab/>
        <w:t>29.</w:t>
      </w:r>
      <w:r>
        <w:rPr>
          <w:sz w:val="24"/>
          <w:szCs w:val="24"/>
        </w:rPr>
        <w:tab/>
        <w:t>A participating EGS also may not charge an early termination penalty or fee to any customer that leaves the TOU rate option offered by the EGS as part of the Pilot TOU Program.  Further, a participating EGS is required to notify all of its customers taking service under the Pilot TOU Program that it is no longer part of the program when it decides to opt out of the program.</w:t>
      </w:r>
    </w:p>
    <w:p w:rsidR="008838C4" w:rsidRDefault="008838C4" w:rsidP="00665E8E">
      <w:pPr>
        <w:pStyle w:val="BodyTextIndent"/>
        <w:ind w:firstLine="0"/>
        <w:rPr>
          <w:sz w:val="24"/>
          <w:szCs w:val="24"/>
        </w:rPr>
      </w:pPr>
    </w:p>
    <w:p w:rsidR="008838C4" w:rsidRDefault="008838C4" w:rsidP="00665E8E">
      <w:pPr>
        <w:pStyle w:val="BodyTextIndent"/>
        <w:ind w:firstLine="0"/>
        <w:rPr>
          <w:sz w:val="24"/>
          <w:szCs w:val="24"/>
        </w:rPr>
      </w:pPr>
      <w:r>
        <w:rPr>
          <w:sz w:val="24"/>
          <w:szCs w:val="24"/>
        </w:rPr>
        <w:tab/>
      </w:r>
      <w:r>
        <w:rPr>
          <w:sz w:val="24"/>
          <w:szCs w:val="24"/>
        </w:rPr>
        <w:tab/>
        <w:t>30.</w:t>
      </w:r>
      <w:r>
        <w:rPr>
          <w:sz w:val="24"/>
          <w:szCs w:val="24"/>
        </w:rPr>
        <w:tab/>
        <w:t>EGSs are responsible for publicizing and marketing their participation in the Pilot TOU Program and the TOU rate options provided thereunder.</w:t>
      </w:r>
    </w:p>
    <w:p w:rsidR="00264B20" w:rsidRDefault="00264B20">
      <w:pPr>
        <w:rPr>
          <w:rFonts w:eastAsia="Times New Roman"/>
        </w:rPr>
      </w:pPr>
      <w:r>
        <w:br w:type="page"/>
      </w:r>
    </w:p>
    <w:p w:rsidR="008838C4" w:rsidRDefault="008838C4" w:rsidP="00665E8E">
      <w:pPr>
        <w:pStyle w:val="BodyTextIndent"/>
        <w:ind w:firstLine="0"/>
        <w:rPr>
          <w:b/>
          <w:sz w:val="24"/>
          <w:szCs w:val="24"/>
        </w:rPr>
      </w:pPr>
      <w:r>
        <w:rPr>
          <w:sz w:val="24"/>
          <w:szCs w:val="24"/>
        </w:rPr>
        <w:tab/>
      </w:r>
      <w:r w:rsidR="00264B20">
        <w:rPr>
          <w:b/>
          <w:sz w:val="24"/>
          <w:szCs w:val="24"/>
        </w:rPr>
        <w:t>C.</w:t>
      </w:r>
      <w:r>
        <w:rPr>
          <w:b/>
          <w:sz w:val="24"/>
          <w:szCs w:val="24"/>
        </w:rPr>
        <w:tab/>
        <w:t>CUSTOMER PARTICIPATION</w:t>
      </w:r>
    </w:p>
    <w:p w:rsidR="008838C4" w:rsidRDefault="008838C4" w:rsidP="00665E8E">
      <w:pPr>
        <w:pStyle w:val="BodyTextIndent"/>
        <w:ind w:firstLine="0"/>
        <w:rPr>
          <w:b/>
          <w:sz w:val="24"/>
          <w:szCs w:val="24"/>
        </w:rPr>
      </w:pPr>
    </w:p>
    <w:p w:rsidR="00D63FED" w:rsidRDefault="008838C4" w:rsidP="00665E8E">
      <w:pPr>
        <w:pStyle w:val="BodyTextIndent"/>
        <w:ind w:firstLine="0"/>
        <w:rPr>
          <w:sz w:val="24"/>
          <w:szCs w:val="24"/>
        </w:rPr>
      </w:pPr>
      <w:r>
        <w:rPr>
          <w:b/>
          <w:sz w:val="24"/>
          <w:szCs w:val="24"/>
        </w:rPr>
        <w:tab/>
      </w:r>
      <w:r>
        <w:rPr>
          <w:b/>
          <w:sz w:val="24"/>
          <w:szCs w:val="24"/>
        </w:rPr>
        <w:tab/>
      </w:r>
      <w:r>
        <w:rPr>
          <w:sz w:val="24"/>
          <w:szCs w:val="24"/>
        </w:rPr>
        <w:t>31.</w:t>
      </w:r>
      <w:r>
        <w:rPr>
          <w:sz w:val="24"/>
          <w:szCs w:val="24"/>
        </w:rPr>
        <w:tab/>
      </w:r>
      <w:r w:rsidR="00D63FED">
        <w:rPr>
          <w:sz w:val="24"/>
          <w:szCs w:val="24"/>
        </w:rPr>
        <w:t>A customer's participation in the Pilot TOU Program is voluntary, and the customer selects the EGS rate option.</w:t>
      </w:r>
      <w:r>
        <w:rPr>
          <w:sz w:val="24"/>
          <w:szCs w:val="24"/>
        </w:rPr>
        <w:tab/>
      </w:r>
      <w:r>
        <w:rPr>
          <w:sz w:val="24"/>
          <w:szCs w:val="24"/>
        </w:rPr>
        <w:tab/>
      </w:r>
    </w:p>
    <w:p w:rsidR="00D63FED" w:rsidRDefault="00D63FED" w:rsidP="00665E8E">
      <w:pPr>
        <w:pStyle w:val="BodyTextIndent"/>
        <w:ind w:firstLine="0"/>
        <w:rPr>
          <w:sz w:val="24"/>
          <w:szCs w:val="24"/>
        </w:rPr>
      </w:pPr>
    </w:p>
    <w:p w:rsidR="003B4E14" w:rsidRDefault="00D63FED" w:rsidP="00665E8E">
      <w:pPr>
        <w:pStyle w:val="BodyTextIndent"/>
        <w:ind w:firstLine="0"/>
        <w:rPr>
          <w:sz w:val="24"/>
          <w:szCs w:val="24"/>
        </w:rPr>
      </w:pPr>
      <w:r>
        <w:rPr>
          <w:sz w:val="24"/>
          <w:szCs w:val="24"/>
        </w:rPr>
        <w:tab/>
      </w:r>
      <w:r>
        <w:rPr>
          <w:sz w:val="24"/>
          <w:szCs w:val="24"/>
        </w:rPr>
        <w:tab/>
        <w:t>32.</w:t>
      </w:r>
      <w:r>
        <w:rPr>
          <w:sz w:val="24"/>
          <w:szCs w:val="24"/>
        </w:rPr>
        <w:tab/>
        <w:t>All Residential and Small C&amp;I customers, except for customers in the Company's low-income customer assistance program ("CAP"),</w:t>
      </w:r>
      <w:r>
        <w:rPr>
          <w:rStyle w:val="FootnoteReference"/>
          <w:sz w:val="24"/>
          <w:szCs w:val="24"/>
        </w:rPr>
        <w:footnoteReference w:id="5"/>
      </w:r>
      <w:r>
        <w:rPr>
          <w:sz w:val="24"/>
          <w:szCs w:val="24"/>
        </w:rPr>
        <w:t xml:space="preserve"> will be eligible to participate in the Pilot TOU Program for the term of the program.  Customers do not need to be receiving fixed price default service from PPL Electric to participate in the Pilot TOU Program.</w:t>
      </w:r>
      <w:r>
        <w:rPr>
          <w:rStyle w:val="FootnoteReference"/>
          <w:sz w:val="24"/>
          <w:szCs w:val="24"/>
        </w:rPr>
        <w:footnoteReference w:id="6"/>
      </w:r>
      <w:r>
        <w:rPr>
          <w:sz w:val="24"/>
          <w:szCs w:val="24"/>
        </w:rPr>
        <w:t xml:space="preserve"> The Pilot TOU Program and the EGS rate options offered thereunder will be available to PPL Electric's Residential and Small C&amp;I default service customers, as well as any other Residential and Small C&amp;I customers that choose to participate, subject to any terms of a customer's existing contract for service from an EGS.  Customers, including net metering customers, who volunteer to participate in an EGS's rate option offered as part of the Pilot TOU Program will be treated as shopping customers, and all of the rules applicable to shopping customers apply</w:t>
      </w:r>
      <w:r w:rsidR="003B4E14">
        <w:rPr>
          <w:sz w:val="24"/>
          <w:szCs w:val="24"/>
        </w:rPr>
        <w:t>.  A customer may leave a participating EGS's rate option under the Pilot TOU Program subject to the Commission's switching rules.</w:t>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33.</w:t>
      </w:r>
      <w:r>
        <w:rPr>
          <w:sz w:val="24"/>
          <w:szCs w:val="24"/>
        </w:rPr>
        <w:tab/>
        <w:t xml:space="preserve">PPL Electric will inform customers about the new Pilot TOU Program by including an article in "PPL Connect."  This article will briefly summarize the program and instruct customers on how to obtain more information.  The Company will not promote any specific TOU rate option offered by an EGS that is participating in the program.  </w:t>
      </w:r>
    </w:p>
    <w:p w:rsidR="003B4E14" w:rsidRDefault="003B4E14" w:rsidP="00665E8E">
      <w:pPr>
        <w:pStyle w:val="BodyTextIndent"/>
        <w:ind w:firstLine="0"/>
        <w:rPr>
          <w:sz w:val="24"/>
          <w:szCs w:val="24"/>
        </w:rPr>
      </w:pPr>
    </w:p>
    <w:p w:rsidR="008838C4" w:rsidRDefault="003B4E14" w:rsidP="00665E8E">
      <w:pPr>
        <w:pStyle w:val="BodyTextIndent"/>
        <w:ind w:firstLine="0"/>
        <w:rPr>
          <w:sz w:val="24"/>
          <w:szCs w:val="24"/>
        </w:rPr>
      </w:pPr>
      <w:r>
        <w:rPr>
          <w:sz w:val="24"/>
          <w:szCs w:val="24"/>
        </w:rPr>
        <w:tab/>
      </w:r>
      <w:r>
        <w:rPr>
          <w:sz w:val="24"/>
          <w:szCs w:val="24"/>
        </w:rPr>
        <w:tab/>
        <w:t>34.</w:t>
      </w:r>
      <w:r>
        <w:rPr>
          <w:sz w:val="24"/>
          <w:szCs w:val="24"/>
        </w:rPr>
        <w:tab/>
        <w:t xml:space="preserve">PPL </w:t>
      </w:r>
      <w:r w:rsidR="00E71194">
        <w:rPr>
          <w:sz w:val="24"/>
          <w:szCs w:val="24"/>
        </w:rPr>
        <w:t>E</w:t>
      </w:r>
      <w:r>
        <w:rPr>
          <w:sz w:val="24"/>
          <w:szCs w:val="24"/>
        </w:rPr>
        <w:t>lectric will maintain a website that will provide links to each participating EGS's TOU rate offerings.  Customers who call PPL Electric and indicate interest in a TOU rate will be directed to a PPL Electric-hosted website that will provide links to each participating EGS's TOU rate offerings.  The website is anticipated to operate similarly to the C</w:t>
      </w:r>
      <w:r w:rsidR="00437C03">
        <w:rPr>
          <w:sz w:val="24"/>
          <w:szCs w:val="24"/>
        </w:rPr>
        <w:t>ompany's "choose your supplier r</w:t>
      </w:r>
      <w:r>
        <w:rPr>
          <w:sz w:val="24"/>
          <w:szCs w:val="24"/>
        </w:rPr>
        <w:t>ate."  The Company also will provide additional information on its TOU website, including a frequently asked questions ("FAQ") section.  However, PPL E</w:t>
      </w:r>
      <w:r w:rsidR="00E71194">
        <w:rPr>
          <w:sz w:val="24"/>
          <w:szCs w:val="24"/>
        </w:rPr>
        <w:t>lectric will not provide any EGS</w:t>
      </w:r>
      <w:r>
        <w:rPr>
          <w:sz w:val="24"/>
          <w:szCs w:val="24"/>
        </w:rPr>
        <w:t>-specific TOU rate information directly on its website.</w:t>
      </w:r>
      <w:r w:rsidR="008838C4">
        <w:rPr>
          <w:sz w:val="24"/>
          <w:szCs w:val="24"/>
        </w:rPr>
        <w:tab/>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35.</w:t>
      </w:r>
      <w:r>
        <w:rPr>
          <w:sz w:val="24"/>
          <w:szCs w:val="24"/>
        </w:rPr>
        <w:tab/>
        <w:t>If a customer interested in TOU service does not want to review the TOU information on PPL Electric's website, the Company will, at the customer's request, send a letter containing the information posted on the Company's website.</w:t>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36.</w:t>
      </w:r>
      <w:r>
        <w:rPr>
          <w:sz w:val="24"/>
          <w:szCs w:val="24"/>
        </w:rPr>
        <w:tab/>
        <w:t>PPL Electric also will provide a detailed discussion regarding how customers can determine the effect of an EGS's TOU rate under the Pilot TOU Program on their monthly bills.</w:t>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37.</w:t>
      </w:r>
      <w:r>
        <w:rPr>
          <w:sz w:val="24"/>
          <w:szCs w:val="24"/>
        </w:rPr>
        <w:tab/>
        <w:t xml:space="preserve">The Company will provide information on the Pilot TOU Program to its Customer Service Representatives.  </w:t>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38.</w:t>
      </w:r>
      <w:r>
        <w:rPr>
          <w:sz w:val="24"/>
          <w:szCs w:val="24"/>
        </w:rPr>
        <w:tab/>
        <w:t>PPL Electric will prepare a fact sheet with tips and ideas on how to shift load.</w:t>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39.</w:t>
      </w:r>
      <w:r>
        <w:rPr>
          <w:sz w:val="24"/>
          <w:szCs w:val="24"/>
        </w:rPr>
        <w:tab/>
        <w:t>PPL Electric will provide interested parties the opportunity to review and comment on the above education efforts discussed in paragraphs 34, 36 and 38, above.</w:t>
      </w:r>
    </w:p>
    <w:p w:rsidR="003B4E14" w:rsidRDefault="003B4E14" w:rsidP="00665E8E">
      <w:pPr>
        <w:pStyle w:val="BodyTextIndent"/>
        <w:ind w:firstLine="0"/>
        <w:rPr>
          <w:sz w:val="24"/>
          <w:szCs w:val="24"/>
        </w:rPr>
      </w:pPr>
    </w:p>
    <w:p w:rsidR="003B4E14" w:rsidRDefault="003B4E14" w:rsidP="00665E8E">
      <w:pPr>
        <w:pStyle w:val="BodyTextIndent"/>
        <w:ind w:firstLine="0"/>
        <w:rPr>
          <w:sz w:val="24"/>
          <w:szCs w:val="24"/>
        </w:rPr>
      </w:pPr>
      <w:r>
        <w:rPr>
          <w:sz w:val="24"/>
          <w:szCs w:val="24"/>
        </w:rPr>
        <w:tab/>
      </w:r>
      <w:r>
        <w:rPr>
          <w:sz w:val="24"/>
          <w:szCs w:val="24"/>
        </w:rPr>
        <w:tab/>
        <w:t>40.</w:t>
      </w:r>
      <w:r>
        <w:rPr>
          <w:sz w:val="24"/>
          <w:szCs w:val="24"/>
        </w:rPr>
        <w:tab/>
        <w:t xml:space="preserve">The Company will provide a quarterly status report on the Pilot TOU Program to the parties in this proceeding.  It will provide an analysis of information received from EGSs' in their quarterly reports concerning the number of customers that participated in the EGSs' rate offerings during the previous quarter and each EGS's aggregate monthly on- and off-peak load information for customers </w:t>
      </w:r>
      <w:r w:rsidR="00503E13">
        <w:rPr>
          <w:sz w:val="24"/>
          <w:szCs w:val="24"/>
        </w:rPr>
        <w:t>participating in the Pilot TOU Program, per rate schedule, in the report submitted to the Commission under 66 Pa.C.S. § 2807(f)(5).</w:t>
      </w:r>
    </w:p>
    <w:p w:rsidR="00503E13" w:rsidRDefault="00503E13" w:rsidP="00665E8E">
      <w:pPr>
        <w:pStyle w:val="BodyTextIndent"/>
        <w:ind w:firstLine="0"/>
        <w:rPr>
          <w:sz w:val="24"/>
          <w:szCs w:val="24"/>
        </w:rPr>
      </w:pPr>
    </w:p>
    <w:p w:rsidR="004F40A1" w:rsidRDefault="004F40A1">
      <w:pPr>
        <w:rPr>
          <w:rFonts w:eastAsia="Times New Roman"/>
        </w:rPr>
        <w:sectPr w:rsidR="004F40A1" w:rsidSect="009F7E9C">
          <w:pgSz w:w="12240" w:h="15840"/>
          <w:pgMar w:top="1440" w:right="1440" w:bottom="1440" w:left="1440" w:header="720" w:footer="720" w:gutter="0"/>
          <w:cols w:space="720"/>
          <w:titlePg/>
          <w:docGrid w:linePitch="360"/>
        </w:sectPr>
      </w:pPr>
    </w:p>
    <w:p w:rsidR="00503E13" w:rsidRDefault="00503E13" w:rsidP="00665E8E">
      <w:pPr>
        <w:pStyle w:val="BodyTextIndent"/>
        <w:ind w:firstLine="0"/>
        <w:rPr>
          <w:b/>
          <w:sz w:val="24"/>
          <w:szCs w:val="24"/>
        </w:rPr>
      </w:pPr>
      <w:r>
        <w:rPr>
          <w:sz w:val="24"/>
          <w:szCs w:val="24"/>
        </w:rPr>
        <w:tab/>
      </w:r>
      <w:r w:rsidR="004F40A1">
        <w:rPr>
          <w:b/>
          <w:sz w:val="24"/>
          <w:szCs w:val="24"/>
        </w:rPr>
        <w:t>D.</w:t>
      </w:r>
      <w:r>
        <w:rPr>
          <w:b/>
          <w:sz w:val="24"/>
          <w:szCs w:val="24"/>
        </w:rPr>
        <w:tab/>
        <w:t>EXISTING TOU CUSTOMER PARTICIPATION</w:t>
      </w:r>
    </w:p>
    <w:p w:rsidR="00503E13" w:rsidRDefault="00503E13" w:rsidP="00665E8E">
      <w:pPr>
        <w:pStyle w:val="BodyTextIndent"/>
        <w:ind w:firstLine="0"/>
        <w:rPr>
          <w:b/>
          <w:sz w:val="24"/>
          <w:szCs w:val="24"/>
        </w:rPr>
      </w:pPr>
    </w:p>
    <w:p w:rsidR="00503E13" w:rsidRDefault="00503E13" w:rsidP="00665E8E">
      <w:pPr>
        <w:pStyle w:val="BodyTextIndent"/>
        <w:ind w:firstLine="0"/>
        <w:rPr>
          <w:sz w:val="24"/>
          <w:szCs w:val="24"/>
        </w:rPr>
      </w:pPr>
      <w:r>
        <w:rPr>
          <w:sz w:val="24"/>
          <w:szCs w:val="24"/>
        </w:rPr>
        <w:tab/>
      </w:r>
      <w:r>
        <w:rPr>
          <w:sz w:val="24"/>
          <w:szCs w:val="24"/>
        </w:rPr>
        <w:tab/>
        <w:t>41.</w:t>
      </w:r>
      <w:r>
        <w:rPr>
          <w:sz w:val="24"/>
          <w:szCs w:val="24"/>
        </w:rPr>
        <w:tab/>
        <w:t>PPL Electric's currently effective TOU program will no longer be available to new applicants as of the effective date of the new tariff supplement implementing the new Pilot TOU Program.</w:t>
      </w:r>
      <w:r>
        <w:rPr>
          <w:sz w:val="24"/>
          <w:szCs w:val="24"/>
        </w:rPr>
        <w:tab/>
      </w:r>
    </w:p>
    <w:p w:rsidR="00503E13" w:rsidRDefault="00503E13" w:rsidP="00665E8E">
      <w:pPr>
        <w:pStyle w:val="BodyTextIndent"/>
        <w:ind w:firstLine="0"/>
        <w:rPr>
          <w:sz w:val="24"/>
          <w:szCs w:val="24"/>
        </w:rPr>
      </w:pPr>
    </w:p>
    <w:p w:rsidR="00503E13" w:rsidRDefault="00503E13" w:rsidP="00665E8E">
      <w:pPr>
        <w:pStyle w:val="BodyTextIndent"/>
        <w:ind w:firstLine="0"/>
        <w:rPr>
          <w:sz w:val="24"/>
          <w:szCs w:val="24"/>
        </w:rPr>
      </w:pPr>
      <w:r>
        <w:rPr>
          <w:sz w:val="24"/>
          <w:szCs w:val="24"/>
        </w:rPr>
        <w:tab/>
      </w:r>
      <w:r>
        <w:rPr>
          <w:sz w:val="24"/>
          <w:szCs w:val="24"/>
        </w:rPr>
        <w:tab/>
        <w:t>42.</w:t>
      </w:r>
      <w:r>
        <w:rPr>
          <w:sz w:val="24"/>
          <w:szCs w:val="24"/>
        </w:rPr>
        <w:tab/>
        <w:t>Except for CAP customers currently receiving service under PPL Electric's existing TOU rate option, all other customers may move directly to the Pilot TOU Program, provided that the customer chooses to participate.  If a current TOU customer does not choose to participate in the Pilot TOU Program or does not choose to purchase generation supply from an EGS, the customer will be returned to PPL Electric's fixed price default service within a specified time frame, discussed below.  PPL Electric will also return CAP participants to default service.</w:t>
      </w:r>
    </w:p>
    <w:p w:rsidR="00503E13" w:rsidRDefault="00503E13" w:rsidP="00665E8E">
      <w:pPr>
        <w:pStyle w:val="BodyTextIndent"/>
        <w:ind w:firstLine="0"/>
        <w:rPr>
          <w:sz w:val="24"/>
          <w:szCs w:val="24"/>
        </w:rPr>
      </w:pPr>
    </w:p>
    <w:p w:rsidR="00503E13" w:rsidRDefault="00503E13" w:rsidP="00665E8E">
      <w:pPr>
        <w:pStyle w:val="BodyTextIndent"/>
        <w:ind w:firstLine="0"/>
        <w:rPr>
          <w:sz w:val="24"/>
          <w:szCs w:val="24"/>
        </w:rPr>
      </w:pPr>
      <w:r>
        <w:rPr>
          <w:sz w:val="24"/>
          <w:szCs w:val="24"/>
        </w:rPr>
        <w:tab/>
      </w:r>
      <w:r>
        <w:rPr>
          <w:sz w:val="24"/>
          <w:szCs w:val="24"/>
        </w:rPr>
        <w:tab/>
        <w:t>43.</w:t>
      </w:r>
      <w:r>
        <w:rPr>
          <w:sz w:val="24"/>
          <w:szCs w:val="24"/>
        </w:rPr>
        <w:tab/>
        <w:t>PPL Electric will send a letter to existing TOU customers 45 days prior to the start of the Pilot TOU Program to notify them that the current TOU rate will terminate.  The letter also will explain that if the customers do not choose to participate in the Pilot TOU Program or do not choose to purchase generation supply from an EGS, they will be transferred to PPL Electric's fixed price default service by a certain date.  The letter also will contain information about the Pilot TOU Program and how to participate in the program if the customers are interested.</w:t>
      </w:r>
    </w:p>
    <w:p w:rsidR="00503E13" w:rsidRDefault="00503E13" w:rsidP="00665E8E">
      <w:pPr>
        <w:pStyle w:val="BodyTextIndent"/>
        <w:ind w:firstLine="0"/>
        <w:rPr>
          <w:sz w:val="24"/>
          <w:szCs w:val="24"/>
        </w:rPr>
      </w:pPr>
    </w:p>
    <w:p w:rsidR="00503E13" w:rsidRDefault="00503E13" w:rsidP="00665E8E">
      <w:pPr>
        <w:pStyle w:val="BodyTextIndent"/>
        <w:ind w:firstLine="0"/>
        <w:rPr>
          <w:sz w:val="24"/>
          <w:szCs w:val="24"/>
        </w:rPr>
      </w:pPr>
      <w:r>
        <w:rPr>
          <w:sz w:val="24"/>
          <w:szCs w:val="24"/>
        </w:rPr>
        <w:tab/>
      </w:r>
      <w:r>
        <w:rPr>
          <w:sz w:val="24"/>
          <w:szCs w:val="24"/>
        </w:rPr>
        <w:tab/>
        <w:t>44.</w:t>
      </w:r>
      <w:r>
        <w:rPr>
          <w:sz w:val="24"/>
          <w:szCs w:val="24"/>
        </w:rPr>
        <w:tab/>
        <w:t>PPL Electric will maintain the current TOU rates in effect until each customer's first meter read date after the implementation of the Pilot TOU Program, at which time the customer will be returned to fixed price default service if the customer has not elected to receive service from an EGS.</w:t>
      </w:r>
    </w:p>
    <w:p w:rsidR="00503E13" w:rsidRDefault="00503E13" w:rsidP="00665E8E">
      <w:pPr>
        <w:pStyle w:val="BodyTextIndent"/>
        <w:ind w:firstLine="0"/>
        <w:rPr>
          <w:sz w:val="24"/>
          <w:szCs w:val="24"/>
        </w:rPr>
      </w:pPr>
    </w:p>
    <w:p w:rsidR="00503E13" w:rsidRDefault="00503E13" w:rsidP="00665E8E">
      <w:pPr>
        <w:pStyle w:val="BodyTextIndent"/>
        <w:ind w:firstLine="0"/>
        <w:rPr>
          <w:b/>
          <w:sz w:val="24"/>
          <w:szCs w:val="24"/>
        </w:rPr>
      </w:pPr>
      <w:r>
        <w:rPr>
          <w:sz w:val="24"/>
          <w:szCs w:val="24"/>
        </w:rPr>
        <w:tab/>
      </w:r>
      <w:r>
        <w:rPr>
          <w:b/>
          <w:sz w:val="24"/>
          <w:szCs w:val="24"/>
        </w:rPr>
        <w:t>E.</w:t>
      </w:r>
      <w:r>
        <w:rPr>
          <w:b/>
          <w:sz w:val="24"/>
          <w:szCs w:val="24"/>
        </w:rPr>
        <w:tab/>
        <w:t>IMPLEMENTATION SCHEDULE</w:t>
      </w:r>
    </w:p>
    <w:p w:rsidR="00503E13" w:rsidRDefault="00503E13" w:rsidP="00665E8E">
      <w:pPr>
        <w:pStyle w:val="BodyTextIndent"/>
        <w:ind w:firstLine="0"/>
        <w:rPr>
          <w:b/>
          <w:sz w:val="24"/>
          <w:szCs w:val="24"/>
        </w:rPr>
      </w:pPr>
    </w:p>
    <w:p w:rsidR="004F40A1" w:rsidRDefault="00503E13" w:rsidP="00665E8E">
      <w:pPr>
        <w:pStyle w:val="BodyTextIndent"/>
        <w:ind w:firstLine="0"/>
        <w:rPr>
          <w:sz w:val="24"/>
          <w:szCs w:val="24"/>
        </w:rPr>
        <w:sectPr w:rsidR="004F40A1" w:rsidSect="004F40A1">
          <w:pgSz w:w="12240" w:h="15840"/>
          <w:pgMar w:top="1296" w:right="1440" w:bottom="1296" w:left="1440" w:header="720" w:footer="720" w:gutter="0"/>
          <w:cols w:space="720"/>
          <w:titlePg/>
          <w:docGrid w:linePitch="360"/>
        </w:sectPr>
      </w:pPr>
      <w:r>
        <w:rPr>
          <w:b/>
          <w:sz w:val="24"/>
          <w:szCs w:val="24"/>
        </w:rPr>
        <w:tab/>
      </w:r>
      <w:r>
        <w:rPr>
          <w:b/>
          <w:sz w:val="24"/>
          <w:szCs w:val="24"/>
        </w:rPr>
        <w:tab/>
      </w:r>
      <w:r>
        <w:rPr>
          <w:sz w:val="24"/>
          <w:szCs w:val="24"/>
        </w:rPr>
        <w:t>45.</w:t>
      </w:r>
      <w:r>
        <w:rPr>
          <w:sz w:val="24"/>
          <w:szCs w:val="24"/>
        </w:rPr>
        <w:tab/>
        <w:t>The term of the Pilot TOU Program will run from the date the applicable tariff provisions become effective through May 31, 2015, which coincides with the end of the default service plan approved by the Commission in Docket No. P-2012-2302074.</w:t>
      </w:r>
    </w:p>
    <w:p w:rsidR="00503E13" w:rsidRDefault="00503E13" w:rsidP="00665E8E">
      <w:pPr>
        <w:pStyle w:val="BodyTextIndent"/>
        <w:ind w:firstLine="0"/>
        <w:rPr>
          <w:sz w:val="24"/>
          <w:szCs w:val="24"/>
        </w:rPr>
      </w:pPr>
      <w:r>
        <w:rPr>
          <w:sz w:val="24"/>
          <w:szCs w:val="24"/>
        </w:rPr>
        <w:tab/>
      </w:r>
      <w:r>
        <w:rPr>
          <w:sz w:val="24"/>
          <w:szCs w:val="24"/>
        </w:rPr>
        <w:tab/>
        <w:t>46.</w:t>
      </w:r>
      <w:r>
        <w:rPr>
          <w:sz w:val="24"/>
          <w:szCs w:val="24"/>
        </w:rPr>
        <w:tab/>
        <w:t>PPL Electric will make the Pilot TOU Program effective 90 days after the Commission issues a final order approving the Pilot TOU Program.</w:t>
      </w:r>
    </w:p>
    <w:p w:rsidR="00503E13" w:rsidRDefault="00503E13" w:rsidP="00665E8E">
      <w:pPr>
        <w:pStyle w:val="BodyTextIndent"/>
        <w:ind w:firstLine="0"/>
        <w:rPr>
          <w:sz w:val="24"/>
          <w:szCs w:val="24"/>
        </w:rPr>
      </w:pPr>
    </w:p>
    <w:p w:rsidR="00503E13" w:rsidRDefault="00503E13" w:rsidP="00665E8E">
      <w:pPr>
        <w:pStyle w:val="BodyTextIndent"/>
        <w:ind w:firstLine="0"/>
        <w:rPr>
          <w:b/>
          <w:sz w:val="24"/>
          <w:szCs w:val="24"/>
        </w:rPr>
      </w:pPr>
      <w:r>
        <w:rPr>
          <w:sz w:val="24"/>
          <w:szCs w:val="24"/>
        </w:rPr>
        <w:tab/>
      </w:r>
      <w:r>
        <w:rPr>
          <w:b/>
          <w:sz w:val="24"/>
          <w:szCs w:val="24"/>
        </w:rPr>
        <w:t>F.</w:t>
      </w:r>
      <w:r>
        <w:rPr>
          <w:b/>
          <w:sz w:val="24"/>
          <w:szCs w:val="24"/>
        </w:rPr>
        <w:tab/>
        <w:t>TOU CONTINGENCY PLAN</w:t>
      </w:r>
    </w:p>
    <w:p w:rsidR="00503E13" w:rsidRDefault="00503E13" w:rsidP="00665E8E">
      <w:pPr>
        <w:pStyle w:val="BodyTextIndent"/>
        <w:ind w:firstLine="0"/>
        <w:rPr>
          <w:b/>
          <w:sz w:val="24"/>
          <w:szCs w:val="24"/>
        </w:rPr>
      </w:pPr>
    </w:p>
    <w:p w:rsidR="00503E13" w:rsidRDefault="00503E13" w:rsidP="00665E8E">
      <w:pPr>
        <w:pStyle w:val="BodyTextIndent"/>
        <w:ind w:firstLine="0"/>
        <w:rPr>
          <w:sz w:val="24"/>
          <w:szCs w:val="24"/>
        </w:rPr>
      </w:pPr>
      <w:r>
        <w:rPr>
          <w:b/>
          <w:sz w:val="24"/>
          <w:szCs w:val="24"/>
        </w:rPr>
        <w:tab/>
      </w:r>
      <w:r>
        <w:rPr>
          <w:b/>
          <w:sz w:val="24"/>
          <w:szCs w:val="24"/>
        </w:rPr>
        <w:tab/>
      </w:r>
      <w:r>
        <w:rPr>
          <w:sz w:val="24"/>
          <w:szCs w:val="24"/>
        </w:rPr>
        <w:t>47.</w:t>
      </w:r>
      <w:r>
        <w:rPr>
          <w:sz w:val="24"/>
          <w:szCs w:val="24"/>
        </w:rPr>
        <w:tab/>
        <w:t>During the term of the Pilot TOU Program, PPL Electric will periodically ascertain that at least one EGS is providing a TOU rate option through execution of the Participation Form and regular EGS reports.</w:t>
      </w:r>
    </w:p>
    <w:p w:rsidR="00503E13" w:rsidRDefault="00503E13" w:rsidP="00665E8E">
      <w:pPr>
        <w:pStyle w:val="BodyTextIndent"/>
        <w:ind w:firstLine="0"/>
        <w:rPr>
          <w:sz w:val="24"/>
          <w:szCs w:val="24"/>
        </w:rPr>
      </w:pPr>
    </w:p>
    <w:p w:rsidR="00503E13" w:rsidRDefault="00503E13" w:rsidP="00665E8E">
      <w:pPr>
        <w:pStyle w:val="BodyTextIndent"/>
        <w:ind w:firstLine="0"/>
        <w:rPr>
          <w:sz w:val="24"/>
          <w:szCs w:val="24"/>
        </w:rPr>
      </w:pPr>
      <w:r>
        <w:rPr>
          <w:sz w:val="24"/>
          <w:szCs w:val="24"/>
        </w:rPr>
        <w:tab/>
      </w:r>
      <w:r>
        <w:rPr>
          <w:sz w:val="24"/>
          <w:szCs w:val="24"/>
        </w:rPr>
        <w:tab/>
        <w:t>48.</w:t>
      </w:r>
      <w:r>
        <w:rPr>
          <w:sz w:val="24"/>
          <w:szCs w:val="24"/>
        </w:rPr>
        <w:tab/>
        <w:t>If no EGSs execute the Participation Form at the initiation of the Pilot TOU Program or if all participating EGSs opt out of the program or default on the program's requirements, PPL Electric will expeditiously seek approval of a new subsequent TOU proposal and request that the replacement plan be made effective within 60 days.  If no EGS qualifies to participate in the Pilot TOU Program or it a</w:t>
      </w:r>
      <w:r w:rsidR="00264DC6">
        <w:rPr>
          <w:sz w:val="24"/>
          <w:szCs w:val="24"/>
        </w:rPr>
        <w:t>p</w:t>
      </w:r>
      <w:r>
        <w:rPr>
          <w:sz w:val="24"/>
          <w:szCs w:val="24"/>
        </w:rPr>
        <w:t xml:space="preserve">pears that any or all of the participating EGSs will choose to opt out of the </w:t>
      </w:r>
      <w:r w:rsidR="00264DC6">
        <w:rPr>
          <w:sz w:val="24"/>
          <w:szCs w:val="24"/>
        </w:rPr>
        <w:t>program, PPL Electric will endeavor to work with an interested but non-qualifying EGS or the opting out EGSs to keep them in the program prior to engaging in the contingency plan described in paragraph 49, below.</w:t>
      </w:r>
    </w:p>
    <w:p w:rsidR="00264DC6" w:rsidRDefault="00264DC6" w:rsidP="00665E8E">
      <w:pPr>
        <w:pStyle w:val="BodyTextIndent"/>
        <w:ind w:firstLine="0"/>
        <w:rPr>
          <w:sz w:val="24"/>
          <w:szCs w:val="24"/>
        </w:rPr>
      </w:pPr>
    </w:p>
    <w:p w:rsidR="00264DC6" w:rsidRDefault="00264DC6" w:rsidP="00665E8E">
      <w:pPr>
        <w:pStyle w:val="BodyTextIndent"/>
        <w:ind w:firstLine="0"/>
        <w:rPr>
          <w:sz w:val="24"/>
          <w:szCs w:val="24"/>
        </w:rPr>
      </w:pPr>
      <w:r>
        <w:rPr>
          <w:sz w:val="24"/>
          <w:szCs w:val="24"/>
        </w:rPr>
        <w:tab/>
      </w:r>
      <w:r>
        <w:rPr>
          <w:sz w:val="24"/>
          <w:szCs w:val="24"/>
        </w:rPr>
        <w:tab/>
        <w:t>4</w:t>
      </w:r>
      <w:r w:rsidR="00E71194">
        <w:rPr>
          <w:sz w:val="24"/>
          <w:szCs w:val="24"/>
        </w:rPr>
        <w:t>9</w:t>
      </w:r>
      <w:r>
        <w:rPr>
          <w:sz w:val="24"/>
          <w:szCs w:val="24"/>
        </w:rPr>
        <w:t>.</w:t>
      </w:r>
      <w:r>
        <w:rPr>
          <w:sz w:val="24"/>
          <w:szCs w:val="24"/>
        </w:rPr>
        <w:tab/>
        <w:t>PPL Electric's subsequent TOU proposal, as discussed in paragraph 48, will contain the following characteristics.  First, the Company will solicit, through a request for proposal ("RFP") process, a single supplier to provide TOU service to customers.  The program also will be a summer-only program (including the months of June, July and August), where the "on-peak" period will be from 2 p.m. to 6 p.m., Monday through Friday, excluding PJM holidays, and all other hours during this summer period will be defined as the off-peak hours.  The RFP will determine the summer "on-peak" and "off-peak" rates.  Moreover, the rate during the non-sum</w:t>
      </w:r>
      <w:r w:rsidR="00E71194">
        <w:rPr>
          <w:sz w:val="24"/>
          <w:szCs w:val="24"/>
        </w:rPr>
        <w:t>m</w:t>
      </w:r>
      <w:r>
        <w:rPr>
          <w:sz w:val="24"/>
          <w:szCs w:val="24"/>
        </w:rPr>
        <w:t>er months will be the then current PTC.  The Company also will propose that CAP customers be eligible to participate in this subsequent TOU proposal.  Further, the TOU rates provided through the RFP will not be reconciled.  PPL Electric also will be permitted to fully recover the costs of implementing the subsequent TOU proposal through the Generation Supply Charge.  Finally, parties will have the right to challenge the subsequent TOU proposal.</w:t>
      </w:r>
    </w:p>
    <w:p w:rsidR="00264DC6" w:rsidRDefault="00264DC6" w:rsidP="00665E8E">
      <w:pPr>
        <w:pStyle w:val="BodyTextIndent"/>
        <w:ind w:firstLine="0"/>
        <w:rPr>
          <w:sz w:val="24"/>
          <w:szCs w:val="24"/>
        </w:rPr>
      </w:pPr>
    </w:p>
    <w:p w:rsidR="00264DC6" w:rsidRDefault="00264DC6" w:rsidP="00665E8E">
      <w:pPr>
        <w:pStyle w:val="BodyTextIndent"/>
        <w:ind w:firstLine="0"/>
        <w:rPr>
          <w:b/>
          <w:sz w:val="24"/>
          <w:szCs w:val="24"/>
        </w:rPr>
      </w:pPr>
      <w:r>
        <w:rPr>
          <w:sz w:val="24"/>
          <w:szCs w:val="24"/>
        </w:rPr>
        <w:tab/>
      </w:r>
      <w:r>
        <w:rPr>
          <w:b/>
          <w:sz w:val="24"/>
          <w:szCs w:val="24"/>
        </w:rPr>
        <w:t>G.</w:t>
      </w:r>
      <w:r>
        <w:rPr>
          <w:b/>
          <w:sz w:val="24"/>
          <w:szCs w:val="24"/>
        </w:rPr>
        <w:tab/>
        <w:t>RECONCILIATION</w:t>
      </w:r>
    </w:p>
    <w:p w:rsidR="00264DC6" w:rsidRDefault="00264DC6" w:rsidP="00665E8E">
      <w:pPr>
        <w:pStyle w:val="BodyTextIndent"/>
        <w:ind w:firstLine="0"/>
        <w:rPr>
          <w:b/>
          <w:sz w:val="24"/>
          <w:szCs w:val="24"/>
        </w:rPr>
      </w:pPr>
    </w:p>
    <w:p w:rsidR="00264DC6" w:rsidRDefault="00264DC6" w:rsidP="006E176F">
      <w:pPr>
        <w:pStyle w:val="BodyTextIndent"/>
        <w:ind w:firstLine="0"/>
        <w:rPr>
          <w:sz w:val="24"/>
          <w:szCs w:val="24"/>
        </w:rPr>
      </w:pPr>
      <w:r>
        <w:rPr>
          <w:sz w:val="24"/>
          <w:szCs w:val="24"/>
        </w:rPr>
        <w:tab/>
      </w:r>
      <w:r>
        <w:rPr>
          <w:sz w:val="24"/>
          <w:szCs w:val="24"/>
        </w:rPr>
        <w:tab/>
        <w:t>50.</w:t>
      </w:r>
      <w:r>
        <w:rPr>
          <w:sz w:val="24"/>
          <w:szCs w:val="24"/>
        </w:rPr>
        <w:tab/>
        <w:t>As instructed by the Commission, in the January 24 Order, as part of the revised default service plan, PPL Electric will continue using its current quarterly reconciliation methodology for its Rate Schedule GSC-1 rates.  January 24 Order, p. 70.  Moreover</w:t>
      </w:r>
      <w:r w:rsidR="00C3390F">
        <w:rPr>
          <w:sz w:val="24"/>
          <w:szCs w:val="24"/>
        </w:rPr>
        <w:t>, the Company will implement the approved joint reconciliation permitted by the Commission's Order at Docket No. R-2011-2264771.</w:t>
      </w:r>
    </w:p>
    <w:p w:rsidR="00C3390F" w:rsidRDefault="00C3390F" w:rsidP="006E176F">
      <w:pPr>
        <w:pStyle w:val="BodyTextIndent"/>
        <w:ind w:firstLine="0"/>
        <w:rPr>
          <w:sz w:val="24"/>
          <w:szCs w:val="24"/>
        </w:rPr>
      </w:pPr>
    </w:p>
    <w:p w:rsidR="007B646E" w:rsidRDefault="007B646E" w:rsidP="006E176F">
      <w:pPr>
        <w:pStyle w:val="BodyTextIndent"/>
        <w:ind w:firstLine="0"/>
        <w:jc w:val="center"/>
        <w:rPr>
          <w:u w:val="single"/>
        </w:rPr>
      </w:pPr>
      <w:r>
        <w:rPr>
          <w:u w:val="single"/>
        </w:rPr>
        <w:t>DISCUSSION</w:t>
      </w:r>
    </w:p>
    <w:p w:rsidR="007B646E" w:rsidRDefault="007B646E" w:rsidP="006E176F">
      <w:pPr>
        <w:pStyle w:val="BodyTextIndent"/>
        <w:ind w:firstLine="0"/>
        <w:jc w:val="center"/>
        <w:rPr>
          <w:u w:val="single"/>
        </w:rPr>
      </w:pPr>
    </w:p>
    <w:p w:rsidR="007B646E" w:rsidRPr="00FA2FAE" w:rsidRDefault="007B646E" w:rsidP="006E176F">
      <w:pPr>
        <w:contextualSpacing/>
        <w:jc w:val="left"/>
        <w:rPr>
          <w:b/>
        </w:rPr>
      </w:pPr>
      <w:r>
        <w:rPr>
          <w:b/>
        </w:rPr>
        <w:t>1.</w:t>
      </w:r>
      <w:r>
        <w:rPr>
          <w:b/>
        </w:rPr>
        <w:tab/>
      </w:r>
      <w:r w:rsidRPr="00FA2FAE">
        <w:rPr>
          <w:b/>
        </w:rPr>
        <w:t>Burden of Proof</w:t>
      </w:r>
    </w:p>
    <w:p w:rsidR="007B646E" w:rsidRDefault="007B646E" w:rsidP="006E176F">
      <w:pPr>
        <w:contextualSpacing/>
        <w:jc w:val="left"/>
      </w:pPr>
    </w:p>
    <w:p w:rsidR="007B646E" w:rsidRPr="00085F47" w:rsidRDefault="007B646E" w:rsidP="006E176F">
      <w:pPr>
        <w:contextualSpacing/>
        <w:jc w:val="left"/>
        <w:rPr>
          <w:spacing w:val="-3"/>
        </w:rPr>
      </w:pPr>
      <w:r>
        <w:tab/>
      </w:r>
      <w:r>
        <w:tab/>
      </w:r>
      <w:r w:rsidRPr="005D5C96">
        <w:t xml:space="preserve">Section 1301 of the Public Utility Code, 66 Pa.C.S. § 1301, provides:  “every rate made, demanded, or received by any public utility, or by any two or more public utilities jointly, shall be just and reasonable, and in conformity with regulations or orders of the commission.”  </w:t>
      </w:r>
    </w:p>
    <w:p w:rsidR="007B646E" w:rsidRPr="005D5C96" w:rsidRDefault="007B646E" w:rsidP="006E176F">
      <w:pPr>
        <w:widowControl w:val="0"/>
        <w:ind w:firstLine="1440"/>
        <w:jc w:val="left"/>
      </w:pPr>
    </w:p>
    <w:p w:rsidR="007B646E" w:rsidRPr="005D5C96" w:rsidRDefault="007B646E" w:rsidP="007B646E">
      <w:pPr>
        <w:widowControl w:val="0"/>
        <w:jc w:val="left"/>
        <w:rPr>
          <w:color w:val="000000"/>
        </w:rPr>
      </w:pPr>
      <w:r w:rsidRPr="005D5C96">
        <w:tab/>
      </w:r>
      <w:r w:rsidRPr="005D5C96">
        <w:tab/>
        <w:t xml:space="preserve">While the burden of proof remains with the public utility throughout the rate proceeding, the Commission has stated that where a party proposes an adjustment to a ratemaking claim of a utility, the proposing party bears the </w:t>
      </w:r>
      <w:r w:rsidRPr="005D5C96">
        <w:rPr>
          <w:bCs/>
        </w:rPr>
        <w:t>burden</w:t>
      </w:r>
      <w:r w:rsidRPr="005D5C96">
        <w:t xml:space="preserve"> of presenting some evidence or analysis tending to demonstrate the reasonableness of the adjustment.  </w:t>
      </w:r>
      <w:r w:rsidRPr="005D5C96">
        <w:rPr>
          <w:i/>
        </w:rPr>
        <w:t>P</w:t>
      </w:r>
      <w:r>
        <w:rPr>
          <w:i/>
        </w:rPr>
        <w:t>a</w:t>
      </w:r>
      <w:r w:rsidR="005729EE">
        <w:rPr>
          <w:i/>
        </w:rPr>
        <w:t>.</w:t>
      </w:r>
      <w:r w:rsidRPr="005D5C96">
        <w:rPr>
          <w:i/>
        </w:rPr>
        <w:t xml:space="preserve"> Pub. Util. Comm’n v. Aqua Pennsylvania, Inc</w:t>
      </w:r>
      <w:r w:rsidRPr="005D5C96">
        <w:t xml:space="preserve">., Docket No. R-00072711 (Commission Opinion and Order entered July 17, 2008).  As stated in </w:t>
      </w:r>
      <w:r>
        <w:rPr>
          <w:i/>
        </w:rPr>
        <w:t>Pa</w:t>
      </w:r>
      <w:r w:rsidR="005729EE">
        <w:rPr>
          <w:i/>
        </w:rPr>
        <w:t>.</w:t>
      </w:r>
      <w:r w:rsidR="00BD3EA2">
        <w:rPr>
          <w:i/>
        </w:rPr>
        <w:t xml:space="preserve"> Pub</w:t>
      </w:r>
      <w:r>
        <w:rPr>
          <w:i/>
        </w:rPr>
        <w:t>. Util. Comm'</w:t>
      </w:r>
      <w:r w:rsidRPr="005D5C96">
        <w:rPr>
          <w:i/>
        </w:rPr>
        <w:t>n</w:t>
      </w:r>
      <w:r w:rsidRPr="005D5C96">
        <w:t xml:space="preserve"> v. </w:t>
      </w:r>
      <w:r w:rsidRPr="005D5C96">
        <w:rPr>
          <w:i/>
        </w:rPr>
        <w:t>Philadelphia Gas Works</w:t>
      </w:r>
      <w:r w:rsidR="006E176F">
        <w:t>, Docket No. R</w:t>
      </w:r>
      <w:r w:rsidR="006E176F">
        <w:noBreakHyphen/>
      </w:r>
      <w:r w:rsidRPr="005D5C96">
        <w:t xml:space="preserve">00061931 (Commission Opinion </w:t>
      </w:r>
      <w:r>
        <w:t>and Order entered September 28, </w:t>
      </w:r>
      <w:r w:rsidRPr="005D5C96">
        <w:t>2007) at 12:  “</w:t>
      </w:r>
      <w:r w:rsidRPr="005D5C96">
        <w:rPr>
          <w:color w:val="000000"/>
        </w:rPr>
        <w:t>Section 315(a) of the Code, 66 Pa.C.S. § 315(a), applies since this is a proceeding on Commission Motion.  However, after the utility establishes a prima facie case, the burden of going forward or the burden of persuasion shifts to the other parties to rebut the prima facie case.”</w:t>
      </w:r>
    </w:p>
    <w:p w:rsidR="007B646E" w:rsidRDefault="007B646E" w:rsidP="007B646E">
      <w:pPr>
        <w:contextualSpacing/>
        <w:jc w:val="left"/>
      </w:pPr>
    </w:p>
    <w:p w:rsidR="007B646E" w:rsidRPr="00B6588E" w:rsidRDefault="007B646E" w:rsidP="007B646E">
      <w:pPr>
        <w:jc w:val="left"/>
      </w:pPr>
      <w:r>
        <w:tab/>
      </w:r>
      <w:r>
        <w:tab/>
      </w:r>
      <w:r w:rsidRPr="00B6588E">
        <w:t>Section 332(a) of the Code, 66 Pa.</w:t>
      </w:r>
      <w:r>
        <w:t xml:space="preserve"> </w:t>
      </w:r>
      <w:r w:rsidRPr="00B6588E">
        <w:t xml:space="preserve">C.S. §332(a), provides that the party seeking a rule or order from the Commission has the burden of proof in that proceeding.  It is </w:t>
      </w:r>
      <w:r>
        <w:t>well-established</w:t>
      </w:r>
      <w:r w:rsidRPr="00B6588E">
        <w:t xml:space="preserve"> that “[a] litigant’s burden of proof before administrative tribunals as well as before most civil proceedings is satisfied by establishing a preponderance of evidence which is substantial and legally credible.”  </w:t>
      </w:r>
      <w:r w:rsidRPr="00B6588E">
        <w:rPr>
          <w:i/>
        </w:rPr>
        <w:t>Samuel J. Lansberry, Inc. v. Pa. P</w:t>
      </w:r>
      <w:r>
        <w:rPr>
          <w:i/>
        </w:rPr>
        <w:t xml:space="preserve">ubl. </w:t>
      </w:r>
      <w:r w:rsidRPr="00B6588E">
        <w:rPr>
          <w:i/>
        </w:rPr>
        <w:t>U</w:t>
      </w:r>
      <w:r>
        <w:rPr>
          <w:i/>
        </w:rPr>
        <w:t>til. Comm'n</w:t>
      </w:r>
      <w:r w:rsidRPr="00B6588E">
        <w:t xml:space="preserve">, 578 A.2d 600, 602 (Pa. Cmwlth. 1990).  </w:t>
      </w:r>
    </w:p>
    <w:p w:rsidR="007B646E" w:rsidRDefault="007B646E" w:rsidP="007B646E">
      <w:pPr>
        <w:jc w:val="left"/>
      </w:pPr>
    </w:p>
    <w:p w:rsidR="007B646E" w:rsidRDefault="007B646E" w:rsidP="007B646E">
      <w:pPr>
        <w:jc w:val="left"/>
      </w:pPr>
      <w:r>
        <w:tab/>
      </w:r>
      <w:r>
        <w:tab/>
        <w:t xml:space="preserve">The burden of proof is comprised of two distinct burdens:  the burden of production and the burden of persuasion.  The burden of production tells the adjudicator which party must come forward with evidence to support a particular proposition.  See </w:t>
      </w:r>
      <w:r>
        <w:rPr>
          <w:i/>
        </w:rPr>
        <w:t>In re Loudenslager’s Estate</w:t>
      </w:r>
      <w:r>
        <w:t xml:space="preserve">, 430 Pa. 33, 240 A.2d 477, 482 (1968).  The burden of persuasion determines which party must produce sufficient evidence to convince a judge that a fact has been established, and it never leaves the party on whom it is originally cast.  </w:t>
      </w:r>
      <w:r>
        <w:rPr>
          <w:i/>
        </w:rPr>
        <w:t>Reidel v. County of Allegheny</w:t>
      </w:r>
      <w:r>
        <w:t xml:space="preserve">, 633 A.2d 1325, 1329 n. 11 (Pa. Cmwlth. Ct. 1993).  </w:t>
      </w:r>
    </w:p>
    <w:p w:rsidR="007B646E" w:rsidRDefault="007B646E" w:rsidP="007B646E">
      <w:pPr>
        <w:jc w:val="left"/>
      </w:pPr>
    </w:p>
    <w:p w:rsidR="007B646E" w:rsidRDefault="007B646E" w:rsidP="007B646E">
      <w:pPr>
        <w:contextualSpacing/>
        <w:jc w:val="left"/>
      </w:pPr>
      <w:r>
        <w:tab/>
      </w:r>
      <w:r>
        <w:tab/>
        <w:t>Therefore, the Company has the burden of proving that its proposed TOU filing is just and reasonable, and any party contesting it has the burden of persuading the Commission that the filing is not just and reasonable.</w:t>
      </w:r>
    </w:p>
    <w:p w:rsidR="007B646E" w:rsidRDefault="007B646E" w:rsidP="007B646E">
      <w:pPr>
        <w:contextualSpacing/>
        <w:jc w:val="left"/>
      </w:pPr>
    </w:p>
    <w:p w:rsidR="007B646E" w:rsidRPr="00FA2FAE" w:rsidRDefault="007B646E" w:rsidP="007B646E">
      <w:pPr>
        <w:contextualSpacing/>
        <w:jc w:val="left"/>
        <w:rPr>
          <w:b/>
        </w:rPr>
      </w:pPr>
      <w:r w:rsidRPr="00917649">
        <w:rPr>
          <w:b/>
        </w:rPr>
        <w:t>2.</w:t>
      </w:r>
      <w:r w:rsidRPr="00917649">
        <w:rPr>
          <w:b/>
        </w:rPr>
        <w:tab/>
        <w:t>Legal Standard</w:t>
      </w:r>
      <w:r w:rsidRPr="00FA2FAE">
        <w:rPr>
          <w:b/>
        </w:rPr>
        <w:t xml:space="preserve"> for TOU Programs</w:t>
      </w:r>
    </w:p>
    <w:p w:rsidR="007B646E" w:rsidRDefault="007B646E" w:rsidP="007B646E">
      <w:pPr>
        <w:contextualSpacing/>
        <w:jc w:val="left"/>
      </w:pPr>
    </w:p>
    <w:p w:rsidR="007B646E" w:rsidRDefault="007B646E" w:rsidP="007B646E">
      <w:pPr>
        <w:contextualSpacing/>
        <w:jc w:val="left"/>
      </w:pPr>
      <w:r>
        <w:tab/>
      </w:r>
      <w:r>
        <w:tab/>
        <w:t>The Public Utility Code requires electric distribution companies (EDCs) to offer TOU rates and real time pricing plans to customers who have smart meter technology:</w:t>
      </w:r>
    </w:p>
    <w:p w:rsidR="007B646E" w:rsidRDefault="007B646E" w:rsidP="007B646E">
      <w:pPr>
        <w:contextualSpacing/>
        <w:jc w:val="left"/>
      </w:pPr>
    </w:p>
    <w:p w:rsidR="007B646E" w:rsidRDefault="007B646E" w:rsidP="007B646E">
      <w:pPr>
        <w:spacing w:line="240" w:lineRule="auto"/>
        <w:ind w:left="1440" w:right="1440"/>
        <w:contextualSpacing/>
        <w:jc w:val="left"/>
      </w:pPr>
      <w:r>
        <w:t>(5)</w:t>
      </w:r>
      <w:r>
        <w:tab/>
        <w:t>By January 1, 2010, or at the end of the applicable generation rate cap period, whichever is later, a default service provider shall submit to the commission one or more proposed time-of-use rates and real-time pricing plans.  The commission shall approve or modify the time-of-use rates and the provider shall offer the time-of-use rates and real-time price plan to all customer</w:t>
      </w:r>
      <w:r w:rsidR="00E71194">
        <w:t>s</w:t>
      </w:r>
      <w:r>
        <w:t xml:space="preserve"> that have been provided with smart meter technology under paragraph (2)(iii).  Residential or commercial customers may elect to participate in time-of-use rates or real-time pricing.  The default service provider shall submit an annual report to the price </w:t>
      </w:r>
    </w:p>
    <w:p w:rsidR="007B646E" w:rsidRDefault="007B646E" w:rsidP="007B646E">
      <w:pPr>
        <w:spacing w:line="240" w:lineRule="auto"/>
        <w:ind w:left="1440" w:right="1440"/>
        <w:contextualSpacing/>
        <w:jc w:val="left"/>
      </w:pPr>
      <w:r>
        <w:t>programs and the efficacy of the programs in affecting energy demand and consumption and the effect on wholesale market prices.</w:t>
      </w:r>
    </w:p>
    <w:p w:rsidR="007B646E" w:rsidRDefault="00E71194" w:rsidP="007B646E">
      <w:pPr>
        <w:contextualSpacing/>
        <w:jc w:val="left"/>
      </w:pPr>
      <w:r>
        <w:t>66 Pa.</w:t>
      </w:r>
      <w:r w:rsidR="007B646E">
        <w:t>C.S. § 2807(f)(5).</w:t>
      </w:r>
      <w:r w:rsidR="007B646E">
        <w:rPr>
          <w:rStyle w:val="FootnoteReference"/>
        </w:rPr>
        <w:footnoteReference w:id="7"/>
      </w:r>
    </w:p>
    <w:p w:rsidR="007B646E" w:rsidRPr="007B646E" w:rsidRDefault="0093233B" w:rsidP="007B646E">
      <w:pPr>
        <w:pStyle w:val="BodyTextIndent"/>
        <w:ind w:firstLine="0"/>
      </w:pPr>
      <w:r>
        <w:t xml:space="preserve">  </w:t>
      </w:r>
    </w:p>
    <w:p w:rsidR="00C3390F" w:rsidRDefault="00C3390F" w:rsidP="00C3390F">
      <w:pPr>
        <w:contextualSpacing/>
        <w:jc w:val="left"/>
      </w:pPr>
      <w:r>
        <w:tab/>
      </w:r>
      <w:r>
        <w:tab/>
        <w:t>In addition, the Commission's evaluation of a settlement is to determine whether it is in the public interest.</w:t>
      </w:r>
    </w:p>
    <w:p w:rsidR="00C3390F" w:rsidRDefault="00C3390F" w:rsidP="00C3390F">
      <w:pPr>
        <w:contextualSpacing/>
        <w:jc w:val="left"/>
      </w:pPr>
    </w:p>
    <w:p w:rsidR="00C3390F" w:rsidRDefault="00C3390F" w:rsidP="00C3390F">
      <w:pPr>
        <w:pStyle w:val="BodyText"/>
        <w:ind w:firstLine="1440"/>
        <w:jc w:val="left"/>
      </w:pPr>
      <w:r>
        <w:t>It is the Commission’s policy to encourage and support settlements:</w:t>
      </w:r>
    </w:p>
    <w:p w:rsidR="00C3390F" w:rsidRDefault="00C3390F" w:rsidP="00C3390F">
      <w:pPr>
        <w:pStyle w:val="BodyText"/>
        <w:spacing w:line="240" w:lineRule="auto"/>
        <w:ind w:left="1440" w:right="1440"/>
        <w:contextualSpacing/>
        <w:jc w:val="left"/>
      </w:pPr>
      <w:r>
        <w:t>In the Commission’s judgment, the results achieved from a negotiated settlement or stipulation, or both, in which the interested parties have had an opportunity to participate are often preferable to those achieved at the conclusion of a fully litigated proceeding. . . .</w:t>
      </w:r>
    </w:p>
    <w:p w:rsidR="0086500D" w:rsidRDefault="0086500D" w:rsidP="00C3390F">
      <w:pPr>
        <w:pStyle w:val="BodyText"/>
        <w:spacing w:line="240" w:lineRule="auto"/>
        <w:ind w:left="1440" w:right="1440"/>
        <w:contextualSpacing/>
        <w:jc w:val="left"/>
      </w:pPr>
    </w:p>
    <w:p w:rsidR="00C3390F" w:rsidRDefault="00C3390F" w:rsidP="00C3390F">
      <w:pPr>
        <w:pStyle w:val="BodyText"/>
        <w:spacing w:line="240" w:lineRule="auto"/>
        <w:contextualSpacing/>
        <w:jc w:val="left"/>
      </w:pPr>
      <w:r>
        <w:t xml:space="preserve">52 Pa.Code § 69.401 (in pertinent part).  </w:t>
      </w:r>
      <w:r>
        <w:rPr>
          <w:i/>
        </w:rPr>
        <w:t xml:space="preserve">See also </w:t>
      </w:r>
      <w:r>
        <w:t xml:space="preserve">52 Pa.Code § 5.231; </w:t>
      </w:r>
      <w:r>
        <w:rPr>
          <w:i/>
        </w:rPr>
        <w:t xml:space="preserve">Pa. Pub. Util. Comm'n v. York Water Co., </w:t>
      </w:r>
      <w:r>
        <w:t xml:space="preserve">Docket No. R-00049165 (Order entered Oct. 4, 2004); </w:t>
      </w:r>
      <w:r>
        <w:rPr>
          <w:i/>
        </w:rPr>
        <w:t>Pa. Pub</w:t>
      </w:r>
      <w:r>
        <w:t xml:space="preserve">. </w:t>
      </w:r>
      <w:r>
        <w:rPr>
          <w:i/>
        </w:rPr>
        <w:t xml:space="preserve">Util. Comm'n v. C.S. Water and Sewer Assocs., </w:t>
      </w:r>
      <w:r>
        <w:t>74 Pa. P.U.C. 767 (1991).</w:t>
      </w:r>
    </w:p>
    <w:p w:rsidR="00C3390F" w:rsidRDefault="00C3390F" w:rsidP="0086500D">
      <w:pPr>
        <w:pStyle w:val="BodyText"/>
        <w:spacing w:line="480" w:lineRule="auto"/>
        <w:contextualSpacing/>
        <w:jc w:val="left"/>
      </w:pPr>
    </w:p>
    <w:p w:rsidR="00C3390F" w:rsidRDefault="00EE327E" w:rsidP="00C3390F">
      <w:pPr>
        <w:pStyle w:val="BodyText"/>
        <w:spacing w:line="240" w:lineRule="auto"/>
        <w:contextualSpacing/>
        <w:jc w:val="left"/>
        <w:rPr>
          <w:b/>
        </w:rPr>
      </w:pPr>
      <w:r>
        <w:rPr>
          <w:b/>
        </w:rPr>
        <w:t>3.</w:t>
      </w:r>
      <w:r>
        <w:rPr>
          <w:b/>
        </w:rPr>
        <w:tab/>
      </w:r>
      <w:r w:rsidR="007C2873">
        <w:rPr>
          <w:b/>
        </w:rPr>
        <w:t xml:space="preserve">The </w:t>
      </w:r>
      <w:r w:rsidR="00397BBD">
        <w:rPr>
          <w:b/>
        </w:rPr>
        <w:t xml:space="preserve">Partial </w:t>
      </w:r>
      <w:r w:rsidR="007C2873">
        <w:rPr>
          <w:b/>
        </w:rPr>
        <w:t>Settlement</w:t>
      </w:r>
    </w:p>
    <w:p w:rsidR="007C2873" w:rsidRDefault="007C2873" w:rsidP="001F177C">
      <w:pPr>
        <w:pStyle w:val="BodyText"/>
        <w:contextualSpacing/>
        <w:jc w:val="left"/>
      </w:pPr>
    </w:p>
    <w:p w:rsidR="001F177C" w:rsidRDefault="001F177C" w:rsidP="001F177C">
      <w:pPr>
        <w:pStyle w:val="BodyText"/>
        <w:contextualSpacing/>
        <w:jc w:val="left"/>
      </w:pPr>
      <w:r>
        <w:tab/>
      </w:r>
      <w:r>
        <w:tab/>
        <w:t xml:space="preserve">The JPPS provides a TOU rate option which uses the retail market and EGSs' services to satisfy the statute's requirement to offer TOU service to default customers.  The participating EGSs can set a rate that varies with time of use and includes on- and off-peak periods.  The specific terms of participation for an EGS are spelled out in the Participation Form, attached to the JPPS so that there are no surprises.  </w:t>
      </w:r>
    </w:p>
    <w:p w:rsidR="003676FE" w:rsidRDefault="0084715B" w:rsidP="001F177C">
      <w:pPr>
        <w:pStyle w:val="BodyText"/>
        <w:contextualSpacing/>
        <w:jc w:val="left"/>
      </w:pPr>
      <w:r>
        <w:tab/>
      </w:r>
      <w:r>
        <w:tab/>
        <w:t xml:space="preserve">The </w:t>
      </w:r>
      <w:r w:rsidR="003E5448">
        <w:t xml:space="preserve">Settlement complies with the Commission's </w:t>
      </w:r>
      <w:r w:rsidR="003E5448" w:rsidRPr="003E5448">
        <w:rPr>
          <w:i/>
        </w:rPr>
        <w:t>DSP II</w:t>
      </w:r>
      <w:r w:rsidR="003E5448">
        <w:t xml:space="preserve"> </w:t>
      </w:r>
      <w:r w:rsidR="003E5448">
        <w:rPr>
          <w:i/>
        </w:rPr>
        <w:t>January 24 Order</w:t>
      </w:r>
      <w:r>
        <w:tab/>
      </w:r>
      <w:r w:rsidR="003E5448">
        <w:t>which opines that the Company can use EGSs to satisfy its statutory obligation to offer TOU service to its default service customers.</w:t>
      </w:r>
    </w:p>
    <w:p w:rsidR="003676FE" w:rsidRDefault="003676FE" w:rsidP="001F177C">
      <w:pPr>
        <w:pStyle w:val="BodyText"/>
        <w:contextualSpacing/>
        <w:jc w:val="left"/>
      </w:pPr>
    </w:p>
    <w:p w:rsidR="006648E9" w:rsidRDefault="003676FE" w:rsidP="001F177C">
      <w:pPr>
        <w:pStyle w:val="BodyText"/>
        <w:contextualSpacing/>
        <w:jc w:val="left"/>
      </w:pPr>
      <w:r>
        <w:tab/>
      </w:r>
      <w:r>
        <w:tab/>
        <w:t>The participating EGSs are required to structure their programs so that the on- and off-peak hours are clear; that the off-peak discounted hours cannot include 2:00 p</w:t>
      </w:r>
      <w:r w:rsidR="0086500D">
        <w:t>.</w:t>
      </w:r>
      <w:r>
        <w:t>m</w:t>
      </w:r>
      <w:r w:rsidR="0086500D">
        <w:t>.</w:t>
      </w:r>
      <w:r>
        <w:t xml:space="preserve"> to 6:00 p</w:t>
      </w:r>
      <w:r w:rsidR="0086500D">
        <w:t>.</w:t>
      </w:r>
      <w:r>
        <w:t>m</w:t>
      </w:r>
      <w:r w:rsidR="0086500D">
        <w:t>.</w:t>
      </w:r>
      <w:r>
        <w:t xml:space="preserve"> Monday through Friday, excluding summer holidays.  This means that the actual hours of highest usage will not </w:t>
      </w:r>
      <w:r w:rsidR="006648E9">
        <w:t xml:space="preserve">be discounted.  </w:t>
      </w:r>
    </w:p>
    <w:p w:rsidR="006648E9" w:rsidRDefault="006648E9" w:rsidP="001F177C">
      <w:pPr>
        <w:pStyle w:val="BodyText"/>
        <w:contextualSpacing/>
        <w:jc w:val="left"/>
      </w:pPr>
    </w:p>
    <w:p w:rsidR="00ED11A2" w:rsidRDefault="006648E9" w:rsidP="001F177C">
      <w:pPr>
        <w:pStyle w:val="BodyText"/>
        <w:contextualSpacing/>
        <w:jc w:val="left"/>
      </w:pPr>
      <w:r>
        <w:tab/>
      </w:r>
      <w:r>
        <w:tab/>
        <w:t xml:space="preserve">The Company will engage in additional education, including information on its website, providing information to customer service representatives, providing a fact sheet with tips on how consumers can shift their usage, and inclusion of information in the newsletter sent with the bill.  </w:t>
      </w:r>
    </w:p>
    <w:p w:rsidR="00ED11A2" w:rsidRDefault="00ED11A2" w:rsidP="001F177C">
      <w:pPr>
        <w:pStyle w:val="BodyText"/>
        <w:contextualSpacing/>
        <w:jc w:val="left"/>
      </w:pPr>
    </w:p>
    <w:p w:rsidR="00D23A44" w:rsidRDefault="00ED11A2" w:rsidP="001F177C">
      <w:pPr>
        <w:pStyle w:val="BodyText"/>
        <w:contextualSpacing/>
        <w:jc w:val="left"/>
      </w:pPr>
      <w:r>
        <w:tab/>
      </w:r>
      <w:r>
        <w:tab/>
        <w:t>The parties agreed to additional reporting requirements.  The participating EGSs will provide the Company with the number of customers that participated in its rate offering under the Pilot TOU Program during the previous quarter.  Also, the EGSs will provide their aggregate monthly on- and off-peak load information for customers participating in the TOU program.  The Company will provide a quarterly status report on the Pilot TOU</w:t>
      </w:r>
      <w:r w:rsidR="00D23A44">
        <w:t xml:space="preserve"> Program to the parties in this proceeding.  </w:t>
      </w:r>
    </w:p>
    <w:p w:rsidR="00D23A44" w:rsidRDefault="00D23A44" w:rsidP="001F177C">
      <w:pPr>
        <w:pStyle w:val="BodyText"/>
        <w:contextualSpacing/>
        <w:jc w:val="left"/>
      </w:pPr>
    </w:p>
    <w:p w:rsidR="00D23A44" w:rsidRDefault="00D23A44" w:rsidP="001F177C">
      <w:pPr>
        <w:pStyle w:val="BodyText"/>
        <w:contextualSpacing/>
        <w:jc w:val="left"/>
      </w:pPr>
      <w:r>
        <w:tab/>
      </w:r>
      <w:r>
        <w:tab/>
        <w:t>The Company will also provide an analysis of the information that it receives from the EGSs' quarterly status reports concerning the number of customers that participated in EGSs' rate offerings under the Pilot TOU Program during the previous quarter and the EGS' aggregate monthly on- and off-peak load information.</w:t>
      </w:r>
    </w:p>
    <w:p w:rsidR="00D23A44" w:rsidRDefault="00D23A44" w:rsidP="001F177C">
      <w:pPr>
        <w:pStyle w:val="BodyText"/>
        <w:contextualSpacing/>
        <w:jc w:val="left"/>
      </w:pPr>
    </w:p>
    <w:p w:rsidR="00A52A22" w:rsidRDefault="00D23A44" w:rsidP="001F177C">
      <w:pPr>
        <w:pStyle w:val="BodyText"/>
        <w:contextualSpacing/>
        <w:jc w:val="left"/>
      </w:pPr>
      <w:r>
        <w:tab/>
      </w:r>
      <w:r>
        <w:tab/>
        <w:t xml:space="preserve">All Residential and Small C&amp;I customers, except for OnTrack customers, are eligible to participate.  This restriction was included in response to the concerns raised by CAUSE-PA and the Company as the record indicates that there are a significant number of OnTrack customers paying for generation that exceeds the PTC.  As it is a pilot program set to expire on May 31, 2015, the duration is short.  </w:t>
      </w:r>
    </w:p>
    <w:p w:rsidR="00A52A22" w:rsidRDefault="00A52A22" w:rsidP="001F177C">
      <w:pPr>
        <w:pStyle w:val="BodyText"/>
        <w:contextualSpacing/>
        <w:jc w:val="left"/>
      </w:pPr>
      <w:r>
        <w:tab/>
      </w:r>
      <w:r>
        <w:tab/>
        <w:t xml:space="preserve">The Company notes that the Commission has expressed its preference that CAP customers be treated like any other customer by being included in shopping plans.  </w:t>
      </w:r>
      <w:r>
        <w:rPr>
          <w:i/>
        </w:rPr>
        <w:t xml:space="preserve">Petition of PECO Energy Company for Approval of its Default Service Plan, </w:t>
      </w:r>
      <w:r>
        <w:t>Docket No. P-2012-2283641 (Order Entered January 24, 2014).  This Order is presently on appeal with the Commonwealth Court, and the Commission Order has been stayed.  No. 445 C.D. 2014.</w:t>
      </w:r>
    </w:p>
    <w:p w:rsidR="00A52A22" w:rsidRDefault="00A52A22" w:rsidP="001F177C">
      <w:pPr>
        <w:pStyle w:val="BodyText"/>
        <w:contextualSpacing/>
        <w:jc w:val="left"/>
      </w:pPr>
    </w:p>
    <w:p w:rsidR="00C6000A" w:rsidRDefault="00A52A22" w:rsidP="001F177C">
      <w:pPr>
        <w:pStyle w:val="BodyText"/>
        <w:contextualSpacing/>
        <w:jc w:val="left"/>
      </w:pPr>
      <w:r>
        <w:tab/>
      </w:r>
      <w:r>
        <w:tab/>
        <w:t xml:space="preserve">As the duration of this program is short, time is of the essence and any delay in its implementation would result in the continuation of the </w:t>
      </w:r>
      <w:r w:rsidR="00537587">
        <w:t>present</w:t>
      </w:r>
      <w:r>
        <w:t xml:space="preserve"> TOU rates.  Excluding a lim</w:t>
      </w:r>
      <w:r w:rsidR="00C6000A">
        <w:t xml:space="preserve">ited class of customers </w:t>
      </w:r>
      <w:r w:rsidR="00537587">
        <w:t>at this point may not be ideal but is not unreasonable because those customers should</w:t>
      </w:r>
      <w:r w:rsidR="00C6000A">
        <w:t xml:space="preserve"> benefit from the additional lessons learned from this program before they are included</w:t>
      </w:r>
      <w:r w:rsidR="00537587">
        <w:t xml:space="preserve"> in future TOU programs</w:t>
      </w:r>
      <w:r w:rsidR="00C6000A">
        <w:t xml:space="preserve">.  The parties here have agreed to the exclusion, and it is a material term of the JPPS.  The exclusion </w:t>
      </w:r>
      <w:r w:rsidR="00901FCB">
        <w:t xml:space="preserve">here as part of a settlement </w:t>
      </w:r>
      <w:r w:rsidR="00C6000A">
        <w:t>does not</w:t>
      </w:r>
      <w:r w:rsidR="00901FCB">
        <w:t xml:space="preserve"> set precedent nor does it exclude OnTrack customers from future TOU programs.  It</w:t>
      </w:r>
      <w:r w:rsidR="00C6000A">
        <w:t xml:space="preserve"> is simply a compromise position for this limited-term program.</w:t>
      </w:r>
    </w:p>
    <w:p w:rsidR="00C6000A" w:rsidRDefault="00C6000A" w:rsidP="001F177C">
      <w:pPr>
        <w:pStyle w:val="BodyText"/>
        <w:contextualSpacing/>
        <w:jc w:val="left"/>
      </w:pPr>
    </w:p>
    <w:p w:rsidR="000F6E6F" w:rsidRDefault="00C6000A" w:rsidP="001F177C">
      <w:pPr>
        <w:pStyle w:val="BodyText"/>
        <w:contextualSpacing/>
        <w:jc w:val="left"/>
      </w:pPr>
      <w:r>
        <w:tab/>
      </w:r>
      <w:r>
        <w:tab/>
        <w:t xml:space="preserve">The existing TOU plan will be closed to new customers as soon as the proposed Plan is implemented.  </w:t>
      </w:r>
      <w:r w:rsidR="00901FCB">
        <w:t>Present TOU</w:t>
      </w:r>
      <w:r w:rsidR="000F6E6F">
        <w:t xml:space="preserve"> customers may move to the new plan, to default service, or to an EGS.  CAP customers will be returned to default service.</w:t>
      </w:r>
    </w:p>
    <w:p w:rsidR="000F6E6F" w:rsidRDefault="000F6E6F" w:rsidP="001F177C">
      <w:pPr>
        <w:pStyle w:val="BodyText"/>
        <w:contextualSpacing/>
        <w:jc w:val="left"/>
      </w:pPr>
    </w:p>
    <w:p w:rsidR="00D66019" w:rsidRDefault="000F6E6F" w:rsidP="001F177C">
      <w:pPr>
        <w:pStyle w:val="BodyText"/>
        <w:contextualSpacing/>
        <w:jc w:val="left"/>
      </w:pPr>
      <w:r>
        <w:tab/>
      </w:r>
      <w:r>
        <w:tab/>
        <w:t>Notification includes a letter sent to existing customers 45 days in advance of the</w:t>
      </w:r>
      <w:r w:rsidR="00D66019">
        <w:t xml:space="preserve"> start of the new program telling customers of their options and what will happen if they do nothing.  </w:t>
      </w:r>
    </w:p>
    <w:p w:rsidR="00D66019" w:rsidRDefault="00D66019" w:rsidP="001F177C">
      <w:pPr>
        <w:pStyle w:val="BodyText"/>
        <w:contextualSpacing/>
        <w:jc w:val="left"/>
      </w:pPr>
    </w:p>
    <w:p w:rsidR="0075407B" w:rsidRDefault="00D66019" w:rsidP="0075407B">
      <w:pPr>
        <w:pStyle w:val="BodyText"/>
        <w:contextualSpacing/>
        <w:jc w:val="left"/>
      </w:pPr>
      <w:r>
        <w:tab/>
      </w:r>
      <w:r>
        <w:tab/>
      </w:r>
      <w:r w:rsidR="00AE7C01">
        <w:t>T</w:t>
      </w:r>
      <w:r>
        <w:t xml:space="preserve">he JPPS provides a contingency plan.  </w:t>
      </w:r>
      <w:r w:rsidR="00AE7C01">
        <w:t xml:space="preserve">JPPS </w:t>
      </w:r>
      <w:r w:rsidR="0075407B">
        <w:t>¶</w:t>
      </w:r>
      <w:r w:rsidR="00AE7C01">
        <w:t xml:space="preserve">49.  </w:t>
      </w:r>
      <w:r>
        <w:t xml:space="preserve">In the event that no EGSs participate, or if all EGSs opt out or default after its implementation, PPL will </w:t>
      </w:r>
      <w:r w:rsidR="001B448C">
        <w:t xml:space="preserve">first attempt to obtain the participation of an appropriate EGS, </w:t>
      </w:r>
      <w:r w:rsidR="0075407B">
        <w:t xml:space="preserve">which is a rational approach to the circumstances.  </w:t>
      </w:r>
    </w:p>
    <w:p w:rsidR="00AE7C01" w:rsidRDefault="00D66019" w:rsidP="001F177C">
      <w:pPr>
        <w:pStyle w:val="BodyText"/>
        <w:contextualSpacing/>
        <w:jc w:val="left"/>
      </w:pPr>
      <w:r>
        <w:t xml:space="preserve"> </w:t>
      </w:r>
    </w:p>
    <w:p w:rsidR="0075407B" w:rsidRDefault="00AE7C01" w:rsidP="001F177C">
      <w:pPr>
        <w:pStyle w:val="BodyText"/>
        <w:contextualSpacing/>
        <w:jc w:val="left"/>
      </w:pPr>
      <w:r>
        <w:tab/>
      </w:r>
      <w:r>
        <w:tab/>
        <w:t xml:space="preserve">However, Paragraph 49 also provides that, if no appropriate EGS can be engaged, PPL will seek approval of its </w:t>
      </w:r>
      <w:r w:rsidR="001B448C">
        <w:t>"summer only" program</w:t>
      </w:r>
      <w:r w:rsidR="002442A9">
        <w:t xml:space="preserve">.  </w:t>
      </w:r>
      <w:r w:rsidR="0075407B">
        <w:t>This is not viable in this case.</w:t>
      </w:r>
    </w:p>
    <w:p w:rsidR="00537587" w:rsidRDefault="00537587" w:rsidP="001F177C">
      <w:pPr>
        <w:pStyle w:val="BodyText"/>
        <w:contextualSpacing/>
        <w:jc w:val="left"/>
      </w:pPr>
    </w:p>
    <w:p w:rsidR="0075407B" w:rsidRDefault="00537587" w:rsidP="001F177C">
      <w:pPr>
        <w:pStyle w:val="BodyText"/>
        <w:contextualSpacing/>
        <w:jc w:val="left"/>
      </w:pPr>
      <w:r>
        <w:tab/>
      </w:r>
      <w:r>
        <w:tab/>
        <w:t xml:space="preserve">Given the probable timeframe from completion of this proceeding, including the Exceptions period and the Commission's Public Meeting schedule, as well as the provision in the JPPS that the Pilot TOU Program is effective 90 days following issuance of a final order approving the Program, </w:t>
      </w:r>
      <w:r w:rsidR="002442A9">
        <w:t>JPPS ¶ 46</w:t>
      </w:r>
      <w:r>
        <w:t>, t</w:t>
      </w:r>
      <w:r w:rsidR="00901FCB">
        <w:t>he earliest possible effective date of the program</w:t>
      </w:r>
      <w:r w:rsidR="00186970">
        <w:t xml:space="preserve"> is </w:t>
      </w:r>
      <w:r w:rsidR="00901FCB">
        <w:t xml:space="preserve">in </w:t>
      </w:r>
      <w:r w:rsidR="00186970">
        <w:t>October 2014</w:t>
      </w:r>
      <w:r w:rsidR="002442A9">
        <w:t>.</w:t>
      </w:r>
      <w:r w:rsidR="00186970">
        <w:t xml:space="preserve">  If, at that point, there are no EGS participants, then PPL will search for an appropriate EGS.  This step is not quantified in terms of time, but if no appropriate EGS is found, the next part of the contingency plan covers only June, July and August.  The term of the Pilot TOU ends prior to the summer of 2015. </w:t>
      </w:r>
      <w:r>
        <w:t xml:space="preserve"> </w:t>
      </w:r>
      <w:r w:rsidR="00186970">
        <w:t xml:space="preserve">The window of opportunity is already gone, and this part of the Plan will never be used.  </w:t>
      </w:r>
      <w:r w:rsidR="0075407B">
        <w:t xml:space="preserve">However, </w:t>
      </w:r>
      <w:r w:rsidR="00AE7C01">
        <w:t>there is no point in carving it out of the JPPS</w:t>
      </w:r>
      <w:r w:rsidR="0075407B">
        <w:t xml:space="preserve"> for two reasons:  (1) it is harmless; and (2) the JPPS</w:t>
      </w:r>
      <w:r w:rsidR="00AE7C01">
        <w:t xml:space="preserve"> must be approved in its totality in order to remain intact.</w:t>
      </w:r>
    </w:p>
    <w:p w:rsidR="0075407B" w:rsidRDefault="0075407B" w:rsidP="001F177C">
      <w:pPr>
        <w:pStyle w:val="BodyText"/>
        <w:contextualSpacing/>
        <w:jc w:val="left"/>
      </w:pPr>
    </w:p>
    <w:p w:rsidR="007C2873" w:rsidRDefault="00110EA7" w:rsidP="007C2873">
      <w:pPr>
        <w:pStyle w:val="BodyText"/>
        <w:contextualSpacing/>
        <w:jc w:val="left"/>
      </w:pPr>
      <w:r>
        <w:tab/>
      </w:r>
      <w:r>
        <w:tab/>
      </w:r>
      <w:r w:rsidR="007C2873">
        <w:t>As part of the JPPS, the parties articulate the following points i</w:t>
      </w:r>
      <w:r w:rsidR="00DD570C">
        <w:t>n</w:t>
      </w:r>
      <w:r w:rsidR="007C2873">
        <w:t xml:space="preserve"> support of their burden of showing that the JPPS is in the public interest:  (1) the JPPS settles all issues with the exception of the net metering issues raised by DCIDA; (2) the proposed program satisfies the requirement of 66 Pa.C.S. § 2807(f)(5); (3) the Plan uses the retail market and EGSs, which satisfies the Commission's concerns and resolves various issues that have plagued prior TOU efforts; (4) the JPPS eliminates the need for further litigation of the settled issues; </w:t>
      </w:r>
      <w:r w:rsidR="00537587">
        <w:t xml:space="preserve">and </w:t>
      </w:r>
      <w:r w:rsidR="007C2873">
        <w:t xml:space="preserve">(5)  </w:t>
      </w:r>
      <w:r w:rsidR="005729EE">
        <w:t>settlements are</w:t>
      </w:r>
      <w:r w:rsidR="007C2873">
        <w:t xml:space="preserve"> in the </w:t>
      </w:r>
      <w:r w:rsidR="00537587">
        <w:t>public</w:t>
      </w:r>
      <w:r w:rsidR="007C2873">
        <w:t xml:space="preserve"> interest.</w:t>
      </w:r>
    </w:p>
    <w:p w:rsidR="000B6467" w:rsidRDefault="000B6467" w:rsidP="007C2873">
      <w:pPr>
        <w:pStyle w:val="BodyText"/>
        <w:contextualSpacing/>
        <w:jc w:val="left"/>
      </w:pPr>
    </w:p>
    <w:p w:rsidR="0055412F" w:rsidRPr="000B6467" w:rsidRDefault="0086500D" w:rsidP="007C2873">
      <w:pPr>
        <w:pStyle w:val="BodyText"/>
        <w:contextualSpacing/>
        <w:jc w:val="left"/>
        <w:rPr>
          <w:b/>
        </w:rPr>
      </w:pPr>
      <w:r>
        <w:rPr>
          <w:b/>
        </w:rPr>
        <w:t>1.</w:t>
      </w:r>
      <w:r>
        <w:rPr>
          <w:b/>
        </w:rPr>
        <w:tab/>
      </w:r>
      <w:r w:rsidR="000B6467" w:rsidRPr="000B6467">
        <w:rPr>
          <w:b/>
        </w:rPr>
        <w:t>INDIVIDUAL PARTY POSITIONS</w:t>
      </w:r>
    </w:p>
    <w:p w:rsidR="000B6467" w:rsidRPr="000B6467" w:rsidRDefault="0055412F" w:rsidP="007C2873">
      <w:pPr>
        <w:pStyle w:val="BodyText"/>
        <w:contextualSpacing/>
        <w:jc w:val="left"/>
        <w:rPr>
          <w:b/>
        </w:rPr>
      </w:pPr>
      <w:r>
        <w:tab/>
      </w:r>
      <w:r w:rsidR="0086500D">
        <w:t>a.</w:t>
      </w:r>
      <w:r w:rsidR="0086500D">
        <w:tab/>
      </w:r>
      <w:r w:rsidR="000B6467" w:rsidRPr="000B6467">
        <w:rPr>
          <w:b/>
        </w:rPr>
        <w:t>PPL</w:t>
      </w:r>
    </w:p>
    <w:p w:rsidR="000B6467" w:rsidRDefault="000B6467" w:rsidP="007C2873">
      <w:pPr>
        <w:pStyle w:val="BodyText"/>
        <w:contextualSpacing/>
        <w:jc w:val="left"/>
      </w:pPr>
    </w:p>
    <w:p w:rsidR="00D13CBC" w:rsidRDefault="00D13CBC" w:rsidP="007C2873">
      <w:pPr>
        <w:pStyle w:val="BodyText"/>
        <w:contextualSpacing/>
        <w:jc w:val="left"/>
      </w:pPr>
      <w:r>
        <w:tab/>
      </w:r>
      <w:r>
        <w:tab/>
        <w:t>The Company experienced an unfortunate series of events with its first TOU program when its projected TOU price turned out to be substantially lower than the actual price paid for the load purchased to service TOU customers.  When the price was adjusted, customers fled the program, leaving very few to charge with the reconciliation.  It has struggled to find a workable program which satisfied the statute, the customers, and the Company's need to recoup its own costs.</w:t>
      </w:r>
    </w:p>
    <w:p w:rsidR="00D13CBC" w:rsidRDefault="00D13CBC" w:rsidP="007C2873">
      <w:pPr>
        <w:pStyle w:val="BodyText"/>
        <w:contextualSpacing/>
        <w:jc w:val="left"/>
      </w:pPr>
    </w:p>
    <w:p w:rsidR="004A4932" w:rsidRDefault="00D13CBC" w:rsidP="007C2873">
      <w:pPr>
        <w:pStyle w:val="BodyText"/>
        <w:contextualSpacing/>
        <w:jc w:val="left"/>
      </w:pPr>
      <w:r>
        <w:tab/>
      </w:r>
      <w:r>
        <w:tab/>
        <w:t xml:space="preserve">With the present TOU Plan, </w:t>
      </w:r>
      <w:r w:rsidR="00110EA7">
        <w:t>the Company satisfies the statute's requirements that it offer a TOU or real-time price program to all customers with smart-meter technology.  The TOU Plan also provides the retail market the opportunity to develop competitive programs within one EDC's service territory, thus furthering electric competition.</w:t>
      </w:r>
      <w:r w:rsidR="004A4932">
        <w:t xml:space="preserve">  Thus, if one or more EGSs offer a suitable plan, PPL will not have costs to reconcile, thereby avoiding the pitfalls experienced in it</w:t>
      </w:r>
      <w:r w:rsidR="00537587">
        <w:t>s</w:t>
      </w:r>
      <w:r w:rsidR="004A4932">
        <w:t xml:space="preserve"> earlier plan.  </w:t>
      </w:r>
    </w:p>
    <w:p w:rsidR="004A4932" w:rsidRDefault="004A4932" w:rsidP="007C2873">
      <w:pPr>
        <w:pStyle w:val="BodyText"/>
        <w:contextualSpacing/>
        <w:jc w:val="left"/>
      </w:pPr>
    </w:p>
    <w:p w:rsidR="0055412F" w:rsidRDefault="0086500D" w:rsidP="007C2873">
      <w:pPr>
        <w:pStyle w:val="BodyText"/>
        <w:contextualSpacing/>
        <w:jc w:val="left"/>
        <w:rPr>
          <w:b/>
        </w:rPr>
      </w:pPr>
      <w:r>
        <w:rPr>
          <w:b/>
        </w:rPr>
        <w:t>2.</w:t>
      </w:r>
      <w:r>
        <w:rPr>
          <w:b/>
        </w:rPr>
        <w:tab/>
      </w:r>
      <w:r w:rsidR="000B6467">
        <w:rPr>
          <w:b/>
        </w:rPr>
        <w:t>OCA</w:t>
      </w:r>
    </w:p>
    <w:p w:rsidR="000B6467" w:rsidRDefault="000B6467" w:rsidP="007C2873">
      <w:pPr>
        <w:pStyle w:val="BodyText"/>
        <w:contextualSpacing/>
        <w:jc w:val="left"/>
        <w:rPr>
          <w:b/>
        </w:rPr>
      </w:pPr>
    </w:p>
    <w:p w:rsidR="000B6467" w:rsidRDefault="000B6467" w:rsidP="007C2873">
      <w:pPr>
        <w:pStyle w:val="BodyText"/>
        <w:contextualSpacing/>
        <w:jc w:val="left"/>
      </w:pPr>
      <w:r>
        <w:rPr>
          <w:b/>
        </w:rPr>
        <w:tab/>
      </w:r>
      <w:r>
        <w:tab/>
        <w:t>The OCA has been a party in the PPL TOU cases since their inception</w:t>
      </w:r>
      <w:r w:rsidR="00223F92">
        <w:t xml:space="preserve"> and has conducted an extensive review of the proposal.  The OCA witnesses were instrumental in shaping the negotiated result.  OCA states that the proposed plan ensures that the generation costs associated with TOU usage will not be passed through to non-TOU customers, that low-income customers are protected and that appropriate educational tools will be used to inform customers of the terms of the program.  </w:t>
      </w:r>
    </w:p>
    <w:p w:rsidR="00223F92" w:rsidRDefault="00223F92" w:rsidP="007C2873">
      <w:pPr>
        <w:pStyle w:val="BodyText"/>
        <w:contextualSpacing/>
        <w:jc w:val="left"/>
      </w:pPr>
    </w:p>
    <w:p w:rsidR="00223F92" w:rsidRDefault="00223F92" w:rsidP="007C2873">
      <w:pPr>
        <w:pStyle w:val="BodyText"/>
        <w:contextualSpacing/>
        <w:jc w:val="left"/>
      </w:pPr>
      <w:r>
        <w:tab/>
      </w:r>
      <w:r>
        <w:tab/>
        <w:t>OCA adds that the JPPS provides that the TOU rate must reflect peak summer periods which include the hours of 2:00 pm to 6:00 pm in the summer months.  This is important because it ensures that customers receive the proper incentives to shift power off the highest cost summer periods in PJM.  This shift addresses the very purpose of a TOU program, which is to lower peak demand and provide lower rates for customers who participate.  In short, the program provides a reasonable balance between the goals of TOU rates and the ability of EGSs to develop the terms and conditions of TOU service.  It is an improvement over the existing program and should be approved.</w:t>
      </w:r>
    </w:p>
    <w:p w:rsidR="00223F92" w:rsidRDefault="00223F92" w:rsidP="007C2873">
      <w:pPr>
        <w:pStyle w:val="BodyText"/>
        <w:contextualSpacing/>
        <w:jc w:val="left"/>
      </w:pPr>
    </w:p>
    <w:p w:rsidR="00223F92" w:rsidRDefault="00223F92" w:rsidP="007C2873">
      <w:pPr>
        <w:pStyle w:val="BodyText"/>
        <w:contextualSpacing/>
        <w:jc w:val="left"/>
      </w:pPr>
      <w:r>
        <w:tab/>
      </w:r>
      <w:r>
        <w:tab/>
        <w:t>Finally, the reporting requirements will provide valuable information for use in the development of future TOU programs, and it provides a reasonable transition for existing customers.  OCA St. in Support.</w:t>
      </w:r>
    </w:p>
    <w:p w:rsidR="00223F92" w:rsidRDefault="00223F92" w:rsidP="007C2873">
      <w:pPr>
        <w:pStyle w:val="BodyText"/>
        <w:contextualSpacing/>
        <w:jc w:val="left"/>
      </w:pPr>
    </w:p>
    <w:p w:rsidR="00EE327E" w:rsidRDefault="00EE327E">
      <w:pPr>
        <w:rPr>
          <w:b/>
        </w:rPr>
      </w:pPr>
      <w:r>
        <w:rPr>
          <w:b/>
        </w:rPr>
        <w:br w:type="page"/>
      </w:r>
    </w:p>
    <w:p w:rsidR="00C47E3E" w:rsidRDefault="0086500D" w:rsidP="007C2873">
      <w:pPr>
        <w:pStyle w:val="BodyText"/>
        <w:contextualSpacing/>
        <w:jc w:val="left"/>
        <w:rPr>
          <w:b/>
        </w:rPr>
      </w:pPr>
      <w:r>
        <w:rPr>
          <w:b/>
        </w:rPr>
        <w:t>3.</w:t>
      </w:r>
      <w:r w:rsidR="00C47E3E">
        <w:tab/>
      </w:r>
      <w:r>
        <w:rPr>
          <w:b/>
        </w:rPr>
        <w:t>CAUSE-PA</w:t>
      </w:r>
    </w:p>
    <w:p w:rsidR="00C47E3E" w:rsidRDefault="00C47E3E" w:rsidP="007C2873">
      <w:pPr>
        <w:pStyle w:val="BodyText"/>
        <w:contextualSpacing/>
        <w:jc w:val="left"/>
      </w:pPr>
    </w:p>
    <w:p w:rsidR="00C47E3E" w:rsidRDefault="00C47E3E" w:rsidP="007C2873">
      <w:pPr>
        <w:pStyle w:val="BodyText"/>
        <w:contextualSpacing/>
        <w:jc w:val="left"/>
      </w:pPr>
      <w:r>
        <w:tab/>
      </w:r>
      <w:r>
        <w:tab/>
        <w:t xml:space="preserve">CAUSE-PA participated in both the TOU Collaborative which preceded this docket and the negotiations which resulted in the JPPS, including providing a witness to evaluate whether the program would be in the best interest of low-income customers.  A main concern of CAUSE-PA was whether the low-income customer enrolled in PPL's CAP program, OnTrack, should participate in the Pilot TOU Program.  This issue was problematic and the parties arrived at a good faith compromise which seeks to address the concerns surrounding low-income involvement.  </w:t>
      </w:r>
    </w:p>
    <w:p w:rsidR="00C47E3E" w:rsidRDefault="00C47E3E" w:rsidP="007C2873">
      <w:pPr>
        <w:pStyle w:val="BodyText"/>
        <w:contextualSpacing/>
        <w:jc w:val="left"/>
      </w:pPr>
    </w:p>
    <w:p w:rsidR="004B3A6D" w:rsidRDefault="00C47E3E" w:rsidP="007C2873">
      <w:pPr>
        <w:pStyle w:val="BodyText"/>
        <w:contextualSpacing/>
        <w:jc w:val="left"/>
      </w:pPr>
      <w:r>
        <w:tab/>
      </w:r>
      <w:r>
        <w:tab/>
        <w:t>CAUSE-PA avers that the exclusion of OnTrack customers</w:t>
      </w:r>
      <w:r w:rsidR="004B3A6D">
        <w:t xml:space="preserve"> is in the public interest.  Data presented by the CAUSE-PA witness, Mr. Krone, documented that low-income customers are in need of additional protections, as they are four times as likely to have their service terminated as other residential customers; nearly 60% of PPL's low-income customers are on payment agreements; and in 2013, 67% of the bills received by OnTrack customers who were receiving service by an EGS were above the PTC.  This led to the conclusion that inclusion of these households in a TOU program without adequate price safeguards is poor public policy.  CAUSE-PA St. in Support at 2-3 (citations to record omitted).  </w:t>
      </w:r>
    </w:p>
    <w:p w:rsidR="004B3A6D" w:rsidRDefault="004B3A6D" w:rsidP="007C2873">
      <w:pPr>
        <w:pStyle w:val="BodyText"/>
        <w:contextualSpacing/>
        <w:jc w:val="left"/>
      </w:pPr>
    </w:p>
    <w:p w:rsidR="004B3A6D" w:rsidRDefault="004B3A6D" w:rsidP="007C2873">
      <w:pPr>
        <w:pStyle w:val="BodyText"/>
        <w:contextualSpacing/>
        <w:jc w:val="left"/>
      </w:pPr>
      <w:r>
        <w:tab/>
      </w:r>
      <w:r>
        <w:tab/>
        <w:t>CAUSE-PA supports the JPPS in its present form as in the public interest and recommends its adoption.</w:t>
      </w:r>
    </w:p>
    <w:p w:rsidR="004B3A6D" w:rsidRDefault="004B3A6D" w:rsidP="007C2873">
      <w:pPr>
        <w:pStyle w:val="BodyText"/>
        <w:contextualSpacing/>
        <w:jc w:val="left"/>
      </w:pPr>
    </w:p>
    <w:p w:rsidR="004B3A6D" w:rsidRDefault="00EE327E" w:rsidP="007C2873">
      <w:pPr>
        <w:pStyle w:val="BodyText"/>
        <w:contextualSpacing/>
        <w:jc w:val="left"/>
        <w:rPr>
          <w:b/>
        </w:rPr>
      </w:pPr>
      <w:r>
        <w:rPr>
          <w:b/>
        </w:rPr>
        <w:t>4.</w:t>
      </w:r>
      <w:r w:rsidR="004B3A6D">
        <w:tab/>
      </w:r>
      <w:r w:rsidR="004B3A6D">
        <w:rPr>
          <w:b/>
        </w:rPr>
        <w:t>Direct Energy</w:t>
      </w:r>
    </w:p>
    <w:p w:rsidR="004B3A6D" w:rsidRDefault="004B3A6D" w:rsidP="007C2873">
      <w:pPr>
        <w:pStyle w:val="BodyText"/>
        <w:contextualSpacing/>
        <w:jc w:val="left"/>
        <w:rPr>
          <w:b/>
        </w:rPr>
      </w:pPr>
    </w:p>
    <w:p w:rsidR="004B3A6D" w:rsidRDefault="004B3A6D" w:rsidP="007C2873">
      <w:pPr>
        <w:pStyle w:val="BodyText"/>
        <w:contextualSpacing/>
        <w:jc w:val="left"/>
      </w:pPr>
      <w:r>
        <w:rPr>
          <w:b/>
        </w:rPr>
        <w:tab/>
      </w:r>
      <w:r>
        <w:rPr>
          <w:b/>
        </w:rPr>
        <w:tab/>
      </w:r>
      <w:r>
        <w:t xml:space="preserve">Direct Energy admits that the JPPS does not represent the "optimal product design" from its perspective but agrees that it represents a reasonable compromise of competing positions and proposes to implement a TOU product that relies on the competitive market to provide TOU offerings to customers. </w:t>
      </w:r>
    </w:p>
    <w:p w:rsidR="004B3A6D" w:rsidRDefault="004B3A6D" w:rsidP="007C2873">
      <w:pPr>
        <w:pStyle w:val="BodyText"/>
        <w:contextualSpacing/>
        <w:jc w:val="left"/>
      </w:pPr>
    </w:p>
    <w:p w:rsidR="00C47E3E" w:rsidRDefault="004B3A6D" w:rsidP="007C2873">
      <w:pPr>
        <w:pStyle w:val="BodyText"/>
        <w:contextualSpacing/>
        <w:jc w:val="left"/>
      </w:pPr>
      <w:r>
        <w:tab/>
      </w:r>
      <w:r>
        <w:tab/>
        <w:t xml:space="preserve">Direct Energy would have preferred more flexibility regarding the types of products an EGS could offer as part of the TOU Pilot Program, averring that the "strength of the competitive market from a consumer perspective is the ability to select from a wide array of different TOU products and program structures."  Direct Energy St. in Support at 1.  The EGS's concern is that too many restrictions may lead to decreased offers and subsequently, decreased competitive choices for the consumer.  </w:t>
      </w:r>
      <w:r w:rsidR="0043546B">
        <w:t xml:space="preserve">However, as this is a pilot program, Direct Energy supports it and recommends that it be adopted with the understanding that the terms can be revisited in a subsequent case.  </w:t>
      </w:r>
      <w:r>
        <w:t xml:space="preserve">    </w:t>
      </w:r>
      <w:r w:rsidR="00C47E3E">
        <w:tab/>
      </w:r>
    </w:p>
    <w:p w:rsidR="00C47E3E" w:rsidRDefault="00C47E3E" w:rsidP="007C2873">
      <w:pPr>
        <w:pStyle w:val="BodyText"/>
        <w:contextualSpacing/>
        <w:jc w:val="left"/>
      </w:pPr>
    </w:p>
    <w:p w:rsidR="00223F92" w:rsidRDefault="00EE327E" w:rsidP="007C2873">
      <w:pPr>
        <w:pStyle w:val="BodyText"/>
        <w:contextualSpacing/>
        <w:jc w:val="left"/>
      </w:pPr>
      <w:r>
        <w:rPr>
          <w:b/>
        </w:rPr>
        <w:t>5.</w:t>
      </w:r>
      <w:r w:rsidR="00223F92">
        <w:tab/>
      </w:r>
      <w:r w:rsidR="00223F92">
        <w:rPr>
          <w:b/>
        </w:rPr>
        <w:t>OSBA</w:t>
      </w:r>
    </w:p>
    <w:p w:rsidR="00223F92" w:rsidRDefault="00223F92" w:rsidP="007C2873">
      <w:pPr>
        <w:pStyle w:val="BodyText"/>
        <w:contextualSpacing/>
        <w:jc w:val="left"/>
      </w:pPr>
    </w:p>
    <w:p w:rsidR="00A84196" w:rsidRDefault="00223F92" w:rsidP="007C2873">
      <w:pPr>
        <w:pStyle w:val="BodyText"/>
        <w:contextualSpacing/>
        <w:jc w:val="left"/>
      </w:pPr>
      <w:r>
        <w:tab/>
      </w:r>
      <w:r>
        <w:tab/>
        <w:t xml:space="preserve">The OSBA participated actively in the </w:t>
      </w:r>
      <w:r w:rsidR="00A84196">
        <w:t xml:space="preserve">negotiations which led to the JPPS and has signed it with the proviso that it takes exception to one aspect of Paragraph 41, which provides for a 90-day delay for implementation following the Commission's Order approving the TOU Plan.  OSBA seeks immediate termination of PPL's existing small commercial and industrial customer TOU rates upon the entry of a Commission Order. </w:t>
      </w:r>
    </w:p>
    <w:p w:rsidR="00A84196" w:rsidRDefault="00A84196" w:rsidP="007C2873">
      <w:pPr>
        <w:pStyle w:val="BodyText"/>
        <w:contextualSpacing/>
        <w:jc w:val="left"/>
      </w:pPr>
    </w:p>
    <w:p w:rsidR="00223F92" w:rsidRDefault="00A84196" w:rsidP="007C2873">
      <w:pPr>
        <w:pStyle w:val="BodyText"/>
        <w:contextualSpacing/>
        <w:jc w:val="left"/>
      </w:pPr>
      <w:r>
        <w:tab/>
      </w:r>
      <w:r>
        <w:tab/>
        <w:t>OSBA argues that the current TOU rates for Small C&amp;I customers are excessively high, not based on any relevant market prices, are not just and reasonable, and should be eliminated as soon as possible.  In fact, OSBA argues that the current rates allow net metering customers to earn revenues for their excess generation at rates which are far higher than market prices – at the expense of Small C&amp;I customers.  Under the existing tariff, the problem may grow worse if more net metering Small C&amp;I customers choose to take service under PPL's current TOU rates.  Should that occur, the existing TOU Small C&amp;I customers would be face</w:t>
      </w:r>
      <w:r w:rsidR="00451F9A">
        <w:t>d</w:t>
      </w:r>
      <w:r>
        <w:t xml:space="preserve"> with an increasingly large bill for the net metering customers' windfall.  </w:t>
      </w:r>
    </w:p>
    <w:p w:rsidR="00451F9A" w:rsidRDefault="00451F9A" w:rsidP="007C2873">
      <w:pPr>
        <w:pStyle w:val="BodyText"/>
        <w:contextualSpacing/>
        <w:jc w:val="left"/>
      </w:pPr>
    </w:p>
    <w:p w:rsidR="00451F9A" w:rsidRDefault="00451F9A" w:rsidP="007C2873">
      <w:pPr>
        <w:pStyle w:val="BodyText"/>
        <w:contextualSpacing/>
        <w:jc w:val="left"/>
      </w:pPr>
      <w:r>
        <w:tab/>
      </w:r>
      <w:r>
        <w:tab/>
        <w:t xml:space="preserve">The JPPS resolves the issues to OSBA's satisfaction, with the provision that the effective date is too far away from the Commission's anticipated approval.  </w:t>
      </w:r>
    </w:p>
    <w:p w:rsidR="00451F9A" w:rsidRDefault="00451F9A" w:rsidP="007C2873">
      <w:pPr>
        <w:pStyle w:val="BodyText"/>
        <w:contextualSpacing/>
        <w:jc w:val="left"/>
      </w:pPr>
    </w:p>
    <w:p w:rsidR="00451F9A" w:rsidRDefault="00451F9A" w:rsidP="007C2873">
      <w:pPr>
        <w:pStyle w:val="BodyText"/>
        <w:contextualSpacing/>
        <w:jc w:val="left"/>
      </w:pPr>
      <w:r>
        <w:tab/>
      </w:r>
      <w:r>
        <w:tab/>
        <w:t>Regarding the remainder of the JPPS, OSBA supports it as it offers market-based prices through the competitive EGSs, and Small C&amp;I customers will no longer be required to pay above-market rates for excess generation from net metered customers.  OSBA notes that the PPL alternative TOU program for net metering customers is not objectionable.</w:t>
      </w:r>
    </w:p>
    <w:p w:rsidR="00451F9A" w:rsidRDefault="00451F9A" w:rsidP="007C2873">
      <w:pPr>
        <w:pStyle w:val="BodyText"/>
        <w:contextualSpacing/>
        <w:jc w:val="left"/>
      </w:pPr>
      <w:r>
        <w:tab/>
      </w:r>
      <w:r>
        <w:tab/>
        <w:t xml:space="preserve">OSBA emphasizes that the current program has produced rates that are so far out of line with the market that they are "horrific," and any TOU program is likely to be an improvement over them.  OSBA Witness Knecht opines that PPL's "checkered history" with TOU rates has likely dampened any interest that Small C&amp;I customers may have in taking such service from the Company.  OSBA </w:t>
      </w:r>
      <w:r w:rsidR="00576771">
        <w:t>MB</w:t>
      </w:r>
      <w:r>
        <w:t xml:space="preserve"> at 5.  </w:t>
      </w:r>
      <w:r w:rsidR="007D5345">
        <w:t xml:space="preserve">The current Small C&amp;I rates are not and have not been "just and reasonable," and for that reason, OSBA urges the Commission to terminate them as soon as possible.  OSBA </w:t>
      </w:r>
      <w:r w:rsidR="00576771">
        <w:t>MB</w:t>
      </w:r>
      <w:r w:rsidR="007D5345">
        <w:t xml:space="preserve"> at 6.</w:t>
      </w:r>
    </w:p>
    <w:p w:rsidR="007D5345" w:rsidRDefault="007D5345" w:rsidP="007C2873">
      <w:pPr>
        <w:pStyle w:val="BodyText"/>
        <w:contextualSpacing/>
        <w:jc w:val="left"/>
      </w:pPr>
    </w:p>
    <w:p w:rsidR="007D5345" w:rsidRDefault="007D5345" w:rsidP="007C2873">
      <w:pPr>
        <w:pStyle w:val="BodyText"/>
        <w:contextualSpacing/>
        <w:jc w:val="left"/>
      </w:pPr>
      <w:r>
        <w:tab/>
      </w:r>
      <w:r>
        <w:tab/>
      </w:r>
      <w:r w:rsidR="000A791A">
        <w:t xml:space="preserve">In response to the DCIDA argument, OSBA agrees that DCIDA has the right to take advantage of getting reimbursed for net generation at the much higher TOU rates but avers that this does not create a permanent entitlement for DCIDA to continue to earn above market prices for its excess generation.  OSBA </w:t>
      </w:r>
      <w:r w:rsidR="00576771">
        <w:t>MB</w:t>
      </w:r>
      <w:r w:rsidR="000A791A">
        <w:t xml:space="preserve"> at 7.  </w:t>
      </w:r>
    </w:p>
    <w:p w:rsidR="000A791A" w:rsidRDefault="000A791A" w:rsidP="007C2873">
      <w:pPr>
        <w:pStyle w:val="BodyText"/>
        <w:contextualSpacing/>
        <w:jc w:val="left"/>
      </w:pPr>
    </w:p>
    <w:p w:rsidR="000A791A" w:rsidRDefault="000A791A" w:rsidP="000A791A">
      <w:pPr>
        <w:pStyle w:val="BodyText"/>
        <w:spacing w:line="240" w:lineRule="auto"/>
        <w:ind w:left="1440" w:right="1440"/>
        <w:contextualSpacing/>
        <w:jc w:val="left"/>
      </w:pPr>
      <w:r>
        <w:tab/>
        <w:t>Consequently, PPL's Small C&amp;I customers are truly paying a steep price for the Company's current TOU program.  First, if they happen to be TOU customers, they are massively overpaying for their electric service.  Second, if, alternatively, they happen to be fixed-rate default service customers, they are paying to provide net metering customers such as DCIDA with windfall profits because of the inflated TOU rates.</w:t>
      </w:r>
    </w:p>
    <w:p w:rsidR="00EE327E" w:rsidRDefault="00EE327E" w:rsidP="000A791A">
      <w:pPr>
        <w:pStyle w:val="BodyText"/>
        <w:spacing w:line="240" w:lineRule="auto"/>
        <w:ind w:left="1440" w:right="1440"/>
        <w:contextualSpacing/>
        <w:jc w:val="left"/>
      </w:pPr>
    </w:p>
    <w:p w:rsidR="000A791A" w:rsidRPr="00223F92" w:rsidRDefault="00576771" w:rsidP="007C2873">
      <w:pPr>
        <w:pStyle w:val="BodyText"/>
        <w:contextualSpacing/>
        <w:jc w:val="left"/>
      </w:pPr>
      <w:r>
        <w:t>OSBA MB</w:t>
      </w:r>
      <w:r w:rsidR="000A791A">
        <w:t xml:space="preserve"> at 8.</w:t>
      </w:r>
    </w:p>
    <w:p w:rsidR="007C2873" w:rsidRDefault="007C2873" w:rsidP="007C2873">
      <w:pPr>
        <w:pStyle w:val="BodyText"/>
        <w:contextualSpacing/>
        <w:jc w:val="left"/>
      </w:pPr>
    </w:p>
    <w:p w:rsidR="000A791A" w:rsidRDefault="000A791A" w:rsidP="007C2873">
      <w:pPr>
        <w:pStyle w:val="BodyText"/>
        <w:contextualSpacing/>
        <w:jc w:val="left"/>
      </w:pPr>
      <w:r>
        <w:tab/>
      </w:r>
      <w:r>
        <w:tab/>
        <w:t>OSBA requests that the Commission act quickly to terminate PPL's current "absurd" TOU rates and to eliminate the opportunity for net metering customers to take advantage of the high TOU rates and to reap a profit on the backs of the Small C&amp;I default service customers.  OSBA</w:t>
      </w:r>
      <w:r w:rsidR="00576771">
        <w:t xml:space="preserve"> MB</w:t>
      </w:r>
      <w:r>
        <w:t xml:space="preserve"> at 8-9.  </w:t>
      </w:r>
    </w:p>
    <w:p w:rsidR="000A791A" w:rsidRDefault="000A791A" w:rsidP="007C2873">
      <w:pPr>
        <w:pStyle w:val="BodyText"/>
        <w:contextualSpacing/>
        <w:jc w:val="left"/>
      </w:pPr>
    </w:p>
    <w:p w:rsidR="0043546B" w:rsidRDefault="00EE327E" w:rsidP="007C2873">
      <w:pPr>
        <w:pStyle w:val="BodyText"/>
        <w:contextualSpacing/>
        <w:jc w:val="left"/>
        <w:rPr>
          <w:b/>
        </w:rPr>
      </w:pPr>
      <w:r>
        <w:rPr>
          <w:b/>
        </w:rPr>
        <w:t>6.</w:t>
      </w:r>
      <w:r w:rsidR="0043546B">
        <w:tab/>
      </w:r>
      <w:r w:rsidR="0043546B">
        <w:rPr>
          <w:b/>
        </w:rPr>
        <w:t>FirstEnergy Solutions</w:t>
      </w:r>
    </w:p>
    <w:p w:rsidR="0043546B" w:rsidRDefault="0043546B" w:rsidP="007C2873">
      <w:pPr>
        <w:pStyle w:val="BodyText"/>
        <w:contextualSpacing/>
        <w:jc w:val="left"/>
      </w:pPr>
    </w:p>
    <w:p w:rsidR="0043546B" w:rsidRDefault="0043546B" w:rsidP="007C2873">
      <w:pPr>
        <w:pStyle w:val="BodyText"/>
        <w:contextualSpacing/>
        <w:jc w:val="left"/>
      </w:pPr>
      <w:r>
        <w:tab/>
      </w:r>
      <w:r>
        <w:tab/>
        <w:t xml:space="preserve">FES </w:t>
      </w:r>
      <w:r w:rsidR="00641125">
        <w:t xml:space="preserve">submitted a letter of non-opposition to the JPPS and </w:t>
      </w:r>
      <w:r>
        <w:t>did not file a Main Brief</w:t>
      </w:r>
      <w:r w:rsidR="00641125">
        <w:t>.  However, FES</w:t>
      </w:r>
      <w:r>
        <w:t xml:space="preserve"> did file a Reply Brief to </w:t>
      </w:r>
      <w:r w:rsidR="00641125">
        <w:t xml:space="preserve">articulate its opposition to </w:t>
      </w:r>
      <w:r>
        <w:t>the DCIDA proposal that any EGS participating in the pilot TOU Program be required to offer net metering service with a TOU rate.  FES posits that there is no legal or regulatory justification for this requirement, that EGSs would not participate in the program if this requirement were added, and the competitive electricity market would be unnecessarily encumbered.</w:t>
      </w:r>
    </w:p>
    <w:p w:rsidR="00641125" w:rsidRDefault="00641125" w:rsidP="007C2873">
      <w:pPr>
        <w:pStyle w:val="BodyText"/>
        <w:contextualSpacing/>
        <w:jc w:val="left"/>
      </w:pPr>
    </w:p>
    <w:p w:rsidR="00641125" w:rsidRDefault="00641125" w:rsidP="007C2873">
      <w:pPr>
        <w:pStyle w:val="BodyText"/>
        <w:contextualSpacing/>
        <w:jc w:val="left"/>
      </w:pPr>
      <w:r>
        <w:tab/>
      </w:r>
      <w:r>
        <w:tab/>
        <w:t>DCIDA, FES points out, can take TOU service from an EGS and net metering service from PPL.  There is no need to encumber the electricity market with a requirement that would clearly have a dampening effect on the number of EGSs seeking to provide TOU service.  There is, after all, no legal requirement in the statute or regulations that EGSs provide net metering service, although there is no bar.  FES St. in Support at 4.</w:t>
      </w:r>
    </w:p>
    <w:p w:rsidR="006725F7" w:rsidRDefault="006725F7" w:rsidP="007C2873">
      <w:pPr>
        <w:pStyle w:val="BodyText"/>
        <w:contextualSpacing/>
        <w:jc w:val="left"/>
      </w:pPr>
    </w:p>
    <w:p w:rsidR="006725F7" w:rsidRDefault="006725F7" w:rsidP="007C2873">
      <w:pPr>
        <w:pStyle w:val="BodyText"/>
        <w:contextualSpacing/>
        <w:jc w:val="left"/>
      </w:pPr>
      <w:r>
        <w:tab/>
      </w:r>
      <w:r>
        <w:tab/>
        <w:t xml:space="preserve">FES argues that there is a legal requirement that PPL offer net metering and TOU pricing to its default service customers in order to comply with the AEPS Act and Commission regulations.  However, FES argues, the retail market can be utilized to provide the required TOU service.  This was encouraged by the Commission's January 24, 2013 Order in the DSP II case.  </w:t>
      </w:r>
    </w:p>
    <w:p w:rsidR="00641125" w:rsidRDefault="006725F7" w:rsidP="007C2873">
      <w:pPr>
        <w:pStyle w:val="BodyText"/>
        <w:contextualSpacing/>
        <w:jc w:val="left"/>
      </w:pPr>
      <w:r>
        <w:rPr>
          <w:i/>
        </w:rPr>
        <w:t>Petition of PPL Electric Utility Corporation for Approval of a Default Service Program and Procurement Plan for the Period June 1, 2013 through May 31, 2015</w:t>
      </w:r>
      <w:r>
        <w:t xml:space="preserve">, Docket No.  P-2012-2303074 (Order entered Jan. 24, 2013); </w:t>
      </w:r>
      <w:r>
        <w:rPr>
          <w:i/>
        </w:rPr>
        <w:t xml:space="preserve">see also Investigation of Pennsylvania's Retail Electricity Market: Recommendations Regarding Upcoming Default Service Plans, </w:t>
      </w:r>
      <w:r>
        <w:t>Docket No. I-2011-2237952 (Order entered Dec. 16, 2011).</w:t>
      </w:r>
    </w:p>
    <w:p w:rsidR="006725F7" w:rsidRDefault="006725F7" w:rsidP="007C2873">
      <w:pPr>
        <w:pStyle w:val="BodyText"/>
        <w:contextualSpacing/>
        <w:jc w:val="left"/>
      </w:pPr>
    </w:p>
    <w:p w:rsidR="006725F7" w:rsidRDefault="006725F7" w:rsidP="007C2873">
      <w:pPr>
        <w:pStyle w:val="BodyText"/>
        <w:contextualSpacing/>
        <w:jc w:val="left"/>
      </w:pPr>
      <w:r>
        <w:tab/>
      </w:r>
      <w:r>
        <w:tab/>
        <w:t xml:space="preserve">FES lists three other EDCs which offer TOU service through EGSs, FES RB at 5, and affirms that none of those EGSs require net metering service in conjunction with the TOU Plans.  </w:t>
      </w:r>
    </w:p>
    <w:p w:rsidR="006725F7" w:rsidRPr="006725F7" w:rsidRDefault="006725F7" w:rsidP="007C2873">
      <w:pPr>
        <w:pStyle w:val="BodyText"/>
        <w:contextualSpacing/>
        <w:jc w:val="left"/>
      </w:pPr>
    </w:p>
    <w:p w:rsidR="00641125" w:rsidRDefault="00641125" w:rsidP="007C2873">
      <w:pPr>
        <w:pStyle w:val="BodyText"/>
        <w:contextualSpacing/>
        <w:jc w:val="left"/>
      </w:pPr>
      <w:r>
        <w:tab/>
      </w:r>
      <w:r>
        <w:tab/>
        <w:t>FES states that the Pilot TOU Program is simple, straightforward and reasonable and should be adopted by the Commission.  It should not be rejected to attempt to preserve the financial benefits of one net metering customer generator, or even the four who are now on the TOU schedule in the Small C&amp;I category.  FES St. in Support at 3.</w:t>
      </w:r>
    </w:p>
    <w:p w:rsidR="00641125" w:rsidRDefault="00641125" w:rsidP="007C2873">
      <w:pPr>
        <w:pStyle w:val="BodyText"/>
        <w:contextualSpacing/>
        <w:jc w:val="left"/>
      </w:pPr>
    </w:p>
    <w:p w:rsidR="0043546B" w:rsidRDefault="00641125" w:rsidP="007C2873">
      <w:pPr>
        <w:pStyle w:val="BodyText"/>
        <w:contextualSpacing/>
        <w:jc w:val="left"/>
      </w:pPr>
      <w:r>
        <w:tab/>
      </w:r>
      <w:r>
        <w:tab/>
      </w:r>
      <w:r w:rsidR="006725F7">
        <w:t>Finally, the DCIDA proposal that the participating EGSs be required to include net metering is a proposal for which DCIDA bears the burden of proof.  It has failed to carry it here, and it should be rejected.</w:t>
      </w:r>
    </w:p>
    <w:p w:rsidR="000A791A" w:rsidRDefault="00EE327E" w:rsidP="007C2873">
      <w:pPr>
        <w:pStyle w:val="BodyText"/>
        <w:contextualSpacing/>
        <w:jc w:val="left"/>
        <w:rPr>
          <w:b/>
        </w:rPr>
      </w:pPr>
      <w:r>
        <w:rPr>
          <w:b/>
        </w:rPr>
        <w:t>7.</w:t>
      </w:r>
      <w:r w:rsidR="0043546B">
        <w:tab/>
      </w:r>
      <w:r w:rsidR="0043546B">
        <w:rPr>
          <w:b/>
        </w:rPr>
        <w:t>DCIDA</w:t>
      </w:r>
    </w:p>
    <w:p w:rsidR="0043546B" w:rsidRDefault="0043546B" w:rsidP="007C2873">
      <w:pPr>
        <w:pStyle w:val="BodyText"/>
        <w:contextualSpacing/>
        <w:jc w:val="left"/>
        <w:rPr>
          <w:b/>
        </w:rPr>
      </w:pPr>
    </w:p>
    <w:p w:rsidR="00047D0E" w:rsidRDefault="0043546B" w:rsidP="007C2873">
      <w:pPr>
        <w:pStyle w:val="BodyText"/>
        <w:contextualSpacing/>
        <w:jc w:val="left"/>
      </w:pPr>
      <w:r>
        <w:rPr>
          <w:b/>
        </w:rPr>
        <w:tab/>
      </w:r>
      <w:r w:rsidR="00047D0E">
        <w:rPr>
          <w:b/>
        </w:rPr>
        <w:tab/>
      </w:r>
      <w:r w:rsidR="00047D0E">
        <w:t>DCIDA buil</w:t>
      </w:r>
      <w:r w:rsidR="00112FA0">
        <w:t>t</w:t>
      </w:r>
      <w:r w:rsidR="00047D0E">
        <w:t xml:space="preserve"> a solar project capable of generating 2 MW of capacity to both promote green energy generation and position Dauphin County as a leader in the investment and growth of alternative energy sources in the Commonwealth, and to offer a power source for the County's emergency management systems in the case of a disaster.  In so doing, DCIDA created a unique source of additional revenue for the County, as PPL's tariff required it to credit and compensate it for the Solar Farm's excess generation in compliance with applicable law.  DCIDA invested a substantial sum of money to develop this Solar Farm, incurring approximately $2.5 million in debt, with the anticipation of a ten to eleven year payoff period.  DCIDA MB at.2 (record citations omitted).</w:t>
      </w:r>
    </w:p>
    <w:p w:rsidR="00047D0E" w:rsidRDefault="00047D0E" w:rsidP="007C2873">
      <w:pPr>
        <w:pStyle w:val="BodyText"/>
        <w:contextualSpacing/>
        <w:jc w:val="left"/>
      </w:pPr>
    </w:p>
    <w:p w:rsidR="00047D0E" w:rsidRDefault="00047D0E" w:rsidP="007C2873">
      <w:pPr>
        <w:pStyle w:val="BodyText"/>
        <w:contextualSpacing/>
        <w:jc w:val="left"/>
      </w:pPr>
      <w:r>
        <w:tab/>
      </w:r>
      <w:r>
        <w:tab/>
        <w:t xml:space="preserve">DCIDA began net metering service from PPL in October 2011, taking PPL's TOU rate option as a net-metered customer in April 2013.  DCIDA MB at 3 (record citations omitted). As a customer in the Small C&amp;I rate class, DCIDA is charged different rates for electricity consumed during on- and off-peak hours.  For customers who take PPL's TOU rate, the PTC is derived from a weighted average of the number of on-peak and off-peak hours in a given year.  The on-peak rate is 15.389 cts/kWh and off-peak rate is 11.588 cts/kWh, </w:t>
      </w:r>
      <w:r w:rsidR="00A9525C">
        <w:t xml:space="preserve">the compensated rate is approximately 13.736 cts/kWh.  DCIDA reports that it has been paid by PPL in excess of $150,000 for excess kWh of power.  DCIDA MB at 4-5.  </w:t>
      </w:r>
    </w:p>
    <w:p w:rsidR="00A9525C" w:rsidRDefault="00A9525C" w:rsidP="007C2873">
      <w:pPr>
        <w:pStyle w:val="BodyText"/>
        <w:contextualSpacing/>
        <w:jc w:val="left"/>
      </w:pPr>
    </w:p>
    <w:p w:rsidR="00A9525C" w:rsidRDefault="00A9525C" w:rsidP="007C2873">
      <w:pPr>
        <w:pStyle w:val="BodyText"/>
        <w:contextualSpacing/>
        <w:jc w:val="left"/>
      </w:pPr>
      <w:r>
        <w:tab/>
      </w:r>
      <w:r>
        <w:tab/>
        <w:t xml:space="preserve">DCIDA states that the ability to recover costs and derive revenue for its public projects significantly incentivized its investment in the Solar Farm.  It argues that PPL also benefits from the Solar Farm's power production, as PPL charges customers on-peak prices that are higher than the rate it pays DCIDA, and it provides a source of spot market power if necessary.  DCIDA MB at 5.  </w:t>
      </w:r>
    </w:p>
    <w:p w:rsidR="00A9525C" w:rsidRDefault="00A9525C" w:rsidP="007C2873">
      <w:pPr>
        <w:pStyle w:val="BodyText"/>
        <w:contextualSpacing/>
        <w:jc w:val="left"/>
      </w:pPr>
    </w:p>
    <w:p w:rsidR="00A9525C" w:rsidRDefault="00A9525C" w:rsidP="007C2873">
      <w:pPr>
        <w:pStyle w:val="BodyText"/>
        <w:contextualSpacing/>
        <w:jc w:val="left"/>
      </w:pPr>
      <w:r>
        <w:tab/>
      </w:r>
      <w:r>
        <w:tab/>
        <w:t>DCIDA recognizes that no EGS is required by current law to provide net metering service, and that the Pilot TOU Plan will remove the price advantage from DCIDA's options.  It states that it will be required to choose either net-metered service with PPL at the fixed-price default service rate or a TOU rate from an EGS that does not offer net metering.  This contravenes the AEPS Act principles to encourage the development and deployment of alternative energy resources and reduce DCIDA's ability to address its public debt.  DCIDA MB at 8.</w:t>
      </w:r>
    </w:p>
    <w:p w:rsidR="00112FA0" w:rsidRDefault="00112FA0" w:rsidP="007C2873">
      <w:pPr>
        <w:pStyle w:val="BodyText"/>
        <w:contextualSpacing/>
        <w:jc w:val="left"/>
      </w:pPr>
    </w:p>
    <w:p w:rsidR="002736DC" w:rsidRDefault="00EE327E" w:rsidP="002736DC">
      <w:pPr>
        <w:contextualSpacing/>
        <w:jc w:val="left"/>
        <w:rPr>
          <w:b/>
        </w:rPr>
      </w:pPr>
      <w:r>
        <w:rPr>
          <w:b/>
        </w:rPr>
        <w:tab/>
        <w:t>A.</w:t>
      </w:r>
      <w:r>
        <w:rPr>
          <w:b/>
        </w:rPr>
        <w:tab/>
      </w:r>
      <w:r w:rsidR="002736DC">
        <w:rPr>
          <w:b/>
        </w:rPr>
        <w:t>NET METERING ISSUE</w:t>
      </w:r>
    </w:p>
    <w:p w:rsidR="00112FA0" w:rsidRDefault="00112FA0" w:rsidP="002736DC">
      <w:pPr>
        <w:contextualSpacing/>
        <w:jc w:val="left"/>
        <w:rPr>
          <w:b/>
        </w:rPr>
      </w:pPr>
    </w:p>
    <w:p w:rsidR="002736DC" w:rsidRDefault="002736DC" w:rsidP="002736DC">
      <w:pPr>
        <w:contextualSpacing/>
        <w:jc w:val="left"/>
      </w:pPr>
      <w:r>
        <w:rPr>
          <w:b/>
        </w:rPr>
        <w:tab/>
      </w:r>
      <w:r>
        <w:rPr>
          <w:b/>
        </w:rPr>
        <w:tab/>
      </w:r>
      <w:r w:rsidR="00112FA0">
        <w:t>DCID</w:t>
      </w:r>
      <w:r>
        <w:t xml:space="preserve">A asks the Commission to not approve the TOU Plan as it fails to offer TOU rates for net metering customers.  </w:t>
      </w:r>
    </w:p>
    <w:p w:rsidR="002736DC" w:rsidRPr="00EE327E" w:rsidRDefault="002736DC" w:rsidP="002736DC">
      <w:pPr>
        <w:contextualSpacing/>
        <w:jc w:val="left"/>
        <w:rPr>
          <w:b/>
        </w:rPr>
      </w:pPr>
    </w:p>
    <w:p w:rsidR="002736DC" w:rsidRPr="002736DC" w:rsidRDefault="00EE327E" w:rsidP="002736DC">
      <w:pPr>
        <w:contextualSpacing/>
        <w:jc w:val="left"/>
        <w:rPr>
          <w:b/>
        </w:rPr>
      </w:pPr>
      <w:r w:rsidRPr="00EE327E">
        <w:rPr>
          <w:b/>
        </w:rPr>
        <w:t>1.</w:t>
      </w:r>
      <w:r w:rsidR="002736DC">
        <w:tab/>
      </w:r>
      <w:r w:rsidR="002736DC" w:rsidRPr="002736DC">
        <w:rPr>
          <w:b/>
        </w:rPr>
        <w:t>Background</w:t>
      </w:r>
    </w:p>
    <w:p w:rsidR="002736DC" w:rsidRDefault="002736DC" w:rsidP="002736DC">
      <w:pPr>
        <w:contextualSpacing/>
        <w:jc w:val="left"/>
        <w:rPr>
          <w:b/>
        </w:rPr>
      </w:pPr>
    </w:p>
    <w:p w:rsidR="002736DC" w:rsidRDefault="002736DC" w:rsidP="002736DC">
      <w:pPr>
        <w:contextualSpacing/>
        <w:jc w:val="left"/>
      </w:pPr>
      <w:r>
        <w:rPr>
          <w:b/>
        </w:rPr>
        <w:tab/>
      </w:r>
      <w:r>
        <w:rPr>
          <w:b/>
        </w:rPr>
        <w:tab/>
      </w:r>
      <w:r>
        <w:t xml:space="preserve">DCIDA build a solar energy farm which has two megawatts of generating capacity with the understanding that PPL would credit and compensate it for excess generation according to the applicable law, including the utility's tariff.  Since 2011, DCIDA has taken net metering service from PPL, and in April 2013, DCIDA elected to take PPL's TOU rate option as a net-metered customer rather than net-metering with a fixed-price default service rate.  DCIDA receives credit from PPL for each kWh of power that it delivers to PPL, up to the total electricity PPL supplied during a billing period.  PPL carries any excess generation forward and credits DCIDA's usage in subsequent billing periods.  Excess kWh of power continues to accrue until May 31 each year, at which time PPL </w:t>
      </w:r>
      <w:r w:rsidR="00D33549">
        <w:t xml:space="preserve">compensates the customer generator for the prior year's excess power.  DCIDA has received a higher rate of payment for its excess power under the existing TOU program because the TOU rates are higher than the present PTC.  The other customers on the Small C&amp;I schedule must bear the difference. </w:t>
      </w:r>
    </w:p>
    <w:p w:rsidR="00D33549" w:rsidRDefault="00D33549" w:rsidP="002736DC">
      <w:pPr>
        <w:contextualSpacing/>
        <w:jc w:val="left"/>
      </w:pPr>
    </w:p>
    <w:p w:rsidR="002736DC" w:rsidRPr="0055412F" w:rsidRDefault="00D33549" w:rsidP="002736DC">
      <w:pPr>
        <w:contextualSpacing/>
        <w:jc w:val="left"/>
        <w:rPr>
          <w:b/>
        </w:rPr>
      </w:pPr>
      <w:r>
        <w:tab/>
      </w:r>
      <w:r>
        <w:tab/>
        <w:t xml:space="preserve">DCIDA argues that PPL has a statutory responsibility to offer net-metered service with a TOU rate to it.  PPL must offer its own service if no EGS wishes to offer the TOU Program under the JPPS Pilot TOU Plan.  </w:t>
      </w:r>
      <w:r w:rsidR="002736DC">
        <w:rPr>
          <w:b/>
        </w:rPr>
        <w:tab/>
      </w:r>
      <w:r w:rsidR="002736DC">
        <w:rPr>
          <w:b/>
        </w:rPr>
        <w:tab/>
      </w:r>
      <w:r w:rsidR="002736DC">
        <w:rPr>
          <w:b/>
        </w:rPr>
        <w:tab/>
      </w:r>
    </w:p>
    <w:p w:rsidR="00047D0E" w:rsidRDefault="00047D0E" w:rsidP="007C2873">
      <w:pPr>
        <w:pStyle w:val="BodyText"/>
        <w:contextualSpacing/>
        <w:jc w:val="left"/>
      </w:pPr>
    </w:p>
    <w:p w:rsidR="00244C3B" w:rsidRDefault="00047D0E" w:rsidP="007C2873">
      <w:pPr>
        <w:pStyle w:val="BodyText"/>
        <w:contextualSpacing/>
        <w:jc w:val="left"/>
      </w:pPr>
      <w:r>
        <w:tab/>
      </w:r>
      <w:r w:rsidR="00244C3B">
        <w:tab/>
        <w:t xml:space="preserve">PPL responds that net metering customers that take TOU service under the Pilot TOU Program from an EGS will still be net metering customers of PPL Electric for distribution purposes.  The net metering customer would receive TOU generation related services from an EGS, as well as any related cash outs for excess generation, but would still be subject to the net metering shopping provisions in the tariff.  PPL MB at 25; RB at 9.  Accordingly, the distribution bill of a net metering customer that participates in the Pilot TOU may still be off-set by distribution-related credits.  </w:t>
      </w:r>
    </w:p>
    <w:p w:rsidR="00244C3B" w:rsidRDefault="00244C3B" w:rsidP="007C2873">
      <w:pPr>
        <w:pStyle w:val="BodyText"/>
        <w:contextualSpacing/>
        <w:jc w:val="left"/>
      </w:pPr>
    </w:p>
    <w:p w:rsidR="00244C3B" w:rsidRDefault="00244C3B" w:rsidP="007C2873">
      <w:pPr>
        <w:pStyle w:val="BodyText"/>
        <w:contextualSpacing/>
        <w:jc w:val="left"/>
      </w:pPr>
      <w:r>
        <w:tab/>
      </w:r>
      <w:r>
        <w:tab/>
        <w:t>The concern that no EGS would offer net metering services has not yet come to fruition, as there is no experience with EGS-related TOU plans in the PPL service territory.  There is no reason to assume that no EGS would seek to fill this need.  This lack of knowledge is consistent with the very nature of a Pilot program, which is intended to explore the viability of a proposal.</w:t>
      </w:r>
    </w:p>
    <w:p w:rsidR="00244C3B" w:rsidRDefault="00244C3B" w:rsidP="007C2873">
      <w:pPr>
        <w:pStyle w:val="BodyText"/>
        <w:contextualSpacing/>
        <w:jc w:val="left"/>
      </w:pPr>
    </w:p>
    <w:p w:rsidR="00B54BB7" w:rsidRDefault="00244C3B" w:rsidP="007C2873">
      <w:pPr>
        <w:pStyle w:val="BodyText"/>
        <w:contextualSpacing/>
        <w:jc w:val="left"/>
      </w:pPr>
      <w:r>
        <w:tab/>
      </w:r>
      <w:r>
        <w:tab/>
      </w:r>
      <w:r w:rsidR="00B54BB7">
        <w:t>T</w:t>
      </w:r>
      <w:r>
        <w:t xml:space="preserve">he Company has anticipated that there may be resistance to the Pilot TOU Plan's approach to net metering customers and has offered another approach.  </w:t>
      </w:r>
      <w:r w:rsidR="00B54BB7">
        <w:t>PPL MB at 26-27.  However</w:t>
      </w:r>
      <w:r w:rsidR="005B0CFB">
        <w:t>, the rate offering is a summer</w:t>
      </w:r>
      <w:r w:rsidR="00B54BB7">
        <w:t>-only rate, similar to the contingency plan which, as discussed above, is already not workable during the limited pilot time period as the implementation of the rate would start after the summer months have run</w:t>
      </w:r>
      <w:r w:rsidR="005B0CFB">
        <w:t xml:space="preserve"> and ends prior to the next summer</w:t>
      </w:r>
      <w:r w:rsidR="00B54BB7">
        <w:t xml:space="preserve">.  It is unclear why this is raised here.  </w:t>
      </w:r>
    </w:p>
    <w:p w:rsidR="0043546B" w:rsidRPr="0043546B" w:rsidRDefault="0043546B" w:rsidP="007C2873">
      <w:pPr>
        <w:pStyle w:val="BodyText"/>
        <w:contextualSpacing/>
        <w:jc w:val="left"/>
        <w:rPr>
          <w:i/>
        </w:rPr>
      </w:pPr>
    </w:p>
    <w:p w:rsidR="00FF4D11" w:rsidRDefault="00B54BB7" w:rsidP="00FF4D11">
      <w:pPr>
        <w:contextualSpacing/>
        <w:jc w:val="left"/>
      </w:pPr>
      <w:r>
        <w:tab/>
      </w:r>
      <w:r>
        <w:tab/>
        <w:t xml:space="preserve">DCIDA argues that the Pilot TOU Plan conflicts with the AEPS Act and fails to provide incentives to alternative energy development.  DCIDA MB at 16.  However, a net metering customer may </w:t>
      </w:r>
      <w:r w:rsidR="004A2BB6">
        <w:t xml:space="preserve">elect to receive fixed-price default service and receive the cash payments in accordance with the tariff.  </w:t>
      </w:r>
    </w:p>
    <w:p w:rsidR="004A2BB6" w:rsidRDefault="004A2BB6" w:rsidP="00FF4D11">
      <w:pPr>
        <w:contextualSpacing/>
        <w:jc w:val="left"/>
      </w:pPr>
    </w:p>
    <w:p w:rsidR="004A2BB6" w:rsidRDefault="004A2BB6" w:rsidP="00FF4D11">
      <w:pPr>
        <w:contextualSpacing/>
        <w:jc w:val="left"/>
      </w:pPr>
      <w:r>
        <w:tab/>
      </w:r>
      <w:r>
        <w:tab/>
        <w:t xml:space="preserve">What the Pilot TOU does NOT do is continue the </w:t>
      </w:r>
      <w:r w:rsidR="005B0CFB">
        <w:t>higher rate</w:t>
      </w:r>
      <w:r>
        <w:t xml:space="preserve"> that DCIDA receives </w:t>
      </w:r>
      <w:r w:rsidR="005B0CFB">
        <w:t>that requires</w:t>
      </w:r>
      <w:r>
        <w:t xml:space="preserve"> the Small C&amp;I customers to pay the current higher-than-PTC rates of the present TOU plan.  </w:t>
      </w:r>
      <w:r w:rsidR="005B0CFB">
        <w:t xml:space="preserve">This case highlights that the policy objectives of rate reduction and renewable energy promotion may not always be compatible.  </w:t>
      </w:r>
      <w:r>
        <w:t>It is clear</w:t>
      </w:r>
      <w:r w:rsidR="005B0CFB">
        <w:t xml:space="preserve">, however, </w:t>
      </w:r>
      <w:r>
        <w:t xml:space="preserve"> that the legislature did not intend to </w:t>
      </w:r>
      <w:r w:rsidR="005B0CFB">
        <w:t>create a system whereby one party realized financial gain at the expense of other ratepayers</w:t>
      </w:r>
      <w:r>
        <w:t xml:space="preserve"> when requiring that EDCs with smart meter capability use that capability to offer a TOU or real-time price to its customers, as the default service statute requires that the EDC provide adequate and reasonable service by obtaining a prudent mix of contracts to obtain least cost results.  66 Pa.C.S. § 2807(e)(3.7).  </w:t>
      </w:r>
    </w:p>
    <w:p w:rsidR="00202995" w:rsidRDefault="00202995" w:rsidP="00FF4D11">
      <w:pPr>
        <w:contextualSpacing/>
        <w:jc w:val="left"/>
      </w:pPr>
    </w:p>
    <w:p w:rsidR="00434E8A" w:rsidRDefault="00202995" w:rsidP="001F2514">
      <w:pPr>
        <w:spacing w:line="240" w:lineRule="auto"/>
        <w:ind w:left="1440" w:right="1440"/>
        <w:contextualSpacing/>
        <w:jc w:val="left"/>
      </w:pPr>
      <w:r>
        <w:tab/>
        <w:t>PPL Electric believes that it is "nonsensical" that the current TOU rates, both on-and off-peak, are above the PTC and have been that way for years.  It would be "nonsensical" for the Commission to require the Company to continue to maintain its current TOU rates that are higher than the PTC and continue the unfair and inequitable situation whereby DCIDA receives a large subsidy from the other customers.  PPL Electric St. 2-R at 18:10-13; OSBA St. 1 at 9:6-7.  It is "nonsensical" for the Commission to require other customers to subsidize DCIDA's excess revenue (at cash out) due to the differential between the PTC and the current TOU rates in the range of $50,000 to $80,000 a year.  Tr. 33:15-21.</w:t>
      </w:r>
    </w:p>
    <w:p w:rsidR="00EE327E" w:rsidRDefault="00EE327E" w:rsidP="001F2514">
      <w:pPr>
        <w:spacing w:line="240" w:lineRule="auto"/>
        <w:ind w:left="1440" w:right="1440"/>
        <w:contextualSpacing/>
        <w:jc w:val="left"/>
      </w:pPr>
    </w:p>
    <w:p w:rsidR="00202995" w:rsidRDefault="00202995" w:rsidP="00FF4D11">
      <w:pPr>
        <w:contextualSpacing/>
        <w:jc w:val="left"/>
      </w:pPr>
      <w:r>
        <w:t>PPL RB at 16.</w:t>
      </w:r>
    </w:p>
    <w:p w:rsidR="00202995" w:rsidRDefault="00202995" w:rsidP="00FF4D11">
      <w:pPr>
        <w:contextualSpacing/>
        <w:jc w:val="left"/>
      </w:pPr>
    </w:p>
    <w:p w:rsidR="00202995" w:rsidRDefault="00202995" w:rsidP="00FF4D11">
      <w:pPr>
        <w:contextualSpacing/>
        <w:jc w:val="left"/>
      </w:pPr>
      <w:r>
        <w:tab/>
      </w:r>
      <w:r>
        <w:tab/>
        <w:t xml:space="preserve">We agree.  </w:t>
      </w:r>
    </w:p>
    <w:p w:rsidR="00434E8A" w:rsidRDefault="00434E8A" w:rsidP="00FF4D11">
      <w:pPr>
        <w:contextualSpacing/>
        <w:jc w:val="left"/>
      </w:pPr>
    </w:p>
    <w:p w:rsidR="001F2514" w:rsidRDefault="0055412F" w:rsidP="00FF4D11">
      <w:pPr>
        <w:contextualSpacing/>
        <w:jc w:val="left"/>
      </w:pPr>
      <w:r>
        <w:rPr>
          <w:b/>
        </w:rPr>
        <w:tab/>
      </w:r>
      <w:r>
        <w:rPr>
          <w:b/>
        </w:rPr>
        <w:tab/>
      </w:r>
      <w:r>
        <w:t xml:space="preserve">The PPL Electric TOU program is one that has been fraught with missteps and discord, and the rates have been frozen at an unacceptable level due to the difficulties encountered in an attempt to satisfy the statute, the parties, and the market.  This proposal represents an honest effort to overcome these difficulties and to present a pricing option which will give ratepayers an opportunity to save money while shifting load from peak to off-peak times while using the resources of the retail market.  It contains the contingencies necessary to protect customers from fall-out from unforeseen circumstances, and gives the market an opportunity for all participants to benefit.  </w:t>
      </w:r>
    </w:p>
    <w:p w:rsidR="001F2514" w:rsidRDefault="001F2514" w:rsidP="00FF4D11">
      <w:pPr>
        <w:contextualSpacing/>
        <w:jc w:val="left"/>
      </w:pPr>
    </w:p>
    <w:p w:rsidR="001F2514" w:rsidRDefault="001F2514" w:rsidP="00FF4D11">
      <w:pPr>
        <w:contextualSpacing/>
        <w:jc w:val="left"/>
      </w:pPr>
      <w:r>
        <w:tab/>
      </w:r>
      <w:r>
        <w:tab/>
        <w:t xml:space="preserve">While recognizing and sharing the concern of the OSBA that there are Small C&amp;I customers who </w:t>
      </w:r>
      <w:r w:rsidR="005B0CFB">
        <w:t>pay</w:t>
      </w:r>
      <w:r>
        <w:t xml:space="preserve"> higher rates due to the presence of net metering customers on the Small C&amp;I TOU Plan, those customers must be given adequate time to evaluate and choose the next rate option.  The fact that these customers have been free to leave this rate at any time and have not done so is a mitigating factor to the urgency of this action.  The JPPS provides that the Pilot TOU Plan will take effect in 90 days, and this is a substantive term of the agreement that should be adopted as is so that the integrity of the agreement is intact.  </w:t>
      </w:r>
    </w:p>
    <w:p w:rsidR="0055412F" w:rsidRDefault="001F2514" w:rsidP="00923173">
      <w:pPr>
        <w:contextualSpacing/>
        <w:jc w:val="left"/>
      </w:pPr>
      <w:r>
        <w:tab/>
      </w:r>
      <w:r>
        <w:tab/>
        <w:t>The Company has sustained its burden of proving that the TOU Plan, as presented in the JPPS, is just, reasonable, and compliant with applicable law.  DCIDA has not sustained its burden of proving that the JPPS fails to satisfy any part of the applicable law.  Accordingly, t</w:t>
      </w:r>
      <w:r w:rsidR="0055412F">
        <w:t xml:space="preserve">he JPPS is recommended for approval without modification.  </w:t>
      </w:r>
    </w:p>
    <w:p w:rsidR="00FB103F" w:rsidRDefault="00FB103F" w:rsidP="00923173">
      <w:pPr>
        <w:contextualSpacing/>
        <w:jc w:val="left"/>
      </w:pPr>
    </w:p>
    <w:p w:rsidR="00FB103F" w:rsidRDefault="00FB103F" w:rsidP="00923173">
      <w:pPr>
        <w:contextualSpacing/>
        <w:rPr>
          <w:u w:val="single"/>
        </w:rPr>
      </w:pPr>
      <w:r>
        <w:rPr>
          <w:u w:val="single"/>
        </w:rPr>
        <w:t>CONCLUSIONS OF LAW</w:t>
      </w:r>
    </w:p>
    <w:p w:rsidR="00FB103F" w:rsidRDefault="00FB103F" w:rsidP="00923173">
      <w:pPr>
        <w:contextualSpacing/>
        <w:rPr>
          <w:u w:val="single"/>
        </w:rPr>
      </w:pPr>
    </w:p>
    <w:p w:rsidR="00FB103F" w:rsidRDefault="00FB103F" w:rsidP="00923173">
      <w:pPr>
        <w:contextualSpacing/>
        <w:jc w:val="left"/>
      </w:pPr>
      <w:r>
        <w:tab/>
      </w:r>
      <w:r>
        <w:tab/>
        <w:t>1.</w:t>
      </w:r>
      <w:r>
        <w:tab/>
        <w:t xml:space="preserve">The Commission has jurisdiction over the subject matter and the parties to this proceeding.  66 Pa.C.S. §§ 501, </w:t>
      </w:r>
      <w:r>
        <w:rPr>
          <w:i/>
        </w:rPr>
        <w:t>et eq.</w:t>
      </w:r>
    </w:p>
    <w:p w:rsidR="00FB103F" w:rsidRDefault="00FB103F" w:rsidP="00923173">
      <w:pPr>
        <w:contextualSpacing/>
        <w:jc w:val="left"/>
      </w:pPr>
    </w:p>
    <w:p w:rsidR="00FB103F" w:rsidRPr="00085F47" w:rsidRDefault="00FB103F" w:rsidP="00923173">
      <w:pPr>
        <w:contextualSpacing/>
        <w:jc w:val="left"/>
        <w:rPr>
          <w:spacing w:val="-3"/>
        </w:rPr>
      </w:pPr>
      <w:r>
        <w:tab/>
      </w:r>
      <w:r>
        <w:tab/>
        <w:t>2.</w:t>
      </w:r>
      <w:r>
        <w:tab/>
      </w:r>
      <w:r w:rsidRPr="005D5C96">
        <w:t xml:space="preserve">Section 1301 of the Public Utility Code, 66 Pa.C.S. § 1301, provides:  “every rate made, demanded, or received by any public utility, or by any two or more public utilities jointly, shall be just and reasonable, and in conformity with regulations or orders of the commission.”  </w:t>
      </w:r>
    </w:p>
    <w:p w:rsidR="00FB103F" w:rsidRPr="005D5C96" w:rsidRDefault="00FB103F" w:rsidP="00FB103F">
      <w:pPr>
        <w:widowControl w:val="0"/>
        <w:ind w:firstLine="1440"/>
        <w:jc w:val="left"/>
      </w:pPr>
    </w:p>
    <w:p w:rsidR="00FB103F" w:rsidRDefault="00FB103F" w:rsidP="00FB103F">
      <w:pPr>
        <w:widowControl w:val="0"/>
        <w:jc w:val="left"/>
      </w:pPr>
      <w:r w:rsidRPr="005D5C96">
        <w:tab/>
      </w:r>
      <w:r w:rsidRPr="005D5C96">
        <w:tab/>
      </w:r>
      <w:r>
        <w:t>3.</w:t>
      </w:r>
      <w:r>
        <w:tab/>
      </w:r>
      <w:r w:rsidRPr="005D5C96">
        <w:t xml:space="preserve">While the burden of proof remains with the public utility throughout the rate proceeding, where a party proposes an adjustment to a ratemaking claim of a utility, the proposing party bears the </w:t>
      </w:r>
      <w:r w:rsidRPr="005D5C96">
        <w:rPr>
          <w:bCs/>
        </w:rPr>
        <w:t>burden</w:t>
      </w:r>
      <w:r w:rsidRPr="005D5C96">
        <w:t xml:space="preserve"> of presenting some evidence or analysis tending to demonstrate the reasonableness of the adjustment.  </w:t>
      </w:r>
      <w:r w:rsidRPr="005D5C96">
        <w:rPr>
          <w:i/>
        </w:rPr>
        <w:t>P</w:t>
      </w:r>
      <w:r>
        <w:rPr>
          <w:i/>
        </w:rPr>
        <w:t>a</w:t>
      </w:r>
      <w:r w:rsidR="005729EE">
        <w:rPr>
          <w:i/>
        </w:rPr>
        <w:t>.</w:t>
      </w:r>
      <w:r w:rsidRPr="005D5C96">
        <w:rPr>
          <w:i/>
        </w:rPr>
        <w:t xml:space="preserve"> Pub. Util. Comm’n v. Aqua Pennsylvania, Inc</w:t>
      </w:r>
      <w:r w:rsidRPr="005D5C96">
        <w:t xml:space="preserve">., Docket No. R-00072711 (Commission Opinion and Order entered July 17, 2008).  </w:t>
      </w:r>
    </w:p>
    <w:p w:rsidR="00FB103F" w:rsidRDefault="00FB103F" w:rsidP="00FB103F">
      <w:pPr>
        <w:widowControl w:val="0"/>
        <w:jc w:val="left"/>
      </w:pPr>
    </w:p>
    <w:p w:rsidR="00FB103F" w:rsidRPr="005D5C96" w:rsidRDefault="00FB103F" w:rsidP="00FB103F">
      <w:pPr>
        <w:widowControl w:val="0"/>
        <w:jc w:val="left"/>
        <w:rPr>
          <w:color w:val="000000"/>
        </w:rPr>
      </w:pPr>
      <w:r>
        <w:tab/>
      </w:r>
      <w:r>
        <w:tab/>
        <w:t>4.</w:t>
      </w:r>
      <w:r>
        <w:tab/>
        <w:t>A</w:t>
      </w:r>
      <w:r w:rsidRPr="005D5C96">
        <w:rPr>
          <w:color w:val="000000"/>
        </w:rPr>
        <w:t>fter the utility establishes a prima facie case, the burden of going forward or the burden of persuasion shifts to the other parties</w:t>
      </w:r>
      <w:r w:rsidR="005A229F">
        <w:rPr>
          <w:color w:val="000000"/>
        </w:rPr>
        <w:t xml:space="preserve"> to rebut the prima facie case. </w:t>
      </w:r>
      <w:r>
        <w:rPr>
          <w:color w:val="000000"/>
        </w:rPr>
        <w:t xml:space="preserve"> </w:t>
      </w:r>
      <w:r>
        <w:rPr>
          <w:i/>
        </w:rPr>
        <w:t>Pa</w:t>
      </w:r>
      <w:r w:rsidR="005729EE">
        <w:rPr>
          <w:i/>
        </w:rPr>
        <w:t>.</w:t>
      </w:r>
      <w:r w:rsidR="00BD3EA2">
        <w:rPr>
          <w:i/>
        </w:rPr>
        <w:t xml:space="preserve"> Pub</w:t>
      </w:r>
      <w:r>
        <w:rPr>
          <w:i/>
        </w:rPr>
        <w:t xml:space="preserve">. Util. </w:t>
      </w:r>
      <w:r w:rsidRPr="005A229F">
        <w:rPr>
          <w:i/>
        </w:rPr>
        <w:t>Comm'n v.</w:t>
      </w:r>
      <w:r w:rsidRPr="005D5C96">
        <w:t xml:space="preserve"> </w:t>
      </w:r>
      <w:r w:rsidRPr="005D5C96">
        <w:rPr>
          <w:i/>
        </w:rPr>
        <w:t>Philadelphia Gas Works</w:t>
      </w:r>
      <w:r w:rsidRPr="005D5C96">
        <w:t xml:space="preserve">, Docket No. R-00061931 (Commission Opinion </w:t>
      </w:r>
      <w:r>
        <w:t>and Order entered September 28, </w:t>
      </w:r>
      <w:r w:rsidR="005A229F">
        <w:t>2007)</w:t>
      </w:r>
      <w:r w:rsidR="00C33FC6">
        <w:t>.</w:t>
      </w:r>
    </w:p>
    <w:p w:rsidR="00FB103F" w:rsidRDefault="00FB103F" w:rsidP="00FB103F">
      <w:pPr>
        <w:contextualSpacing/>
        <w:jc w:val="left"/>
      </w:pPr>
    </w:p>
    <w:p w:rsidR="00FB103F" w:rsidRPr="00B6588E" w:rsidRDefault="00FB103F" w:rsidP="00FB103F">
      <w:pPr>
        <w:jc w:val="left"/>
      </w:pPr>
      <w:r>
        <w:tab/>
      </w:r>
      <w:r>
        <w:tab/>
        <w:t>5.</w:t>
      </w:r>
      <w:r>
        <w:tab/>
      </w:r>
      <w:r w:rsidRPr="00B6588E">
        <w:t xml:space="preserve">Section 332(a) of the Code, 66 Pa.C.S. §332(a), provides that the party seeking a rule or order from the Commission has the burden of proof in that proceeding.  It is </w:t>
      </w:r>
      <w:r>
        <w:t>well-established</w:t>
      </w:r>
      <w:r w:rsidRPr="00B6588E">
        <w:t xml:space="preserve"> that “[a] litigant’s burden of proof before administrative tribunals as well as before most civil proceedings is satisfied by establishing a preponderance of evidence which is substantial and legally credible.”  </w:t>
      </w:r>
      <w:r w:rsidRPr="00B6588E">
        <w:rPr>
          <w:i/>
        </w:rPr>
        <w:t>Samuel J. Lansberry, Inc. v. Pa. P</w:t>
      </w:r>
      <w:r w:rsidR="00BD3EA2">
        <w:rPr>
          <w:i/>
        </w:rPr>
        <w:t>ub</w:t>
      </w:r>
      <w:r>
        <w:rPr>
          <w:i/>
        </w:rPr>
        <w:t xml:space="preserve">. </w:t>
      </w:r>
      <w:r w:rsidRPr="00B6588E">
        <w:rPr>
          <w:i/>
        </w:rPr>
        <w:t>U</w:t>
      </w:r>
      <w:r>
        <w:rPr>
          <w:i/>
        </w:rPr>
        <w:t>til. Comm'n</w:t>
      </w:r>
      <w:r w:rsidRPr="00B6588E">
        <w:t xml:space="preserve">, 578 A.2d 600, 602 (Pa. Cmwlth. 1990).  </w:t>
      </w:r>
    </w:p>
    <w:p w:rsidR="00FB103F" w:rsidRDefault="00FB103F" w:rsidP="00FB103F">
      <w:pPr>
        <w:jc w:val="left"/>
      </w:pPr>
    </w:p>
    <w:p w:rsidR="00FB103F" w:rsidRDefault="00FB103F" w:rsidP="00FB103F">
      <w:pPr>
        <w:jc w:val="left"/>
      </w:pPr>
      <w:r>
        <w:tab/>
      </w:r>
      <w:r>
        <w:tab/>
        <w:t>6.</w:t>
      </w:r>
      <w:r>
        <w:tab/>
        <w:t xml:space="preserve">The burden of proof is comprised of two distinct burdens:  the burden of production and the burden of persuasion.  The burden of production tells the adjudicator which party must come forward with evidence to support a particular proposition.  See </w:t>
      </w:r>
      <w:r>
        <w:rPr>
          <w:i/>
        </w:rPr>
        <w:t>In re Loudenslager’s Estate</w:t>
      </w:r>
      <w:r>
        <w:t xml:space="preserve">, 430 Pa. 33, 240 A.2d 477, 482 (1968).  The burden of persuasion determines which party must produce sufficient evidence to convince a judge that a fact has been established, and it never leaves the party on whom it is originally cast.  </w:t>
      </w:r>
      <w:r>
        <w:rPr>
          <w:i/>
        </w:rPr>
        <w:t>Reidel v. County of Allegheny</w:t>
      </w:r>
      <w:r>
        <w:t xml:space="preserve">, 633 A.2d 1325, 1329 n. 11 (Pa. Cmwlth. Ct. 1993).  </w:t>
      </w:r>
    </w:p>
    <w:p w:rsidR="00FB103F" w:rsidRDefault="00FB103F" w:rsidP="00FB103F">
      <w:pPr>
        <w:jc w:val="left"/>
      </w:pPr>
    </w:p>
    <w:p w:rsidR="00FB103F" w:rsidRDefault="00FB103F" w:rsidP="00FB103F">
      <w:pPr>
        <w:contextualSpacing/>
        <w:jc w:val="left"/>
      </w:pPr>
      <w:r>
        <w:tab/>
      </w:r>
      <w:r>
        <w:tab/>
        <w:t>7.</w:t>
      </w:r>
      <w:r>
        <w:tab/>
        <w:t>The Public Utility Code requires electric distribution companies (EDCs) to offer TOU rates and real time pricing plans to customers who have smart meter technology.  66 Pa.C.S. § 2807(f)(5).</w:t>
      </w:r>
    </w:p>
    <w:p w:rsidR="00FB103F" w:rsidRPr="007B646E" w:rsidRDefault="00FB103F" w:rsidP="00FB103F">
      <w:pPr>
        <w:pStyle w:val="BodyTextIndent"/>
        <w:ind w:firstLine="0"/>
      </w:pPr>
      <w:r>
        <w:t xml:space="preserve">  </w:t>
      </w:r>
    </w:p>
    <w:p w:rsidR="00FB103F" w:rsidRDefault="00FB103F" w:rsidP="00FB103F">
      <w:pPr>
        <w:contextualSpacing/>
        <w:jc w:val="left"/>
      </w:pPr>
      <w:r>
        <w:tab/>
      </w:r>
      <w:r>
        <w:tab/>
        <w:t>8.</w:t>
      </w:r>
      <w:r>
        <w:tab/>
        <w:t xml:space="preserve">The Commission's evaluation of a settlement includes a determination of whether it is in the public interest.  52 Pa.Code § 69.401 (in pertinent part).  </w:t>
      </w:r>
      <w:r>
        <w:rPr>
          <w:i/>
        </w:rPr>
        <w:t xml:space="preserve">See also </w:t>
      </w:r>
      <w:r>
        <w:t xml:space="preserve">52 Pa.Code § 5.231; </w:t>
      </w:r>
      <w:r>
        <w:rPr>
          <w:i/>
        </w:rPr>
        <w:t xml:space="preserve">Pa. Pub. Util. Comm'n v. York Water Co., </w:t>
      </w:r>
      <w:r>
        <w:t>Docket No. R-00049</w:t>
      </w:r>
      <w:r w:rsidR="00923173">
        <w:t>165 (Order entered Oct. </w:t>
      </w:r>
      <w:r>
        <w:t xml:space="preserve">4, 2004); </w:t>
      </w:r>
      <w:r>
        <w:rPr>
          <w:i/>
        </w:rPr>
        <w:t>Pa. Pub</w:t>
      </w:r>
      <w:r>
        <w:t xml:space="preserve">. </w:t>
      </w:r>
      <w:r>
        <w:rPr>
          <w:i/>
        </w:rPr>
        <w:t xml:space="preserve">Util. Comm'n v. C.S. Water and Sewer Assocs., </w:t>
      </w:r>
      <w:r>
        <w:t>74 Pa. P.U.C. 767 (1991).</w:t>
      </w:r>
    </w:p>
    <w:p w:rsidR="00FB103F" w:rsidRDefault="00FB103F" w:rsidP="00FB103F">
      <w:pPr>
        <w:contextualSpacing/>
        <w:jc w:val="left"/>
      </w:pPr>
    </w:p>
    <w:p w:rsidR="00FB103F" w:rsidRDefault="00FB103F" w:rsidP="00FB103F">
      <w:pPr>
        <w:contextualSpacing/>
        <w:jc w:val="left"/>
      </w:pPr>
      <w:r>
        <w:tab/>
      </w:r>
      <w:r>
        <w:tab/>
        <w:t>9.</w:t>
      </w:r>
      <w:r>
        <w:tab/>
        <w:t>The Alternative Energy Portfolio Standards Act took effect on February 28, 2005.  73 P.S. §§ 1648.1-1648.8 and 66 Pa.C.S. § 2814.</w:t>
      </w:r>
    </w:p>
    <w:p w:rsidR="00FB103F" w:rsidRDefault="00FB103F" w:rsidP="00FB103F">
      <w:pPr>
        <w:contextualSpacing/>
        <w:jc w:val="left"/>
      </w:pPr>
    </w:p>
    <w:p w:rsidR="00BD3EA2" w:rsidRDefault="00FB103F" w:rsidP="00FB103F">
      <w:pPr>
        <w:contextualSpacing/>
        <w:jc w:val="left"/>
      </w:pPr>
      <w:r>
        <w:tab/>
      </w:r>
      <w:r>
        <w:tab/>
        <w:t>10.</w:t>
      </w:r>
      <w:r>
        <w:tab/>
        <w:t>The Commission adopted net metering regulations in 2008.  52 Pa.Code</w:t>
      </w:r>
    </w:p>
    <w:p w:rsidR="00FB103F" w:rsidRDefault="00FB103F" w:rsidP="00FB103F">
      <w:pPr>
        <w:contextualSpacing/>
        <w:jc w:val="left"/>
      </w:pPr>
      <w:r>
        <w:t xml:space="preserve">§ 75.11, </w:t>
      </w:r>
      <w:r>
        <w:rPr>
          <w:i/>
        </w:rPr>
        <w:t>et seq.</w:t>
      </w:r>
    </w:p>
    <w:p w:rsidR="00FB103F" w:rsidRDefault="00FB103F" w:rsidP="00FB103F">
      <w:pPr>
        <w:contextualSpacing/>
        <w:jc w:val="left"/>
      </w:pPr>
    </w:p>
    <w:p w:rsidR="00FB103F" w:rsidRDefault="00FB103F" w:rsidP="00FB103F">
      <w:pPr>
        <w:contextualSpacing/>
        <w:jc w:val="left"/>
      </w:pPr>
      <w:r>
        <w:tab/>
      </w:r>
      <w:r>
        <w:tab/>
        <w:t>11.</w:t>
      </w:r>
      <w:r>
        <w:tab/>
        <w:t xml:space="preserve">The TOU Plan is a form of default service.  </w:t>
      </w:r>
      <w:r>
        <w:rPr>
          <w:i/>
        </w:rPr>
        <w:t>Pa. Pub. Util. Comm'n v. PPL Electric Utilities Corporation</w:t>
      </w:r>
      <w:r>
        <w:t>, Docket N</w:t>
      </w:r>
      <w:r w:rsidR="005729EE">
        <w:t>o</w:t>
      </w:r>
      <w:r>
        <w:t>. R-2011-2264771 at 23, 2012 Pa. P.U.C. LEXIS 1382 (August 30, 2012).</w:t>
      </w:r>
    </w:p>
    <w:p w:rsidR="00FB103F" w:rsidRDefault="00FB103F" w:rsidP="00FB103F">
      <w:pPr>
        <w:contextualSpacing/>
        <w:jc w:val="left"/>
      </w:pPr>
    </w:p>
    <w:p w:rsidR="00FB103F" w:rsidRDefault="00FB103F" w:rsidP="00FB103F">
      <w:pPr>
        <w:contextualSpacing/>
        <w:jc w:val="left"/>
      </w:pPr>
      <w:r>
        <w:tab/>
      </w:r>
      <w:r>
        <w:tab/>
        <w:t>12.</w:t>
      </w:r>
      <w:r>
        <w:tab/>
      </w:r>
      <w:r w:rsidR="00C33FC6">
        <w:t>Under the Pilot TOU Plan, the issue of whether EGSs will offer TOU rates is not ripe as the Pilot TOU Plan has not gone into effect.</w:t>
      </w:r>
      <w:r>
        <w:t xml:space="preserve"> </w:t>
      </w:r>
    </w:p>
    <w:p w:rsidR="00C33FC6" w:rsidRDefault="00C33FC6" w:rsidP="00FB103F">
      <w:pPr>
        <w:contextualSpacing/>
        <w:jc w:val="left"/>
      </w:pPr>
    </w:p>
    <w:p w:rsidR="00C33FC6" w:rsidRDefault="00C33FC6" w:rsidP="00FB103F">
      <w:pPr>
        <w:contextualSpacing/>
        <w:jc w:val="left"/>
      </w:pPr>
      <w:r>
        <w:tab/>
      </w:r>
      <w:r>
        <w:tab/>
        <w:t>13.</w:t>
      </w:r>
      <w:r>
        <w:tab/>
        <w:t>PPL has sustained its burden of proving that the Pilot TOU Plan as presented under the JPPS is reasonable.</w:t>
      </w:r>
    </w:p>
    <w:p w:rsidR="00C33FC6" w:rsidRDefault="00C33FC6" w:rsidP="00FB103F">
      <w:pPr>
        <w:contextualSpacing/>
        <w:jc w:val="left"/>
      </w:pPr>
    </w:p>
    <w:p w:rsidR="00C33FC6" w:rsidRDefault="00C33FC6" w:rsidP="00FB103F">
      <w:pPr>
        <w:contextualSpacing/>
        <w:jc w:val="left"/>
      </w:pPr>
      <w:r>
        <w:tab/>
      </w:r>
      <w:r>
        <w:tab/>
        <w:t>14.</w:t>
      </w:r>
      <w:r>
        <w:tab/>
        <w:t>DCIDA has not met its burden regarding its proposal.</w:t>
      </w:r>
    </w:p>
    <w:p w:rsidR="00923173" w:rsidRDefault="00923173" w:rsidP="00F14704">
      <w:pPr>
        <w:spacing w:line="480" w:lineRule="auto"/>
        <w:contextualSpacing/>
        <w:jc w:val="left"/>
      </w:pPr>
    </w:p>
    <w:p w:rsidR="00923173" w:rsidRPr="00923173" w:rsidRDefault="00923173" w:rsidP="00923173">
      <w:pPr>
        <w:contextualSpacing/>
        <w:rPr>
          <w:u w:val="single"/>
        </w:rPr>
      </w:pPr>
      <w:r w:rsidRPr="00923173">
        <w:rPr>
          <w:u w:val="single"/>
        </w:rPr>
        <w:t>ORDER</w:t>
      </w:r>
    </w:p>
    <w:p w:rsidR="00923173" w:rsidRDefault="00923173" w:rsidP="00FF4D11">
      <w:pPr>
        <w:contextualSpacing/>
        <w:jc w:val="left"/>
      </w:pPr>
    </w:p>
    <w:p w:rsidR="002F572D" w:rsidRDefault="002F572D" w:rsidP="00FF4D11">
      <w:pPr>
        <w:contextualSpacing/>
        <w:jc w:val="left"/>
      </w:pPr>
    </w:p>
    <w:p w:rsidR="00FF4D11" w:rsidRPr="00923173" w:rsidRDefault="00923173" w:rsidP="00FF4D11">
      <w:pPr>
        <w:contextualSpacing/>
        <w:jc w:val="left"/>
      </w:pPr>
      <w:r>
        <w:tab/>
      </w:r>
      <w:r>
        <w:tab/>
      </w:r>
      <w:r w:rsidR="00FF4D11" w:rsidRPr="00923173">
        <w:t>THEREFORE,</w:t>
      </w:r>
    </w:p>
    <w:p w:rsidR="00FF4D11" w:rsidRPr="00923173" w:rsidRDefault="00FF4D11" w:rsidP="00FF4D11">
      <w:pPr>
        <w:contextualSpacing/>
        <w:jc w:val="left"/>
      </w:pPr>
    </w:p>
    <w:p w:rsidR="00FF4D11" w:rsidRDefault="00FF4D11" w:rsidP="00FF4D11">
      <w:pPr>
        <w:contextualSpacing/>
        <w:jc w:val="left"/>
      </w:pPr>
      <w:r w:rsidRPr="00923173">
        <w:tab/>
      </w:r>
      <w:r w:rsidRPr="00923173">
        <w:tab/>
        <w:t xml:space="preserve">IT IS </w:t>
      </w:r>
      <w:r w:rsidR="005A229F" w:rsidRPr="00923173">
        <w:t>RECOMMEND</w:t>
      </w:r>
      <w:r w:rsidRPr="00923173">
        <w:t>ED</w:t>
      </w:r>
      <w:r>
        <w:t>:</w:t>
      </w:r>
    </w:p>
    <w:p w:rsidR="00C33FC6" w:rsidRDefault="00C33FC6" w:rsidP="00FF4D11">
      <w:pPr>
        <w:contextualSpacing/>
        <w:jc w:val="left"/>
      </w:pPr>
    </w:p>
    <w:p w:rsidR="00C33FC6" w:rsidRDefault="00C33FC6" w:rsidP="00FF4D11">
      <w:pPr>
        <w:contextualSpacing/>
        <w:jc w:val="left"/>
      </w:pPr>
      <w:r>
        <w:tab/>
      </w:r>
      <w:r>
        <w:tab/>
        <w:t>1.</w:t>
      </w:r>
      <w:r>
        <w:tab/>
        <w:t>That the Joint Petition for Partial Settlement is adopted without modification.</w:t>
      </w:r>
    </w:p>
    <w:p w:rsidR="00C33FC6" w:rsidRDefault="00C33FC6" w:rsidP="00FF4D11">
      <w:pPr>
        <w:contextualSpacing/>
        <w:jc w:val="left"/>
      </w:pPr>
    </w:p>
    <w:p w:rsidR="005A229F" w:rsidRDefault="005A229F" w:rsidP="00FF4D11">
      <w:pPr>
        <w:contextualSpacing/>
        <w:jc w:val="left"/>
      </w:pPr>
      <w:r>
        <w:tab/>
      </w:r>
      <w:r>
        <w:tab/>
        <w:t>2.</w:t>
      </w:r>
      <w:r>
        <w:tab/>
        <w:t>That PPL Electric Utilities Corporation shall file a tariff consistent with the Joint Petition for Partial Settlement for the Pilot Time-Of-Use Program.</w:t>
      </w:r>
    </w:p>
    <w:p w:rsidR="005A229F" w:rsidRDefault="005A229F" w:rsidP="00FF4D11">
      <w:pPr>
        <w:contextualSpacing/>
        <w:jc w:val="left"/>
      </w:pPr>
    </w:p>
    <w:p w:rsidR="005A229F" w:rsidRDefault="005A229F" w:rsidP="005A229F">
      <w:pPr>
        <w:pStyle w:val="BodyTextIndent"/>
        <w:ind w:firstLine="0"/>
        <w:rPr>
          <w:sz w:val="24"/>
          <w:szCs w:val="24"/>
        </w:rPr>
      </w:pPr>
      <w:r>
        <w:tab/>
      </w:r>
      <w:r>
        <w:tab/>
        <w:t>3</w:t>
      </w:r>
      <w:r w:rsidR="00C33FC6">
        <w:t>.</w:t>
      </w:r>
      <w:r w:rsidR="00C33FC6">
        <w:tab/>
      </w:r>
      <w:r>
        <w:rPr>
          <w:sz w:val="24"/>
          <w:szCs w:val="24"/>
        </w:rPr>
        <w:t>That no later than 90 days following the entry date of the Commission's final order in this matter, PPL Electric Utilities Corporation shall begin to offer the Pilot TOU Program to customers according to the terms set forth in the Joint Petition for Partial Settlement as it was filed.</w:t>
      </w:r>
    </w:p>
    <w:p w:rsidR="005A229F" w:rsidRDefault="005A229F" w:rsidP="005A229F">
      <w:pPr>
        <w:pStyle w:val="BodyTextIndent"/>
        <w:ind w:firstLine="0"/>
        <w:rPr>
          <w:sz w:val="24"/>
          <w:szCs w:val="24"/>
        </w:rPr>
      </w:pPr>
    </w:p>
    <w:p w:rsidR="00995166" w:rsidRDefault="005A229F" w:rsidP="005A229F">
      <w:pPr>
        <w:pStyle w:val="BodyTextIndent"/>
        <w:ind w:firstLine="0"/>
        <w:rPr>
          <w:sz w:val="24"/>
          <w:szCs w:val="24"/>
        </w:rPr>
      </w:pPr>
      <w:r>
        <w:rPr>
          <w:sz w:val="24"/>
          <w:szCs w:val="24"/>
        </w:rPr>
        <w:tab/>
      </w:r>
      <w:r>
        <w:rPr>
          <w:sz w:val="24"/>
          <w:szCs w:val="24"/>
        </w:rPr>
        <w:tab/>
        <w:t>4.</w:t>
      </w:r>
      <w:r>
        <w:rPr>
          <w:sz w:val="24"/>
          <w:szCs w:val="24"/>
        </w:rPr>
        <w:tab/>
      </w:r>
      <w:r w:rsidR="00995166">
        <w:rPr>
          <w:sz w:val="24"/>
          <w:szCs w:val="24"/>
        </w:rPr>
        <w:t xml:space="preserve">That PPL Electric Utilities Corporation shall provide a quarterly status report on the Pilot Time Of Use Program to the parties in this proceeding and to the parties and presiding officer in the next default service case, </w:t>
      </w:r>
      <w:r w:rsidR="00995166">
        <w:rPr>
          <w:i/>
          <w:sz w:val="24"/>
          <w:szCs w:val="24"/>
        </w:rPr>
        <w:t>Petition of PPL Electric Utilities Corporation for Approval of a Default Service Program and Procurement Plan for the Period June 1, 2015 Through May 31, 2017,</w:t>
      </w:r>
      <w:r w:rsidR="00995166">
        <w:rPr>
          <w:sz w:val="24"/>
          <w:szCs w:val="24"/>
        </w:rPr>
        <w:t xml:space="preserve"> Docket No. P-2014-2417907.</w:t>
      </w:r>
    </w:p>
    <w:p w:rsidR="001946E1" w:rsidRDefault="001946E1" w:rsidP="005A229F">
      <w:pPr>
        <w:pStyle w:val="BodyTextIndent"/>
        <w:ind w:firstLine="0"/>
        <w:rPr>
          <w:sz w:val="24"/>
          <w:szCs w:val="24"/>
        </w:rPr>
      </w:pPr>
    </w:p>
    <w:p w:rsidR="00FF4D11" w:rsidRDefault="00995166" w:rsidP="005A229F">
      <w:pPr>
        <w:pStyle w:val="BodyTextIndent"/>
        <w:ind w:firstLine="0"/>
        <w:rPr>
          <w:sz w:val="24"/>
          <w:szCs w:val="24"/>
        </w:rPr>
      </w:pPr>
      <w:r>
        <w:rPr>
          <w:sz w:val="24"/>
          <w:szCs w:val="24"/>
        </w:rPr>
        <w:tab/>
      </w:r>
      <w:r>
        <w:rPr>
          <w:sz w:val="24"/>
          <w:szCs w:val="24"/>
        </w:rPr>
        <w:tab/>
        <w:t>5.</w:t>
      </w:r>
      <w:r>
        <w:rPr>
          <w:sz w:val="24"/>
          <w:szCs w:val="24"/>
        </w:rPr>
        <w:tab/>
      </w:r>
      <w:r w:rsidR="005A229F">
        <w:rPr>
          <w:sz w:val="24"/>
          <w:szCs w:val="24"/>
        </w:rPr>
        <w:t>That the alternate plan proposed by the Dauphin County Industrial</w:t>
      </w:r>
      <w:r w:rsidR="00F14704">
        <w:rPr>
          <w:sz w:val="24"/>
          <w:szCs w:val="24"/>
        </w:rPr>
        <w:t xml:space="preserve"> </w:t>
      </w:r>
      <w:r>
        <w:rPr>
          <w:sz w:val="24"/>
          <w:szCs w:val="24"/>
        </w:rPr>
        <w:t>Development Authority is denied.</w:t>
      </w:r>
    </w:p>
    <w:p w:rsidR="006A0849" w:rsidRDefault="006A0849" w:rsidP="005A229F">
      <w:pPr>
        <w:pStyle w:val="BodyTextIndent"/>
        <w:ind w:firstLine="0"/>
        <w:rPr>
          <w:sz w:val="24"/>
          <w:szCs w:val="24"/>
        </w:rPr>
      </w:pPr>
    </w:p>
    <w:p w:rsidR="006A0849" w:rsidRDefault="006A0849" w:rsidP="005A229F">
      <w:pPr>
        <w:pStyle w:val="BodyTextIndent"/>
        <w:ind w:firstLine="0"/>
        <w:rPr>
          <w:sz w:val="24"/>
          <w:szCs w:val="24"/>
        </w:rPr>
      </w:pPr>
    </w:p>
    <w:p w:rsidR="006A0849" w:rsidRDefault="00732D15" w:rsidP="006A0849">
      <w:pPr>
        <w:pStyle w:val="BodyTextIndent"/>
        <w:tabs>
          <w:tab w:val="left" w:pos="5760"/>
        </w:tabs>
        <w:spacing w:line="240" w:lineRule="auto"/>
        <w:ind w:firstLine="0"/>
        <w:rPr>
          <w:sz w:val="24"/>
          <w:szCs w:val="24"/>
        </w:rPr>
      </w:pPr>
      <w:r w:rsidRPr="00732D15">
        <w:rPr>
          <w:sz w:val="24"/>
          <w:szCs w:val="24"/>
        </w:rPr>
        <w:t>Date:</w:t>
      </w:r>
      <w:r>
        <w:rPr>
          <w:sz w:val="24"/>
          <w:szCs w:val="24"/>
        </w:rPr>
        <w:t xml:space="preserve">  </w:t>
      </w:r>
      <w:r w:rsidR="006A0849">
        <w:rPr>
          <w:sz w:val="24"/>
          <w:szCs w:val="24"/>
          <w:u w:val="single"/>
        </w:rPr>
        <w:t>May 1, 2014</w:t>
      </w:r>
      <w:r w:rsidR="006A0849">
        <w:rPr>
          <w:sz w:val="24"/>
          <w:szCs w:val="24"/>
        </w:rPr>
        <w:tab/>
      </w:r>
      <w:r w:rsidR="006A0849">
        <w:rPr>
          <w:sz w:val="24"/>
          <w:szCs w:val="24"/>
          <w:u w:val="single"/>
        </w:rPr>
        <w:tab/>
        <w:t>/s/</w:t>
      </w:r>
      <w:r w:rsidR="006A0849">
        <w:rPr>
          <w:sz w:val="24"/>
          <w:szCs w:val="24"/>
          <w:u w:val="single"/>
        </w:rPr>
        <w:tab/>
      </w:r>
      <w:r w:rsidR="006A0849">
        <w:rPr>
          <w:sz w:val="24"/>
          <w:szCs w:val="24"/>
          <w:u w:val="single"/>
        </w:rPr>
        <w:tab/>
      </w:r>
      <w:r w:rsidR="006A0849">
        <w:rPr>
          <w:sz w:val="24"/>
          <w:szCs w:val="24"/>
          <w:u w:val="single"/>
        </w:rPr>
        <w:tab/>
      </w:r>
      <w:r w:rsidR="006A0849">
        <w:rPr>
          <w:sz w:val="24"/>
          <w:szCs w:val="24"/>
          <w:u w:val="single"/>
        </w:rPr>
        <w:tab/>
      </w:r>
    </w:p>
    <w:p w:rsidR="006A0849" w:rsidRDefault="006A0849" w:rsidP="006A0849">
      <w:pPr>
        <w:pStyle w:val="BodyTextIndent"/>
        <w:tabs>
          <w:tab w:val="left" w:pos="5760"/>
        </w:tabs>
        <w:spacing w:line="240" w:lineRule="auto"/>
        <w:ind w:firstLine="0"/>
        <w:rPr>
          <w:sz w:val="24"/>
          <w:szCs w:val="24"/>
        </w:rPr>
      </w:pPr>
      <w:r>
        <w:rPr>
          <w:sz w:val="24"/>
          <w:szCs w:val="24"/>
        </w:rPr>
        <w:tab/>
        <w:t>Susan D. Colwell</w:t>
      </w:r>
    </w:p>
    <w:p w:rsidR="006A0849" w:rsidRDefault="006A0849" w:rsidP="006A0849">
      <w:pPr>
        <w:pStyle w:val="BodyTextIndent"/>
        <w:tabs>
          <w:tab w:val="left" w:pos="5760"/>
        </w:tabs>
        <w:spacing w:line="240" w:lineRule="auto"/>
        <w:ind w:firstLine="0"/>
        <w:rPr>
          <w:sz w:val="24"/>
          <w:szCs w:val="24"/>
        </w:rPr>
      </w:pPr>
      <w:r>
        <w:rPr>
          <w:sz w:val="24"/>
          <w:szCs w:val="24"/>
        </w:rPr>
        <w:tab/>
        <w:t>Administrative Law Judge</w:t>
      </w:r>
    </w:p>
    <w:p w:rsidR="006A0849" w:rsidRDefault="006A0849" w:rsidP="006A0849">
      <w:pPr>
        <w:pStyle w:val="BodyTextIndent"/>
        <w:tabs>
          <w:tab w:val="left" w:pos="5760"/>
        </w:tabs>
        <w:spacing w:line="240" w:lineRule="auto"/>
        <w:ind w:firstLine="0"/>
        <w:rPr>
          <w:sz w:val="24"/>
          <w:szCs w:val="24"/>
        </w:rPr>
      </w:pPr>
    </w:p>
    <w:p w:rsidR="006A0849" w:rsidRDefault="006A0849" w:rsidP="006A0849">
      <w:pPr>
        <w:pStyle w:val="BodyTextIndent"/>
        <w:tabs>
          <w:tab w:val="left" w:pos="5760"/>
        </w:tabs>
        <w:spacing w:line="240" w:lineRule="auto"/>
        <w:ind w:firstLine="0"/>
        <w:rPr>
          <w:sz w:val="24"/>
          <w:szCs w:val="24"/>
        </w:rPr>
      </w:pPr>
    </w:p>
    <w:p w:rsidR="006A0849" w:rsidRDefault="006A0849" w:rsidP="006A0849">
      <w:pPr>
        <w:pStyle w:val="BodyTextIndent"/>
        <w:tabs>
          <w:tab w:val="left" w:pos="5760"/>
        </w:tabs>
        <w:spacing w:line="240" w:lineRule="auto"/>
        <w:ind w:firstLine="0"/>
        <w:rPr>
          <w:sz w:val="24"/>
          <w:szCs w:val="24"/>
        </w:rPr>
      </w:pPr>
      <w:r>
        <w:rPr>
          <w:sz w:val="24"/>
          <w:szCs w:val="24"/>
        </w:rPr>
        <w:tab/>
      </w:r>
      <w:bookmarkStart w:id="0" w:name="_GoBack"/>
      <w:bookmarkEnd w:id="0"/>
      <w:r>
        <w:rPr>
          <w:sz w:val="24"/>
          <w:szCs w:val="24"/>
          <w:u w:val="single"/>
        </w:rPr>
        <w:tab/>
        <w:t>/s/</w:t>
      </w:r>
      <w:r>
        <w:rPr>
          <w:sz w:val="24"/>
          <w:szCs w:val="24"/>
          <w:u w:val="single"/>
        </w:rPr>
        <w:tab/>
      </w:r>
      <w:r>
        <w:rPr>
          <w:sz w:val="24"/>
          <w:szCs w:val="24"/>
          <w:u w:val="single"/>
        </w:rPr>
        <w:tab/>
      </w:r>
      <w:r>
        <w:rPr>
          <w:sz w:val="24"/>
          <w:szCs w:val="24"/>
          <w:u w:val="single"/>
        </w:rPr>
        <w:tab/>
      </w:r>
      <w:r>
        <w:rPr>
          <w:sz w:val="24"/>
          <w:szCs w:val="24"/>
          <w:u w:val="single"/>
        </w:rPr>
        <w:tab/>
      </w:r>
    </w:p>
    <w:p w:rsidR="006A0849" w:rsidRDefault="006A0849" w:rsidP="006A0849">
      <w:pPr>
        <w:pStyle w:val="BodyTextIndent"/>
        <w:tabs>
          <w:tab w:val="left" w:pos="5760"/>
        </w:tabs>
        <w:spacing w:line="240" w:lineRule="auto"/>
        <w:ind w:firstLine="0"/>
        <w:rPr>
          <w:sz w:val="24"/>
          <w:szCs w:val="24"/>
        </w:rPr>
      </w:pPr>
      <w:r>
        <w:rPr>
          <w:sz w:val="24"/>
          <w:szCs w:val="24"/>
        </w:rPr>
        <w:tab/>
        <w:t>Joel H. Cheskis</w:t>
      </w:r>
    </w:p>
    <w:p w:rsidR="006A0849" w:rsidRPr="006A0849" w:rsidRDefault="006A0849" w:rsidP="006A0849">
      <w:pPr>
        <w:pStyle w:val="BodyTextIndent"/>
        <w:tabs>
          <w:tab w:val="left" w:pos="5760"/>
        </w:tabs>
        <w:spacing w:line="240" w:lineRule="auto"/>
        <w:ind w:firstLine="0"/>
        <w:rPr>
          <w:sz w:val="24"/>
          <w:szCs w:val="24"/>
        </w:rPr>
      </w:pPr>
      <w:r>
        <w:rPr>
          <w:sz w:val="24"/>
          <w:szCs w:val="24"/>
        </w:rPr>
        <w:tab/>
        <w:t>Administrative Law Judge</w:t>
      </w:r>
    </w:p>
    <w:p w:rsidR="004F1DE2" w:rsidRDefault="004F1DE2" w:rsidP="005A229F">
      <w:pPr>
        <w:pStyle w:val="BodyTextIndent"/>
        <w:ind w:firstLine="0"/>
        <w:rPr>
          <w:sz w:val="24"/>
          <w:szCs w:val="24"/>
        </w:rPr>
      </w:pPr>
    </w:p>
    <w:p w:rsidR="004F1DE2" w:rsidRDefault="004F1DE2" w:rsidP="005A229F">
      <w:pPr>
        <w:pStyle w:val="BodyTextIndent"/>
        <w:ind w:firstLine="0"/>
        <w:rPr>
          <w:sz w:val="24"/>
          <w:szCs w:val="24"/>
        </w:rPr>
      </w:pPr>
    </w:p>
    <w:sectPr w:rsidR="004F1DE2" w:rsidSect="009F7E9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8A" w:rsidRDefault="00433F8A" w:rsidP="007B646E">
      <w:pPr>
        <w:spacing w:line="240" w:lineRule="auto"/>
      </w:pPr>
    </w:p>
  </w:endnote>
  <w:endnote w:type="continuationSeparator" w:id="0">
    <w:p w:rsidR="00433F8A" w:rsidRDefault="00433F8A" w:rsidP="007B64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45740959"/>
      <w:docPartObj>
        <w:docPartGallery w:val="Page Numbers (Bottom of Page)"/>
        <w:docPartUnique/>
      </w:docPartObj>
    </w:sdtPr>
    <w:sdtEndPr>
      <w:rPr>
        <w:noProof/>
      </w:rPr>
    </w:sdtEndPr>
    <w:sdtContent>
      <w:p w:rsidR="009F7E9C" w:rsidRPr="009F7E9C" w:rsidRDefault="009F7E9C">
        <w:pPr>
          <w:pStyle w:val="Footer"/>
          <w:rPr>
            <w:sz w:val="20"/>
            <w:szCs w:val="20"/>
          </w:rPr>
        </w:pPr>
        <w:r w:rsidRPr="009F7E9C">
          <w:rPr>
            <w:sz w:val="20"/>
            <w:szCs w:val="20"/>
          </w:rPr>
          <w:fldChar w:fldCharType="begin"/>
        </w:r>
        <w:r w:rsidRPr="009F7E9C">
          <w:rPr>
            <w:sz w:val="20"/>
            <w:szCs w:val="20"/>
          </w:rPr>
          <w:instrText xml:space="preserve"> PAGE   \* MERGEFORMAT </w:instrText>
        </w:r>
        <w:r w:rsidRPr="009F7E9C">
          <w:rPr>
            <w:sz w:val="20"/>
            <w:szCs w:val="20"/>
          </w:rPr>
          <w:fldChar w:fldCharType="separate"/>
        </w:r>
        <w:r w:rsidR="00732D15">
          <w:rPr>
            <w:noProof/>
            <w:sz w:val="20"/>
            <w:szCs w:val="20"/>
          </w:rPr>
          <w:t>32</w:t>
        </w:r>
        <w:r w:rsidRPr="009F7E9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891087"/>
      <w:docPartObj>
        <w:docPartGallery w:val="Page Numbers (Bottom of Page)"/>
        <w:docPartUnique/>
      </w:docPartObj>
    </w:sdtPr>
    <w:sdtEndPr>
      <w:rPr>
        <w:noProof/>
      </w:rPr>
    </w:sdtEndPr>
    <w:sdtContent>
      <w:p w:rsidR="009F7E9C" w:rsidRDefault="009F7E9C">
        <w:pPr>
          <w:pStyle w:val="Footer"/>
        </w:pPr>
        <w:r w:rsidRPr="009F7E9C">
          <w:rPr>
            <w:sz w:val="20"/>
            <w:szCs w:val="20"/>
          </w:rPr>
          <w:fldChar w:fldCharType="begin"/>
        </w:r>
        <w:r w:rsidRPr="009F7E9C">
          <w:rPr>
            <w:sz w:val="20"/>
            <w:szCs w:val="20"/>
          </w:rPr>
          <w:instrText xml:space="preserve"> PAGE   \* MERGEFORMAT </w:instrText>
        </w:r>
        <w:r w:rsidRPr="009F7E9C">
          <w:rPr>
            <w:sz w:val="20"/>
            <w:szCs w:val="20"/>
          </w:rPr>
          <w:fldChar w:fldCharType="separate"/>
        </w:r>
        <w:r w:rsidR="00732D15">
          <w:rPr>
            <w:noProof/>
            <w:sz w:val="20"/>
            <w:szCs w:val="20"/>
          </w:rPr>
          <w:t>14</w:t>
        </w:r>
        <w:r w:rsidRPr="009F7E9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8A" w:rsidRPr="001946E1" w:rsidRDefault="00433F8A" w:rsidP="004F1DE2">
      <w:pPr>
        <w:pStyle w:val="Footer"/>
        <w:jc w:val="left"/>
      </w:pPr>
      <w:r>
        <w:separator/>
      </w:r>
    </w:p>
  </w:footnote>
  <w:footnote w:type="continuationSeparator" w:id="0">
    <w:p w:rsidR="00433F8A" w:rsidRDefault="00433F8A" w:rsidP="007B646E">
      <w:pPr>
        <w:spacing w:line="240" w:lineRule="auto"/>
      </w:pPr>
    </w:p>
  </w:footnote>
  <w:footnote w:type="continuationNotice" w:id="1">
    <w:p w:rsidR="00433F8A" w:rsidRDefault="00433F8A">
      <w:pPr>
        <w:spacing w:line="240" w:lineRule="auto"/>
      </w:pPr>
    </w:p>
  </w:footnote>
  <w:footnote w:id="2">
    <w:p w:rsidR="007C2873" w:rsidRDefault="002771EF" w:rsidP="00271F35">
      <w:pPr>
        <w:pStyle w:val="FootnoteText"/>
        <w:jc w:val="left"/>
      </w:pPr>
      <w:r>
        <w:tab/>
      </w:r>
      <w:r w:rsidR="007C2873">
        <w:rPr>
          <w:rStyle w:val="FootnoteReference"/>
        </w:rPr>
        <w:footnoteRef/>
      </w:r>
      <w:r w:rsidR="007C2873">
        <w:t xml:space="preserve"> </w:t>
      </w:r>
      <w:r>
        <w:tab/>
      </w:r>
      <w:r w:rsidR="007C2873">
        <w:t>JPPS fn 3:  PPL Electric will submit the applicable tariff  pages in accordance with the Commission's final order in this proceeding.</w:t>
      </w:r>
    </w:p>
  </w:footnote>
  <w:footnote w:id="3">
    <w:p w:rsidR="007C2873" w:rsidRDefault="002771EF" w:rsidP="00A334A9">
      <w:pPr>
        <w:pStyle w:val="FootnoteText"/>
        <w:jc w:val="left"/>
      </w:pPr>
      <w:r>
        <w:tab/>
      </w:r>
      <w:r w:rsidR="007C2873">
        <w:rPr>
          <w:rStyle w:val="FootnoteReference"/>
        </w:rPr>
        <w:footnoteRef/>
      </w:r>
      <w:r w:rsidR="007C2873">
        <w:t xml:space="preserve"> </w:t>
      </w:r>
      <w:r>
        <w:tab/>
      </w:r>
      <w:r w:rsidR="007C2873">
        <w:t>Appendix A is attached to the JPPS.</w:t>
      </w:r>
    </w:p>
    <w:p w:rsidR="002771EF" w:rsidRDefault="002771EF" w:rsidP="00A334A9">
      <w:pPr>
        <w:pStyle w:val="FootnoteText"/>
        <w:jc w:val="left"/>
      </w:pPr>
    </w:p>
  </w:footnote>
  <w:footnote w:id="4">
    <w:p w:rsidR="007C2873" w:rsidRDefault="002771EF" w:rsidP="00A334A9">
      <w:pPr>
        <w:pStyle w:val="FootnoteText"/>
        <w:jc w:val="left"/>
      </w:pPr>
      <w:r>
        <w:tab/>
      </w:r>
      <w:r w:rsidR="007C2873">
        <w:rPr>
          <w:rStyle w:val="FootnoteReference"/>
        </w:rPr>
        <w:footnoteRef/>
      </w:r>
      <w:r w:rsidR="007C2873">
        <w:t xml:space="preserve"> </w:t>
      </w:r>
      <w:r>
        <w:tab/>
      </w:r>
      <w:r w:rsidR="007C2873">
        <w:t>JPPS fn 4 reads:  As discussed in Paragraph 46, the Pilot TOU Program will be effective 90 days after the Commission issues a final order approving the Pilot TOU Program.  This effective date may not coincide with a change to the PTC, therefore, for the period between the effective date and the first PTC change following the effective date of the Pilot TOU Program the term of the contract between the EGS and the TOU customer may be less than three calendar months.</w:t>
      </w:r>
    </w:p>
  </w:footnote>
  <w:footnote w:id="5">
    <w:p w:rsidR="007C2873" w:rsidRDefault="004F40A1" w:rsidP="00D63FED">
      <w:pPr>
        <w:pStyle w:val="FootnoteText"/>
        <w:jc w:val="left"/>
      </w:pPr>
      <w:r>
        <w:tab/>
      </w:r>
      <w:r w:rsidR="007C2873">
        <w:rPr>
          <w:rStyle w:val="FootnoteReference"/>
        </w:rPr>
        <w:footnoteRef/>
      </w:r>
      <w:r w:rsidR="007C2873">
        <w:t xml:space="preserve"> </w:t>
      </w:r>
      <w:r>
        <w:tab/>
      </w:r>
      <w:r w:rsidR="007C2873">
        <w:t>JPPS fn 5 reads:  Customers in the Company's CAP, known as "OnTrack," will be excluded from participation in the TOU Program which, as proposed, will end on May 31, 2015.</w:t>
      </w:r>
    </w:p>
    <w:p w:rsidR="004F40A1" w:rsidRDefault="004F40A1" w:rsidP="00D63FED">
      <w:pPr>
        <w:pStyle w:val="FootnoteText"/>
        <w:jc w:val="left"/>
      </w:pPr>
    </w:p>
  </w:footnote>
  <w:footnote w:id="6">
    <w:p w:rsidR="007C2873" w:rsidRDefault="004F40A1" w:rsidP="00D63FED">
      <w:pPr>
        <w:pStyle w:val="FootnoteText"/>
        <w:jc w:val="left"/>
      </w:pPr>
      <w:r>
        <w:tab/>
      </w:r>
      <w:r w:rsidR="007C2873">
        <w:rPr>
          <w:rStyle w:val="FootnoteReference"/>
        </w:rPr>
        <w:footnoteRef/>
      </w:r>
      <w:r w:rsidR="007C2873">
        <w:t xml:space="preserve"> </w:t>
      </w:r>
      <w:r>
        <w:tab/>
      </w:r>
      <w:r w:rsidR="007C2873">
        <w:t>JPJPS fn 6 reads:  Customers will not necessarily be required to return to default service to participate in the Pilot TOU Program.  Customers participating in the Pilot TOU Program will initially begin service according to his or her bill cycle and the 11-day switching rule.  In the event that there is a gap in service prior to the initiation of service under the Pilot TOU Program, a customer may receive default service from PPL Electric prior to being switched to a supplier pursuant to the Commission's switching rules.</w:t>
      </w:r>
    </w:p>
  </w:footnote>
  <w:footnote w:id="7">
    <w:p w:rsidR="007C2873" w:rsidRDefault="0086500D" w:rsidP="007B646E">
      <w:pPr>
        <w:pStyle w:val="FootnoteText"/>
        <w:jc w:val="left"/>
      </w:pPr>
      <w:r>
        <w:tab/>
      </w:r>
      <w:r w:rsidR="007C2873">
        <w:rPr>
          <w:rStyle w:val="FootnoteReference"/>
        </w:rPr>
        <w:footnoteRef/>
      </w:r>
      <w:r w:rsidR="007C2873">
        <w:t xml:space="preserve"> </w:t>
      </w:r>
      <w:r w:rsidR="007C2873">
        <w:tab/>
        <w:t>(g)</w:t>
      </w:r>
      <w:r w:rsidR="007C2873">
        <w:tab/>
      </w:r>
      <w:r w:rsidR="007C2873" w:rsidRPr="00D02589">
        <w:rPr>
          <w:b/>
        </w:rPr>
        <w:t>Definition</w:t>
      </w:r>
      <w:r w:rsidR="007C2873">
        <w:t>.—As used in this section, the term "smart meter technology" means technology, including metering technology and network communication technology capable of bidirectional communication, that record electricity usage on at least an hourly basis, including related electric distribution system upgrades to enable the technology.  The technology shall provide customers with direct access to and use of price and consumption information.  The technology shall also:</w:t>
      </w:r>
    </w:p>
    <w:p w:rsidR="007C2873" w:rsidRDefault="007C2873" w:rsidP="007B646E">
      <w:pPr>
        <w:pStyle w:val="FootnoteText"/>
        <w:ind w:left="1440"/>
        <w:jc w:val="left"/>
      </w:pPr>
      <w:r>
        <w:t xml:space="preserve">(1) </w:t>
      </w:r>
      <w:r w:rsidR="00E71194">
        <w:tab/>
      </w:r>
      <w:r>
        <w:t>Directly provide customers with information on their hourly consumption.</w:t>
      </w:r>
    </w:p>
    <w:p w:rsidR="007C2873" w:rsidRDefault="007C2873" w:rsidP="007B646E">
      <w:pPr>
        <w:pStyle w:val="FootnoteText"/>
        <w:ind w:left="1440"/>
        <w:jc w:val="left"/>
      </w:pPr>
      <w:r>
        <w:t xml:space="preserve">(2) </w:t>
      </w:r>
      <w:r w:rsidR="00E71194">
        <w:tab/>
      </w:r>
      <w:r>
        <w:t>Enable time-of-use rates and real-time price programs.</w:t>
      </w:r>
    </w:p>
    <w:p w:rsidR="007C2873" w:rsidRDefault="007C2873" w:rsidP="007B646E">
      <w:pPr>
        <w:pStyle w:val="FootnoteText"/>
        <w:ind w:left="1440"/>
        <w:jc w:val="left"/>
      </w:pPr>
      <w:r>
        <w:t>(3)</w:t>
      </w:r>
      <w:r>
        <w:tab/>
        <w:t>Effectively support the automatic control of the customer's electricity consumption by one or more of the following as selected by the customer:</w:t>
      </w:r>
    </w:p>
    <w:p w:rsidR="007C2873" w:rsidRDefault="007C2873" w:rsidP="007B646E">
      <w:pPr>
        <w:pStyle w:val="FootnoteText"/>
        <w:ind w:left="2160"/>
        <w:jc w:val="left"/>
      </w:pPr>
      <w:r>
        <w:t>(i)</w:t>
      </w:r>
      <w:r>
        <w:tab/>
        <w:t>the customer;</w:t>
      </w:r>
    </w:p>
    <w:p w:rsidR="007C2873" w:rsidRDefault="007C2873" w:rsidP="007B646E">
      <w:pPr>
        <w:pStyle w:val="FootnoteText"/>
        <w:ind w:left="2160"/>
        <w:jc w:val="left"/>
      </w:pPr>
      <w:r>
        <w:t>(ii)</w:t>
      </w:r>
      <w:r>
        <w:tab/>
        <w:t>the customer's utility; or</w:t>
      </w:r>
    </w:p>
    <w:p w:rsidR="007C2873" w:rsidRDefault="007C2873" w:rsidP="007B646E">
      <w:pPr>
        <w:pStyle w:val="FootnoteText"/>
        <w:ind w:left="2160"/>
        <w:jc w:val="left"/>
      </w:pPr>
      <w:r>
        <w:t>(iii)</w:t>
      </w:r>
      <w:r>
        <w:tab/>
        <w:t>a third party engaged by the customer or the customer's utility.</w:t>
      </w:r>
    </w:p>
    <w:p w:rsidR="0086500D" w:rsidRDefault="0086500D" w:rsidP="007B646E">
      <w:pPr>
        <w:pStyle w:val="FootnoteText"/>
        <w:ind w:left="2160"/>
        <w:jc w:val="left"/>
      </w:pPr>
    </w:p>
    <w:p w:rsidR="007C2873" w:rsidRDefault="00E71194" w:rsidP="007B646E">
      <w:pPr>
        <w:pStyle w:val="FootnoteText"/>
        <w:jc w:val="left"/>
      </w:pPr>
      <w:r>
        <w:t>6</w:t>
      </w:r>
      <w:r>
        <w:t>6 Pa.</w:t>
      </w:r>
      <w:r w:rsidR="007C2873">
        <w:t>C.S. § 2807(g).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4459B"/>
    <w:multiLevelType w:val="hybridMultilevel"/>
    <w:tmpl w:val="1C9C0938"/>
    <w:lvl w:ilvl="0" w:tplc="1E1C62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D1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6E90"/>
    <w:rsid w:val="000372C5"/>
    <w:rsid w:val="00037484"/>
    <w:rsid w:val="000377F5"/>
    <w:rsid w:val="00037E0F"/>
    <w:rsid w:val="00040EB6"/>
    <w:rsid w:val="00044B8B"/>
    <w:rsid w:val="00044FC0"/>
    <w:rsid w:val="0004643F"/>
    <w:rsid w:val="000466BF"/>
    <w:rsid w:val="00046714"/>
    <w:rsid w:val="00046940"/>
    <w:rsid w:val="000478E2"/>
    <w:rsid w:val="00047D0E"/>
    <w:rsid w:val="000541C0"/>
    <w:rsid w:val="0005423F"/>
    <w:rsid w:val="00055078"/>
    <w:rsid w:val="00055CC5"/>
    <w:rsid w:val="000576ED"/>
    <w:rsid w:val="000601AA"/>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A791A"/>
    <w:rsid w:val="000B1BFC"/>
    <w:rsid w:val="000B2D0C"/>
    <w:rsid w:val="000B339A"/>
    <w:rsid w:val="000B6467"/>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3A9B"/>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6E6F"/>
    <w:rsid w:val="000F78BE"/>
    <w:rsid w:val="0010080E"/>
    <w:rsid w:val="001021FB"/>
    <w:rsid w:val="00102A77"/>
    <w:rsid w:val="0010420D"/>
    <w:rsid w:val="00104518"/>
    <w:rsid w:val="00106EE8"/>
    <w:rsid w:val="001077F1"/>
    <w:rsid w:val="00110EA7"/>
    <w:rsid w:val="00112FA0"/>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7CBB"/>
    <w:rsid w:val="0017038B"/>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86970"/>
    <w:rsid w:val="00190B2C"/>
    <w:rsid w:val="00191522"/>
    <w:rsid w:val="00192EB5"/>
    <w:rsid w:val="001946E1"/>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48C"/>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77C"/>
    <w:rsid w:val="001F2514"/>
    <w:rsid w:val="001F33A3"/>
    <w:rsid w:val="001F4882"/>
    <w:rsid w:val="001F49C0"/>
    <w:rsid w:val="001F4DA0"/>
    <w:rsid w:val="001F6E43"/>
    <w:rsid w:val="001F6F77"/>
    <w:rsid w:val="001F74FC"/>
    <w:rsid w:val="001F77B2"/>
    <w:rsid w:val="002004A8"/>
    <w:rsid w:val="002019B1"/>
    <w:rsid w:val="00201E65"/>
    <w:rsid w:val="0020299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3F92"/>
    <w:rsid w:val="002241D0"/>
    <w:rsid w:val="00224756"/>
    <w:rsid w:val="0022478F"/>
    <w:rsid w:val="00227A4A"/>
    <w:rsid w:val="00230CC6"/>
    <w:rsid w:val="002337D7"/>
    <w:rsid w:val="00234DEB"/>
    <w:rsid w:val="0023584A"/>
    <w:rsid w:val="00236C44"/>
    <w:rsid w:val="00240343"/>
    <w:rsid w:val="002403E6"/>
    <w:rsid w:val="002422D0"/>
    <w:rsid w:val="002442A9"/>
    <w:rsid w:val="00244C3B"/>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4B20"/>
    <w:rsid w:val="00264DC6"/>
    <w:rsid w:val="0026705F"/>
    <w:rsid w:val="002704DD"/>
    <w:rsid w:val="00270AF3"/>
    <w:rsid w:val="00271F35"/>
    <w:rsid w:val="0027207B"/>
    <w:rsid w:val="0027210A"/>
    <w:rsid w:val="002736DC"/>
    <w:rsid w:val="002748C2"/>
    <w:rsid w:val="002752C3"/>
    <w:rsid w:val="00275659"/>
    <w:rsid w:val="002761E2"/>
    <w:rsid w:val="002771EF"/>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B77FD"/>
    <w:rsid w:val="002C0694"/>
    <w:rsid w:val="002C1023"/>
    <w:rsid w:val="002C4F02"/>
    <w:rsid w:val="002C5F2F"/>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72D"/>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0E84"/>
    <w:rsid w:val="0032130D"/>
    <w:rsid w:val="00321DB1"/>
    <w:rsid w:val="00326EEE"/>
    <w:rsid w:val="00326F3E"/>
    <w:rsid w:val="00330A67"/>
    <w:rsid w:val="00332A51"/>
    <w:rsid w:val="00333ADD"/>
    <w:rsid w:val="00334F62"/>
    <w:rsid w:val="00336496"/>
    <w:rsid w:val="003364EB"/>
    <w:rsid w:val="003369D8"/>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676FE"/>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97BBD"/>
    <w:rsid w:val="003A0B9C"/>
    <w:rsid w:val="003A0E5A"/>
    <w:rsid w:val="003A0F8D"/>
    <w:rsid w:val="003A5E83"/>
    <w:rsid w:val="003A645E"/>
    <w:rsid w:val="003A6A5F"/>
    <w:rsid w:val="003A7501"/>
    <w:rsid w:val="003A7581"/>
    <w:rsid w:val="003B2E77"/>
    <w:rsid w:val="003B3FDD"/>
    <w:rsid w:val="003B4D40"/>
    <w:rsid w:val="003B4E14"/>
    <w:rsid w:val="003B5D19"/>
    <w:rsid w:val="003B610B"/>
    <w:rsid w:val="003B7DDF"/>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5448"/>
    <w:rsid w:val="003E7E85"/>
    <w:rsid w:val="003F01A7"/>
    <w:rsid w:val="003F2E62"/>
    <w:rsid w:val="003F3925"/>
    <w:rsid w:val="003F425B"/>
    <w:rsid w:val="00401386"/>
    <w:rsid w:val="004017C5"/>
    <w:rsid w:val="004047B1"/>
    <w:rsid w:val="00404E55"/>
    <w:rsid w:val="0040584C"/>
    <w:rsid w:val="00406807"/>
    <w:rsid w:val="004078EF"/>
    <w:rsid w:val="00407933"/>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3F8A"/>
    <w:rsid w:val="0043485A"/>
    <w:rsid w:val="00434E8A"/>
    <w:rsid w:val="00434FD6"/>
    <w:rsid w:val="0043546B"/>
    <w:rsid w:val="00437C03"/>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30A"/>
    <w:rsid w:val="0045199A"/>
    <w:rsid w:val="00451F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4C19"/>
    <w:rsid w:val="00476A50"/>
    <w:rsid w:val="00477A71"/>
    <w:rsid w:val="00481269"/>
    <w:rsid w:val="004839FC"/>
    <w:rsid w:val="00483C70"/>
    <w:rsid w:val="00484589"/>
    <w:rsid w:val="00484BCE"/>
    <w:rsid w:val="00487E8F"/>
    <w:rsid w:val="00491F39"/>
    <w:rsid w:val="004938B5"/>
    <w:rsid w:val="00493AC3"/>
    <w:rsid w:val="0049422F"/>
    <w:rsid w:val="0049475D"/>
    <w:rsid w:val="0049575D"/>
    <w:rsid w:val="004964C3"/>
    <w:rsid w:val="00496D95"/>
    <w:rsid w:val="00496DB8"/>
    <w:rsid w:val="004A11A6"/>
    <w:rsid w:val="004A1729"/>
    <w:rsid w:val="004A21F4"/>
    <w:rsid w:val="004A2BB6"/>
    <w:rsid w:val="004A3363"/>
    <w:rsid w:val="004A4932"/>
    <w:rsid w:val="004A4B6C"/>
    <w:rsid w:val="004A5318"/>
    <w:rsid w:val="004A5D57"/>
    <w:rsid w:val="004A741E"/>
    <w:rsid w:val="004B0321"/>
    <w:rsid w:val="004B1ADE"/>
    <w:rsid w:val="004B2625"/>
    <w:rsid w:val="004B3A6D"/>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1DE2"/>
    <w:rsid w:val="004F2F62"/>
    <w:rsid w:val="004F37CB"/>
    <w:rsid w:val="004F40A1"/>
    <w:rsid w:val="004F45CA"/>
    <w:rsid w:val="004F5216"/>
    <w:rsid w:val="004F616B"/>
    <w:rsid w:val="004F64E4"/>
    <w:rsid w:val="00500A53"/>
    <w:rsid w:val="00503634"/>
    <w:rsid w:val="00503E13"/>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37587"/>
    <w:rsid w:val="00540B74"/>
    <w:rsid w:val="00540B8B"/>
    <w:rsid w:val="00540ED6"/>
    <w:rsid w:val="00541C1D"/>
    <w:rsid w:val="005449AC"/>
    <w:rsid w:val="00544A16"/>
    <w:rsid w:val="005472EC"/>
    <w:rsid w:val="00547C82"/>
    <w:rsid w:val="0055122B"/>
    <w:rsid w:val="00552915"/>
    <w:rsid w:val="005534BD"/>
    <w:rsid w:val="0055412F"/>
    <w:rsid w:val="005623DE"/>
    <w:rsid w:val="00562A9A"/>
    <w:rsid w:val="00564A3A"/>
    <w:rsid w:val="005650FF"/>
    <w:rsid w:val="00566DDB"/>
    <w:rsid w:val="005674EF"/>
    <w:rsid w:val="00570742"/>
    <w:rsid w:val="00570C2E"/>
    <w:rsid w:val="00571577"/>
    <w:rsid w:val="00571C60"/>
    <w:rsid w:val="0057213D"/>
    <w:rsid w:val="005729E9"/>
    <w:rsid w:val="005729EE"/>
    <w:rsid w:val="005732E9"/>
    <w:rsid w:val="0057454E"/>
    <w:rsid w:val="00575D4F"/>
    <w:rsid w:val="00575F27"/>
    <w:rsid w:val="00576771"/>
    <w:rsid w:val="0058036C"/>
    <w:rsid w:val="0058073B"/>
    <w:rsid w:val="00580815"/>
    <w:rsid w:val="00582289"/>
    <w:rsid w:val="0058363F"/>
    <w:rsid w:val="00584CB9"/>
    <w:rsid w:val="00585BD9"/>
    <w:rsid w:val="00587B74"/>
    <w:rsid w:val="00591260"/>
    <w:rsid w:val="00591696"/>
    <w:rsid w:val="00593FF1"/>
    <w:rsid w:val="00594648"/>
    <w:rsid w:val="00594E77"/>
    <w:rsid w:val="0059623B"/>
    <w:rsid w:val="00596D1D"/>
    <w:rsid w:val="005A1839"/>
    <w:rsid w:val="005A229F"/>
    <w:rsid w:val="005A2923"/>
    <w:rsid w:val="005A3759"/>
    <w:rsid w:val="005A44D9"/>
    <w:rsid w:val="005A5826"/>
    <w:rsid w:val="005A6ADE"/>
    <w:rsid w:val="005B0CFB"/>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125"/>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8E9"/>
    <w:rsid w:val="00664A57"/>
    <w:rsid w:val="00664C73"/>
    <w:rsid w:val="00665E8E"/>
    <w:rsid w:val="00671999"/>
    <w:rsid w:val="006725F7"/>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849"/>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1E5"/>
    <w:rsid w:val="006D7692"/>
    <w:rsid w:val="006E1753"/>
    <w:rsid w:val="006E176F"/>
    <w:rsid w:val="006E3BF0"/>
    <w:rsid w:val="006E4818"/>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2D15"/>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407B"/>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6E"/>
    <w:rsid w:val="007B6474"/>
    <w:rsid w:val="007B7F0F"/>
    <w:rsid w:val="007C19EC"/>
    <w:rsid w:val="007C2873"/>
    <w:rsid w:val="007C342D"/>
    <w:rsid w:val="007C3C7F"/>
    <w:rsid w:val="007C51EB"/>
    <w:rsid w:val="007C60E2"/>
    <w:rsid w:val="007C7435"/>
    <w:rsid w:val="007D158A"/>
    <w:rsid w:val="007D5345"/>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715B"/>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00D"/>
    <w:rsid w:val="00865C18"/>
    <w:rsid w:val="0086621E"/>
    <w:rsid w:val="0086717D"/>
    <w:rsid w:val="0087121E"/>
    <w:rsid w:val="00876B32"/>
    <w:rsid w:val="00882CB8"/>
    <w:rsid w:val="008838C4"/>
    <w:rsid w:val="00884366"/>
    <w:rsid w:val="00884650"/>
    <w:rsid w:val="008851B9"/>
    <w:rsid w:val="00885F50"/>
    <w:rsid w:val="00887314"/>
    <w:rsid w:val="00890EB4"/>
    <w:rsid w:val="008913C7"/>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FCB"/>
    <w:rsid w:val="00902EB1"/>
    <w:rsid w:val="009030AB"/>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173"/>
    <w:rsid w:val="00923349"/>
    <w:rsid w:val="00923CE8"/>
    <w:rsid w:val="009252D3"/>
    <w:rsid w:val="00926002"/>
    <w:rsid w:val="00930061"/>
    <w:rsid w:val="00930EBA"/>
    <w:rsid w:val="0093151F"/>
    <w:rsid w:val="0093233B"/>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166"/>
    <w:rsid w:val="00997443"/>
    <w:rsid w:val="009A1BA1"/>
    <w:rsid w:val="009A2A81"/>
    <w:rsid w:val="009A2AFB"/>
    <w:rsid w:val="009A2DE2"/>
    <w:rsid w:val="009A3B62"/>
    <w:rsid w:val="009A3ED4"/>
    <w:rsid w:val="009A56EE"/>
    <w:rsid w:val="009A5C47"/>
    <w:rsid w:val="009A68E7"/>
    <w:rsid w:val="009A6BC5"/>
    <w:rsid w:val="009B0164"/>
    <w:rsid w:val="009B11BF"/>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9F7E9C"/>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34A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22"/>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4196"/>
    <w:rsid w:val="00A851A4"/>
    <w:rsid w:val="00A86BD8"/>
    <w:rsid w:val="00A8787E"/>
    <w:rsid w:val="00A87EDF"/>
    <w:rsid w:val="00A90897"/>
    <w:rsid w:val="00A909E1"/>
    <w:rsid w:val="00A90C67"/>
    <w:rsid w:val="00A92B4B"/>
    <w:rsid w:val="00A93509"/>
    <w:rsid w:val="00A935BC"/>
    <w:rsid w:val="00A940DD"/>
    <w:rsid w:val="00A9525C"/>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C01"/>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4D7"/>
    <w:rsid w:val="00B43982"/>
    <w:rsid w:val="00B459AF"/>
    <w:rsid w:val="00B475B6"/>
    <w:rsid w:val="00B54BB7"/>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1BE6"/>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19B"/>
    <w:rsid w:val="00BD1886"/>
    <w:rsid w:val="00BD23E3"/>
    <w:rsid w:val="00BD3EA2"/>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390F"/>
    <w:rsid w:val="00C33FC6"/>
    <w:rsid w:val="00C3528E"/>
    <w:rsid w:val="00C3643C"/>
    <w:rsid w:val="00C36C29"/>
    <w:rsid w:val="00C41646"/>
    <w:rsid w:val="00C4383B"/>
    <w:rsid w:val="00C4601A"/>
    <w:rsid w:val="00C478FE"/>
    <w:rsid w:val="00C47E3E"/>
    <w:rsid w:val="00C502DD"/>
    <w:rsid w:val="00C6000A"/>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6E9"/>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BC"/>
    <w:rsid w:val="00D154A5"/>
    <w:rsid w:val="00D15660"/>
    <w:rsid w:val="00D16E7D"/>
    <w:rsid w:val="00D17731"/>
    <w:rsid w:val="00D20E86"/>
    <w:rsid w:val="00D20FB3"/>
    <w:rsid w:val="00D21DFB"/>
    <w:rsid w:val="00D227C4"/>
    <w:rsid w:val="00D23048"/>
    <w:rsid w:val="00D2352A"/>
    <w:rsid w:val="00D23A44"/>
    <w:rsid w:val="00D23DD0"/>
    <w:rsid w:val="00D251C3"/>
    <w:rsid w:val="00D26CB5"/>
    <w:rsid w:val="00D27EA0"/>
    <w:rsid w:val="00D31593"/>
    <w:rsid w:val="00D33231"/>
    <w:rsid w:val="00D33549"/>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3FED"/>
    <w:rsid w:val="00D64B7A"/>
    <w:rsid w:val="00D65AB8"/>
    <w:rsid w:val="00D65E10"/>
    <w:rsid w:val="00D66019"/>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70C"/>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01A"/>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6B80"/>
    <w:rsid w:val="00E6716A"/>
    <w:rsid w:val="00E67F40"/>
    <w:rsid w:val="00E70167"/>
    <w:rsid w:val="00E703C3"/>
    <w:rsid w:val="00E71194"/>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11A2"/>
    <w:rsid w:val="00ED2F8A"/>
    <w:rsid w:val="00ED58AF"/>
    <w:rsid w:val="00ED7658"/>
    <w:rsid w:val="00EE13F4"/>
    <w:rsid w:val="00EE171F"/>
    <w:rsid w:val="00EE1EE5"/>
    <w:rsid w:val="00EE2928"/>
    <w:rsid w:val="00EE2E23"/>
    <w:rsid w:val="00EE327E"/>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4704"/>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7D84"/>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3F"/>
    <w:rsid w:val="00FB106B"/>
    <w:rsid w:val="00FB4326"/>
    <w:rsid w:val="00FB4C6F"/>
    <w:rsid w:val="00FB64A1"/>
    <w:rsid w:val="00FB6732"/>
    <w:rsid w:val="00FB7D16"/>
    <w:rsid w:val="00FC0858"/>
    <w:rsid w:val="00FC110D"/>
    <w:rsid w:val="00FC3800"/>
    <w:rsid w:val="00FC4527"/>
    <w:rsid w:val="00FC4AA3"/>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4D11"/>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4D11"/>
    <w:pPr>
      <w:tabs>
        <w:tab w:val="center" w:pos="4680"/>
        <w:tab w:val="right" w:pos="9360"/>
      </w:tabs>
      <w:spacing w:line="240" w:lineRule="auto"/>
    </w:pPr>
  </w:style>
  <w:style w:type="character" w:customStyle="1" w:styleId="FooterChar">
    <w:name w:val="Footer Char"/>
    <w:basedOn w:val="DefaultParagraphFont"/>
    <w:link w:val="Footer"/>
    <w:uiPriority w:val="99"/>
    <w:rsid w:val="00FF4D11"/>
  </w:style>
  <w:style w:type="paragraph" w:styleId="BodyTextIndent">
    <w:name w:val="Body Text Indent"/>
    <w:basedOn w:val="Normal"/>
    <w:link w:val="BodyTextIndentChar"/>
    <w:rsid w:val="00FF4D11"/>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FF4D11"/>
    <w:rPr>
      <w:rFonts w:eastAsia="Times New Roman"/>
      <w:sz w:val="26"/>
      <w:szCs w:val="26"/>
    </w:rPr>
  </w:style>
  <w:style w:type="paragraph" w:styleId="ListParagraph">
    <w:name w:val="List Paragraph"/>
    <w:basedOn w:val="Normal"/>
    <w:uiPriority w:val="34"/>
    <w:qFormat/>
    <w:rsid w:val="00FF4D11"/>
    <w:pPr>
      <w:ind w:left="720"/>
      <w:contextualSpacing/>
    </w:pPr>
  </w:style>
  <w:style w:type="paragraph" w:styleId="BalloonText">
    <w:name w:val="Balloon Text"/>
    <w:basedOn w:val="Normal"/>
    <w:link w:val="BalloonTextChar"/>
    <w:uiPriority w:val="99"/>
    <w:semiHidden/>
    <w:unhideWhenUsed/>
    <w:rsid w:val="00665E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E8E"/>
    <w:rPr>
      <w:rFonts w:ascii="Tahoma" w:hAnsi="Tahoma" w:cs="Tahoma"/>
      <w:sz w:val="16"/>
      <w:szCs w:val="16"/>
    </w:rPr>
  </w:style>
  <w:style w:type="paragraph" w:customStyle="1" w:styleId="Pleading2L1">
    <w:name w:val="Pleading2_L1"/>
    <w:basedOn w:val="Normal"/>
    <w:next w:val="BodyText"/>
    <w:rsid w:val="00665E8E"/>
    <w:pPr>
      <w:numPr>
        <w:numId w:val="2"/>
      </w:numPr>
      <w:spacing w:after="240" w:line="240" w:lineRule="auto"/>
      <w:outlineLvl w:val="0"/>
    </w:pPr>
    <w:rPr>
      <w:rFonts w:eastAsia="Times New Roman"/>
      <w:b/>
      <w:caps/>
      <w:szCs w:val="20"/>
      <w:u w:val="single"/>
    </w:rPr>
  </w:style>
  <w:style w:type="paragraph" w:customStyle="1" w:styleId="Pleading2L2">
    <w:name w:val="Pleading2_L2"/>
    <w:basedOn w:val="Pleading2L1"/>
    <w:rsid w:val="00665E8E"/>
    <w:pPr>
      <w:numPr>
        <w:ilvl w:val="1"/>
      </w:numPr>
      <w:spacing w:after="0" w:line="480" w:lineRule="auto"/>
      <w:jc w:val="left"/>
      <w:outlineLvl w:val="1"/>
    </w:pPr>
    <w:rPr>
      <w:b w:val="0"/>
      <w:caps w:val="0"/>
      <w:u w:val="none"/>
    </w:rPr>
  </w:style>
  <w:style w:type="paragraph" w:customStyle="1" w:styleId="Pleading2L3">
    <w:name w:val="Pleading2_L3"/>
    <w:basedOn w:val="Pleading2L2"/>
    <w:rsid w:val="00665E8E"/>
    <w:pPr>
      <w:numPr>
        <w:ilvl w:val="2"/>
      </w:numPr>
      <w:outlineLvl w:val="2"/>
    </w:pPr>
  </w:style>
  <w:style w:type="paragraph" w:customStyle="1" w:styleId="Pleading2L4">
    <w:name w:val="Pleading2_L4"/>
    <w:basedOn w:val="Pleading2L3"/>
    <w:rsid w:val="00665E8E"/>
    <w:pPr>
      <w:numPr>
        <w:ilvl w:val="3"/>
      </w:numPr>
      <w:outlineLvl w:val="3"/>
    </w:pPr>
  </w:style>
  <w:style w:type="paragraph" w:customStyle="1" w:styleId="Pleading2L5">
    <w:name w:val="Pleading2_L5"/>
    <w:basedOn w:val="Pleading2L4"/>
    <w:rsid w:val="00665E8E"/>
    <w:pPr>
      <w:keepNext/>
      <w:keepLines/>
      <w:widowControl w:val="0"/>
      <w:numPr>
        <w:ilvl w:val="4"/>
      </w:numPr>
      <w:spacing w:after="240" w:line="240" w:lineRule="auto"/>
      <w:outlineLvl w:val="4"/>
    </w:pPr>
  </w:style>
  <w:style w:type="paragraph" w:customStyle="1" w:styleId="Pleading2L6">
    <w:name w:val="Pleading2_L6"/>
    <w:basedOn w:val="Pleading2L5"/>
    <w:rsid w:val="00665E8E"/>
    <w:pPr>
      <w:numPr>
        <w:ilvl w:val="5"/>
      </w:numPr>
      <w:outlineLvl w:val="5"/>
    </w:pPr>
  </w:style>
  <w:style w:type="paragraph" w:customStyle="1" w:styleId="Pleading2L7">
    <w:name w:val="Pleading2_L7"/>
    <w:basedOn w:val="Pleading2L6"/>
    <w:rsid w:val="00665E8E"/>
    <w:pPr>
      <w:numPr>
        <w:ilvl w:val="6"/>
      </w:numPr>
      <w:outlineLvl w:val="6"/>
    </w:pPr>
  </w:style>
  <w:style w:type="paragraph" w:customStyle="1" w:styleId="Pleading2L8">
    <w:name w:val="Pleading2_L8"/>
    <w:basedOn w:val="Pleading2L7"/>
    <w:rsid w:val="00665E8E"/>
    <w:pPr>
      <w:numPr>
        <w:ilvl w:val="7"/>
      </w:numPr>
      <w:outlineLvl w:val="7"/>
    </w:pPr>
  </w:style>
  <w:style w:type="paragraph" w:customStyle="1" w:styleId="Pleading2L9">
    <w:name w:val="Pleading2_L9"/>
    <w:basedOn w:val="Pleading2L8"/>
    <w:rsid w:val="00665E8E"/>
    <w:pPr>
      <w:numPr>
        <w:ilvl w:val="8"/>
      </w:numPr>
      <w:outlineLvl w:val="8"/>
    </w:pPr>
  </w:style>
  <w:style w:type="paragraph" w:styleId="BodyText">
    <w:name w:val="Body Text"/>
    <w:basedOn w:val="Normal"/>
    <w:link w:val="BodyTextChar"/>
    <w:uiPriority w:val="99"/>
    <w:semiHidden/>
    <w:unhideWhenUsed/>
    <w:rsid w:val="00665E8E"/>
    <w:pPr>
      <w:spacing w:after="120"/>
    </w:pPr>
  </w:style>
  <w:style w:type="character" w:customStyle="1" w:styleId="BodyTextChar">
    <w:name w:val="Body Text Char"/>
    <w:basedOn w:val="DefaultParagraphFont"/>
    <w:link w:val="BodyText"/>
    <w:uiPriority w:val="99"/>
    <w:semiHidden/>
    <w:rsid w:val="00665E8E"/>
  </w:style>
  <w:style w:type="paragraph" w:styleId="FootnoteText">
    <w:name w:val="footnote text"/>
    <w:basedOn w:val="Normal"/>
    <w:link w:val="FootnoteTextChar"/>
    <w:uiPriority w:val="99"/>
    <w:semiHidden/>
    <w:unhideWhenUsed/>
    <w:rsid w:val="007B646E"/>
    <w:pPr>
      <w:spacing w:line="240" w:lineRule="auto"/>
    </w:pPr>
    <w:rPr>
      <w:sz w:val="20"/>
      <w:szCs w:val="20"/>
    </w:rPr>
  </w:style>
  <w:style w:type="character" w:customStyle="1" w:styleId="FootnoteTextChar">
    <w:name w:val="Footnote Text Char"/>
    <w:basedOn w:val="DefaultParagraphFont"/>
    <w:link w:val="FootnoteText"/>
    <w:uiPriority w:val="99"/>
    <w:semiHidden/>
    <w:rsid w:val="007B646E"/>
    <w:rPr>
      <w:sz w:val="20"/>
      <w:szCs w:val="20"/>
    </w:rPr>
  </w:style>
  <w:style w:type="character" w:styleId="FootnoteReference">
    <w:name w:val="footnote reference"/>
    <w:basedOn w:val="DefaultParagraphFont"/>
    <w:uiPriority w:val="99"/>
    <w:semiHidden/>
    <w:unhideWhenUsed/>
    <w:rsid w:val="007B646E"/>
    <w:rPr>
      <w:vertAlign w:val="superscript"/>
    </w:rPr>
  </w:style>
  <w:style w:type="paragraph" w:styleId="Header">
    <w:name w:val="header"/>
    <w:basedOn w:val="Normal"/>
    <w:link w:val="HeaderChar"/>
    <w:uiPriority w:val="99"/>
    <w:unhideWhenUsed/>
    <w:rsid w:val="00D13CBC"/>
    <w:pPr>
      <w:tabs>
        <w:tab w:val="center" w:pos="4680"/>
        <w:tab w:val="right" w:pos="9360"/>
      </w:tabs>
      <w:spacing w:line="240" w:lineRule="auto"/>
    </w:pPr>
  </w:style>
  <w:style w:type="character" w:customStyle="1" w:styleId="HeaderChar">
    <w:name w:val="Header Char"/>
    <w:basedOn w:val="DefaultParagraphFont"/>
    <w:link w:val="Header"/>
    <w:uiPriority w:val="99"/>
    <w:rsid w:val="00D13CBC"/>
  </w:style>
  <w:style w:type="paragraph" w:styleId="EndnoteText">
    <w:name w:val="endnote text"/>
    <w:basedOn w:val="Normal"/>
    <w:link w:val="EndnoteTextChar"/>
    <w:uiPriority w:val="99"/>
    <w:semiHidden/>
    <w:unhideWhenUsed/>
    <w:rsid w:val="00264B20"/>
    <w:pPr>
      <w:spacing w:line="240" w:lineRule="auto"/>
    </w:pPr>
    <w:rPr>
      <w:sz w:val="20"/>
      <w:szCs w:val="20"/>
    </w:rPr>
  </w:style>
  <w:style w:type="character" w:customStyle="1" w:styleId="EndnoteTextChar">
    <w:name w:val="Endnote Text Char"/>
    <w:basedOn w:val="DefaultParagraphFont"/>
    <w:link w:val="EndnoteText"/>
    <w:uiPriority w:val="99"/>
    <w:semiHidden/>
    <w:rsid w:val="00264B20"/>
    <w:rPr>
      <w:sz w:val="20"/>
      <w:szCs w:val="20"/>
    </w:rPr>
  </w:style>
  <w:style w:type="character" w:styleId="EndnoteReference">
    <w:name w:val="endnote reference"/>
    <w:basedOn w:val="DefaultParagraphFont"/>
    <w:uiPriority w:val="99"/>
    <w:semiHidden/>
    <w:unhideWhenUsed/>
    <w:rsid w:val="00264B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4D11"/>
    <w:pPr>
      <w:tabs>
        <w:tab w:val="center" w:pos="4680"/>
        <w:tab w:val="right" w:pos="9360"/>
      </w:tabs>
      <w:spacing w:line="240" w:lineRule="auto"/>
    </w:pPr>
  </w:style>
  <w:style w:type="character" w:customStyle="1" w:styleId="FooterChar">
    <w:name w:val="Footer Char"/>
    <w:basedOn w:val="DefaultParagraphFont"/>
    <w:link w:val="Footer"/>
    <w:uiPriority w:val="99"/>
    <w:rsid w:val="00FF4D11"/>
  </w:style>
  <w:style w:type="paragraph" w:styleId="BodyTextIndent">
    <w:name w:val="Body Text Indent"/>
    <w:basedOn w:val="Normal"/>
    <w:link w:val="BodyTextIndentChar"/>
    <w:rsid w:val="00FF4D11"/>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FF4D11"/>
    <w:rPr>
      <w:rFonts w:eastAsia="Times New Roman"/>
      <w:sz w:val="26"/>
      <w:szCs w:val="26"/>
    </w:rPr>
  </w:style>
  <w:style w:type="paragraph" w:styleId="ListParagraph">
    <w:name w:val="List Paragraph"/>
    <w:basedOn w:val="Normal"/>
    <w:uiPriority w:val="34"/>
    <w:qFormat/>
    <w:rsid w:val="00FF4D11"/>
    <w:pPr>
      <w:ind w:left="720"/>
      <w:contextualSpacing/>
    </w:pPr>
  </w:style>
  <w:style w:type="paragraph" w:styleId="BalloonText">
    <w:name w:val="Balloon Text"/>
    <w:basedOn w:val="Normal"/>
    <w:link w:val="BalloonTextChar"/>
    <w:uiPriority w:val="99"/>
    <w:semiHidden/>
    <w:unhideWhenUsed/>
    <w:rsid w:val="00665E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E8E"/>
    <w:rPr>
      <w:rFonts w:ascii="Tahoma" w:hAnsi="Tahoma" w:cs="Tahoma"/>
      <w:sz w:val="16"/>
      <w:szCs w:val="16"/>
    </w:rPr>
  </w:style>
  <w:style w:type="paragraph" w:customStyle="1" w:styleId="Pleading2L1">
    <w:name w:val="Pleading2_L1"/>
    <w:basedOn w:val="Normal"/>
    <w:next w:val="BodyText"/>
    <w:rsid w:val="00665E8E"/>
    <w:pPr>
      <w:numPr>
        <w:numId w:val="2"/>
      </w:numPr>
      <w:spacing w:after="240" w:line="240" w:lineRule="auto"/>
      <w:outlineLvl w:val="0"/>
    </w:pPr>
    <w:rPr>
      <w:rFonts w:eastAsia="Times New Roman"/>
      <w:b/>
      <w:caps/>
      <w:szCs w:val="20"/>
      <w:u w:val="single"/>
    </w:rPr>
  </w:style>
  <w:style w:type="paragraph" w:customStyle="1" w:styleId="Pleading2L2">
    <w:name w:val="Pleading2_L2"/>
    <w:basedOn w:val="Pleading2L1"/>
    <w:rsid w:val="00665E8E"/>
    <w:pPr>
      <w:numPr>
        <w:ilvl w:val="1"/>
      </w:numPr>
      <w:spacing w:after="0" w:line="480" w:lineRule="auto"/>
      <w:jc w:val="left"/>
      <w:outlineLvl w:val="1"/>
    </w:pPr>
    <w:rPr>
      <w:b w:val="0"/>
      <w:caps w:val="0"/>
      <w:u w:val="none"/>
    </w:rPr>
  </w:style>
  <w:style w:type="paragraph" w:customStyle="1" w:styleId="Pleading2L3">
    <w:name w:val="Pleading2_L3"/>
    <w:basedOn w:val="Pleading2L2"/>
    <w:rsid w:val="00665E8E"/>
    <w:pPr>
      <w:numPr>
        <w:ilvl w:val="2"/>
      </w:numPr>
      <w:outlineLvl w:val="2"/>
    </w:pPr>
  </w:style>
  <w:style w:type="paragraph" w:customStyle="1" w:styleId="Pleading2L4">
    <w:name w:val="Pleading2_L4"/>
    <w:basedOn w:val="Pleading2L3"/>
    <w:rsid w:val="00665E8E"/>
    <w:pPr>
      <w:numPr>
        <w:ilvl w:val="3"/>
      </w:numPr>
      <w:outlineLvl w:val="3"/>
    </w:pPr>
  </w:style>
  <w:style w:type="paragraph" w:customStyle="1" w:styleId="Pleading2L5">
    <w:name w:val="Pleading2_L5"/>
    <w:basedOn w:val="Pleading2L4"/>
    <w:rsid w:val="00665E8E"/>
    <w:pPr>
      <w:keepNext/>
      <w:keepLines/>
      <w:widowControl w:val="0"/>
      <w:numPr>
        <w:ilvl w:val="4"/>
      </w:numPr>
      <w:spacing w:after="240" w:line="240" w:lineRule="auto"/>
      <w:outlineLvl w:val="4"/>
    </w:pPr>
  </w:style>
  <w:style w:type="paragraph" w:customStyle="1" w:styleId="Pleading2L6">
    <w:name w:val="Pleading2_L6"/>
    <w:basedOn w:val="Pleading2L5"/>
    <w:rsid w:val="00665E8E"/>
    <w:pPr>
      <w:numPr>
        <w:ilvl w:val="5"/>
      </w:numPr>
      <w:outlineLvl w:val="5"/>
    </w:pPr>
  </w:style>
  <w:style w:type="paragraph" w:customStyle="1" w:styleId="Pleading2L7">
    <w:name w:val="Pleading2_L7"/>
    <w:basedOn w:val="Pleading2L6"/>
    <w:rsid w:val="00665E8E"/>
    <w:pPr>
      <w:numPr>
        <w:ilvl w:val="6"/>
      </w:numPr>
      <w:outlineLvl w:val="6"/>
    </w:pPr>
  </w:style>
  <w:style w:type="paragraph" w:customStyle="1" w:styleId="Pleading2L8">
    <w:name w:val="Pleading2_L8"/>
    <w:basedOn w:val="Pleading2L7"/>
    <w:rsid w:val="00665E8E"/>
    <w:pPr>
      <w:numPr>
        <w:ilvl w:val="7"/>
      </w:numPr>
      <w:outlineLvl w:val="7"/>
    </w:pPr>
  </w:style>
  <w:style w:type="paragraph" w:customStyle="1" w:styleId="Pleading2L9">
    <w:name w:val="Pleading2_L9"/>
    <w:basedOn w:val="Pleading2L8"/>
    <w:rsid w:val="00665E8E"/>
    <w:pPr>
      <w:numPr>
        <w:ilvl w:val="8"/>
      </w:numPr>
      <w:outlineLvl w:val="8"/>
    </w:pPr>
  </w:style>
  <w:style w:type="paragraph" w:styleId="BodyText">
    <w:name w:val="Body Text"/>
    <w:basedOn w:val="Normal"/>
    <w:link w:val="BodyTextChar"/>
    <w:uiPriority w:val="99"/>
    <w:semiHidden/>
    <w:unhideWhenUsed/>
    <w:rsid w:val="00665E8E"/>
    <w:pPr>
      <w:spacing w:after="120"/>
    </w:pPr>
  </w:style>
  <w:style w:type="character" w:customStyle="1" w:styleId="BodyTextChar">
    <w:name w:val="Body Text Char"/>
    <w:basedOn w:val="DefaultParagraphFont"/>
    <w:link w:val="BodyText"/>
    <w:uiPriority w:val="99"/>
    <w:semiHidden/>
    <w:rsid w:val="00665E8E"/>
  </w:style>
  <w:style w:type="paragraph" w:styleId="FootnoteText">
    <w:name w:val="footnote text"/>
    <w:basedOn w:val="Normal"/>
    <w:link w:val="FootnoteTextChar"/>
    <w:uiPriority w:val="99"/>
    <w:semiHidden/>
    <w:unhideWhenUsed/>
    <w:rsid w:val="007B646E"/>
    <w:pPr>
      <w:spacing w:line="240" w:lineRule="auto"/>
    </w:pPr>
    <w:rPr>
      <w:sz w:val="20"/>
      <w:szCs w:val="20"/>
    </w:rPr>
  </w:style>
  <w:style w:type="character" w:customStyle="1" w:styleId="FootnoteTextChar">
    <w:name w:val="Footnote Text Char"/>
    <w:basedOn w:val="DefaultParagraphFont"/>
    <w:link w:val="FootnoteText"/>
    <w:uiPriority w:val="99"/>
    <w:semiHidden/>
    <w:rsid w:val="007B646E"/>
    <w:rPr>
      <w:sz w:val="20"/>
      <w:szCs w:val="20"/>
    </w:rPr>
  </w:style>
  <w:style w:type="character" w:styleId="FootnoteReference">
    <w:name w:val="footnote reference"/>
    <w:basedOn w:val="DefaultParagraphFont"/>
    <w:uiPriority w:val="99"/>
    <w:semiHidden/>
    <w:unhideWhenUsed/>
    <w:rsid w:val="007B646E"/>
    <w:rPr>
      <w:vertAlign w:val="superscript"/>
    </w:rPr>
  </w:style>
  <w:style w:type="paragraph" w:styleId="Header">
    <w:name w:val="header"/>
    <w:basedOn w:val="Normal"/>
    <w:link w:val="HeaderChar"/>
    <w:uiPriority w:val="99"/>
    <w:unhideWhenUsed/>
    <w:rsid w:val="00D13CBC"/>
    <w:pPr>
      <w:tabs>
        <w:tab w:val="center" w:pos="4680"/>
        <w:tab w:val="right" w:pos="9360"/>
      </w:tabs>
      <w:spacing w:line="240" w:lineRule="auto"/>
    </w:pPr>
  </w:style>
  <w:style w:type="character" w:customStyle="1" w:styleId="HeaderChar">
    <w:name w:val="Header Char"/>
    <w:basedOn w:val="DefaultParagraphFont"/>
    <w:link w:val="Header"/>
    <w:uiPriority w:val="99"/>
    <w:rsid w:val="00D13CBC"/>
  </w:style>
  <w:style w:type="paragraph" w:styleId="EndnoteText">
    <w:name w:val="endnote text"/>
    <w:basedOn w:val="Normal"/>
    <w:link w:val="EndnoteTextChar"/>
    <w:uiPriority w:val="99"/>
    <w:semiHidden/>
    <w:unhideWhenUsed/>
    <w:rsid w:val="00264B20"/>
    <w:pPr>
      <w:spacing w:line="240" w:lineRule="auto"/>
    </w:pPr>
    <w:rPr>
      <w:sz w:val="20"/>
      <w:szCs w:val="20"/>
    </w:rPr>
  </w:style>
  <w:style w:type="character" w:customStyle="1" w:styleId="EndnoteTextChar">
    <w:name w:val="Endnote Text Char"/>
    <w:basedOn w:val="DefaultParagraphFont"/>
    <w:link w:val="EndnoteText"/>
    <w:uiPriority w:val="99"/>
    <w:semiHidden/>
    <w:rsid w:val="00264B20"/>
    <w:rPr>
      <w:sz w:val="20"/>
      <w:szCs w:val="20"/>
    </w:rPr>
  </w:style>
  <w:style w:type="character" w:styleId="EndnoteReference">
    <w:name w:val="endnote reference"/>
    <w:basedOn w:val="DefaultParagraphFont"/>
    <w:uiPriority w:val="99"/>
    <w:semiHidden/>
    <w:unhideWhenUsed/>
    <w:rsid w:val="00264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F89D-1FDF-4427-B004-A28B2F47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33</Pages>
  <Words>9045</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8</cp:revision>
  <dcterms:created xsi:type="dcterms:W3CDTF">2014-05-09T14:34:00Z</dcterms:created>
  <dcterms:modified xsi:type="dcterms:W3CDTF">2014-05-09T16:35:00Z</dcterms:modified>
</cp:coreProperties>
</file>