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6D3" w:rsidRPr="00225D82" w:rsidRDefault="004756D3" w:rsidP="004756D3">
      <w:pPr>
        <w:jc w:val="center"/>
        <w:rPr>
          <w:b/>
          <w:sz w:val="24"/>
          <w:szCs w:val="24"/>
        </w:rPr>
      </w:pPr>
      <w:bookmarkStart w:id="0" w:name="_GoBack"/>
      <w:bookmarkEnd w:id="0"/>
      <w:r w:rsidRPr="00225D82">
        <w:rPr>
          <w:b/>
          <w:sz w:val="24"/>
          <w:szCs w:val="24"/>
        </w:rPr>
        <w:t>BEFORE THE</w:t>
      </w:r>
    </w:p>
    <w:p w:rsidR="004756D3" w:rsidRPr="00225D82" w:rsidRDefault="004756D3" w:rsidP="004756D3">
      <w:pPr>
        <w:jc w:val="center"/>
        <w:rPr>
          <w:b/>
          <w:sz w:val="24"/>
          <w:szCs w:val="24"/>
        </w:rPr>
      </w:pPr>
      <w:r w:rsidRPr="00225D82">
        <w:rPr>
          <w:b/>
          <w:sz w:val="24"/>
          <w:szCs w:val="24"/>
        </w:rPr>
        <w:t>PENNSYLVANIA PUBLIC UTILITY COMMISSION</w:t>
      </w:r>
    </w:p>
    <w:p w:rsidR="004756D3" w:rsidRPr="00225D82" w:rsidRDefault="004756D3" w:rsidP="004756D3">
      <w:pPr>
        <w:jc w:val="center"/>
        <w:rPr>
          <w:b/>
          <w:sz w:val="24"/>
          <w:szCs w:val="24"/>
        </w:rPr>
      </w:pPr>
    </w:p>
    <w:p w:rsidR="004756D3" w:rsidRPr="00225D82" w:rsidRDefault="004756D3" w:rsidP="004756D3">
      <w:pPr>
        <w:jc w:val="center"/>
        <w:rPr>
          <w:b/>
          <w:sz w:val="24"/>
          <w:szCs w:val="24"/>
        </w:rPr>
      </w:pPr>
    </w:p>
    <w:p w:rsidR="004756D3" w:rsidRPr="00225D82" w:rsidRDefault="004756D3" w:rsidP="004756D3">
      <w:pPr>
        <w:jc w:val="center"/>
        <w:rPr>
          <w:b/>
          <w:sz w:val="24"/>
          <w:szCs w:val="24"/>
        </w:rPr>
      </w:pPr>
    </w:p>
    <w:p w:rsidR="004756D3" w:rsidRPr="00225D82" w:rsidRDefault="004756D3" w:rsidP="004756D3">
      <w:pPr>
        <w:rPr>
          <w:sz w:val="24"/>
          <w:szCs w:val="24"/>
        </w:rPr>
      </w:pPr>
      <w:r w:rsidRPr="00225D82">
        <w:rPr>
          <w:sz w:val="24"/>
          <w:szCs w:val="24"/>
        </w:rPr>
        <w:t>Timothy McLemore</w:t>
      </w:r>
      <w:r w:rsidRPr="00225D82">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t>:</w:t>
      </w:r>
    </w:p>
    <w:p w:rsidR="004756D3" w:rsidRPr="00225D82" w:rsidRDefault="004756D3" w:rsidP="004756D3">
      <w:pPr>
        <w:rPr>
          <w:sz w:val="24"/>
          <w:szCs w:val="24"/>
        </w:rPr>
      </w:pPr>
      <w:r w:rsidRPr="00225D82">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t>:</w:t>
      </w:r>
    </w:p>
    <w:p w:rsidR="004756D3" w:rsidRPr="00225D82" w:rsidRDefault="004756D3" w:rsidP="004756D3">
      <w:pPr>
        <w:rPr>
          <w:sz w:val="24"/>
          <w:szCs w:val="24"/>
        </w:rPr>
      </w:pPr>
      <w:r w:rsidRPr="00225D82">
        <w:rPr>
          <w:sz w:val="24"/>
          <w:szCs w:val="24"/>
        </w:rPr>
        <w:tab/>
        <w:t>v.</w:t>
      </w:r>
      <w:r w:rsidRPr="00225D82">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t>:</w:t>
      </w:r>
      <w:r w:rsidRPr="00225D82">
        <w:rPr>
          <w:sz w:val="24"/>
          <w:szCs w:val="24"/>
        </w:rPr>
        <w:tab/>
      </w:r>
      <w:r w:rsidRPr="00225D82">
        <w:rPr>
          <w:sz w:val="24"/>
          <w:szCs w:val="24"/>
        </w:rPr>
        <w:tab/>
        <w:t>C-2013-2393126</w:t>
      </w:r>
    </w:p>
    <w:p w:rsidR="004756D3" w:rsidRPr="00225D82" w:rsidRDefault="004756D3" w:rsidP="004756D3">
      <w:pPr>
        <w:rPr>
          <w:sz w:val="24"/>
          <w:szCs w:val="24"/>
        </w:rPr>
      </w:pPr>
      <w:r w:rsidRPr="00225D82">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t>:</w:t>
      </w:r>
    </w:p>
    <w:p w:rsidR="004756D3" w:rsidRPr="00225D82" w:rsidRDefault="004756D3" w:rsidP="004756D3">
      <w:pPr>
        <w:rPr>
          <w:sz w:val="24"/>
          <w:szCs w:val="24"/>
        </w:rPr>
      </w:pPr>
      <w:r w:rsidRPr="00225D82">
        <w:rPr>
          <w:sz w:val="24"/>
          <w:szCs w:val="24"/>
        </w:rPr>
        <w:t>Philadelphia Gas Works</w:t>
      </w:r>
      <w:r w:rsidRPr="00225D82">
        <w:rPr>
          <w:sz w:val="24"/>
          <w:szCs w:val="24"/>
        </w:rPr>
        <w:tab/>
      </w:r>
      <w:r w:rsidRPr="00225D82">
        <w:rPr>
          <w:sz w:val="24"/>
          <w:szCs w:val="24"/>
        </w:rPr>
        <w:tab/>
      </w:r>
      <w:r w:rsidRPr="00225D82">
        <w:rPr>
          <w:sz w:val="24"/>
          <w:szCs w:val="24"/>
        </w:rPr>
        <w:tab/>
      </w:r>
      <w:r w:rsidRPr="00225D82">
        <w:rPr>
          <w:sz w:val="24"/>
          <w:szCs w:val="24"/>
        </w:rPr>
        <w:tab/>
        <w:t>:</w:t>
      </w:r>
    </w:p>
    <w:p w:rsidR="004756D3" w:rsidRDefault="004756D3" w:rsidP="004756D3">
      <w:pPr>
        <w:rPr>
          <w:sz w:val="24"/>
          <w:szCs w:val="24"/>
        </w:rPr>
      </w:pPr>
    </w:p>
    <w:p w:rsidR="00225D82" w:rsidRPr="00225D82" w:rsidRDefault="00225D82" w:rsidP="004756D3">
      <w:pPr>
        <w:rPr>
          <w:sz w:val="24"/>
          <w:szCs w:val="24"/>
        </w:rPr>
      </w:pPr>
    </w:p>
    <w:p w:rsidR="004756D3" w:rsidRPr="00225D82" w:rsidRDefault="004756D3" w:rsidP="004756D3">
      <w:pPr>
        <w:rPr>
          <w:sz w:val="24"/>
          <w:szCs w:val="24"/>
        </w:rPr>
      </w:pPr>
    </w:p>
    <w:p w:rsidR="00C04960" w:rsidRPr="00225D82" w:rsidRDefault="004756D3" w:rsidP="004756D3">
      <w:pPr>
        <w:jc w:val="center"/>
        <w:rPr>
          <w:b/>
          <w:sz w:val="24"/>
          <w:szCs w:val="24"/>
          <w:u w:val="single"/>
        </w:rPr>
      </w:pPr>
      <w:r w:rsidRPr="00225D82">
        <w:rPr>
          <w:b/>
          <w:sz w:val="24"/>
          <w:szCs w:val="24"/>
          <w:u w:val="single"/>
        </w:rPr>
        <w:t>INITIAL DECISION</w:t>
      </w:r>
    </w:p>
    <w:p w:rsidR="004756D3" w:rsidRPr="00225D82" w:rsidRDefault="004756D3" w:rsidP="004756D3">
      <w:pPr>
        <w:jc w:val="center"/>
        <w:rPr>
          <w:b/>
          <w:sz w:val="24"/>
          <w:szCs w:val="24"/>
          <w:u w:val="single"/>
        </w:rPr>
      </w:pPr>
    </w:p>
    <w:p w:rsidR="004756D3" w:rsidRPr="00225D82" w:rsidRDefault="004756D3" w:rsidP="004756D3">
      <w:pPr>
        <w:jc w:val="center"/>
        <w:rPr>
          <w:b/>
          <w:sz w:val="24"/>
          <w:szCs w:val="24"/>
          <w:u w:val="single"/>
        </w:rPr>
      </w:pPr>
    </w:p>
    <w:p w:rsidR="004756D3" w:rsidRPr="00225D82" w:rsidRDefault="004756D3" w:rsidP="004756D3">
      <w:pPr>
        <w:jc w:val="center"/>
        <w:rPr>
          <w:sz w:val="24"/>
          <w:szCs w:val="24"/>
        </w:rPr>
      </w:pPr>
      <w:r w:rsidRPr="00225D82">
        <w:rPr>
          <w:sz w:val="24"/>
          <w:szCs w:val="24"/>
        </w:rPr>
        <w:t>Before</w:t>
      </w:r>
    </w:p>
    <w:p w:rsidR="004756D3" w:rsidRPr="00225D82" w:rsidRDefault="004756D3" w:rsidP="004756D3">
      <w:pPr>
        <w:jc w:val="center"/>
        <w:rPr>
          <w:sz w:val="24"/>
          <w:szCs w:val="24"/>
        </w:rPr>
      </w:pPr>
      <w:r w:rsidRPr="00225D82">
        <w:rPr>
          <w:sz w:val="24"/>
          <w:szCs w:val="24"/>
        </w:rPr>
        <w:t>Susan D. Colwell</w:t>
      </w:r>
    </w:p>
    <w:p w:rsidR="004756D3" w:rsidRPr="00225D82" w:rsidRDefault="004756D3" w:rsidP="004756D3">
      <w:pPr>
        <w:jc w:val="center"/>
        <w:rPr>
          <w:sz w:val="24"/>
          <w:szCs w:val="24"/>
        </w:rPr>
      </w:pPr>
      <w:r w:rsidRPr="00225D82">
        <w:rPr>
          <w:sz w:val="24"/>
          <w:szCs w:val="24"/>
        </w:rPr>
        <w:t>Administrative Law Judge</w:t>
      </w:r>
    </w:p>
    <w:p w:rsidR="004756D3" w:rsidRPr="00225D82" w:rsidRDefault="004756D3" w:rsidP="004756D3">
      <w:pPr>
        <w:jc w:val="center"/>
        <w:rPr>
          <w:sz w:val="24"/>
          <w:szCs w:val="24"/>
        </w:rPr>
      </w:pPr>
    </w:p>
    <w:p w:rsidR="004756D3" w:rsidRPr="00225D82" w:rsidRDefault="004756D3" w:rsidP="004756D3">
      <w:pPr>
        <w:jc w:val="center"/>
        <w:rPr>
          <w:sz w:val="24"/>
          <w:szCs w:val="24"/>
        </w:rPr>
      </w:pPr>
    </w:p>
    <w:p w:rsidR="004756D3" w:rsidRPr="00225D82" w:rsidRDefault="004756D3" w:rsidP="004756D3">
      <w:pPr>
        <w:jc w:val="center"/>
        <w:rPr>
          <w:sz w:val="24"/>
          <w:szCs w:val="24"/>
          <w:u w:val="single"/>
        </w:rPr>
      </w:pPr>
      <w:r w:rsidRPr="00225D82">
        <w:rPr>
          <w:sz w:val="24"/>
          <w:szCs w:val="24"/>
          <w:u w:val="single"/>
        </w:rPr>
        <w:t>HISTORY OF THE PROCEEDING</w:t>
      </w:r>
    </w:p>
    <w:p w:rsidR="004756D3" w:rsidRPr="00225D82" w:rsidRDefault="004756D3" w:rsidP="004756D3">
      <w:pPr>
        <w:jc w:val="center"/>
        <w:rPr>
          <w:sz w:val="24"/>
          <w:szCs w:val="24"/>
          <w:u w:val="single"/>
        </w:rPr>
      </w:pPr>
    </w:p>
    <w:p w:rsidR="004756D3" w:rsidRPr="00225D82" w:rsidRDefault="004756D3" w:rsidP="004756D3">
      <w:pPr>
        <w:jc w:val="center"/>
        <w:rPr>
          <w:sz w:val="24"/>
          <w:szCs w:val="24"/>
          <w:u w:val="single"/>
        </w:rPr>
      </w:pPr>
    </w:p>
    <w:p w:rsidR="004756D3" w:rsidRPr="00225D82" w:rsidRDefault="004756D3" w:rsidP="004756D3">
      <w:pPr>
        <w:spacing w:line="360" w:lineRule="auto"/>
        <w:rPr>
          <w:sz w:val="24"/>
          <w:szCs w:val="24"/>
        </w:rPr>
      </w:pPr>
      <w:r w:rsidRPr="00225D82">
        <w:rPr>
          <w:sz w:val="24"/>
          <w:szCs w:val="24"/>
        </w:rPr>
        <w:tab/>
      </w:r>
      <w:r w:rsidRPr="00225D82">
        <w:rPr>
          <w:sz w:val="24"/>
          <w:szCs w:val="24"/>
        </w:rPr>
        <w:tab/>
        <w:t>The purpose of this Initial Decision is</w:t>
      </w:r>
      <w:r w:rsidR="00F90035" w:rsidRPr="00225D82">
        <w:rPr>
          <w:sz w:val="24"/>
          <w:szCs w:val="24"/>
        </w:rPr>
        <w:t xml:space="preserve"> </w:t>
      </w:r>
      <w:r w:rsidR="00805D96">
        <w:rPr>
          <w:sz w:val="24"/>
          <w:szCs w:val="24"/>
        </w:rPr>
        <w:t xml:space="preserve">to </w:t>
      </w:r>
      <w:r w:rsidR="00F90035" w:rsidRPr="00225D82">
        <w:rPr>
          <w:sz w:val="24"/>
          <w:szCs w:val="24"/>
        </w:rPr>
        <w:t>dismiss a formal complaint for failure to carry the burden of proving that the billed amount</w:t>
      </w:r>
      <w:r w:rsidR="00C75F67" w:rsidRPr="00225D82">
        <w:rPr>
          <w:sz w:val="24"/>
          <w:szCs w:val="24"/>
        </w:rPr>
        <w:t xml:space="preserve"> for gas exceeded the usage, and to offer a payment agreement to the customer.</w:t>
      </w:r>
    </w:p>
    <w:p w:rsidR="004756D3" w:rsidRPr="00225D82" w:rsidRDefault="004756D3" w:rsidP="004756D3">
      <w:pPr>
        <w:spacing w:line="360" w:lineRule="auto"/>
        <w:rPr>
          <w:sz w:val="24"/>
          <w:szCs w:val="24"/>
        </w:rPr>
      </w:pPr>
    </w:p>
    <w:p w:rsidR="004756D3" w:rsidRPr="00225D82" w:rsidRDefault="004756D3" w:rsidP="004756D3">
      <w:pPr>
        <w:spacing w:line="360" w:lineRule="auto"/>
        <w:rPr>
          <w:sz w:val="24"/>
          <w:szCs w:val="24"/>
        </w:rPr>
      </w:pPr>
      <w:r w:rsidRPr="00225D82">
        <w:rPr>
          <w:sz w:val="24"/>
          <w:szCs w:val="24"/>
        </w:rPr>
        <w:tab/>
      </w:r>
      <w:r w:rsidRPr="00225D82">
        <w:rPr>
          <w:sz w:val="24"/>
          <w:szCs w:val="24"/>
        </w:rPr>
        <w:tab/>
        <w:t>On November 7, 2013, Timothy McLemore (Complainant) filed a formal Complaint against Philadelphia Gas Works (PGW or Respondent or utility) alleging that there are incorrect charges on his bill.  He alleges that the service address is a vacant rental unit which could not be using the amount of gas for which he is being billed.  The Complaint is an untimely appeal of a Bureau of Consumer Services (BCS) informal decision issued October 2, 2013 at BCS No. 3107795.</w:t>
      </w:r>
    </w:p>
    <w:p w:rsidR="004756D3" w:rsidRPr="00225D82" w:rsidRDefault="004756D3" w:rsidP="004756D3">
      <w:pPr>
        <w:spacing w:line="360" w:lineRule="auto"/>
        <w:rPr>
          <w:sz w:val="24"/>
          <w:szCs w:val="24"/>
        </w:rPr>
      </w:pPr>
    </w:p>
    <w:p w:rsidR="004756D3" w:rsidRPr="00225D82" w:rsidRDefault="004756D3" w:rsidP="004756D3">
      <w:pPr>
        <w:spacing w:line="360" w:lineRule="auto"/>
        <w:rPr>
          <w:sz w:val="24"/>
          <w:szCs w:val="24"/>
        </w:rPr>
      </w:pPr>
      <w:r w:rsidRPr="00225D82">
        <w:rPr>
          <w:sz w:val="24"/>
          <w:szCs w:val="24"/>
        </w:rPr>
        <w:tab/>
      </w:r>
      <w:r w:rsidRPr="00225D82">
        <w:rPr>
          <w:sz w:val="24"/>
          <w:szCs w:val="24"/>
        </w:rPr>
        <w:tab/>
        <w:t xml:space="preserve">The Complaint was served on November 19, 2013, and PGW filed its Answer on December 9, 2013, denying incorrect charges and alleging that the address is served by an automatic meter reading device.  </w:t>
      </w:r>
      <w:r w:rsidR="00A4215E" w:rsidRPr="00225D82">
        <w:rPr>
          <w:sz w:val="24"/>
          <w:szCs w:val="24"/>
        </w:rPr>
        <w:t>Respondent removed the meter, which tested within the 2% accuracy required by Commission regulations.</w:t>
      </w:r>
    </w:p>
    <w:p w:rsidR="00A4215E" w:rsidRPr="00225D82" w:rsidRDefault="00A4215E" w:rsidP="004756D3">
      <w:pPr>
        <w:spacing w:line="360" w:lineRule="auto"/>
        <w:rPr>
          <w:sz w:val="24"/>
          <w:szCs w:val="24"/>
        </w:rPr>
      </w:pPr>
    </w:p>
    <w:p w:rsidR="00A4215E" w:rsidRPr="00225D82" w:rsidRDefault="00A4215E" w:rsidP="004756D3">
      <w:pPr>
        <w:spacing w:line="360" w:lineRule="auto"/>
        <w:rPr>
          <w:sz w:val="24"/>
          <w:szCs w:val="24"/>
        </w:rPr>
      </w:pPr>
      <w:r w:rsidRPr="00225D82">
        <w:rPr>
          <w:sz w:val="24"/>
          <w:szCs w:val="24"/>
        </w:rPr>
        <w:tab/>
      </w:r>
      <w:r w:rsidRPr="00225D82">
        <w:rPr>
          <w:sz w:val="24"/>
          <w:szCs w:val="24"/>
        </w:rPr>
        <w:tab/>
        <w:t>A telephone hearing notice was issued on February 6, 2014, setting the hearing for March 25, 2014 and assign</w:t>
      </w:r>
      <w:r w:rsidR="006C35A5">
        <w:rPr>
          <w:sz w:val="24"/>
          <w:szCs w:val="24"/>
        </w:rPr>
        <w:t>ing</w:t>
      </w:r>
      <w:r w:rsidRPr="00225D82">
        <w:rPr>
          <w:sz w:val="24"/>
          <w:szCs w:val="24"/>
        </w:rPr>
        <w:t xml:space="preserve"> the matter to me.  I issued</w:t>
      </w:r>
      <w:r w:rsidR="006A2CF4">
        <w:rPr>
          <w:sz w:val="24"/>
          <w:szCs w:val="24"/>
        </w:rPr>
        <w:t xml:space="preserve"> a prehearing order on February 7, </w:t>
      </w:r>
      <w:r w:rsidRPr="00225D82">
        <w:rPr>
          <w:sz w:val="24"/>
          <w:szCs w:val="24"/>
        </w:rPr>
        <w:t>201</w:t>
      </w:r>
      <w:r w:rsidR="00805D96">
        <w:rPr>
          <w:sz w:val="24"/>
          <w:szCs w:val="24"/>
        </w:rPr>
        <w:t>4</w:t>
      </w:r>
      <w:r w:rsidRPr="00225D82">
        <w:rPr>
          <w:sz w:val="24"/>
          <w:szCs w:val="24"/>
        </w:rPr>
        <w:t>, which set forth some of the requirements for a formal hearing before the Commission.</w:t>
      </w:r>
    </w:p>
    <w:p w:rsidR="00A4215E" w:rsidRPr="00225D82" w:rsidRDefault="00A4215E" w:rsidP="004756D3">
      <w:pPr>
        <w:spacing w:line="360" w:lineRule="auto"/>
        <w:rPr>
          <w:sz w:val="24"/>
          <w:szCs w:val="24"/>
        </w:rPr>
      </w:pPr>
    </w:p>
    <w:p w:rsidR="00A4215E" w:rsidRPr="00225D82" w:rsidRDefault="00A4215E" w:rsidP="004756D3">
      <w:pPr>
        <w:spacing w:line="360" w:lineRule="auto"/>
        <w:rPr>
          <w:sz w:val="24"/>
          <w:szCs w:val="24"/>
        </w:rPr>
      </w:pPr>
      <w:r w:rsidRPr="00225D82">
        <w:rPr>
          <w:sz w:val="24"/>
          <w:szCs w:val="24"/>
        </w:rPr>
        <w:tab/>
      </w:r>
      <w:r w:rsidRPr="00225D82">
        <w:rPr>
          <w:sz w:val="24"/>
          <w:szCs w:val="24"/>
        </w:rPr>
        <w:tab/>
        <w:t xml:space="preserve">The hearing was held as scheduled, with Complainant appearing on his own behalf and Graciela </w:t>
      </w:r>
      <w:proofErr w:type="spellStart"/>
      <w:r w:rsidRPr="00225D82">
        <w:rPr>
          <w:sz w:val="24"/>
          <w:szCs w:val="24"/>
        </w:rPr>
        <w:t>Christlieb</w:t>
      </w:r>
      <w:proofErr w:type="spellEnd"/>
      <w:r w:rsidRPr="00225D82">
        <w:rPr>
          <w:sz w:val="24"/>
          <w:szCs w:val="24"/>
        </w:rPr>
        <w:t xml:space="preserve">, Esq., appearing on behalf of PGW.  Ms. </w:t>
      </w:r>
      <w:proofErr w:type="spellStart"/>
      <w:r w:rsidRPr="00225D82">
        <w:rPr>
          <w:sz w:val="24"/>
          <w:szCs w:val="24"/>
        </w:rPr>
        <w:t>Christlieb</w:t>
      </w:r>
      <w:proofErr w:type="spellEnd"/>
      <w:r w:rsidRPr="00225D82">
        <w:rPr>
          <w:sz w:val="24"/>
          <w:szCs w:val="24"/>
        </w:rPr>
        <w:t xml:space="preserve"> prese</w:t>
      </w:r>
      <w:r w:rsidR="001B593D" w:rsidRPr="00225D82">
        <w:rPr>
          <w:sz w:val="24"/>
          <w:szCs w:val="24"/>
        </w:rPr>
        <w:t>nted the testimony of Linda Per</w:t>
      </w:r>
      <w:r w:rsidRPr="00225D82">
        <w:rPr>
          <w:sz w:val="24"/>
          <w:szCs w:val="24"/>
        </w:rPr>
        <w:t>e</w:t>
      </w:r>
      <w:r w:rsidR="001B593D" w:rsidRPr="00225D82">
        <w:rPr>
          <w:sz w:val="24"/>
          <w:szCs w:val="24"/>
        </w:rPr>
        <w:t>i</w:t>
      </w:r>
      <w:r w:rsidRPr="00225D82">
        <w:rPr>
          <w:sz w:val="24"/>
          <w:szCs w:val="24"/>
        </w:rPr>
        <w:t xml:space="preserve">ra, </w:t>
      </w:r>
      <w:r w:rsidR="00F733A4" w:rsidRPr="00225D82">
        <w:rPr>
          <w:sz w:val="24"/>
          <w:szCs w:val="24"/>
        </w:rPr>
        <w:t xml:space="preserve">senior customer review officer, </w:t>
      </w:r>
      <w:r w:rsidRPr="00225D82">
        <w:rPr>
          <w:sz w:val="24"/>
          <w:szCs w:val="24"/>
        </w:rPr>
        <w:t>who sponsored PGW Exhibits 1 through 5.  A transcript of 67 pages resulted, and the record c</w:t>
      </w:r>
      <w:r w:rsidR="00CE639A">
        <w:rPr>
          <w:sz w:val="24"/>
          <w:szCs w:val="24"/>
        </w:rPr>
        <w:t>losed upon its receipt on April 14, </w:t>
      </w:r>
      <w:r w:rsidRPr="00225D82">
        <w:rPr>
          <w:sz w:val="24"/>
          <w:szCs w:val="24"/>
        </w:rPr>
        <w:t>2014.</w:t>
      </w:r>
    </w:p>
    <w:p w:rsidR="00A4215E" w:rsidRPr="00225D82" w:rsidRDefault="00A4215E" w:rsidP="004756D3">
      <w:pPr>
        <w:spacing w:line="360" w:lineRule="auto"/>
        <w:rPr>
          <w:sz w:val="24"/>
          <w:szCs w:val="24"/>
        </w:rPr>
      </w:pPr>
    </w:p>
    <w:p w:rsidR="00A4215E" w:rsidRPr="00225D82" w:rsidRDefault="00A4215E" w:rsidP="004756D3">
      <w:pPr>
        <w:spacing w:line="360" w:lineRule="auto"/>
        <w:rPr>
          <w:sz w:val="24"/>
          <w:szCs w:val="24"/>
        </w:rPr>
      </w:pPr>
      <w:r w:rsidRPr="00225D82">
        <w:rPr>
          <w:sz w:val="24"/>
          <w:szCs w:val="24"/>
        </w:rPr>
        <w:tab/>
      </w:r>
      <w:r w:rsidRPr="00225D82">
        <w:rPr>
          <w:sz w:val="24"/>
          <w:szCs w:val="24"/>
        </w:rPr>
        <w:tab/>
        <w:t>The matter is now ripe for disposition.</w:t>
      </w:r>
    </w:p>
    <w:p w:rsidR="00A4215E" w:rsidRDefault="00A4215E" w:rsidP="00384F7E">
      <w:pPr>
        <w:rPr>
          <w:sz w:val="24"/>
          <w:szCs w:val="24"/>
        </w:rPr>
      </w:pPr>
    </w:p>
    <w:p w:rsidR="00384F7E" w:rsidRPr="00225D82" w:rsidRDefault="00384F7E" w:rsidP="00384F7E">
      <w:pPr>
        <w:rPr>
          <w:sz w:val="24"/>
          <w:szCs w:val="24"/>
        </w:rPr>
      </w:pPr>
    </w:p>
    <w:p w:rsidR="00A4215E" w:rsidRPr="00225D82" w:rsidRDefault="00A4215E" w:rsidP="00A4215E">
      <w:pPr>
        <w:spacing w:line="360" w:lineRule="auto"/>
        <w:jc w:val="center"/>
        <w:rPr>
          <w:sz w:val="24"/>
          <w:szCs w:val="24"/>
          <w:u w:val="single"/>
        </w:rPr>
      </w:pPr>
      <w:r w:rsidRPr="00225D82">
        <w:rPr>
          <w:sz w:val="24"/>
          <w:szCs w:val="24"/>
          <w:u w:val="single"/>
        </w:rPr>
        <w:t>FINDINGS OF FACT</w:t>
      </w:r>
    </w:p>
    <w:p w:rsidR="00A4215E" w:rsidRPr="00225D82" w:rsidRDefault="00A4215E" w:rsidP="00A4215E">
      <w:pPr>
        <w:spacing w:line="360" w:lineRule="auto"/>
        <w:jc w:val="center"/>
        <w:rPr>
          <w:sz w:val="24"/>
          <w:szCs w:val="24"/>
          <w:u w:val="single"/>
        </w:rPr>
      </w:pPr>
    </w:p>
    <w:p w:rsidR="00A4215E" w:rsidRPr="00225D82" w:rsidRDefault="00A4215E" w:rsidP="00A4215E">
      <w:pPr>
        <w:spacing w:line="360" w:lineRule="auto"/>
        <w:rPr>
          <w:sz w:val="24"/>
          <w:szCs w:val="24"/>
        </w:rPr>
      </w:pPr>
      <w:r w:rsidRPr="00225D82">
        <w:rPr>
          <w:sz w:val="24"/>
          <w:szCs w:val="24"/>
        </w:rPr>
        <w:tab/>
      </w:r>
      <w:r w:rsidRPr="00225D82">
        <w:rPr>
          <w:sz w:val="24"/>
          <w:szCs w:val="24"/>
        </w:rPr>
        <w:tab/>
        <w:t>1.</w:t>
      </w:r>
      <w:r w:rsidRPr="00225D82">
        <w:rPr>
          <w:sz w:val="24"/>
          <w:szCs w:val="24"/>
        </w:rPr>
        <w:tab/>
        <w:t>Complainant is Timothy McLemore, 6</w:t>
      </w:r>
      <w:r w:rsidR="00DB0399" w:rsidRPr="00225D82">
        <w:rPr>
          <w:sz w:val="24"/>
          <w:szCs w:val="24"/>
        </w:rPr>
        <w:t>2</w:t>
      </w:r>
      <w:r w:rsidR="00A22731" w:rsidRPr="00225D82">
        <w:rPr>
          <w:sz w:val="24"/>
          <w:szCs w:val="24"/>
        </w:rPr>
        <w:t>0</w:t>
      </w:r>
      <w:r w:rsidRPr="00225D82">
        <w:rPr>
          <w:sz w:val="24"/>
          <w:szCs w:val="24"/>
        </w:rPr>
        <w:t xml:space="preserve">9 </w:t>
      </w:r>
      <w:r w:rsidR="00A22731" w:rsidRPr="00225D82">
        <w:rPr>
          <w:sz w:val="24"/>
          <w:szCs w:val="24"/>
        </w:rPr>
        <w:t>Catharine Street</w:t>
      </w:r>
      <w:r w:rsidRPr="00225D82">
        <w:rPr>
          <w:sz w:val="24"/>
          <w:szCs w:val="24"/>
        </w:rPr>
        <w:t>, Philadelphia PA 19143.</w:t>
      </w:r>
    </w:p>
    <w:p w:rsidR="00A4215E" w:rsidRPr="00225D82" w:rsidRDefault="00A4215E" w:rsidP="00A4215E">
      <w:pPr>
        <w:spacing w:line="360" w:lineRule="auto"/>
        <w:rPr>
          <w:sz w:val="24"/>
          <w:szCs w:val="24"/>
        </w:rPr>
      </w:pPr>
    </w:p>
    <w:p w:rsidR="00A4215E" w:rsidRPr="00225D82" w:rsidRDefault="00A4215E" w:rsidP="00A4215E">
      <w:pPr>
        <w:spacing w:line="360" w:lineRule="auto"/>
        <w:rPr>
          <w:sz w:val="24"/>
          <w:szCs w:val="24"/>
        </w:rPr>
      </w:pPr>
      <w:r w:rsidRPr="00225D82">
        <w:rPr>
          <w:sz w:val="24"/>
          <w:szCs w:val="24"/>
        </w:rPr>
        <w:tab/>
      </w:r>
      <w:r w:rsidRPr="00225D82">
        <w:rPr>
          <w:sz w:val="24"/>
          <w:szCs w:val="24"/>
        </w:rPr>
        <w:tab/>
        <w:t>2.</w:t>
      </w:r>
      <w:r w:rsidRPr="00225D82">
        <w:rPr>
          <w:sz w:val="24"/>
          <w:szCs w:val="24"/>
        </w:rPr>
        <w:tab/>
        <w:t>Respondent is Philadelphia Gas Works, a jurisdictional public utility providing residential gas service in the Commonwealth.</w:t>
      </w:r>
    </w:p>
    <w:p w:rsidR="00A4215E" w:rsidRPr="00225D82" w:rsidRDefault="00A4215E" w:rsidP="00A4215E">
      <w:pPr>
        <w:spacing w:line="360" w:lineRule="auto"/>
        <w:rPr>
          <w:sz w:val="24"/>
          <w:szCs w:val="24"/>
        </w:rPr>
      </w:pPr>
    </w:p>
    <w:p w:rsidR="00DB0399" w:rsidRPr="00225D82" w:rsidRDefault="00A4215E" w:rsidP="00A4215E">
      <w:pPr>
        <w:spacing w:line="360" w:lineRule="auto"/>
        <w:rPr>
          <w:sz w:val="24"/>
          <w:szCs w:val="24"/>
        </w:rPr>
      </w:pPr>
      <w:r w:rsidRPr="00225D82">
        <w:rPr>
          <w:sz w:val="24"/>
          <w:szCs w:val="24"/>
        </w:rPr>
        <w:tab/>
      </w:r>
      <w:r w:rsidRPr="00225D82">
        <w:rPr>
          <w:sz w:val="24"/>
          <w:szCs w:val="24"/>
        </w:rPr>
        <w:tab/>
        <w:t>3.</w:t>
      </w:r>
      <w:r w:rsidRPr="00225D82">
        <w:rPr>
          <w:sz w:val="24"/>
          <w:szCs w:val="24"/>
        </w:rPr>
        <w:tab/>
      </w:r>
      <w:r w:rsidR="00DB0399" w:rsidRPr="00225D82">
        <w:rPr>
          <w:sz w:val="24"/>
          <w:szCs w:val="24"/>
        </w:rPr>
        <w:t xml:space="preserve">Complainant </w:t>
      </w:r>
      <w:r w:rsidR="00E608C6" w:rsidRPr="00225D82">
        <w:rPr>
          <w:sz w:val="24"/>
          <w:szCs w:val="24"/>
        </w:rPr>
        <w:t>bought</w:t>
      </w:r>
      <w:r w:rsidR="00A22731" w:rsidRPr="00225D82">
        <w:rPr>
          <w:sz w:val="24"/>
          <w:szCs w:val="24"/>
        </w:rPr>
        <w:t xml:space="preserve"> the subject property, 6902 Hazel Avenue</w:t>
      </w:r>
      <w:r w:rsidR="00DB0399" w:rsidRPr="00225D82">
        <w:rPr>
          <w:sz w:val="24"/>
          <w:szCs w:val="24"/>
        </w:rPr>
        <w:t xml:space="preserve">, Philadelphia PA 19143 </w:t>
      </w:r>
      <w:r w:rsidR="00E608C6" w:rsidRPr="00225D82">
        <w:rPr>
          <w:sz w:val="24"/>
          <w:szCs w:val="24"/>
        </w:rPr>
        <w:t>in 1992</w:t>
      </w:r>
      <w:r w:rsidR="00DB0399" w:rsidRPr="00225D82">
        <w:rPr>
          <w:sz w:val="24"/>
          <w:szCs w:val="24"/>
        </w:rPr>
        <w:t xml:space="preserve">.  </w:t>
      </w:r>
      <w:proofErr w:type="gramStart"/>
      <w:r w:rsidR="00DB0399" w:rsidRPr="00225D82">
        <w:rPr>
          <w:sz w:val="24"/>
          <w:szCs w:val="24"/>
        </w:rPr>
        <w:t>Tr. 7.</w:t>
      </w:r>
      <w:proofErr w:type="gramEnd"/>
    </w:p>
    <w:p w:rsidR="00E608C6" w:rsidRPr="00225D82" w:rsidRDefault="00E608C6" w:rsidP="00A4215E">
      <w:pPr>
        <w:spacing w:line="360" w:lineRule="auto"/>
        <w:rPr>
          <w:sz w:val="24"/>
          <w:szCs w:val="24"/>
        </w:rPr>
      </w:pPr>
    </w:p>
    <w:p w:rsidR="00E608C6" w:rsidRPr="00225D82" w:rsidRDefault="00E608C6" w:rsidP="00A4215E">
      <w:pPr>
        <w:spacing w:line="360" w:lineRule="auto"/>
        <w:rPr>
          <w:sz w:val="24"/>
          <w:szCs w:val="24"/>
        </w:rPr>
      </w:pPr>
      <w:r w:rsidRPr="00225D82">
        <w:rPr>
          <w:sz w:val="24"/>
          <w:szCs w:val="24"/>
        </w:rPr>
        <w:tab/>
      </w:r>
      <w:r w:rsidRPr="00225D82">
        <w:rPr>
          <w:sz w:val="24"/>
          <w:szCs w:val="24"/>
        </w:rPr>
        <w:tab/>
        <w:t>4.</w:t>
      </w:r>
      <w:r w:rsidRPr="00225D82">
        <w:rPr>
          <w:sz w:val="24"/>
          <w:szCs w:val="24"/>
        </w:rPr>
        <w:tab/>
        <w:t xml:space="preserve">The </w:t>
      </w:r>
      <w:r w:rsidR="00A22731" w:rsidRPr="00225D82">
        <w:rPr>
          <w:sz w:val="24"/>
          <w:szCs w:val="24"/>
        </w:rPr>
        <w:t>Hazel Avenue</w:t>
      </w:r>
      <w:r w:rsidRPr="00225D82">
        <w:rPr>
          <w:sz w:val="24"/>
          <w:szCs w:val="24"/>
        </w:rPr>
        <w:t xml:space="preserve"> address</w:t>
      </w:r>
      <w:r w:rsidR="00F733A4" w:rsidRPr="00225D82">
        <w:rPr>
          <w:sz w:val="24"/>
          <w:szCs w:val="24"/>
        </w:rPr>
        <w:t>, a rental unit,</w:t>
      </w:r>
      <w:r w:rsidRPr="00225D82">
        <w:rPr>
          <w:sz w:val="24"/>
          <w:szCs w:val="24"/>
        </w:rPr>
        <w:t xml:space="preserve"> is a single-family, two-story </w:t>
      </w:r>
      <w:r w:rsidR="0035091E" w:rsidRPr="00225D82">
        <w:rPr>
          <w:sz w:val="24"/>
          <w:szCs w:val="24"/>
        </w:rPr>
        <w:t xml:space="preserve">row </w:t>
      </w:r>
      <w:r w:rsidRPr="00225D82">
        <w:rPr>
          <w:sz w:val="24"/>
          <w:szCs w:val="24"/>
        </w:rPr>
        <w:t xml:space="preserve">home plus a basement, with three bedrooms.  </w:t>
      </w:r>
      <w:proofErr w:type="gramStart"/>
      <w:r w:rsidRPr="00225D82">
        <w:rPr>
          <w:sz w:val="24"/>
          <w:szCs w:val="24"/>
        </w:rPr>
        <w:t>Tr. 14-15</w:t>
      </w:r>
      <w:r w:rsidR="0035091E" w:rsidRPr="00225D82">
        <w:rPr>
          <w:sz w:val="24"/>
          <w:szCs w:val="24"/>
        </w:rPr>
        <w:t>; 19</w:t>
      </w:r>
      <w:r w:rsidRPr="00225D82">
        <w:rPr>
          <w:sz w:val="24"/>
          <w:szCs w:val="24"/>
        </w:rPr>
        <w:t>.</w:t>
      </w:r>
      <w:proofErr w:type="gramEnd"/>
    </w:p>
    <w:p w:rsidR="00E608C6" w:rsidRPr="00225D82" w:rsidRDefault="00E608C6" w:rsidP="00A4215E">
      <w:pPr>
        <w:spacing w:line="360" w:lineRule="auto"/>
        <w:rPr>
          <w:sz w:val="24"/>
          <w:szCs w:val="24"/>
        </w:rPr>
      </w:pPr>
    </w:p>
    <w:p w:rsidR="00E608C6" w:rsidRPr="00225D82" w:rsidRDefault="00E608C6" w:rsidP="00A4215E">
      <w:pPr>
        <w:spacing w:line="360" w:lineRule="auto"/>
        <w:rPr>
          <w:sz w:val="24"/>
          <w:szCs w:val="24"/>
        </w:rPr>
      </w:pPr>
      <w:r w:rsidRPr="00225D82">
        <w:rPr>
          <w:sz w:val="24"/>
          <w:szCs w:val="24"/>
        </w:rPr>
        <w:tab/>
      </w:r>
      <w:r w:rsidRPr="00225D82">
        <w:rPr>
          <w:sz w:val="24"/>
          <w:szCs w:val="24"/>
        </w:rPr>
        <w:tab/>
        <w:t>5.</w:t>
      </w:r>
      <w:r w:rsidRPr="00225D82">
        <w:rPr>
          <w:sz w:val="24"/>
          <w:szCs w:val="24"/>
        </w:rPr>
        <w:tab/>
        <w:t>Complainant replaced the water heater when he purchased the property, but not the heater.  Tr. 15-16.</w:t>
      </w:r>
    </w:p>
    <w:p w:rsidR="0035091E" w:rsidRPr="00225D82" w:rsidRDefault="0035091E" w:rsidP="00A4215E">
      <w:pPr>
        <w:spacing w:line="360" w:lineRule="auto"/>
        <w:rPr>
          <w:sz w:val="24"/>
          <w:szCs w:val="24"/>
        </w:rPr>
      </w:pPr>
    </w:p>
    <w:p w:rsidR="0035091E" w:rsidRPr="00225D82" w:rsidRDefault="0035091E" w:rsidP="00A4215E">
      <w:pPr>
        <w:spacing w:line="360" w:lineRule="auto"/>
        <w:rPr>
          <w:sz w:val="24"/>
          <w:szCs w:val="24"/>
        </w:rPr>
      </w:pPr>
      <w:r w:rsidRPr="00225D82">
        <w:rPr>
          <w:sz w:val="24"/>
          <w:szCs w:val="24"/>
        </w:rPr>
        <w:lastRenderedPageBreak/>
        <w:tab/>
      </w:r>
      <w:r w:rsidRPr="00225D82">
        <w:rPr>
          <w:sz w:val="24"/>
          <w:szCs w:val="24"/>
        </w:rPr>
        <w:tab/>
        <w:t>6.</w:t>
      </w:r>
      <w:r w:rsidRPr="00225D82">
        <w:rPr>
          <w:sz w:val="24"/>
          <w:szCs w:val="24"/>
        </w:rPr>
        <w:tab/>
        <w:t xml:space="preserve">The property was weatherized by the City at some point.  </w:t>
      </w:r>
      <w:proofErr w:type="gramStart"/>
      <w:r w:rsidRPr="00225D82">
        <w:rPr>
          <w:sz w:val="24"/>
          <w:szCs w:val="24"/>
        </w:rPr>
        <w:t>Tr. 16.</w:t>
      </w:r>
      <w:proofErr w:type="gramEnd"/>
    </w:p>
    <w:p w:rsidR="00DB0399" w:rsidRPr="00225D82" w:rsidRDefault="00DB0399" w:rsidP="00A4215E">
      <w:pPr>
        <w:spacing w:line="360" w:lineRule="auto"/>
        <w:rPr>
          <w:sz w:val="24"/>
          <w:szCs w:val="24"/>
        </w:rPr>
      </w:pPr>
    </w:p>
    <w:p w:rsidR="00DB0399" w:rsidRPr="00225D82" w:rsidRDefault="0035091E" w:rsidP="00A4215E">
      <w:pPr>
        <w:spacing w:line="360" w:lineRule="auto"/>
        <w:rPr>
          <w:sz w:val="24"/>
          <w:szCs w:val="24"/>
        </w:rPr>
      </w:pPr>
      <w:r w:rsidRPr="00225D82">
        <w:rPr>
          <w:sz w:val="24"/>
          <w:szCs w:val="24"/>
        </w:rPr>
        <w:tab/>
      </w:r>
      <w:r w:rsidRPr="00225D82">
        <w:rPr>
          <w:sz w:val="24"/>
          <w:szCs w:val="24"/>
        </w:rPr>
        <w:tab/>
        <w:t>7</w:t>
      </w:r>
      <w:r w:rsidR="00DB0399" w:rsidRPr="00225D82">
        <w:rPr>
          <w:sz w:val="24"/>
          <w:szCs w:val="24"/>
        </w:rPr>
        <w:t>.</w:t>
      </w:r>
      <w:r w:rsidR="00DB0399" w:rsidRPr="00225D82">
        <w:rPr>
          <w:sz w:val="24"/>
          <w:szCs w:val="24"/>
        </w:rPr>
        <w:tab/>
        <w:t xml:space="preserve">During the time period in question, the </w:t>
      </w:r>
      <w:r w:rsidR="00A22731" w:rsidRPr="00225D82">
        <w:rPr>
          <w:sz w:val="24"/>
          <w:szCs w:val="24"/>
        </w:rPr>
        <w:t>Hazel Avenue</w:t>
      </w:r>
      <w:r w:rsidR="00DB0399" w:rsidRPr="00225D82">
        <w:rPr>
          <w:sz w:val="24"/>
          <w:szCs w:val="24"/>
        </w:rPr>
        <w:t xml:space="preserve"> property was not occupied.</w:t>
      </w:r>
    </w:p>
    <w:p w:rsidR="00DB0399" w:rsidRPr="00225D82" w:rsidRDefault="00DB0399" w:rsidP="00A4215E">
      <w:pPr>
        <w:spacing w:line="360" w:lineRule="auto"/>
        <w:rPr>
          <w:sz w:val="24"/>
          <w:szCs w:val="24"/>
        </w:rPr>
      </w:pPr>
    </w:p>
    <w:p w:rsidR="00E608C6" w:rsidRPr="00225D82" w:rsidRDefault="0035091E" w:rsidP="00A4215E">
      <w:pPr>
        <w:spacing w:line="360" w:lineRule="auto"/>
        <w:rPr>
          <w:sz w:val="24"/>
          <w:szCs w:val="24"/>
        </w:rPr>
      </w:pPr>
      <w:r w:rsidRPr="00225D82">
        <w:rPr>
          <w:sz w:val="24"/>
          <w:szCs w:val="24"/>
        </w:rPr>
        <w:tab/>
      </w:r>
      <w:r w:rsidRPr="00225D82">
        <w:rPr>
          <w:sz w:val="24"/>
          <w:szCs w:val="24"/>
        </w:rPr>
        <w:tab/>
        <w:t>8.</w:t>
      </w:r>
      <w:r w:rsidRPr="00225D82">
        <w:rPr>
          <w:sz w:val="24"/>
          <w:szCs w:val="24"/>
        </w:rPr>
        <w:tab/>
      </w:r>
      <w:r w:rsidR="00E608C6" w:rsidRPr="00225D82">
        <w:rPr>
          <w:sz w:val="24"/>
          <w:szCs w:val="24"/>
        </w:rPr>
        <w:t>The tenant moved out in September</w:t>
      </w:r>
      <w:r w:rsidR="00384F7E">
        <w:rPr>
          <w:sz w:val="24"/>
          <w:szCs w:val="24"/>
        </w:rPr>
        <w:t>,</w:t>
      </w:r>
      <w:r w:rsidR="00E608C6" w:rsidRPr="00225D82">
        <w:rPr>
          <w:sz w:val="24"/>
          <w:szCs w:val="24"/>
        </w:rPr>
        <w:t xml:space="preserve"> 2012, and the property has been unoccupied since th</w:t>
      </w:r>
      <w:r w:rsidR="00A22731" w:rsidRPr="00225D82">
        <w:rPr>
          <w:sz w:val="24"/>
          <w:szCs w:val="24"/>
        </w:rPr>
        <w:t>at time</w:t>
      </w:r>
      <w:r w:rsidR="00E608C6" w:rsidRPr="00225D82">
        <w:rPr>
          <w:sz w:val="24"/>
          <w:szCs w:val="24"/>
        </w:rPr>
        <w:t xml:space="preserve">.  </w:t>
      </w:r>
      <w:proofErr w:type="gramStart"/>
      <w:r w:rsidR="00E608C6" w:rsidRPr="00225D82">
        <w:rPr>
          <w:sz w:val="24"/>
          <w:szCs w:val="24"/>
        </w:rPr>
        <w:t>Tr. 13.</w:t>
      </w:r>
      <w:proofErr w:type="gramEnd"/>
    </w:p>
    <w:p w:rsidR="00E608C6" w:rsidRPr="00225D82" w:rsidRDefault="00E608C6" w:rsidP="00A4215E">
      <w:pPr>
        <w:spacing w:line="360" w:lineRule="auto"/>
        <w:rPr>
          <w:sz w:val="24"/>
          <w:szCs w:val="24"/>
        </w:rPr>
      </w:pPr>
    </w:p>
    <w:p w:rsidR="0035091E" w:rsidRPr="00225D82" w:rsidRDefault="0035091E" w:rsidP="0035091E">
      <w:pPr>
        <w:spacing w:line="360" w:lineRule="auto"/>
        <w:rPr>
          <w:sz w:val="24"/>
          <w:szCs w:val="24"/>
        </w:rPr>
      </w:pPr>
      <w:r w:rsidRPr="00225D82">
        <w:rPr>
          <w:sz w:val="24"/>
          <w:szCs w:val="24"/>
        </w:rPr>
        <w:tab/>
      </w:r>
      <w:r w:rsidRPr="00225D82">
        <w:rPr>
          <w:sz w:val="24"/>
          <w:szCs w:val="24"/>
        </w:rPr>
        <w:tab/>
        <w:t>9</w:t>
      </w:r>
      <w:r w:rsidR="00E608C6" w:rsidRPr="00225D82">
        <w:rPr>
          <w:sz w:val="24"/>
          <w:szCs w:val="24"/>
        </w:rPr>
        <w:t>.</w:t>
      </w:r>
      <w:r w:rsidR="00E608C6" w:rsidRPr="00225D82">
        <w:rPr>
          <w:sz w:val="24"/>
          <w:szCs w:val="24"/>
        </w:rPr>
        <w:tab/>
      </w:r>
      <w:r w:rsidRPr="00225D82">
        <w:rPr>
          <w:sz w:val="24"/>
          <w:szCs w:val="24"/>
        </w:rPr>
        <w:t xml:space="preserve">The heater is gas and was used to keep the pipes from freezing.  </w:t>
      </w:r>
      <w:proofErr w:type="gramStart"/>
      <w:r w:rsidRPr="00225D82">
        <w:rPr>
          <w:sz w:val="24"/>
          <w:szCs w:val="24"/>
        </w:rPr>
        <w:t>Tr.11-12.</w:t>
      </w:r>
      <w:proofErr w:type="gramEnd"/>
    </w:p>
    <w:p w:rsidR="0035091E" w:rsidRPr="00225D82" w:rsidRDefault="0035091E" w:rsidP="0035091E">
      <w:pPr>
        <w:spacing w:line="360" w:lineRule="auto"/>
        <w:rPr>
          <w:sz w:val="24"/>
          <w:szCs w:val="24"/>
        </w:rPr>
      </w:pPr>
    </w:p>
    <w:p w:rsidR="0035091E" w:rsidRPr="00225D82" w:rsidRDefault="0035091E" w:rsidP="0035091E">
      <w:pPr>
        <w:spacing w:line="360" w:lineRule="auto"/>
        <w:rPr>
          <w:sz w:val="24"/>
          <w:szCs w:val="24"/>
        </w:rPr>
      </w:pPr>
      <w:r w:rsidRPr="00225D82">
        <w:rPr>
          <w:sz w:val="24"/>
          <w:szCs w:val="24"/>
        </w:rPr>
        <w:tab/>
      </w:r>
      <w:r w:rsidRPr="00225D82">
        <w:rPr>
          <w:sz w:val="24"/>
          <w:szCs w:val="24"/>
        </w:rPr>
        <w:tab/>
        <w:t>10.</w:t>
      </w:r>
      <w:r w:rsidRPr="00225D82">
        <w:rPr>
          <w:sz w:val="24"/>
          <w:szCs w:val="24"/>
        </w:rPr>
        <w:tab/>
        <w:t xml:space="preserve">The other appliances were removed after the tenants moved out, as the Complainant gutted the building.  </w:t>
      </w:r>
      <w:proofErr w:type="gramStart"/>
      <w:r w:rsidRPr="00225D82">
        <w:rPr>
          <w:sz w:val="24"/>
          <w:szCs w:val="24"/>
        </w:rPr>
        <w:t>Tr. 17.</w:t>
      </w:r>
      <w:proofErr w:type="gramEnd"/>
    </w:p>
    <w:p w:rsidR="0035091E" w:rsidRPr="00225D82" w:rsidRDefault="0035091E" w:rsidP="0035091E">
      <w:pPr>
        <w:spacing w:line="360" w:lineRule="auto"/>
        <w:rPr>
          <w:sz w:val="24"/>
          <w:szCs w:val="24"/>
        </w:rPr>
      </w:pPr>
    </w:p>
    <w:p w:rsidR="0035091E" w:rsidRPr="00225D82" w:rsidRDefault="0035091E" w:rsidP="0035091E">
      <w:pPr>
        <w:spacing w:line="360" w:lineRule="auto"/>
        <w:rPr>
          <w:sz w:val="24"/>
          <w:szCs w:val="24"/>
        </w:rPr>
      </w:pPr>
      <w:r w:rsidRPr="00225D82">
        <w:rPr>
          <w:sz w:val="24"/>
          <w:szCs w:val="24"/>
        </w:rPr>
        <w:tab/>
      </w:r>
      <w:r w:rsidRPr="00225D82">
        <w:rPr>
          <w:sz w:val="24"/>
          <w:szCs w:val="24"/>
        </w:rPr>
        <w:tab/>
        <w:t>11.</w:t>
      </w:r>
      <w:r w:rsidRPr="00225D82">
        <w:rPr>
          <w:sz w:val="24"/>
          <w:szCs w:val="24"/>
        </w:rPr>
        <w:tab/>
        <w:t xml:space="preserve">Complainant is preparing to sell the property.  </w:t>
      </w:r>
      <w:proofErr w:type="gramStart"/>
      <w:r w:rsidRPr="00225D82">
        <w:rPr>
          <w:sz w:val="24"/>
          <w:szCs w:val="24"/>
        </w:rPr>
        <w:t>Tr. 18.</w:t>
      </w:r>
      <w:proofErr w:type="gramEnd"/>
    </w:p>
    <w:p w:rsidR="0035091E" w:rsidRPr="00225D82" w:rsidRDefault="0035091E" w:rsidP="0035091E">
      <w:pPr>
        <w:spacing w:line="360" w:lineRule="auto"/>
        <w:rPr>
          <w:sz w:val="24"/>
          <w:szCs w:val="24"/>
        </w:rPr>
      </w:pPr>
    </w:p>
    <w:p w:rsidR="0035091E" w:rsidRPr="00225D82" w:rsidRDefault="0035091E" w:rsidP="0035091E">
      <w:pPr>
        <w:spacing w:line="360" w:lineRule="auto"/>
        <w:rPr>
          <w:sz w:val="24"/>
          <w:szCs w:val="24"/>
        </w:rPr>
      </w:pPr>
      <w:r w:rsidRPr="00225D82">
        <w:rPr>
          <w:sz w:val="24"/>
          <w:szCs w:val="24"/>
        </w:rPr>
        <w:tab/>
      </w:r>
      <w:r w:rsidRPr="00225D82">
        <w:rPr>
          <w:sz w:val="24"/>
          <w:szCs w:val="24"/>
        </w:rPr>
        <w:tab/>
        <w:t>12.</w:t>
      </w:r>
      <w:r w:rsidRPr="00225D82">
        <w:rPr>
          <w:sz w:val="24"/>
          <w:szCs w:val="24"/>
        </w:rPr>
        <w:tab/>
        <w:t xml:space="preserve">Complainant's bills for his </w:t>
      </w:r>
      <w:r w:rsidR="006C35A5" w:rsidRPr="00225D82">
        <w:rPr>
          <w:sz w:val="24"/>
          <w:szCs w:val="24"/>
        </w:rPr>
        <w:t xml:space="preserve">Catharine </w:t>
      </w:r>
      <w:r w:rsidR="00F733A4" w:rsidRPr="00225D82">
        <w:rPr>
          <w:sz w:val="24"/>
          <w:szCs w:val="24"/>
        </w:rPr>
        <w:t xml:space="preserve">Street </w:t>
      </w:r>
      <w:r w:rsidRPr="00225D82">
        <w:rPr>
          <w:sz w:val="24"/>
          <w:szCs w:val="24"/>
        </w:rPr>
        <w:t xml:space="preserve">residence, which is </w:t>
      </w:r>
      <w:r w:rsidR="00805D96">
        <w:rPr>
          <w:sz w:val="24"/>
          <w:szCs w:val="24"/>
        </w:rPr>
        <w:t>larger</w:t>
      </w:r>
      <w:r w:rsidR="00F733A4" w:rsidRPr="00225D82">
        <w:rPr>
          <w:sz w:val="24"/>
          <w:szCs w:val="24"/>
        </w:rPr>
        <w:t xml:space="preserve"> than the subject property</w:t>
      </w:r>
      <w:r w:rsidRPr="00225D82">
        <w:rPr>
          <w:sz w:val="24"/>
          <w:szCs w:val="24"/>
        </w:rPr>
        <w:t xml:space="preserve">, are less than the bills in question for the </w:t>
      </w:r>
      <w:r w:rsidR="006C35A5" w:rsidRPr="00225D82">
        <w:rPr>
          <w:sz w:val="24"/>
          <w:szCs w:val="24"/>
        </w:rPr>
        <w:t xml:space="preserve">Hazel </w:t>
      </w:r>
      <w:r w:rsidRPr="00225D82">
        <w:rPr>
          <w:sz w:val="24"/>
          <w:szCs w:val="24"/>
        </w:rPr>
        <w:t>Street property.  Tr. 20-22.</w:t>
      </w:r>
    </w:p>
    <w:p w:rsidR="0035091E" w:rsidRPr="00225D82" w:rsidRDefault="0035091E" w:rsidP="0035091E">
      <w:pPr>
        <w:spacing w:line="360" w:lineRule="auto"/>
        <w:rPr>
          <w:sz w:val="24"/>
          <w:szCs w:val="24"/>
        </w:rPr>
      </w:pPr>
    </w:p>
    <w:p w:rsidR="0035091E" w:rsidRPr="00225D82" w:rsidRDefault="0035091E" w:rsidP="0035091E">
      <w:pPr>
        <w:spacing w:line="360" w:lineRule="auto"/>
        <w:rPr>
          <w:sz w:val="24"/>
          <w:szCs w:val="24"/>
        </w:rPr>
      </w:pPr>
      <w:r w:rsidRPr="00225D82">
        <w:rPr>
          <w:sz w:val="24"/>
          <w:szCs w:val="24"/>
        </w:rPr>
        <w:tab/>
      </w:r>
      <w:r w:rsidRPr="00225D82">
        <w:rPr>
          <w:sz w:val="24"/>
          <w:szCs w:val="24"/>
        </w:rPr>
        <w:tab/>
        <w:t>13.</w:t>
      </w:r>
      <w:r w:rsidRPr="00225D82">
        <w:rPr>
          <w:sz w:val="24"/>
          <w:szCs w:val="24"/>
        </w:rPr>
        <w:tab/>
      </w:r>
      <w:r w:rsidR="001B593D" w:rsidRPr="00225D82">
        <w:rPr>
          <w:sz w:val="24"/>
          <w:szCs w:val="24"/>
        </w:rPr>
        <w:t xml:space="preserve">Linda Pereira, senior customer review officer for PGW, appeared and testified on behalf of Respondent.  </w:t>
      </w:r>
      <w:proofErr w:type="gramStart"/>
      <w:r w:rsidR="001B593D" w:rsidRPr="00225D82">
        <w:rPr>
          <w:sz w:val="24"/>
          <w:szCs w:val="24"/>
        </w:rPr>
        <w:t>Tr. 28.</w:t>
      </w:r>
      <w:proofErr w:type="gramEnd"/>
    </w:p>
    <w:p w:rsidR="001B593D" w:rsidRPr="00225D82" w:rsidRDefault="001B593D" w:rsidP="0035091E">
      <w:pPr>
        <w:spacing w:line="360" w:lineRule="auto"/>
        <w:rPr>
          <w:sz w:val="24"/>
          <w:szCs w:val="24"/>
        </w:rPr>
      </w:pPr>
    </w:p>
    <w:p w:rsidR="001B593D" w:rsidRPr="00225D82" w:rsidRDefault="001B593D" w:rsidP="0035091E">
      <w:pPr>
        <w:spacing w:line="360" w:lineRule="auto"/>
        <w:rPr>
          <w:sz w:val="24"/>
          <w:szCs w:val="24"/>
        </w:rPr>
      </w:pPr>
      <w:r w:rsidRPr="00225D82">
        <w:rPr>
          <w:sz w:val="24"/>
          <w:szCs w:val="24"/>
        </w:rPr>
        <w:tab/>
      </w:r>
      <w:r w:rsidRPr="00225D82">
        <w:rPr>
          <w:sz w:val="24"/>
          <w:szCs w:val="24"/>
        </w:rPr>
        <w:tab/>
        <w:t>14.</w:t>
      </w:r>
      <w:r w:rsidRPr="00225D82">
        <w:rPr>
          <w:sz w:val="24"/>
          <w:szCs w:val="24"/>
        </w:rPr>
        <w:tab/>
        <w:t>PGW Exhibit 1 is the customer contacts</w:t>
      </w:r>
      <w:r w:rsidR="006C35A5">
        <w:rPr>
          <w:sz w:val="24"/>
          <w:szCs w:val="24"/>
        </w:rPr>
        <w:t xml:space="preserve"> list</w:t>
      </w:r>
      <w:r w:rsidRPr="00225D82">
        <w:rPr>
          <w:sz w:val="24"/>
          <w:szCs w:val="24"/>
        </w:rPr>
        <w:t xml:space="preserve"> for Complainant.  </w:t>
      </w:r>
      <w:proofErr w:type="gramStart"/>
      <w:r w:rsidRPr="00225D82">
        <w:rPr>
          <w:sz w:val="24"/>
          <w:szCs w:val="24"/>
        </w:rPr>
        <w:t>Tr. 30.</w:t>
      </w:r>
      <w:proofErr w:type="gramEnd"/>
    </w:p>
    <w:p w:rsidR="001B593D" w:rsidRPr="00225D82" w:rsidRDefault="001B593D" w:rsidP="0035091E">
      <w:pPr>
        <w:spacing w:line="360" w:lineRule="auto"/>
        <w:rPr>
          <w:sz w:val="24"/>
          <w:szCs w:val="24"/>
        </w:rPr>
      </w:pPr>
    </w:p>
    <w:p w:rsidR="001B593D" w:rsidRPr="00225D82" w:rsidRDefault="001B593D" w:rsidP="0035091E">
      <w:pPr>
        <w:spacing w:line="360" w:lineRule="auto"/>
        <w:rPr>
          <w:sz w:val="24"/>
          <w:szCs w:val="24"/>
        </w:rPr>
      </w:pPr>
      <w:r w:rsidRPr="00225D82">
        <w:rPr>
          <w:sz w:val="24"/>
          <w:szCs w:val="24"/>
        </w:rPr>
        <w:tab/>
      </w:r>
      <w:r w:rsidRPr="00225D82">
        <w:rPr>
          <w:sz w:val="24"/>
          <w:szCs w:val="24"/>
        </w:rPr>
        <w:tab/>
        <w:t>15.</w:t>
      </w:r>
      <w:r w:rsidRPr="00225D82">
        <w:rPr>
          <w:sz w:val="24"/>
          <w:szCs w:val="24"/>
        </w:rPr>
        <w:tab/>
        <w:t>PGW Exhibit 2 is the meter test result</w:t>
      </w:r>
      <w:r w:rsidR="006C35A5">
        <w:rPr>
          <w:sz w:val="24"/>
          <w:szCs w:val="24"/>
        </w:rPr>
        <w:t>s</w:t>
      </w:r>
      <w:r w:rsidRPr="00225D82">
        <w:rPr>
          <w:sz w:val="24"/>
          <w:szCs w:val="24"/>
        </w:rPr>
        <w:t xml:space="preserve"> for the </w:t>
      </w:r>
      <w:r w:rsidR="00A22731" w:rsidRPr="00225D82">
        <w:rPr>
          <w:sz w:val="24"/>
          <w:szCs w:val="24"/>
        </w:rPr>
        <w:t>Hazel Avenue</w:t>
      </w:r>
      <w:r w:rsidRPr="00225D82">
        <w:rPr>
          <w:sz w:val="24"/>
          <w:szCs w:val="24"/>
        </w:rPr>
        <w:t xml:space="preserve"> meter.  </w:t>
      </w:r>
      <w:proofErr w:type="gramStart"/>
      <w:r w:rsidRPr="00225D82">
        <w:rPr>
          <w:sz w:val="24"/>
          <w:szCs w:val="24"/>
        </w:rPr>
        <w:t>Tr. 30.</w:t>
      </w:r>
      <w:proofErr w:type="gramEnd"/>
    </w:p>
    <w:p w:rsidR="001B593D" w:rsidRPr="00225D82" w:rsidRDefault="001B593D" w:rsidP="0035091E">
      <w:pPr>
        <w:spacing w:line="360" w:lineRule="auto"/>
        <w:rPr>
          <w:sz w:val="24"/>
          <w:szCs w:val="24"/>
        </w:rPr>
      </w:pPr>
    </w:p>
    <w:p w:rsidR="001B593D" w:rsidRPr="00225D82" w:rsidRDefault="001B593D" w:rsidP="0035091E">
      <w:pPr>
        <w:spacing w:line="360" w:lineRule="auto"/>
        <w:rPr>
          <w:sz w:val="24"/>
          <w:szCs w:val="24"/>
        </w:rPr>
      </w:pPr>
      <w:r w:rsidRPr="00225D82">
        <w:rPr>
          <w:sz w:val="24"/>
          <w:szCs w:val="24"/>
        </w:rPr>
        <w:tab/>
      </w:r>
      <w:r w:rsidRPr="00225D82">
        <w:rPr>
          <w:sz w:val="24"/>
          <w:szCs w:val="24"/>
        </w:rPr>
        <w:tab/>
        <w:t>16.</w:t>
      </w:r>
      <w:r w:rsidRPr="00225D82">
        <w:rPr>
          <w:sz w:val="24"/>
          <w:szCs w:val="24"/>
        </w:rPr>
        <w:tab/>
        <w:t xml:space="preserve">PGW Exhibit 3 is the service order from the meter exchange that occurred on May 29, 2013.  </w:t>
      </w:r>
      <w:proofErr w:type="gramStart"/>
      <w:r w:rsidRPr="00225D82">
        <w:rPr>
          <w:sz w:val="24"/>
          <w:szCs w:val="24"/>
        </w:rPr>
        <w:t>Tr. 30.</w:t>
      </w:r>
      <w:proofErr w:type="gramEnd"/>
    </w:p>
    <w:p w:rsidR="001B593D" w:rsidRPr="00225D82" w:rsidRDefault="001B593D" w:rsidP="0035091E">
      <w:pPr>
        <w:spacing w:line="360" w:lineRule="auto"/>
        <w:rPr>
          <w:sz w:val="24"/>
          <w:szCs w:val="24"/>
        </w:rPr>
      </w:pPr>
    </w:p>
    <w:p w:rsidR="001B593D" w:rsidRPr="00225D82" w:rsidRDefault="001B593D" w:rsidP="0035091E">
      <w:pPr>
        <w:spacing w:line="360" w:lineRule="auto"/>
        <w:rPr>
          <w:sz w:val="24"/>
          <w:szCs w:val="24"/>
        </w:rPr>
      </w:pPr>
      <w:r w:rsidRPr="00225D82">
        <w:rPr>
          <w:sz w:val="24"/>
          <w:szCs w:val="24"/>
        </w:rPr>
        <w:tab/>
      </w:r>
      <w:r w:rsidRPr="00225D82">
        <w:rPr>
          <w:sz w:val="24"/>
          <w:szCs w:val="24"/>
        </w:rPr>
        <w:tab/>
        <w:t>17.</w:t>
      </w:r>
      <w:r w:rsidRPr="00225D82">
        <w:rPr>
          <w:sz w:val="24"/>
          <w:szCs w:val="24"/>
        </w:rPr>
        <w:tab/>
        <w:t xml:space="preserve"> PGW Exhibit 4 is a statement of accounts.  </w:t>
      </w:r>
      <w:proofErr w:type="gramStart"/>
      <w:r w:rsidRPr="00225D82">
        <w:rPr>
          <w:sz w:val="24"/>
          <w:szCs w:val="24"/>
        </w:rPr>
        <w:t>Tr. 30.</w:t>
      </w:r>
      <w:proofErr w:type="gramEnd"/>
    </w:p>
    <w:p w:rsidR="001B593D" w:rsidRPr="00225D82" w:rsidRDefault="001B593D" w:rsidP="0035091E">
      <w:pPr>
        <w:spacing w:line="360" w:lineRule="auto"/>
        <w:rPr>
          <w:sz w:val="24"/>
          <w:szCs w:val="24"/>
        </w:rPr>
      </w:pPr>
    </w:p>
    <w:p w:rsidR="001B593D" w:rsidRPr="00225D82" w:rsidRDefault="001B593D" w:rsidP="0035091E">
      <w:pPr>
        <w:spacing w:line="360" w:lineRule="auto"/>
        <w:rPr>
          <w:sz w:val="24"/>
          <w:szCs w:val="24"/>
        </w:rPr>
      </w:pPr>
      <w:r w:rsidRPr="00225D82">
        <w:rPr>
          <w:sz w:val="24"/>
          <w:szCs w:val="24"/>
        </w:rPr>
        <w:lastRenderedPageBreak/>
        <w:tab/>
      </w:r>
      <w:r w:rsidRPr="00225D82">
        <w:rPr>
          <w:sz w:val="24"/>
          <w:szCs w:val="24"/>
        </w:rPr>
        <w:tab/>
        <w:t>18.</w:t>
      </w:r>
      <w:r w:rsidRPr="00225D82">
        <w:rPr>
          <w:sz w:val="24"/>
          <w:szCs w:val="24"/>
        </w:rPr>
        <w:tab/>
        <w:t xml:space="preserve">PGW Exhibit 5 is the BCS informal decision.  </w:t>
      </w:r>
      <w:proofErr w:type="gramStart"/>
      <w:r w:rsidRPr="00225D82">
        <w:rPr>
          <w:sz w:val="24"/>
          <w:szCs w:val="24"/>
        </w:rPr>
        <w:t>Tr. 30.</w:t>
      </w:r>
      <w:proofErr w:type="gramEnd"/>
    </w:p>
    <w:p w:rsidR="001B593D" w:rsidRPr="00225D82" w:rsidRDefault="001B593D" w:rsidP="0035091E">
      <w:pPr>
        <w:spacing w:line="360" w:lineRule="auto"/>
        <w:rPr>
          <w:sz w:val="24"/>
          <w:szCs w:val="24"/>
        </w:rPr>
      </w:pPr>
    </w:p>
    <w:p w:rsidR="001B593D" w:rsidRPr="00225D82" w:rsidRDefault="001B593D" w:rsidP="0035091E">
      <w:pPr>
        <w:spacing w:line="360" w:lineRule="auto"/>
        <w:rPr>
          <w:sz w:val="24"/>
          <w:szCs w:val="24"/>
        </w:rPr>
      </w:pPr>
      <w:r w:rsidRPr="00225D82">
        <w:rPr>
          <w:sz w:val="24"/>
          <w:szCs w:val="24"/>
        </w:rPr>
        <w:tab/>
      </w:r>
      <w:r w:rsidRPr="00225D82">
        <w:rPr>
          <w:sz w:val="24"/>
          <w:szCs w:val="24"/>
        </w:rPr>
        <w:tab/>
        <w:t>19.</w:t>
      </w:r>
      <w:r w:rsidRPr="00225D82">
        <w:rPr>
          <w:sz w:val="24"/>
          <w:szCs w:val="24"/>
        </w:rPr>
        <w:tab/>
        <w:t xml:space="preserve">Complainant is enrolled in the PGW Customer Responsibility Program (CRP) which is PGW's customer assistance program.  </w:t>
      </w:r>
      <w:proofErr w:type="gramStart"/>
      <w:r w:rsidRPr="00225D82">
        <w:rPr>
          <w:sz w:val="24"/>
          <w:szCs w:val="24"/>
        </w:rPr>
        <w:t>Tr. 32.</w:t>
      </w:r>
      <w:proofErr w:type="gramEnd"/>
    </w:p>
    <w:p w:rsidR="001B593D" w:rsidRPr="00225D82" w:rsidRDefault="001B593D" w:rsidP="0035091E">
      <w:pPr>
        <w:spacing w:line="360" w:lineRule="auto"/>
        <w:rPr>
          <w:sz w:val="24"/>
          <w:szCs w:val="24"/>
        </w:rPr>
      </w:pPr>
    </w:p>
    <w:p w:rsidR="001B593D" w:rsidRPr="00225D82" w:rsidRDefault="001B593D" w:rsidP="0035091E">
      <w:pPr>
        <w:spacing w:line="360" w:lineRule="auto"/>
        <w:rPr>
          <w:sz w:val="24"/>
          <w:szCs w:val="24"/>
        </w:rPr>
      </w:pPr>
      <w:r w:rsidRPr="00225D82">
        <w:rPr>
          <w:sz w:val="24"/>
          <w:szCs w:val="24"/>
        </w:rPr>
        <w:tab/>
      </w:r>
      <w:r w:rsidRPr="00225D82">
        <w:rPr>
          <w:sz w:val="24"/>
          <w:szCs w:val="24"/>
        </w:rPr>
        <w:tab/>
        <w:t>20.</w:t>
      </w:r>
      <w:r w:rsidRPr="00225D82">
        <w:rPr>
          <w:sz w:val="24"/>
          <w:szCs w:val="24"/>
        </w:rPr>
        <w:tab/>
        <w:t>Enrollment in CRP mean</w:t>
      </w:r>
      <w:r w:rsidR="00CE77E8" w:rsidRPr="00225D82">
        <w:rPr>
          <w:sz w:val="24"/>
          <w:szCs w:val="24"/>
        </w:rPr>
        <w:t xml:space="preserve">s that Complainant is charged a monthly amount based on his income, not his usage.  </w:t>
      </w:r>
      <w:proofErr w:type="gramStart"/>
      <w:r w:rsidR="00CE77E8" w:rsidRPr="00225D82">
        <w:rPr>
          <w:sz w:val="24"/>
          <w:szCs w:val="24"/>
        </w:rPr>
        <w:t>Tr. 32.</w:t>
      </w:r>
      <w:proofErr w:type="gramEnd"/>
    </w:p>
    <w:p w:rsidR="00CE77E8" w:rsidRPr="00225D82" w:rsidRDefault="00CE77E8" w:rsidP="0035091E">
      <w:pPr>
        <w:spacing w:line="360" w:lineRule="auto"/>
        <w:rPr>
          <w:sz w:val="24"/>
          <w:szCs w:val="24"/>
        </w:rPr>
      </w:pPr>
    </w:p>
    <w:p w:rsidR="00CE77E8" w:rsidRPr="00225D82" w:rsidRDefault="00CE77E8" w:rsidP="0035091E">
      <w:pPr>
        <w:spacing w:line="360" w:lineRule="auto"/>
        <w:rPr>
          <w:sz w:val="24"/>
          <w:szCs w:val="24"/>
        </w:rPr>
      </w:pPr>
      <w:r w:rsidRPr="00225D82">
        <w:rPr>
          <w:sz w:val="24"/>
          <w:szCs w:val="24"/>
        </w:rPr>
        <w:tab/>
      </w:r>
      <w:r w:rsidRPr="00225D82">
        <w:rPr>
          <w:sz w:val="24"/>
          <w:szCs w:val="24"/>
        </w:rPr>
        <w:tab/>
        <w:t>21.</w:t>
      </w:r>
      <w:r w:rsidRPr="00225D82">
        <w:rPr>
          <w:sz w:val="24"/>
          <w:szCs w:val="24"/>
        </w:rPr>
        <w:tab/>
      </w:r>
      <w:r w:rsidR="009408C5" w:rsidRPr="00225D82">
        <w:rPr>
          <w:sz w:val="24"/>
          <w:szCs w:val="24"/>
        </w:rPr>
        <w:t xml:space="preserve">Enrollment in CRP is for the Complainant's residence, not the rental property, which is billed solely on usage.  </w:t>
      </w:r>
      <w:proofErr w:type="gramStart"/>
      <w:r w:rsidR="009408C5" w:rsidRPr="00225D82">
        <w:rPr>
          <w:sz w:val="24"/>
          <w:szCs w:val="24"/>
        </w:rPr>
        <w:t>Tr. 33.</w:t>
      </w:r>
      <w:proofErr w:type="gramEnd"/>
    </w:p>
    <w:p w:rsidR="009408C5" w:rsidRPr="00225D82" w:rsidRDefault="009408C5" w:rsidP="0035091E">
      <w:pPr>
        <w:spacing w:line="360" w:lineRule="auto"/>
        <w:rPr>
          <w:sz w:val="24"/>
          <w:szCs w:val="24"/>
        </w:rPr>
      </w:pPr>
    </w:p>
    <w:p w:rsidR="009408C5" w:rsidRPr="00225D82" w:rsidRDefault="009408C5" w:rsidP="0035091E">
      <w:pPr>
        <w:spacing w:line="360" w:lineRule="auto"/>
        <w:rPr>
          <w:sz w:val="24"/>
          <w:szCs w:val="24"/>
        </w:rPr>
      </w:pPr>
      <w:r w:rsidRPr="00225D82">
        <w:rPr>
          <w:sz w:val="24"/>
          <w:szCs w:val="24"/>
        </w:rPr>
        <w:tab/>
      </w:r>
      <w:r w:rsidRPr="00225D82">
        <w:rPr>
          <w:sz w:val="24"/>
          <w:szCs w:val="24"/>
        </w:rPr>
        <w:tab/>
        <w:t>22.</w:t>
      </w:r>
      <w:r w:rsidRPr="00225D82">
        <w:rPr>
          <w:sz w:val="24"/>
          <w:szCs w:val="24"/>
        </w:rPr>
        <w:tab/>
      </w:r>
      <w:r w:rsidR="00A7620D" w:rsidRPr="00225D82">
        <w:rPr>
          <w:sz w:val="24"/>
          <w:szCs w:val="24"/>
        </w:rPr>
        <w:t xml:space="preserve">The meter at the subject property is equipped with an automatic meter reading device (AMR), which reports actual usage.  </w:t>
      </w:r>
      <w:proofErr w:type="gramStart"/>
      <w:r w:rsidR="00A7620D" w:rsidRPr="00225D82">
        <w:rPr>
          <w:sz w:val="24"/>
          <w:szCs w:val="24"/>
        </w:rPr>
        <w:t>Tr. 35.</w:t>
      </w:r>
      <w:proofErr w:type="gramEnd"/>
    </w:p>
    <w:p w:rsidR="00A7620D" w:rsidRPr="00225D82" w:rsidRDefault="00A7620D" w:rsidP="0035091E">
      <w:pPr>
        <w:spacing w:line="360" w:lineRule="auto"/>
        <w:rPr>
          <w:sz w:val="24"/>
          <w:szCs w:val="24"/>
        </w:rPr>
      </w:pPr>
    </w:p>
    <w:p w:rsidR="00A7620D" w:rsidRPr="00225D82" w:rsidRDefault="00A7620D" w:rsidP="0035091E">
      <w:pPr>
        <w:spacing w:line="360" w:lineRule="auto"/>
        <w:rPr>
          <w:sz w:val="24"/>
          <w:szCs w:val="24"/>
        </w:rPr>
      </w:pPr>
      <w:r w:rsidRPr="00225D82">
        <w:rPr>
          <w:sz w:val="24"/>
          <w:szCs w:val="24"/>
        </w:rPr>
        <w:tab/>
      </w:r>
      <w:r w:rsidRPr="00225D82">
        <w:rPr>
          <w:sz w:val="24"/>
          <w:szCs w:val="24"/>
        </w:rPr>
        <w:tab/>
        <w:t>23.</w:t>
      </w:r>
      <w:r w:rsidRPr="00225D82">
        <w:rPr>
          <w:sz w:val="24"/>
          <w:szCs w:val="24"/>
        </w:rPr>
        <w:tab/>
        <w:t xml:space="preserve">The meter tested within the 2% accuracy permitted by Commission regulations.  </w:t>
      </w:r>
      <w:proofErr w:type="gramStart"/>
      <w:r w:rsidRPr="00225D82">
        <w:rPr>
          <w:sz w:val="24"/>
          <w:szCs w:val="24"/>
        </w:rPr>
        <w:t>Tr. 40.</w:t>
      </w:r>
      <w:proofErr w:type="gramEnd"/>
    </w:p>
    <w:p w:rsidR="00A7620D" w:rsidRPr="00225D82" w:rsidRDefault="00A7620D" w:rsidP="0035091E">
      <w:pPr>
        <w:spacing w:line="360" w:lineRule="auto"/>
        <w:rPr>
          <w:sz w:val="24"/>
          <w:szCs w:val="24"/>
        </w:rPr>
      </w:pPr>
    </w:p>
    <w:p w:rsidR="00A7620D" w:rsidRPr="00225D82" w:rsidRDefault="00A7620D" w:rsidP="0035091E">
      <w:pPr>
        <w:spacing w:line="360" w:lineRule="auto"/>
        <w:rPr>
          <w:sz w:val="24"/>
          <w:szCs w:val="24"/>
        </w:rPr>
      </w:pPr>
      <w:r w:rsidRPr="00225D82">
        <w:rPr>
          <w:sz w:val="24"/>
          <w:szCs w:val="24"/>
        </w:rPr>
        <w:tab/>
      </w:r>
      <w:r w:rsidRPr="00225D82">
        <w:rPr>
          <w:sz w:val="24"/>
          <w:szCs w:val="24"/>
        </w:rPr>
        <w:tab/>
        <w:t>24.</w:t>
      </w:r>
      <w:r w:rsidRPr="00225D82">
        <w:rPr>
          <w:sz w:val="24"/>
          <w:szCs w:val="24"/>
        </w:rPr>
        <w:tab/>
      </w:r>
      <w:r w:rsidR="00A22731" w:rsidRPr="00225D82">
        <w:rPr>
          <w:sz w:val="24"/>
          <w:szCs w:val="24"/>
        </w:rPr>
        <w:t xml:space="preserve">The gas has been turned on and Complainant has been receiving gas at the Hazel Avenue address since January 17, 2013.  </w:t>
      </w:r>
      <w:proofErr w:type="gramStart"/>
      <w:r w:rsidR="00A22731" w:rsidRPr="00225D82">
        <w:rPr>
          <w:sz w:val="24"/>
          <w:szCs w:val="24"/>
        </w:rPr>
        <w:t>Tr. 43.</w:t>
      </w:r>
      <w:proofErr w:type="gramEnd"/>
    </w:p>
    <w:p w:rsidR="00A22731" w:rsidRPr="00225D82" w:rsidRDefault="00A22731" w:rsidP="0035091E">
      <w:pPr>
        <w:spacing w:line="360" w:lineRule="auto"/>
        <w:rPr>
          <w:sz w:val="24"/>
          <w:szCs w:val="24"/>
        </w:rPr>
      </w:pPr>
    </w:p>
    <w:p w:rsidR="00A22731" w:rsidRPr="00225D82" w:rsidRDefault="00A22731" w:rsidP="0035091E">
      <w:pPr>
        <w:spacing w:line="360" w:lineRule="auto"/>
        <w:rPr>
          <w:sz w:val="24"/>
          <w:szCs w:val="24"/>
        </w:rPr>
      </w:pPr>
      <w:r w:rsidRPr="00225D82">
        <w:rPr>
          <w:sz w:val="24"/>
          <w:szCs w:val="24"/>
        </w:rPr>
        <w:tab/>
      </w:r>
      <w:r w:rsidRPr="00225D82">
        <w:rPr>
          <w:sz w:val="24"/>
          <w:szCs w:val="24"/>
        </w:rPr>
        <w:tab/>
        <w:t>25.</w:t>
      </w:r>
      <w:r w:rsidRPr="00225D82">
        <w:rPr>
          <w:sz w:val="24"/>
          <w:szCs w:val="24"/>
        </w:rPr>
        <w:tab/>
        <w:t xml:space="preserve">On March 12, 2013, Complainant contacted PGW and stated that the property was vacant and the thermostat too low for the bill to be as high as it was.  He questioned whether the new meter was at fault.  </w:t>
      </w:r>
      <w:proofErr w:type="gramStart"/>
      <w:r w:rsidRPr="00225D82">
        <w:rPr>
          <w:sz w:val="24"/>
          <w:szCs w:val="24"/>
        </w:rPr>
        <w:t>PGW Ex. 1 at 4; Tr. 43.</w:t>
      </w:r>
      <w:proofErr w:type="gramEnd"/>
    </w:p>
    <w:p w:rsidR="00A22731" w:rsidRPr="00225D82" w:rsidRDefault="00A22731" w:rsidP="0035091E">
      <w:pPr>
        <w:spacing w:line="360" w:lineRule="auto"/>
        <w:rPr>
          <w:sz w:val="24"/>
          <w:szCs w:val="24"/>
        </w:rPr>
      </w:pPr>
    </w:p>
    <w:p w:rsidR="00A22731" w:rsidRPr="00225D82" w:rsidRDefault="00A22731" w:rsidP="0035091E">
      <w:pPr>
        <w:spacing w:line="360" w:lineRule="auto"/>
        <w:rPr>
          <w:sz w:val="24"/>
          <w:szCs w:val="24"/>
        </w:rPr>
      </w:pPr>
      <w:r w:rsidRPr="00225D82">
        <w:rPr>
          <w:sz w:val="24"/>
          <w:szCs w:val="24"/>
        </w:rPr>
        <w:tab/>
      </w:r>
      <w:r w:rsidRPr="00225D82">
        <w:rPr>
          <w:sz w:val="24"/>
          <w:szCs w:val="24"/>
        </w:rPr>
        <w:tab/>
        <w:t>26.</w:t>
      </w:r>
      <w:r w:rsidRPr="00225D82">
        <w:rPr>
          <w:sz w:val="24"/>
          <w:szCs w:val="24"/>
        </w:rPr>
        <w:tab/>
        <w:t>On March 28, 2013, PGW completed its high bill investigation and found that the bill was correct as rendered.  PGW Ex. 1 at 4; Tr. 43</w:t>
      </w:r>
      <w:r w:rsidR="00D730AF" w:rsidRPr="00225D82">
        <w:rPr>
          <w:sz w:val="24"/>
          <w:szCs w:val="24"/>
        </w:rPr>
        <w:t>-44</w:t>
      </w:r>
      <w:r w:rsidRPr="00225D82">
        <w:rPr>
          <w:sz w:val="24"/>
          <w:szCs w:val="24"/>
        </w:rPr>
        <w:t>.</w:t>
      </w:r>
    </w:p>
    <w:p w:rsidR="00A22731" w:rsidRPr="00225D82" w:rsidRDefault="00A22731" w:rsidP="0035091E">
      <w:pPr>
        <w:spacing w:line="360" w:lineRule="auto"/>
        <w:rPr>
          <w:sz w:val="24"/>
          <w:szCs w:val="24"/>
        </w:rPr>
      </w:pPr>
    </w:p>
    <w:p w:rsidR="00A22731" w:rsidRPr="00225D82" w:rsidRDefault="00A22731" w:rsidP="0035091E">
      <w:pPr>
        <w:spacing w:line="360" w:lineRule="auto"/>
        <w:rPr>
          <w:sz w:val="24"/>
          <w:szCs w:val="24"/>
        </w:rPr>
      </w:pPr>
      <w:r w:rsidRPr="00225D82">
        <w:rPr>
          <w:sz w:val="24"/>
          <w:szCs w:val="24"/>
        </w:rPr>
        <w:tab/>
      </w:r>
      <w:r w:rsidRPr="00225D82">
        <w:rPr>
          <w:sz w:val="24"/>
          <w:szCs w:val="24"/>
        </w:rPr>
        <w:tab/>
        <w:t>27.</w:t>
      </w:r>
      <w:r w:rsidRPr="00225D82">
        <w:rPr>
          <w:sz w:val="24"/>
          <w:szCs w:val="24"/>
        </w:rPr>
        <w:tab/>
      </w:r>
      <w:r w:rsidR="00D730AF" w:rsidRPr="00225D82">
        <w:rPr>
          <w:sz w:val="24"/>
          <w:szCs w:val="24"/>
        </w:rPr>
        <w:t>On April 19, 2013, Complainant asked for a meter test on the meter installed on January</w:t>
      </w:r>
      <w:r w:rsidR="00C14328">
        <w:rPr>
          <w:sz w:val="24"/>
          <w:szCs w:val="24"/>
        </w:rPr>
        <w:t xml:space="preserve"> </w:t>
      </w:r>
      <w:r w:rsidR="00D730AF" w:rsidRPr="00225D82">
        <w:rPr>
          <w:sz w:val="24"/>
          <w:szCs w:val="24"/>
        </w:rPr>
        <w:t xml:space="preserve">17, 2013.  </w:t>
      </w:r>
      <w:proofErr w:type="gramStart"/>
      <w:r w:rsidR="00D730AF" w:rsidRPr="00225D82">
        <w:rPr>
          <w:sz w:val="24"/>
          <w:szCs w:val="24"/>
        </w:rPr>
        <w:t>PGW Ex. 1 at 3; Tr. 44.</w:t>
      </w:r>
      <w:proofErr w:type="gramEnd"/>
    </w:p>
    <w:p w:rsidR="00D730AF" w:rsidRPr="00225D82" w:rsidRDefault="00D730AF" w:rsidP="0035091E">
      <w:pPr>
        <w:spacing w:line="360" w:lineRule="auto"/>
        <w:rPr>
          <w:sz w:val="24"/>
          <w:szCs w:val="24"/>
        </w:rPr>
      </w:pPr>
    </w:p>
    <w:p w:rsidR="00D730AF" w:rsidRPr="00225D82" w:rsidRDefault="00D730AF" w:rsidP="0035091E">
      <w:pPr>
        <w:spacing w:line="360" w:lineRule="auto"/>
        <w:rPr>
          <w:sz w:val="24"/>
          <w:szCs w:val="24"/>
        </w:rPr>
      </w:pPr>
      <w:r w:rsidRPr="00225D82">
        <w:rPr>
          <w:sz w:val="24"/>
          <w:szCs w:val="24"/>
        </w:rPr>
        <w:tab/>
      </w:r>
      <w:r w:rsidRPr="00225D82">
        <w:rPr>
          <w:sz w:val="24"/>
          <w:szCs w:val="24"/>
        </w:rPr>
        <w:tab/>
        <w:t>28.</w:t>
      </w:r>
      <w:r w:rsidRPr="00225D82">
        <w:rPr>
          <w:sz w:val="24"/>
          <w:szCs w:val="24"/>
        </w:rPr>
        <w:tab/>
        <w:t>The meter was tested on May 29, 2013.  PGW Ex. 1 at 3; Tr. 44-45.</w:t>
      </w:r>
    </w:p>
    <w:p w:rsidR="00D730AF" w:rsidRPr="00225D82" w:rsidRDefault="00D730AF" w:rsidP="0035091E">
      <w:pPr>
        <w:spacing w:line="360" w:lineRule="auto"/>
        <w:rPr>
          <w:sz w:val="24"/>
          <w:szCs w:val="24"/>
        </w:rPr>
      </w:pPr>
    </w:p>
    <w:p w:rsidR="00D730AF" w:rsidRPr="00225D82" w:rsidRDefault="00D730AF" w:rsidP="0035091E">
      <w:pPr>
        <w:spacing w:line="360" w:lineRule="auto"/>
        <w:rPr>
          <w:sz w:val="24"/>
          <w:szCs w:val="24"/>
        </w:rPr>
      </w:pPr>
      <w:r w:rsidRPr="00225D82">
        <w:rPr>
          <w:sz w:val="24"/>
          <w:szCs w:val="24"/>
        </w:rPr>
        <w:tab/>
      </w:r>
      <w:r w:rsidRPr="00225D82">
        <w:rPr>
          <w:sz w:val="24"/>
          <w:szCs w:val="24"/>
        </w:rPr>
        <w:tab/>
        <w:t>29.</w:t>
      </w:r>
      <w:r w:rsidRPr="00225D82">
        <w:rPr>
          <w:sz w:val="24"/>
          <w:szCs w:val="24"/>
        </w:rPr>
        <w:tab/>
        <w:t>On June 5, 2013, a copy of the meter test result was received, and it showed that the meter was operating within 2% accuracy</w:t>
      </w:r>
      <w:r w:rsidR="008A6FCD" w:rsidRPr="00225D82">
        <w:rPr>
          <w:sz w:val="24"/>
          <w:szCs w:val="24"/>
        </w:rPr>
        <w:t xml:space="preserve">.  </w:t>
      </w:r>
      <w:proofErr w:type="gramStart"/>
      <w:r w:rsidR="008A6FCD" w:rsidRPr="00225D82">
        <w:rPr>
          <w:sz w:val="24"/>
          <w:szCs w:val="24"/>
        </w:rPr>
        <w:t xml:space="preserve">PGW </w:t>
      </w:r>
      <w:proofErr w:type="spellStart"/>
      <w:r w:rsidR="008A6FCD" w:rsidRPr="00225D82">
        <w:rPr>
          <w:sz w:val="24"/>
          <w:szCs w:val="24"/>
        </w:rPr>
        <w:t>Exs</w:t>
      </w:r>
      <w:proofErr w:type="spellEnd"/>
      <w:r w:rsidR="008A6FCD" w:rsidRPr="00225D82">
        <w:rPr>
          <w:sz w:val="24"/>
          <w:szCs w:val="24"/>
        </w:rPr>
        <w:t>.</w:t>
      </w:r>
      <w:proofErr w:type="gramEnd"/>
      <w:r w:rsidR="008A6FCD" w:rsidRPr="00225D82">
        <w:rPr>
          <w:sz w:val="24"/>
          <w:szCs w:val="24"/>
        </w:rPr>
        <w:t xml:space="preserve"> </w:t>
      </w:r>
      <w:proofErr w:type="gramStart"/>
      <w:r w:rsidR="008A6FCD" w:rsidRPr="00225D82">
        <w:rPr>
          <w:sz w:val="24"/>
          <w:szCs w:val="24"/>
        </w:rPr>
        <w:t>1 &amp; 2; Tr. 46.</w:t>
      </w:r>
      <w:proofErr w:type="gramEnd"/>
    </w:p>
    <w:p w:rsidR="008A6FCD" w:rsidRPr="00225D82" w:rsidRDefault="008A6FCD" w:rsidP="0035091E">
      <w:pPr>
        <w:spacing w:line="360" w:lineRule="auto"/>
        <w:rPr>
          <w:sz w:val="24"/>
          <w:szCs w:val="24"/>
        </w:rPr>
      </w:pPr>
    </w:p>
    <w:p w:rsidR="008A6FCD" w:rsidRPr="00225D82" w:rsidRDefault="008A6FCD" w:rsidP="0035091E">
      <w:pPr>
        <w:spacing w:line="360" w:lineRule="auto"/>
        <w:rPr>
          <w:sz w:val="24"/>
          <w:szCs w:val="24"/>
        </w:rPr>
      </w:pPr>
      <w:r w:rsidRPr="00225D82">
        <w:rPr>
          <w:sz w:val="24"/>
          <w:szCs w:val="24"/>
        </w:rPr>
        <w:tab/>
      </w:r>
      <w:r w:rsidRPr="00225D82">
        <w:rPr>
          <w:sz w:val="24"/>
          <w:szCs w:val="24"/>
        </w:rPr>
        <w:tab/>
        <w:t>30.</w:t>
      </w:r>
      <w:r w:rsidRPr="00225D82">
        <w:rPr>
          <w:sz w:val="24"/>
          <w:szCs w:val="24"/>
        </w:rPr>
        <w:tab/>
        <w:t xml:space="preserve">The Hazel Street address is capable of using the amount of gas being billed.  </w:t>
      </w:r>
      <w:proofErr w:type="gramStart"/>
      <w:r w:rsidRPr="00225D82">
        <w:rPr>
          <w:sz w:val="24"/>
          <w:szCs w:val="24"/>
        </w:rPr>
        <w:t>Tr. 47.</w:t>
      </w:r>
      <w:proofErr w:type="gramEnd"/>
    </w:p>
    <w:p w:rsidR="008A6FCD" w:rsidRPr="00225D82" w:rsidRDefault="008A6FCD" w:rsidP="0035091E">
      <w:pPr>
        <w:spacing w:line="360" w:lineRule="auto"/>
        <w:rPr>
          <w:sz w:val="24"/>
          <w:szCs w:val="24"/>
        </w:rPr>
      </w:pPr>
    </w:p>
    <w:p w:rsidR="008A6FCD" w:rsidRPr="00225D82" w:rsidRDefault="008A6FCD" w:rsidP="0035091E">
      <w:pPr>
        <w:spacing w:line="360" w:lineRule="auto"/>
        <w:rPr>
          <w:sz w:val="24"/>
          <w:szCs w:val="24"/>
        </w:rPr>
      </w:pPr>
      <w:r w:rsidRPr="00225D82">
        <w:rPr>
          <w:sz w:val="24"/>
          <w:szCs w:val="24"/>
        </w:rPr>
        <w:tab/>
      </w:r>
      <w:r w:rsidRPr="00225D82">
        <w:rPr>
          <w:sz w:val="24"/>
          <w:szCs w:val="24"/>
        </w:rPr>
        <w:tab/>
        <w:t>3</w:t>
      </w:r>
      <w:r w:rsidR="00F733A4" w:rsidRPr="00225D82">
        <w:rPr>
          <w:sz w:val="24"/>
          <w:szCs w:val="24"/>
        </w:rPr>
        <w:t>1</w:t>
      </w:r>
      <w:r w:rsidRPr="00225D82">
        <w:rPr>
          <w:sz w:val="24"/>
          <w:szCs w:val="24"/>
        </w:rPr>
        <w:t>.</w:t>
      </w:r>
      <w:r w:rsidR="00B86E3B" w:rsidRPr="00225D82">
        <w:rPr>
          <w:sz w:val="24"/>
          <w:szCs w:val="24"/>
        </w:rPr>
        <w:tab/>
        <w:t>The basic customer charge is $12, and added to that are var</w:t>
      </w:r>
      <w:r w:rsidR="00563B30">
        <w:rPr>
          <w:sz w:val="24"/>
          <w:szCs w:val="24"/>
        </w:rPr>
        <w:t>ious fees.  Tr. </w:t>
      </w:r>
      <w:r w:rsidR="00B86E3B" w:rsidRPr="00225D82">
        <w:rPr>
          <w:sz w:val="24"/>
          <w:szCs w:val="24"/>
        </w:rPr>
        <w:t>56-59.</w:t>
      </w:r>
    </w:p>
    <w:p w:rsidR="00B86E3B" w:rsidRPr="00225D82" w:rsidRDefault="00B86E3B" w:rsidP="0035091E">
      <w:pPr>
        <w:spacing w:line="360" w:lineRule="auto"/>
        <w:rPr>
          <w:sz w:val="24"/>
          <w:szCs w:val="24"/>
        </w:rPr>
      </w:pPr>
    </w:p>
    <w:p w:rsidR="008F5430" w:rsidRPr="00225D82" w:rsidRDefault="008F5430" w:rsidP="0035091E">
      <w:pPr>
        <w:spacing w:line="360" w:lineRule="auto"/>
        <w:rPr>
          <w:sz w:val="24"/>
          <w:szCs w:val="24"/>
        </w:rPr>
      </w:pPr>
      <w:r w:rsidRPr="00225D82">
        <w:rPr>
          <w:sz w:val="24"/>
          <w:szCs w:val="24"/>
        </w:rPr>
        <w:tab/>
      </w:r>
      <w:r w:rsidRPr="00225D82">
        <w:rPr>
          <w:sz w:val="24"/>
          <w:szCs w:val="24"/>
        </w:rPr>
        <w:tab/>
        <w:t>3</w:t>
      </w:r>
      <w:r w:rsidR="00F733A4" w:rsidRPr="00225D82">
        <w:rPr>
          <w:sz w:val="24"/>
          <w:szCs w:val="24"/>
        </w:rPr>
        <w:t>2</w:t>
      </w:r>
      <w:r w:rsidRPr="00225D82">
        <w:rPr>
          <w:sz w:val="24"/>
          <w:szCs w:val="24"/>
        </w:rPr>
        <w:t>.</w:t>
      </w:r>
      <w:r w:rsidRPr="00225D82">
        <w:rPr>
          <w:sz w:val="24"/>
          <w:szCs w:val="24"/>
        </w:rPr>
        <w:tab/>
        <w:t xml:space="preserve">Complainant is a Level 1 customer because his reported income is less than 150% of the Federal poverty level.  </w:t>
      </w:r>
      <w:proofErr w:type="gramStart"/>
      <w:r w:rsidRPr="00225D82">
        <w:rPr>
          <w:sz w:val="24"/>
          <w:szCs w:val="24"/>
        </w:rPr>
        <w:t>Tr. 47.</w:t>
      </w:r>
      <w:proofErr w:type="gramEnd"/>
    </w:p>
    <w:p w:rsidR="008F5430" w:rsidRPr="00225D82" w:rsidRDefault="008F5430" w:rsidP="0035091E">
      <w:pPr>
        <w:spacing w:line="360" w:lineRule="auto"/>
        <w:rPr>
          <w:sz w:val="24"/>
          <w:szCs w:val="24"/>
        </w:rPr>
      </w:pPr>
    </w:p>
    <w:p w:rsidR="00B86E3B" w:rsidRPr="00225D82" w:rsidRDefault="00B86E3B" w:rsidP="00B86E3B">
      <w:pPr>
        <w:spacing w:line="360" w:lineRule="auto"/>
        <w:jc w:val="center"/>
        <w:rPr>
          <w:sz w:val="24"/>
          <w:szCs w:val="24"/>
          <w:u w:val="single"/>
        </w:rPr>
      </w:pPr>
      <w:r w:rsidRPr="00225D82">
        <w:rPr>
          <w:sz w:val="24"/>
          <w:szCs w:val="24"/>
          <w:u w:val="single"/>
        </w:rPr>
        <w:t>DISCUSSION</w:t>
      </w:r>
    </w:p>
    <w:p w:rsidR="00B86E3B" w:rsidRPr="00225D82" w:rsidRDefault="00B86E3B" w:rsidP="00B86E3B">
      <w:pPr>
        <w:spacing w:line="360" w:lineRule="auto"/>
        <w:jc w:val="center"/>
        <w:rPr>
          <w:sz w:val="24"/>
          <w:szCs w:val="24"/>
          <w:u w:val="single"/>
        </w:rPr>
      </w:pPr>
    </w:p>
    <w:p w:rsidR="00B86E3B" w:rsidRPr="00225D82" w:rsidRDefault="00B86E3B" w:rsidP="00B86E3B">
      <w:pPr>
        <w:spacing w:line="360" w:lineRule="auto"/>
        <w:rPr>
          <w:sz w:val="24"/>
          <w:szCs w:val="24"/>
        </w:rPr>
      </w:pPr>
      <w:r w:rsidRPr="00225D82">
        <w:rPr>
          <w:sz w:val="24"/>
          <w:szCs w:val="24"/>
        </w:rPr>
        <w:tab/>
      </w:r>
      <w:r w:rsidRPr="00225D82">
        <w:rPr>
          <w:sz w:val="24"/>
          <w:szCs w:val="24"/>
        </w:rPr>
        <w:tab/>
        <w:t xml:space="preserve">Complainant argues that the gas bill in his rental home when unoccupied should not be higher than his bills for his residence, which is </w:t>
      </w:r>
      <w:r w:rsidR="00F733A4" w:rsidRPr="00225D82">
        <w:rPr>
          <w:sz w:val="24"/>
          <w:szCs w:val="24"/>
        </w:rPr>
        <w:t xml:space="preserve">a </w:t>
      </w:r>
      <w:r w:rsidRPr="00225D82">
        <w:rPr>
          <w:sz w:val="24"/>
          <w:szCs w:val="24"/>
        </w:rPr>
        <w:t>larger</w:t>
      </w:r>
      <w:r w:rsidR="00F733A4" w:rsidRPr="00225D82">
        <w:rPr>
          <w:sz w:val="24"/>
          <w:szCs w:val="24"/>
        </w:rPr>
        <w:t xml:space="preserve"> residence</w:t>
      </w:r>
      <w:r w:rsidRPr="00225D82">
        <w:rPr>
          <w:sz w:val="24"/>
          <w:szCs w:val="24"/>
        </w:rPr>
        <w:t>.  He does not believe that the unoccupied house used the amount of gas for which he was billed, and he does not understand why he would be offered a payment agreement that would result in overpaying the arrearage.</w:t>
      </w:r>
    </w:p>
    <w:p w:rsidR="005E5E5A" w:rsidRPr="00225D82" w:rsidRDefault="005E5E5A" w:rsidP="005E5E5A">
      <w:pPr>
        <w:tabs>
          <w:tab w:val="left" w:pos="-1440"/>
          <w:tab w:val="left" w:pos="-720"/>
        </w:tabs>
        <w:suppressAutoHyphens/>
        <w:spacing w:line="360" w:lineRule="auto"/>
        <w:ind w:firstLine="1440"/>
        <w:rPr>
          <w:sz w:val="24"/>
          <w:szCs w:val="24"/>
        </w:rPr>
      </w:pPr>
    </w:p>
    <w:p w:rsidR="005E5E5A" w:rsidRPr="00225D82" w:rsidRDefault="005E5E5A" w:rsidP="005E5E5A">
      <w:pPr>
        <w:tabs>
          <w:tab w:val="left" w:pos="-1440"/>
          <w:tab w:val="left" w:pos="-720"/>
        </w:tabs>
        <w:suppressAutoHyphens/>
        <w:spacing w:line="360" w:lineRule="auto"/>
        <w:ind w:firstLine="1440"/>
        <w:rPr>
          <w:spacing w:val="-3"/>
          <w:sz w:val="24"/>
          <w:szCs w:val="24"/>
        </w:rPr>
      </w:pPr>
      <w:r w:rsidRPr="00225D82">
        <w:rPr>
          <w:sz w:val="24"/>
          <w:szCs w:val="24"/>
        </w:rPr>
        <w:t>T</w:t>
      </w:r>
      <w:r w:rsidRPr="00225D82">
        <w:rPr>
          <w:spacing w:val="-3"/>
          <w:sz w:val="24"/>
          <w:szCs w:val="24"/>
        </w:rPr>
        <w:t xml:space="preserve">o establish a sufficient case and satisfy the burden of proof, complainant must show that respondent is responsible or accountable for the problem described in the Complaint.  </w:t>
      </w:r>
      <w:proofErr w:type="gramStart"/>
      <w:r w:rsidRPr="00225D82">
        <w:rPr>
          <w:i/>
          <w:spacing w:val="-3"/>
          <w:sz w:val="24"/>
          <w:szCs w:val="24"/>
        </w:rPr>
        <w:t>Patterson v. Bell Telephone Company of Pennsylvania</w:t>
      </w:r>
      <w:r w:rsidRPr="00225D82">
        <w:rPr>
          <w:spacing w:val="-3"/>
          <w:sz w:val="24"/>
          <w:szCs w:val="24"/>
        </w:rPr>
        <w:t xml:space="preserve">, 72 Pa. PUC 196 (1990), </w:t>
      </w:r>
      <w:r w:rsidRPr="00225D82">
        <w:rPr>
          <w:i/>
          <w:spacing w:val="-3"/>
          <w:sz w:val="24"/>
          <w:szCs w:val="24"/>
        </w:rPr>
        <w:t>Feinstein v. Philadelphia Suburban Water Company</w:t>
      </w:r>
      <w:r w:rsidRPr="00225D82">
        <w:rPr>
          <w:spacing w:val="-3"/>
          <w:sz w:val="24"/>
          <w:szCs w:val="24"/>
        </w:rPr>
        <w:t>, 50 Pa. PUC 300 (1976).</w:t>
      </w:r>
      <w:proofErr w:type="gramEnd"/>
      <w:r w:rsidRPr="00225D82">
        <w:rPr>
          <w:spacing w:val="-3"/>
          <w:sz w:val="24"/>
          <w:szCs w:val="24"/>
        </w:rPr>
        <w:t xml:space="preserve">  Such a showing must be by a preponderance of the evidence.  </w:t>
      </w:r>
      <w:proofErr w:type="gramStart"/>
      <w:r w:rsidRPr="00225D82">
        <w:rPr>
          <w:i/>
          <w:spacing w:val="-3"/>
          <w:sz w:val="24"/>
          <w:szCs w:val="24"/>
        </w:rPr>
        <w:t>Samuel J. Lansberry, Inc. v. Pa. Pub.</w:t>
      </w:r>
      <w:proofErr w:type="gramEnd"/>
      <w:r w:rsidRPr="00225D82">
        <w:rPr>
          <w:i/>
          <w:spacing w:val="-3"/>
          <w:sz w:val="24"/>
          <w:szCs w:val="24"/>
        </w:rPr>
        <w:t xml:space="preserve"> Util. Comm’n</w:t>
      </w:r>
      <w:r w:rsidRPr="00225D82">
        <w:rPr>
          <w:spacing w:val="-3"/>
          <w:sz w:val="24"/>
          <w:szCs w:val="24"/>
        </w:rPr>
        <w:t xml:space="preserve">, </w:t>
      </w:r>
      <w:proofErr w:type="gramStart"/>
      <w:r w:rsidRPr="00225D82">
        <w:rPr>
          <w:spacing w:val="-3"/>
          <w:sz w:val="24"/>
          <w:szCs w:val="24"/>
        </w:rPr>
        <w:t>134 Pa.Cmwlth</w:t>
      </w:r>
      <w:proofErr w:type="gramEnd"/>
      <w:r w:rsidRPr="00225D82">
        <w:rPr>
          <w:spacing w:val="-3"/>
          <w:sz w:val="24"/>
          <w:szCs w:val="24"/>
        </w:rPr>
        <w:t xml:space="preserve">. 218; 221-222, 578 A.2d 600; 602 (1990), </w:t>
      </w:r>
      <w:r w:rsidRPr="00225D82">
        <w:rPr>
          <w:iCs/>
          <w:spacing w:val="-3"/>
          <w:sz w:val="24"/>
          <w:szCs w:val="24"/>
        </w:rPr>
        <w:t>app. denied,</w:t>
      </w:r>
      <w:r w:rsidRPr="00225D82">
        <w:rPr>
          <w:spacing w:val="-3"/>
          <w:sz w:val="24"/>
          <w:szCs w:val="24"/>
        </w:rPr>
        <w:t xml:space="preserve"> 529 Pa. 654, 602 A.2d 863 (1992).  That is, by presenting evidence more convincing, by even the smallest amount, than that presented by the other party.  </w:t>
      </w:r>
      <w:proofErr w:type="gramStart"/>
      <w:r w:rsidRPr="00225D82">
        <w:rPr>
          <w:i/>
          <w:spacing w:val="-3"/>
          <w:sz w:val="24"/>
          <w:szCs w:val="24"/>
        </w:rPr>
        <w:t>Se-Ling Hosiery v. Margulies</w:t>
      </w:r>
      <w:r w:rsidRPr="00225D82">
        <w:rPr>
          <w:spacing w:val="-3"/>
          <w:sz w:val="24"/>
          <w:szCs w:val="24"/>
        </w:rPr>
        <w:t>, 364 Pa. 45, 70 A.2d 854 (1950).</w:t>
      </w:r>
      <w:proofErr w:type="gramEnd"/>
      <w:r w:rsidRPr="00225D82">
        <w:rPr>
          <w:spacing w:val="-3"/>
          <w:sz w:val="24"/>
          <w:szCs w:val="24"/>
        </w:rPr>
        <w:t xml:space="preserve">  Complainant must initially produce sufficient credible evidence to establish a </w:t>
      </w:r>
      <w:r w:rsidRPr="00D17D52">
        <w:rPr>
          <w:i/>
          <w:spacing w:val="-3"/>
          <w:sz w:val="24"/>
          <w:szCs w:val="24"/>
        </w:rPr>
        <w:t>prima facie</w:t>
      </w:r>
      <w:r w:rsidRPr="00225D82">
        <w:rPr>
          <w:spacing w:val="-3"/>
          <w:sz w:val="24"/>
          <w:szCs w:val="24"/>
        </w:rPr>
        <w:t xml:space="preserve"> case in order that complainant not lose summarily.  </w:t>
      </w:r>
      <w:proofErr w:type="gramStart"/>
      <w:r w:rsidRPr="00225D82">
        <w:rPr>
          <w:i/>
          <w:spacing w:val="-3"/>
          <w:sz w:val="24"/>
          <w:szCs w:val="24"/>
        </w:rPr>
        <w:t>Morrissey v. Dep’t of Highways</w:t>
      </w:r>
      <w:r w:rsidRPr="00225D82">
        <w:rPr>
          <w:spacing w:val="-3"/>
          <w:sz w:val="24"/>
          <w:szCs w:val="24"/>
        </w:rPr>
        <w:t xml:space="preserve">, 424 Pa. 87, 225 </w:t>
      </w:r>
      <w:r w:rsidRPr="00225D82">
        <w:rPr>
          <w:spacing w:val="-3"/>
          <w:sz w:val="24"/>
          <w:szCs w:val="24"/>
        </w:rPr>
        <w:lastRenderedPageBreak/>
        <w:t>A.2d</w:t>
      </w:r>
      <w:r w:rsidR="00DA596E">
        <w:rPr>
          <w:spacing w:val="-3"/>
          <w:sz w:val="24"/>
          <w:szCs w:val="24"/>
        </w:rPr>
        <w:t> </w:t>
      </w:r>
      <w:r w:rsidRPr="00225D82">
        <w:rPr>
          <w:spacing w:val="-3"/>
          <w:sz w:val="24"/>
          <w:szCs w:val="24"/>
        </w:rPr>
        <w:t>895 (1967).</w:t>
      </w:r>
      <w:proofErr w:type="gramEnd"/>
      <w:r w:rsidRPr="00225D82">
        <w:rPr>
          <w:spacing w:val="-3"/>
          <w:sz w:val="24"/>
          <w:szCs w:val="24"/>
        </w:rPr>
        <w:t xml:space="preserve">  If complainant does so, the burden of going forward with evidence shifts to respondent to produce credible evidence of at least co-equal weight.  This burden of going forward with evidence may shift back and forth between the parties, but the ultimate burden of persuasion remains with complainant.  </w:t>
      </w:r>
      <w:proofErr w:type="spellStart"/>
      <w:proofErr w:type="gramStart"/>
      <w:r w:rsidRPr="00225D82">
        <w:rPr>
          <w:i/>
          <w:spacing w:val="-3"/>
          <w:sz w:val="24"/>
          <w:szCs w:val="24"/>
        </w:rPr>
        <w:t>Milkie</w:t>
      </w:r>
      <w:proofErr w:type="spellEnd"/>
      <w:r w:rsidRPr="00225D82">
        <w:rPr>
          <w:i/>
          <w:spacing w:val="-3"/>
          <w:sz w:val="24"/>
          <w:szCs w:val="24"/>
        </w:rPr>
        <w:t xml:space="preserve"> v. Pa. Pub.</w:t>
      </w:r>
      <w:proofErr w:type="gramEnd"/>
      <w:r w:rsidRPr="00225D82">
        <w:rPr>
          <w:i/>
          <w:spacing w:val="-3"/>
          <w:sz w:val="24"/>
          <w:szCs w:val="24"/>
        </w:rPr>
        <w:t xml:space="preserve"> </w:t>
      </w:r>
      <w:proofErr w:type="gramStart"/>
      <w:r w:rsidRPr="00225D82">
        <w:rPr>
          <w:i/>
          <w:spacing w:val="-3"/>
          <w:sz w:val="24"/>
          <w:szCs w:val="24"/>
        </w:rPr>
        <w:t>Util. Comm’n</w:t>
      </w:r>
      <w:r w:rsidRPr="00225D82">
        <w:rPr>
          <w:spacing w:val="-3"/>
          <w:sz w:val="24"/>
          <w:szCs w:val="24"/>
        </w:rPr>
        <w:t>, 768 A.2d 1217 (Pa.Cmwlth. 2001).</w:t>
      </w:r>
      <w:proofErr w:type="gramEnd"/>
    </w:p>
    <w:p w:rsidR="005E5E5A" w:rsidRPr="00225D82" w:rsidRDefault="005E5E5A" w:rsidP="005E5E5A">
      <w:pPr>
        <w:tabs>
          <w:tab w:val="left" w:pos="-1440"/>
          <w:tab w:val="left" w:pos="-720"/>
        </w:tabs>
        <w:suppressAutoHyphens/>
        <w:spacing w:line="360" w:lineRule="auto"/>
        <w:ind w:firstLine="1440"/>
        <w:rPr>
          <w:spacing w:val="-3"/>
          <w:sz w:val="24"/>
          <w:szCs w:val="24"/>
        </w:rPr>
      </w:pPr>
    </w:p>
    <w:p w:rsidR="005E5E5A" w:rsidRPr="00225D82" w:rsidRDefault="005E5E5A" w:rsidP="005E5E5A">
      <w:pPr>
        <w:tabs>
          <w:tab w:val="left" w:pos="-1440"/>
          <w:tab w:val="left" w:pos="-720"/>
        </w:tabs>
        <w:suppressAutoHyphens/>
        <w:spacing w:line="360" w:lineRule="auto"/>
        <w:ind w:firstLine="1440"/>
        <w:rPr>
          <w:spacing w:val="-3"/>
          <w:sz w:val="24"/>
          <w:szCs w:val="24"/>
        </w:rPr>
      </w:pPr>
      <w:r w:rsidRPr="00225D82">
        <w:rPr>
          <w:spacing w:val="-3"/>
          <w:sz w:val="24"/>
          <w:szCs w:val="24"/>
        </w:rPr>
        <w:t xml:space="preserve">Additionally, any finding of fact necessary to support the Commission’s adjudication must be based upon substantial evidence.  </w:t>
      </w:r>
      <w:r w:rsidRPr="00225D82">
        <w:rPr>
          <w:i/>
          <w:spacing w:val="-3"/>
          <w:sz w:val="24"/>
          <w:szCs w:val="24"/>
        </w:rPr>
        <w:t>Mill v. Pa. Public Utility Comm’n</w:t>
      </w:r>
      <w:r w:rsidRPr="00225D82">
        <w:rPr>
          <w:spacing w:val="-3"/>
          <w:sz w:val="24"/>
          <w:szCs w:val="24"/>
        </w:rPr>
        <w:t xml:space="preserve">, </w:t>
      </w:r>
      <w:proofErr w:type="gramStart"/>
      <w:r w:rsidRPr="00225D82">
        <w:rPr>
          <w:spacing w:val="-3"/>
          <w:sz w:val="24"/>
          <w:szCs w:val="24"/>
        </w:rPr>
        <w:t>67 Pa.Cmwlth</w:t>
      </w:r>
      <w:proofErr w:type="gramEnd"/>
      <w:r w:rsidRPr="00225D82">
        <w:rPr>
          <w:spacing w:val="-3"/>
          <w:sz w:val="24"/>
          <w:szCs w:val="24"/>
        </w:rPr>
        <w:t xml:space="preserve">. </w:t>
      </w:r>
      <w:proofErr w:type="gramStart"/>
      <w:r w:rsidRPr="00225D82">
        <w:rPr>
          <w:spacing w:val="-3"/>
          <w:sz w:val="24"/>
          <w:szCs w:val="24"/>
        </w:rPr>
        <w:t xml:space="preserve">597, 447 A.2d 1100 (1982), </w:t>
      </w:r>
      <w:r w:rsidRPr="00225D82">
        <w:rPr>
          <w:i/>
          <w:spacing w:val="-3"/>
          <w:sz w:val="24"/>
          <w:szCs w:val="24"/>
        </w:rPr>
        <w:t>Edan Transportation Corp. v. Pa. Public Utility Comm’n</w:t>
      </w:r>
      <w:r w:rsidR="00C54534">
        <w:rPr>
          <w:spacing w:val="-3"/>
          <w:sz w:val="24"/>
          <w:szCs w:val="24"/>
        </w:rPr>
        <w:t>, </w:t>
      </w:r>
      <w:r w:rsidRPr="00225D82">
        <w:rPr>
          <w:spacing w:val="-3"/>
          <w:sz w:val="24"/>
          <w:szCs w:val="24"/>
        </w:rPr>
        <w:t>154 Pa.Cmwlth.</w:t>
      </w:r>
      <w:proofErr w:type="gramEnd"/>
      <w:r w:rsidRPr="00225D82">
        <w:rPr>
          <w:spacing w:val="-3"/>
          <w:sz w:val="24"/>
          <w:szCs w:val="24"/>
        </w:rPr>
        <w:t xml:space="preserve"> </w:t>
      </w:r>
      <w:proofErr w:type="gramStart"/>
      <w:r w:rsidRPr="00225D82">
        <w:rPr>
          <w:spacing w:val="-3"/>
          <w:sz w:val="24"/>
          <w:szCs w:val="24"/>
        </w:rPr>
        <w:t>21, 623 A.2d 6 (1993), 2 Pa.C.S.</w:t>
      </w:r>
      <w:proofErr w:type="gramEnd"/>
      <w:r w:rsidRPr="00225D82">
        <w:rPr>
          <w:spacing w:val="-3"/>
          <w:sz w:val="24"/>
          <w:szCs w:val="24"/>
        </w:rPr>
        <w:t xml:space="preserve"> § 704.  Substantial evidence has been defined as such relevant evidence as a reasonable mind might accept as adequate to support a conclusion.  </w:t>
      </w:r>
      <w:proofErr w:type="spellStart"/>
      <w:proofErr w:type="gramStart"/>
      <w:r w:rsidRPr="00225D82">
        <w:rPr>
          <w:i/>
          <w:spacing w:val="-3"/>
          <w:sz w:val="24"/>
          <w:szCs w:val="24"/>
        </w:rPr>
        <w:t>Bethenergy</w:t>
      </w:r>
      <w:proofErr w:type="spellEnd"/>
      <w:r w:rsidRPr="00225D82">
        <w:rPr>
          <w:i/>
          <w:spacing w:val="-3"/>
          <w:sz w:val="24"/>
          <w:szCs w:val="24"/>
        </w:rPr>
        <w:t xml:space="preserve"> Mines, Inc. v. Workmen’s Compensation Appeal Bd. (</w:t>
      </w:r>
      <w:proofErr w:type="spellStart"/>
      <w:r w:rsidRPr="00225D82">
        <w:rPr>
          <w:i/>
          <w:spacing w:val="-3"/>
          <w:sz w:val="24"/>
          <w:szCs w:val="24"/>
        </w:rPr>
        <w:t>Skirpan</w:t>
      </w:r>
      <w:proofErr w:type="spellEnd"/>
      <w:r w:rsidRPr="00225D82">
        <w:rPr>
          <w:i/>
          <w:spacing w:val="-3"/>
          <w:sz w:val="24"/>
          <w:szCs w:val="24"/>
        </w:rPr>
        <w:t>)</w:t>
      </w:r>
      <w:r w:rsidR="009D4A38">
        <w:rPr>
          <w:spacing w:val="-3"/>
          <w:sz w:val="24"/>
          <w:szCs w:val="24"/>
        </w:rPr>
        <w:t>, 531 Pa. </w:t>
      </w:r>
      <w:r w:rsidRPr="00225D82">
        <w:rPr>
          <w:spacing w:val="-3"/>
          <w:sz w:val="24"/>
          <w:szCs w:val="24"/>
        </w:rPr>
        <w:t>287, 612 A.2d 434 (1992).</w:t>
      </w:r>
      <w:proofErr w:type="gramEnd"/>
      <w:r w:rsidRPr="00225D82">
        <w:rPr>
          <w:spacing w:val="-3"/>
          <w:sz w:val="24"/>
          <w:szCs w:val="24"/>
        </w:rPr>
        <w:t xml:space="preserve">  More is required than a mere trace of evidence or a suspicion of the existence of a fact sought to be established.  </w:t>
      </w:r>
      <w:proofErr w:type="gramStart"/>
      <w:r w:rsidRPr="00225D82">
        <w:rPr>
          <w:i/>
          <w:spacing w:val="-3"/>
          <w:sz w:val="24"/>
          <w:szCs w:val="24"/>
        </w:rPr>
        <w:t>Norfolk and Western Ry. v. Pa. Public Utility Comm’n</w:t>
      </w:r>
      <w:r w:rsidR="00A90218">
        <w:rPr>
          <w:spacing w:val="-3"/>
          <w:sz w:val="24"/>
          <w:szCs w:val="24"/>
        </w:rPr>
        <w:t>, </w:t>
      </w:r>
      <w:r w:rsidRPr="00225D82">
        <w:rPr>
          <w:spacing w:val="-3"/>
          <w:sz w:val="24"/>
          <w:szCs w:val="24"/>
        </w:rPr>
        <w:t xml:space="preserve">489 Pa. 109, 413 A.2d 1037 (1980); </w:t>
      </w:r>
      <w:r w:rsidRPr="00225D82">
        <w:rPr>
          <w:i/>
          <w:spacing w:val="-3"/>
          <w:sz w:val="24"/>
          <w:szCs w:val="24"/>
        </w:rPr>
        <w:t>Erie Resistor Corp. v. Unemployment Compensation Bd. of Review</w:t>
      </w:r>
      <w:r w:rsidRPr="00225D82">
        <w:rPr>
          <w:spacing w:val="-3"/>
          <w:sz w:val="24"/>
          <w:szCs w:val="24"/>
        </w:rPr>
        <w:t xml:space="preserve">, 194 </w:t>
      </w:r>
      <w:proofErr w:type="spellStart"/>
      <w:r w:rsidRPr="00225D82">
        <w:rPr>
          <w:spacing w:val="-3"/>
          <w:sz w:val="24"/>
          <w:szCs w:val="24"/>
        </w:rPr>
        <w:t>Pa.Super</w:t>
      </w:r>
      <w:proofErr w:type="spellEnd"/>
      <w:r w:rsidRPr="00225D82">
        <w:rPr>
          <w:spacing w:val="-3"/>
          <w:sz w:val="24"/>
          <w:szCs w:val="24"/>
        </w:rPr>
        <w:t>.</w:t>
      </w:r>
      <w:proofErr w:type="gramEnd"/>
      <w:r w:rsidRPr="00225D82">
        <w:rPr>
          <w:spacing w:val="-3"/>
          <w:sz w:val="24"/>
          <w:szCs w:val="24"/>
        </w:rPr>
        <w:t xml:space="preserve"> </w:t>
      </w:r>
      <w:proofErr w:type="gramStart"/>
      <w:r w:rsidRPr="00225D82">
        <w:rPr>
          <w:spacing w:val="-3"/>
          <w:sz w:val="24"/>
          <w:szCs w:val="24"/>
        </w:rPr>
        <w:t xml:space="preserve">278, 166 A.2d 96 (1960); </w:t>
      </w:r>
      <w:r w:rsidRPr="00225D82">
        <w:rPr>
          <w:i/>
          <w:spacing w:val="-3"/>
          <w:sz w:val="24"/>
          <w:szCs w:val="24"/>
        </w:rPr>
        <w:t>Murphy v. Dep’t of Public Welfare</w:t>
      </w:r>
      <w:r w:rsidRPr="00225D82">
        <w:rPr>
          <w:spacing w:val="-3"/>
          <w:sz w:val="24"/>
          <w:szCs w:val="24"/>
        </w:rPr>
        <w:t>, 85 Pa.Cmwlth.</w:t>
      </w:r>
      <w:proofErr w:type="gramEnd"/>
      <w:r w:rsidRPr="00225D82">
        <w:rPr>
          <w:spacing w:val="-3"/>
          <w:sz w:val="24"/>
          <w:szCs w:val="24"/>
        </w:rPr>
        <w:t xml:space="preserve"> </w:t>
      </w:r>
      <w:proofErr w:type="gramStart"/>
      <w:r w:rsidRPr="00225D82">
        <w:rPr>
          <w:spacing w:val="-3"/>
          <w:sz w:val="24"/>
          <w:szCs w:val="24"/>
        </w:rPr>
        <w:t>23, 480 A.2d 382 (1984).</w:t>
      </w:r>
      <w:proofErr w:type="gramEnd"/>
    </w:p>
    <w:p w:rsidR="005E5E5A" w:rsidRPr="00225D82" w:rsidRDefault="005E5E5A" w:rsidP="005E5E5A">
      <w:pPr>
        <w:tabs>
          <w:tab w:val="left" w:pos="-1440"/>
          <w:tab w:val="left" w:pos="-720"/>
        </w:tabs>
        <w:suppressAutoHyphens/>
        <w:spacing w:line="360" w:lineRule="auto"/>
        <w:ind w:firstLine="1440"/>
        <w:rPr>
          <w:spacing w:val="-3"/>
          <w:sz w:val="24"/>
          <w:szCs w:val="24"/>
        </w:rPr>
      </w:pPr>
    </w:p>
    <w:p w:rsidR="004728C1" w:rsidRPr="00225D82" w:rsidRDefault="004728C1" w:rsidP="004728C1">
      <w:pPr>
        <w:tabs>
          <w:tab w:val="left" w:pos="-1440"/>
          <w:tab w:val="left" w:pos="-720"/>
        </w:tabs>
        <w:suppressAutoHyphens/>
        <w:spacing w:line="360" w:lineRule="auto"/>
        <w:rPr>
          <w:b/>
          <w:spacing w:val="-3"/>
          <w:sz w:val="24"/>
          <w:szCs w:val="24"/>
        </w:rPr>
      </w:pPr>
      <w:r w:rsidRPr="00225D82">
        <w:rPr>
          <w:b/>
          <w:spacing w:val="-3"/>
          <w:sz w:val="24"/>
          <w:szCs w:val="24"/>
        </w:rPr>
        <w:t>High Billing Count</w:t>
      </w:r>
    </w:p>
    <w:p w:rsidR="004728C1" w:rsidRPr="00225D82" w:rsidRDefault="004728C1" w:rsidP="004728C1">
      <w:pPr>
        <w:tabs>
          <w:tab w:val="left" w:pos="-1440"/>
          <w:tab w:val="left" w:pos="-720"/>
        </w:tabs>
        <w:suppressAutoHyphens/>
        <w:spacing w:line="360" w:lineRule="auto"/>
        <w:rPr>
          <w:b/>
          <w:spacing w:val="-3"/>
          <w:sz w:val="24"/>
          <w:szCs w:val="24"/>
        </w:rPr>
      </w:pPr>
    </w:p>
    <w:p w:rsidR="005E5E5A" w:rsidRPr="00225D82" w:rsidRDefault="005E5E5A" w:rsidP="005E5E5A">
      <w:pPr>
        <w:spacing w:line="360" w:lineRule="auto"/>
        <w:ind w:firstLine="1440"/>
        <w:rPr>
          <w:sz w:val="24"/>
          <w:szCs w:val="24"/>
        </w:rPr>
      </w:pPr>
      <w:r w:rsidRPr="00225D82">
        <w:rPr>
          <w:sz w:val="24"/>
          <w:szCs w:val="24"/>
        </w:rPr>
        <w:t xml:space="preserve">The burden of proof for “high bill” complaints has been explained in </w:t>
      </w:r>
      <w:r w:rsidRPr="00225D82">
        <w:rPr>
          <w:i/>
          <w:sz w:val="24"/>
          <w:szCs w:val="24"/>
        </w:rPr>
        <w:t>Waldron v. Philadelphia Electric Company</w:t>
      </w:r>
      <w:r w:rsidR="00DA57C6">
        <w:rPr>
          <w:sz w:val="24"/>
          <w:szCs w:val="24"/>
        </w:rPr>
        <w:t>, 54 Pa. PUC</w:t>
      </w:r>
      <w:r w:rsidRPr="00225D82">
        <w:rPr>
          <w:sz w:val="24"/>
          <w:szCs w:val="24"/>
        </w:rPr>
        <w:t xml:space="preserve"> 98 (1980), and its progeny.  In </w:t>
      </w:r>
      <w:r w:rsidRPr="00225D82">
        <w:rPr>
          <w:i/>
          <w:sz w:val="24"/>
          <w:szCs w:val="24"/>
        </w:rPr>
        <w:t>Waldron</w:t>
      </w:r>
      <w:r w:rsidRPr="00225D82">
        <w:rPr>
          <w:sz w:val="24"/>
          <w:szCs w:val="24"/>
        </w:rPr>
        <w:t xml:space="preserve">, the Commission adopted the Michigan Public Service Commission’s (PSC’s) policy annunciated in </w:t>
      </w:r>
      <w:proofErr w:type="spellStart"/>
      <w:r w:rsidRPr="00225D82">
        <w:rPr>
          <w:i/>
          <w:sz w:val="24"/>
          <w:szCs w:val="24"/>
        </w:rPr>
        <w:t>Hallifax</w:t>
      </w:r>
      <w:proofErr w:type="spellEnd"/>
      <w:r w:rsidRPr="00225D82">
        <w:rPr>
          <w:i/>
          <w:sz w:val="24"/>
          <w:szCs w:val="24"/>
        </w:rPr>
        <w:t xml:space="preserve"> v. O &amp; </w:t>
      </w:r>
      <w:proofErr w:type="gramStart"/>
      <w:r w:rsidRPr="00225D82">
        <w:rPr>
          <w:i/>
          <w:sz w:val="24"/>
          <w:szCs w:val="24"/>
        </w:rPr>
        <w:t>A</w:t>
      </w:r>
      <w:proofErr w:type="gramEnd"/>
      <w:r w:rsidRPr="00225D82">
        <w:rPr>
          <w:i/>
          <w:sz w:val="24"/>
          <w:szCs w:val="24"/>
        </w:rPr>
        <w:t xml:space="preserve"> Electric Co-Op</w:t>
      </w:r>
      <w:r w:rsidRPr="00225D82">
        <w:rPr>
          <w:sz w:val="24"/>
          <w:szCs w:val="24"/>
        </w:rPr>
        <w:t xml:space="preserve">, Case No. </w:t>
      </w:r>
      <w:proofErr w:type="gramStart"/>
      <w:r w:rsidRPr="00225D82">
        <w:rPr>
          <w:sz w:val="24"/>
          <w:szCs w:val="24"/>
        </w:rPr>
        <w:t>U-5825, May 1979, which stated that, while the accuracy of the meter is an important factor in resolving billing disputes, it is not the sole criterion.</w:t>
      </w:r>
      <w:proofErr w:type="gramEnd"/>
      <w:r w:rsidRPr="00225D82">
        <w:rPr>
          <w:sz w:val="24"/>
          <w:szCs w:val="24"/>
        </w:rPr>
        <w:t xml:space="preserve">  The Commission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rsidRPr="00225D82" w:rsidDel="000555B3">
        <w:rPr>
          <w:rFonts w:eastAsiaTheme="minorEastAsia"/>
          <w:sz w:val="24"/>
          <w:szCs w:val="24"/>
          <w:vertAlign w:val="superscript"/>
        </w:rPr>
        <w:t xml:space="preserve"> </w:t>
      </w:r>
      <w:r w:rsidRPr="00225D82">
        <w:rPr>
          <w:sz w:val="24"/>
          <w:szCs w:val="24"/>
        </w:rPr>
        <w:t xml:space="preserve">  </w:t>
      </w:r>
      <w:proofErr w:type="gramStart"/>
      <w:r w:rsidRPr="00225D82">
        <w:rPr>
          <w:i/>
          <w:sz w:val="24"/>
          <w:szCs w:val="24"/>
        </w:rPr>
        <w:t>Waldron</w:t>
      </w:r>
      <w:r w:rsidRPr="00225D82">
        <w:rPr>
          <w:sz w:val="24"/>
          <w:szCs w:val="24"/>
        </w:rPr>
        <w:t xml:space="preserve"> at 100.</w:t>
      </w:r>
      <w:proofErr w:type="gramEnd"/>
    </w:p>
    <w:p w:rsidR="005E5E5A" w:rsidRPr="00225D82" w:rsidRDefault="005E5E5A" w:rsidP="005E5E5A">
      <w:pPr>
        <w:spacing w:line="360" w:lineRule="auto"/>
        <w:ind w:firstLine="1440"/>
        <w:rPr>
          <w:sz w:val="24"/>
          <w:szCs w:val="24"/>
        </w:rPr>
      </w:pPr>
    </w:p>
    <w:p w:rsidR="005E5E5A" w:rsidRPr="00225D82" w:rsidRDefault="005E5E5A" w:rsidP="005E5E5A">
      <w:pPr>
        <w:spacing w:line="360" w:lineRule="auto"/>
        <w:ind w:firstLine="1440"/>
        <w:rPr>
          <w:sz w:val="24"/>
          <w:szCs w:val="24"/>
        </w:rPr>
      </w:pPr>
      <w:r w:rsidRPr="00225D82">
        <w:rPr>
          <w:color w:val="000000"/>
          <w:sz w:val="24"/>
          <w:szCs w:val="24"/>
        </w:rPr>
        <w:t xml:space="preserve">The Commission's holding in </w:t>
      </w:r>
      <w:proofErr w:type="spellStart"/>
      <w:r w:rsidRPr="00225D82">
        <w:rPr>
          <w:i/>
          <w:color w:val="000000"/>
          <w:sz w:val="24"/>
          <w:szCs w:val="24"/>
        </w:rPr>
        <w:t>Charisse</w:t>
      </w:r>
      <w:proofErr w:type="spellEnd"/>
      <w:r w:rsidRPr="00225D82">
        <w:rPr>
          <w:i/>
          <w:color w:val="000000"/>
          <w:sz w:val="24"/>
          <w:szCs w:val="24"/>
        </w:rPr>
        <w:t xml:space="preserve"> Bennett v. Peoples Natural Gas Co.</w:t>
      </w:r>
      <w:r w:rsidRPr="00225D82">
        <w:rPr>
          <w:color w:val="000000"/>
          <w:sz w:val="24"/>
          <w:szCs w:val="24"/>
        </w:rPr>
        <w:t xml:space="preserve">, Docket No. C-2009-2122979 (Order entered October 13, 2010), provides that the </w:t>
      </w:r>
      <w:r w:rsidRPr="00225D82">
        <w:rPr>
          <w:i/>
          <w:color w:val="000000"/>
          <w:sz w:val="24"/>
          <w:szCs w:val="24"/>
        </w:rPr>
        <w:t xml:space="preserve">Waldron </w:t>
      </w:r>
      <w:r w:rsidRPr="00225D82">
        <w:rPr>
          <w:color w:val="000000"/>
          <w:sz w:val="24"/>
          <w:szCs w:val="24"/>
        </w:rPr>
        <w:t xml:space="preserve">Rule </w:t>
      </w:r>
      <w:r w:rsidRPr="00225D82">
        <w:rPr>
          <w:color w:val="000000"/>
          <w:sz w:val="24"/>
          <w:szCs w:val="24"/>
        </w:rPr>
        <w:lastRenderedPageBreak/>
        <w:t xml:space="preserve">allows a complainant to establish a </w:t>
      </w:r>
      <w:r w:rsidRPr="00225D82">
        <w:rPr>
          <w:i/>
          <w:color w:val="000000"/>
          <w:sz w:val="24"/>
          <w:szCs w:val="24"/>
        </w:rPr>
        <w:t xml:space="preserve">prima facie </w:t>
      </w:r>
      <w:r w:rsidRPr="00225D82">
        <w:rPr>
          <w:color w:val="000000"/>
          <w:sz w:val="24"/>
          <w:szCs w:val="24"/>
        </w:rPr>
        <w:t xml:space="preserve">case in a “high bill” complaint by showing that the disputed bill is abnormally high when compared to prior usage patterns and his or her pattern of usage has not changed </w:t>
      </w:r>
      <w:r w:rsidRPr="00225D82">
        <w:rPr>
          <w:i/>
          <w:color w:val="000000"/>
          <w:sz w:val="24"/>
          <w:szCs w:val="24"/>
        </w:rPr>
        <w:t>or</w:t>
      </w:r>
      <w:r w:rsidR="005B4CB5">
        <w:rPr>
          <w:color w:val="000000"/>
          <w:sz w:val="24"/>
          <w:szCs w:val="24"/>
        </w:rPr>
        <w:t xml:space="preserve"> </w:t>
      </w:r>
      <w:r w:rsidRPr="00225D82">
        <w:rPr>
          <w:i/>
          <w:color w:val="000000"/>
          <w:sz w:val="24"/>
          <w:szCs w:val="24"/>
        </w:rPr>
        <w:t>by providing other rel</w:t>
      </w:r>
      <w:r w:rsidR="005B4CB5">
        <w:rPr>
          <w:i/>
          <w:color w:val="000000"/>
          <w:sz w:val="24"/>
          <w:szCs w:val="24"/>
        </w:rPr>
        <w:t xml:space="preserve">evant evidence showing that the disputed bill is </w:t>
      </w:r>
      <w:r w:rsidRPr="00225D82">
        <w:rPr>
          <w:i/>
          <w:color w:val="000000"/>
          <w:sz w:val="24"/>
          <w:szCs w:val="24"/>
        </w:rPr>
        <w:t>unreasonably high</w:t>
      </w:r>
      <w:r w:rsidRPr="00225D82">
        <w:rPr>
          <w:color w:val="000000"/>
          <w:sz w:val="24"/>
          <w:szCs w:val="24"/>
        </w:rPr>
        <w:t>.  In evaluating a “high bill” complaint,</w:t>
      </w:r>
      <w:r w:rsidRPr="00225D82">
        <w:rPr>
          <w:sz w:val="24"/>
          <w:szCs w:val="24"/>
        </w:rPr>
        <w:t xml:space="preserve"> the Commission may consider such evidence as “the billing history of the account, any change in usage patterns (such as a change in the number of occupants residing in the household or potential energy utilization), </w:t>
      </w:r>
      <w:r w:rsidRPr="00225D82">
        <w:rPr>
          <w:i/>
          <w:sz w:val="24"/>
          <w:szCs w:val="24"/>
        </w:rPr>
        <w:t>and</w:t>
      </w:r>
      <w:r w:rsidRPr="00225D82">
        <w:rPr>
          <w:b/>
          <w:i/>
          <w:sz w:val="24"/>
          <w:szCs w:val="24"/>
        </w:rPr>
        <w:t xml:space="preserve"> </w:t>
      </w:r>
      <w:r w:rsidRPr="00225D82">
        <w:rPr>
          <w:i/>
          <w:sz w:val="24"/>
          <w:szCs w:val="24"/>
        </w:rPr>
        <w:t>any other relevant facts or circumstances that come to light during the proceeding</w:t>
      </w:r>
      <w:r w:rsidRPr="00225D82">
        <w:rPr>
          <w:sz w:val="24"/>
          <w:szCs w:val="24"/>
        </w:rPr>
        <w:t xml:space="preserve">.”  </w:t>
      </w:r>
      <w:r w:rsidRPr="00225D82">
        <w:rPr>
          <w:i/>
          <w:sz w:val="24"/>
          <w:szCs w:val="24"/>
        </w:rPr>
        <w:t>Id.</w:t>
      </w:r>
      <w:r w:rsidRPr="00225D82">
        <w:rPr>
          <w:sz w:val="24"/>
          <w:szCs w:val="24"/>
        </w:rPr>
        <w:t xml:space="preserve"> at 6 (emphasis added).</w:t>
      </w:r>
    </w:p>
    <w:p w:rsidR="005E5E5A" w:rsidRPr="00225D82" w:rsidRDefault="005E5E5A" w:rsidP="005E5E5A">
      <w:pPr>
        <w:spacing w:line="360" w:lineRule="auto"/>
        <w:ind w:firstLine="720"/>
        <w:rPr>
          <w:sz w:val="24"/>
          <w:szCs w:val="24"/>
        </w:rPr>
      </w:pPr>
    </w:p>
    <w:p w:rsidR="005E5E5A" w:rsidRPr="00225D82" w:rsidRDefault="005E5E5A" w:rsidP="005E5E5A">
      <w:pPr>
        <w:spacing w:line="360" w:lineRule="auto"/>
        <w:rPr>
          <w:sz w:val="24"/>
          <w:szCs w:val="24"/>
        </w:rPr>
      </w:pPr>
      <w:r w:rsidRPr="00225D82">
        <w:rPr>
          <w:sz w:val="24"/>
          <w:szCs w:val="24"/>
        </w:rPr>
        <w:tab/>
      </w:r>
      <w:r w:rsidRPr="00225D82">
        <w:rPr>
          <w:sz w:val="24"/>
          <w:szCs w:val="24"/>
        </w:rPr>
        <w:tab/>
        <w:t xml:space="preserve">As stated in </w:t>
      </w:r>
      <w:r w:rsidRPr="00225D82">
        <w:rPr>
          <w:i/>
          <w:sz w:val="24"/>
          <w:szCs w:val="24"/>
        </w:rPr>
        <w:t>Bennett,</w:t>
      </w:r>
      <w:r w:rsidRPr="00225D82">
        <w:rPr>
          <w:sz w:val="24"/>
          <w:szCs w:val="24"/>
        </w:rPr>
        <w:t xml:space="preserve"> limiting the </w:t>
      </w:r>
      <w:r w:rsidRPr="00225D82">
        <w:rPr>
          <w:i/>
          <w:sz w:val="24"/>
          <w:szCs w:val="24"/>
        </w:rPr>
        <w:t>Waldron</w:t>
      </w:r>
      <w:r w:rsidRPr="00225D82">
        <w:rPr>
          <w:sz w:val="24"/>
          <w:szCs w:val="24"/>
        </w:rPr>
        <w:t xml:space="preserve"> Rule to the above three factors creates a situation in which a new customer is asked to produce evidence regarding prior usage that he or she does not possess.  </w:t>
      </w:r>
      <w:r w:rsidRPr="00225D82">
        <w:rPr>
          <w:i/>
          <w:sz w:val="24"/>
          <w:szCs w:val="24"/>
        </w:rPr>
        <w:t xml:space="preserve">See Bennett </w:t>
      </w:r>
      <w:r w:rsidRPr="00225D82">
        <w:rPr>
          <w:sz w:val="24"/>
          <w:szCs w:val="24"/>
        </w:rPr>
        <w:t xml:space="preserve">at 6.  This interpretation of </w:t>
      </w:r>
      <w:r w:rsidRPr="00225D82">
        <w:rPr>
          <w:i/>
          <w:sz w:val="24"/>
          <w:szCs w:val="24"/>
        </w:rPr>
        <w:t xml:space="preserve">Waldron </w:t>
      </w:r>
      <w:r w:rsidRPr="00225D82">
        <w:rPr>
          <w:sz w:val="24"/>
          <w:szCs w:val="24"/>
        </w:rPr>
        <w:t xml:space="preserve">is too narrow and would prevent a new customer from challenging a high bill.  </w:t>
      </w:r>
      <w:r w:rsidRPr="00225D82">
        <w:rPr>
          <w:i/>
          <w:sz w:val="24"/>
          <w:szCs w:val="24"/>
        </w:rPr>
        <w:t xml:space="preserve">Nehemiah B. Thomas v. PECO Energy Company, </w:t>
      </w:r>
      <w:r w:rsidRPr="00225D82">
        <w:rPr>
          <w:sz w:val="24"/>
          <w:szCs w:val="24"/>
        </w:rPr>
        <w:t>Docket No. C-2010-2187197 (Opinion and Order entered November 15, 2012).</w:t>
      </w:r>
    </w:p>
    <w:p w:rsidR="005E5E5A" w:rsidRPr="00225D82" w:rsidRDefault="005E5E5A" w:rsidP="005E5E5A">
      <w:pPr>
        <w:spacing w:line="360" w:lineRule="auto"/>
        <w:rPr>
          <w:sz w:val="24"/>
          <w:szCs w:val="24"/>
        </w:rPr>
      </w:pPr>
    </w:p>
    <w:p w:rsidR="008F5430" w:rsidRPr="00225D82" w:rsidRDefault="005E5E5A" w:rsidP="005E5E5A">
      <w:pPr>
        <w:spacing w:line="360" w:lineRule="auto"/>
        <w:rPr>
          <w:sz w:val="24"/>
          <w:szCs w:val="24"/>
        </w:rPr>
      </w:pPr>
      <w:r w:rsidRPr="00225D82">
        <w:rPr>
          <w:sz w:val="24"/>
          <w:szCs w:val="24"/>
        </w:rPr>
        <w:tab/>
      </w:r>
      <w:r w:rsidRPr="00225D82">
        <w:rPr>
          <w:sz w:val="24"/>
          <w:szCs w:val="24"/>
        </w:rPr>
        <w:tab/>
        <w:t xml:space="preserve">However, the analysis begins with the </w:t>
      </w:r>
      <w:r w:rsidRPr="00225D82">
        <w:rPr>
          <w:i/>
          <w:sz w:val="24"/>
          <w:szCs w:val="24"/>
        </w:rPr>
        <w:t xml:space="preserve">Waldron </w:t>
      </w:r>
      <w:r w:rsidRPr="00225D82">
        <w:rPr>
          <w:sz w:val="24"/>
          <w:szCs w:val="24"/>
        </w:rPr>
        <w:t xml:space="preserve">criteria. </w:t>
      </w:r>
      <w:r w:rsidR="00F9237A">
        <w:rPr>
          <w:sz w:val="24"/>
          <w:szCs w:val="24"/>
        </w:rPr>
        <w:t xml:space="preserve"> </w:t>
      </w:r>
      <w:r w:rsidRPr="00225D82">
        <w:rPr>
          <w:sz w:val="24"/>
          <w:szCs w:val="24"/>
        </w:rPr>
        <w:t xml:space="preserve">The household has no </w:t>
      </w:r>
      <w:proofErr w:type="gramStart"/>
      <w:r w:rsidRPr="00225D82">
        <w:rPr>
          <w:sz w:val="24"/>
          <w:szCs w:val="24"/>
        </w:rPr>
        <w:t>occupants</w:t>
      </w:r>
      <w:r w:rsidR="009204DC" w:rsidRPr="00225D82">
        <w:rPr>
          <w:sz w:val="24"/>
          <w:szCs w:val="24"/>
        </w:rPr>
        <w:t>,</w:t>
      </w:r>
      <w:proofErr w:type="gramEnd"/>
      <w:r w:rsidR="009204DC" w:rsidRPr="00225D82">
        <w:rPr>
          <w:sz w:val="24"/>
          <w:szCs w:val="24"/>
        </w:rPr>
        <w:t xml:space="preserve"> therefore the change in the number </w:t>
      </w:r>
      <w:r w:rsidR="008F5430" w:rsidRPr="00225D82">
        <w:rPr>
          <w:sz w:val="24"/>
          <w:szCs w:val="24"/>
        </w:rPr>
        <w:t xml:space="preserve">of occupants </w:t>
      </w:r>
      <w:r w:rsidR="009204DC" w:rsidRPr="00225D82">
        <w:rPr>
          <w:sz w:val="24"/>
          <w:szCs w:val="24"/>
        </w:rPr>
        <w:t>is not applicable.  T</w:t>
      </w:r>
      <w:r w:rsidRPr="00225D82">
        <w:rPr>
          <w:sz w:val="24"/>
          <w:szCs w:val="24"/>
        </w:rPr>
        <w:t>he potential for energy utilization includes the heater and hot water heater, as the other appliances were disconnected</w:t>
      </w:r>
      <w:r w:rsidR="009204DC" w:rsidRPr="00225D82">
        <w:rPr>
          <w:sz w:val="24"/>
          <w:szCs w:val="24"/>
        </w:rPr>
        <w:t xml:space="preserve">.  </w:t>
      </w:r>
      <w:r w:rsidR="008F5430" w:rsidRPr="00225D82">
        <w:rPr>
          <w:sz w:val="24"/>
          <w:szCs w:val="24"/>
        </w:rPr>
        <w:t>No prior usage evidence was presented, as the prior tenants are not parties to this proceeding.</w:t>
      </w:r>
    </w:p>
    <w:p w:rsidR="008F5430" w:rsidRPr="00225D82" w:rsidRDefault="008F5430" w:rsidP="005E5E5A">
      <w:pPr>
        <w:spacing w:line="360" w:lineRule="auto"/>
        <w:rPr>
          <w:sz w:val="24"/>
          <w:szCs w:val="24"/>
        </w:rPr>
      </w:pPr>
    </w:p>
    <w:p w:rsidR="00AF460B" w:rsidRDefault="00AF460B" w:rsidP="005E5E5A">
      <w:pPr>
        <w:spacing w:line="360" w:lineRule="auto"/>
        <w:rPr>
          <w:sz w:val="24"/>
          <w:szCs w:val="24"/>
        </w:rPr>
      </w:pPr>
      <w:r>
        <w:rPr>
          <w:sz w:val="24"/>
          <w:szCs w:val="24"/>
        </w:rPr>
        <w:br w:type="page"/>
      </w:r>
    </w:p>
    <w:p w:rsidR="00841152" w:rsidRPr="00225D82" w:rsidRDefault="008F5430" w:rsidP="005E5E5A">
      <w:pPr>
        <w:spacing w:line="360" w:lineRule="auto"/>
        <w:rPr>
          <w:sz w:val="24"/>
          <w:szCs w:val="24"/>
        </w:rPr>
      </w:pPr>
      <w:r w:rsidRPr="00225D82">
        <w:rPr>
          <w:sz w:val="24"/>
          <w:szCs w:val="24"/>
        </w:rPr>
        <w:lastRenderedPageBreak/>
        <w:tab/>
      </w:r>
      <w:r w:rsidRPr="00225D82">
        <w:rPr>
          <w:sz w:val="24"/>
          <w:szCs w:val="24"/>
        </w:rPr>
        <w:tab/>
      </w:r>
      <w:r w:rsidR="009204DC" w:rsidRPr="00225D82">
        <w:rPr>
          <w:sz w:val="24"/>
          <w:szCs w:val="24"/>
        </w:rPr>
        <w:t>Evidence indicates that the account was activated on January 17, 2013, and the billing was as follows:</w:t>
      </w:r>
    </w:p>
    <w:p w:rsidR="009204DC" w:rsidRPr="00225D82" w:rsidRDefault="009204DC" w:rsidP="005E5E5A">
      <w:pPr>
        <w:spacing w:line="360" w:lineRule="auto"/>
        <w:rPr>
          <w:sz w:val="24"/>
          <w:szCs w:val="24"/>
        </w:rPr>
      </w:pPr>
    </w:p>
    <w:p w:rsidR="006B210B" w:rsidRPr="00225D82" w:rsidRDefault="006B210B" w:rsidP="005E5E5A">
      <w:pPr>
        <w:spacing w:line="360" w:lineRule="auto"/>
        <w:rPr>
          <w:b/>
          <w:sz w:val="24"/>
          <w:szCs w:val="24"/>
        </w:rPr>
      </w:pPr>
      <w:r w:rsidRPr="00225D82">
        <w:rPr>
          <w:b/>
          <w:sz w:val="24"/>
          <w:szCs w:val="24"/>
        </w:rPr>
        <w:t>Bill issued</w:t>
      </w:r>
      <w:r w:rsidRPr="00225D82">
        <w:rPr>
          <w:b/>
          <w:sz w:val="24"/>
          <w:szCs w:val="24"/>
        </w:rPr>
        <w:tab/>
        <w:t>cycle days</w:t>
      </w:r>
      <w:r w:rsidR="00BD442E" w:rsidRPr="00225D82">
        <w:rPr>
          <w:b/>
          <w:sz w:val="24"/>
          <w:szCs w:val="24"/>
        </w:rPr>
        <w:tab/>
        <w:t>CCF</w:t>
      </w:r>
      <w:r w:rsidRPr="00225D82">
        <w:rPr>
          <w:b/>
          <w:sz w:val="24"/>
          <w:szCs w:val="24"/>
        </w:rPr>
        <w:tab/>
        <w:t>amount</w:t>
      </w:r>
      <w:r w:rsidRPr="00225D82">
        <w:rPr>
          <w:b/>
          <w:sz w:val="24"/>
          <w:szCs w:val="24"/>
        </w:rPr>
        <w:tab/>
        <w:t>paid</w:t>
      </w:r>
      <w:r w:rsidRPr="00225D82">
        <w:rPr>
          <w:b/>
          <w:sz w:val="24"/>
          <w:szCs w:val="24"/>
        </w:rPr>
        <w:tab/>
      </w:r>
      <w:r w:rsidRPr="00225D82">
        <w:rPr>
          <w:b/>
          <w:sz w:val="24"/>
          <w:szCs w:val="24"/>
        </w:rPr>
        <w:tab/>
        <w:t>arrearage</w:t>
      </w:r>
      <w:r w:rsidRPr="00225D82">
        <w:rPr>
          <w:b/>
          <w:sz w:val="24"/>
          <w:szCs w:val="24"/>
        </w:rPr>
        <w:tab/>
      </w:r>
    </w:p>
    <w:p w:rsidR="006B210B" w:rsidRPr="00225D82" w:rsidRDefault="006B210B" w:rsidP="005E5E5A">
      <w:pPr>
        <w:spacing w:line="360" w:lineRule="auto"/>
        <w:rPr>
          <w:sz w:val="24"/>
          <w:szCs w:val="24"/>
        </w:rPr>
      </w:pPr>
      <w:r w:rsidRPr="00225D82">
        <w:rPr>
          <w:sz w:val="24"/>
          <w:szCs w:val="24"/>
        </w:rPr>
        <w:t>2/23/13</w:t>
      </w:r>
      <w:r w:rsidRPr="00225D82">
        <w:rPr>
          <w:sz w:val="24"/>
          <w:szCs w:val="24"/>
        </w:rPr>
        <w:tab/>
        <w:t xml:space="preserve">   29</w:t>
      </w:r>
      <w:r w:rsidRPr="00225D82">
        <w:rPr>
          <w:sz w:val="24"/>
          <w:szCs w:val="24"/>
        </w:rPr>
        <w:tab/>
      </w:r>
      <w:r w:rsidRPr="00225D82">
        <w:rPr>
          <w:sz w:val="24"/>
          <w:szCs w:val="24"/>
        </w:rPr>
        <w:tab/>
      </w:r>
      <w:r w:rsidR="00841152" w:rsidRPr="00225D82">
        <w:rPr>
          <w:sz w:val="24"/>
          <w:szCs w:val="24"/>
        </w:rPr>
        <w:t>211</w:t>
      </w:r>
      <w:r w:rsidR="00BD442E" w:rsidRPr="00225D82">
        <w:rPr>
          <w:sz w:val="24"/>
          <w:szCs w:val="24"/>
        </w:rPr>
        <w:tab/>
      </w:r>
      <w:r w:rsidRPr="00225D82">
        <w:rPr>
          <w:b/>
          <w:sz w:val="24"/>
          <w:szCs w:val="24"/>
        </w:rPr>
        <w:t>$319.94</w:t>
      </w:r>
      <w:r w:rsidRPr="00225D82">
        <w:rPr>
          <w:sz w:val="24"/>
          <w:szCs w:val="24"/>
        </w:rPr>
        <w:tab/>
        <w:t>0</w:t>
      </w:r>
      <w:r w:rsidRPr="00225D82">
        <w:rPr>
          <w:sz w:val="24"/>
          <w:szCs w:val="24"/>
        </w:rPr>
        <w:tab/>
      </w:r>
      <w:r w:rsidRPr="00225D82">
        <w:rPr>
          <w:sz w:val="24"/>
          <w:szCs w:val="24"/>
        </w:rPr>
        <w:tab/>
        <w:t>$319.94</w:t>
      </w:r>
    </w:p>
    <w:p w:rsidR="006B210B" w:rsidRPr="00225D82" w:rsidRDefault="006B210B" w:rsidP="005E5E5A">
      <w:pPr>
        <w:spacing w:line="360" w:lineRule="auto"/>
        <w:rPr>
          <w:sz w:val="24"/>
          <w:szCs w:val="24"/>
        </w:rPr>
      </w:pPr>
      <w:r w:rsidRPr="00225D82">
        <w:rPr>
          <w:sz w:val="24"/>
          <w:szCs w:val="24"/>
        </w:rPr>
        <w:t>3/23/13</w:t>
      </w:r>
      <w:r w:rsidRPr="00225D82">
        <w:rPr>
          <w:sz w:val="24"/>
          <w:szCs w:val="24"/>
        </w:rPr>
        <w:tab/>
        <w:t xml:space="preserve">   28</w:t>
      </w:r>
      <w:r w:rsidRPr="00225D82">
        <w:rPr>
          <w:sz w:val="24"/>
          <w:szCs w:val="24"/>
        </w:rPr>
        <w:tab/>
      </w:r>
      <w:r w:rsidRPr="00225D82">
        <w:rPr>
          <w:sz w:val="24"/>
          <w:szCs w:val="24"/>
        </w:rPr>
        <w:tab/>
      </w:r>
      <w:r w:rsidR="00BD442E" w:rsidRPr="00225D82">
        <w:rPr>
          <w:sz w:val="24"/>
          <w:szCs w:val="24"/>
        </w:rPr>
        <w:t>150</w:t>
      </w:r>
      <w:r w:rsidR="00BD442E" w:rsidRPr="00225D82">
        <w:rPr>
          <w:sz w:val="24"/>
          <w:szCs w:val="24"/>
        </w:rPr>
        <w:tab/>
      </w:r>
      <w:r w:rsidRPr="00225D82">
        <w:rPr>
          <w:b/>
          <w:sz w:val="24"/>
          <w:szCs w:val="24"/>
        </w:rPr>
        <w:t>$239.79</w:t>
      </w:r>
      <w:r w:rsidRPr="00225D82">
        <w:rPr>
          <w:sz w:val="24"/>
          <w:szCs w:val="24"/>
        </w:rPr>
        <w:tab/>
        <w:t>0</w:t>
      </w:r>
      <w:r w:rsidRPr="00225D82">
        <w:rPr>
          <w:sz w:val="24"/>
          <w:szCs w:val="24"/>
        </w:rPr>
        <w:tab/>
      </w:r>
      <w:r w:rsidRPr="00225D82">
        <w:rPr>
          <w:sz w:val="24"/>
          <w:szCs w:val="24"/>
        </w:rPr>
        <w:tab/>
        <w:t>$559.73</w:t>
      </w:r>
      <w:r w:rsidRPr="00225D82">
        <w:rPr>
          <w:sz w:val="24"/>
          <w:szCs w:val="24"/>
        </w:rPr>
        <w:tab/>
      </w:r>
    </w:p>
    <w:p w:rsidR="006B210B" w:rsidRPr="00225D82" w:rsidRDefault="006B210B" w:rsidP="005E5E5A">
      <w:pPr>
        <w:spacing w:line="360" w:lineRule="auto"/>
        <w:rPr>
          <w:sz w:val="24"/>
          <w:szCs w:val="24"/>
        </w:rPr>
      </w:pPr>
      <w:r w:rsidRPr="00225D82">
        <w:rPr>
          <w:sz w:val="24"/>
          <w:szCs w:val="24"/>
        </w:rPr>
        <w:t>4/23/13</w:t>
      </w:r>
      <w:r w:rsidRPr="00225D82">
        <w:rPr>
          <w:sz w:val="24"/>
          <w:szCs w:val="24"/>
        </w:rPr>
        <w:tab/>
        <w:t xml:space="preserve">   29</w:t>
      </w:r>
      <w:r w:rsidRPr="00225D82">
        <w:rPr>
          <w:sz w:val="24"/>
          <w:szCs w:val="24"/>
        </w:rPr>
        <w:tab/>
      </w:r>
      <w:r w:rsidRPr="00225D82">
        <w:rPr>
          <w:sz w:val="24"/>
          <w:szCs w:val="24"/>
        </w:rPr>
        <w:tab/>
      </w:r>
      <w:r w:rsidR="00BD442E" w:rsidRPr="00225D82">
        <w:rPr>
          <w:sz w:val="24"/>
          <w:szCs w:val="24"/>
        </w:rPr>
        <w:t>57</w:t>
      </w:r>
      <w:r w:rsidR="00BD442E" w:rsidRPr="00225D82">
        <w:rPr>
          <w:sz w:val="24"/>
          <w:szCs w:val="24"/>
        </w:rPr>
        <w:tab/>
      </w:r>
      <w:r w:rsidRPr="00225D82">
        <w:rPr>
          <w:b/>
          <w:sz w:val="24"/>
          <w:szCs w:val="24"/>
        </w:rPr>
        <w:t>$</w:t>
      </w:r>
      <w:r w:rsidR="00E04BCC" w:rsidRPr="00225D82">
        <w:rPr>
          <w:b/>
          <w:sz w:val="24"/>
          <w:szCs w:val="24"/>
        </w:rPr>
        <w:t xml:space="preserve"> </w:t>
      </w:r>
      <w:r w:rsidRPr="00225D82">
        <w:rPr>
          <w:b/>
          <w:sz w:val="24"/>
          <w:szCs w:val="24"/>
        </w:rPr>
        <w:t>99.66</w:t>
      </w:r>
      <w:r w:rsidRPr="00225D82">
        <w:rPr>
          <w:sz w:val="24"/>
          <w:szCs w:val="24"/>
        </w:rPr>
        <w:tab/>
      </w:r>
      <w:r w:rsidR="00E04BCC" w:rsidRPr="00225D82">
        <w:rPr>
          <w:sz w:val="24"/>
          <w:szCs w:val="24"/>
        </w:rPr>
        <w:t>0</w:t>
      </w:r>
      <w:r w:rsidR="00E04BCC" w:rsidRPr="00225D82">
        <w:rPr>
          <w:sz w:val="24"/>
          <w:szCs w:val="24"/>
        </w:rPr>
        <w:tab/>
      </w:r>
      <w:r w:rsidR="00E04BCC" w:rsidRPr="00225D82">
        <w:rPr>
          <w:sz w:val="24"/>
          <w:szCs w:val="24"/>
        </w:rPr>
        <w:tab/>
        <w:t>$667.78</w:t>
      </w:r>
    </w:p>
    <w:p w:rsidR="00E04BCC" w:rsidRPr="00225D82" w:rsidRDefault="00E04BCC" w:rsidP="005E5E5A">
      <w:pPr>
        <w:spacing w:line="360" w:lineRule="auto"/>
        <w:rPr>
          <w:sz w:val="24"/>
          <w:szCs w:val="24"/>
        </w:rPr>
      </w:pPr>
      <w:r w:rsidRPr="00225D82">
        <w:rPr>
          <w:sz w:val="24"/>
          <w:szCs w:val="24"/>
        </w:rPr>
        <w:t>5/21/13</w:t>
      </w:r>
      <w:r w:rsidRPr="00225D82">
        <w:rPr>
          <w:sz w:val="24"/>
          <w:szCs w:val="24"/>
        </w:rPr>
        <w:tab/>
        <w:t xml:space="preserve">   31</w:t>
      </w:r>
      <w:r w:rsidRPr="00225D82">
        <w:rPr>
          <w:sz w:val="24"/>
          <w:szCs w:val="24"/>
        </w:rPr>
        <w:tab/>
      </w:r>
      <w:r w:rsidRPr="00225D82">
        <w:rPr>
          <w:sz w:val="24"/>
          <w:szCs w:val="24"/>
        </w:rPr>
        <w:tab/>
      </w:r>
      <w:r w:rsidR="00BD442E" w:rsidRPr="00225D82">
        <w:rPr>
          <w:sz w:val="24"/>
          <w:szCs w:val="24"/>
        </w:rPr>
        <w:t>14</w:t>
      </w:r>
      <w:r w:rsidR="00BD442E" w:rsidRPr="00225D82">
        <w:rPr>
          <w:sz w:val="24"/>
          <w:szCs w:val="24"/>
        </w:rPr>
        <w:tab/>
      </w:r>
      <w:r w:rsidRPr="00225D82">
        <w:rPr>
          <w:sz w:val="24"/>
          <w:szCs w:val="24"/>
        </w:rPr>
        <w:t>$ 33.53</w:t>
      </w:r>
      <w:r w:rsidRPr="00225D82">
        <w:rPr>
          <w:sz w:val="24"/>
          <w:szCs w:val="24"/>
        </w:rPr>
        <w:tab/>
        <w:t>$33.53</w:t>
      </w:r>
      <w:r w:rsidRPr="00225D82">
        <w:rPr>
          <w:sz w:val="24"/>
          <w:szCs w:val="24"/>
        </w:rPr>
        <w:tab/>
      </w:r>
      <w:r w:rsidRPr="00225D82">
        <w:rPr>
          <w:sz w:val="24"/>
          <w:szCs w:val="24"/>
        </w:rPr>
        <w:tab/>
        <w:t>$677.64</w:t>
      </w:r>
    </w:p>
    <w:p w:rsidR="00E04BCC" w:rsidRPr="00225D82" w:rsidRDefault="00E04BCC" w:rsidP="005E5E5A">
      <w:pPr>
        <w:spacing w:line="360" w:lineRule="auto"/>
        <w:rPr>
          <w:sz w:val="24"/>
          <w:szCs w:val="24"/>
        </w:rPr>
      </w:pPr>
      <w:r w:rsidRPr="00225D82">
        <w:rPr>
          <w:sz w:val="24"/>
          <w:szCs w:val="24"/>
        </w:rPr>
        <w:t>6/20/13</w:t>
      </w:r>
      <w:r w:rsidRPr="00225D82">
        <w:rPr>
          <w:sz w:val="24"/>
          <w:szCs w:val="24"/>
        </w:rPr>
        <w:tab/>
        <w:t xml:space="preserve">   30</w:t>
      </w:r>
      <w:r w:rsidRPr="00225D82">
        <w:rPr>
          <w:sz w:val="24"/>
          <w:szCs w:val="24"/>
        </w:rPr>
        <w:tab/>
      </w:r>
      <w:r w:rsidR="00BD442E" w:rsidRPr="00225D82">
        <w:rPr>
          <w:sz w:val="24"/>
          <w:szCs w:val="24"/>
        </w:rPr>
        <w:tab/>
        <w:t>4</w:t>
      </w:r>
      <w:r w:rsidR="00BD442E" w:rsidRPr="00225D82">
        <w:rPr>
          <w:sz w:val="24"/>
          <w:szCs w:val="24"/>
        </w:rPr>
        <w:tab/>
      </w:r>
      <w:r w:rsidRPr="00225D82">
        <w:rPr>
          <w:sz w:val="24"/>
          <w:szCs w:val="24"/>
        </w:rPr>
        <w:t>$ 18.05</w:t>
      </w:r>
      <w:r w:rsidRPr="00225D82">
        <w:rPr>
          <w:sz w:val="24"/>
          <w:szCs w:val="24"/>
        </w:rPr>
        <w:tab/>
        <w:t>$18.05</w:t>
      </w:r>
      <w:r w:rsidRPr="00225D82">
        <w:rPr>
          <w:sz w:val="24"/>
          <w:szCs w:val="24"/>
        </w:rPr>
        <w:tab/>
      </w:r>
      <w:r w:rsidRPr="00225D82">
        <w:rPr>
          <w:sz w:val="24"/>
          <w:szCs w:val="24"/>
        </w:rPr>
        <w:tab/>
        <w:t>$677.64</w:t>
      </w:r>
    </w:p>
    <w:p w:rsidR="00E04BCC" w:rsidRPr="00225D82" w:rsidRDefault="00E04BCC" w:rsidP="005E5E5A">
      <w:pPr>
        <w:spacing w:line="360" w:lineRule="auto"/>
        <w:rPr>
          <w:sz w:val="24"/>
          <w:szCs w:val="24"/>
        </w:rPr>
      </w:pPr>
      <w:r w:rsidRPr="00225D82">
        <w:rPr>
          <w:sz w:val="24"/>
          <w:szCs w:val="24"/>
        </w:rPr>
        <w:t>7/23/13</w:t>
      </w:r>
      <w:r w:rsidRPr="00225D82">
        <w:rPr>
          <w:sz w:val="24"/>
          <w:szCs w:val="24"/>
        </w:rPr>
        <w:tab/>
        <w:t xml:space="preserve">   30</w:t>
      </w:r>
      <w:r w:rsidRPr="00225D82">
        <w:rPr>
          <w:sz w:val="24"/>
          <w:szCs w:val="24"/>
        </w:rPr>
        <w:tab/>
      </w:r>
      <w:r w:rsidRPr="00225D82">
        <w:rPr>
          <w:sz w:val="24"/>
          <w:szCs w:val="24"/>
        </w:rPr>
        <w:tab/>
      </w:r>
      <w:r w:rsidR="00841152" w:rsidRPr="00225D82">
        <w:rPr>
          <w:sz w:val="24"/>
          <w:szCs w:val="24"/>
        </w:rPr>
        <w:t>0</w:t>
      </w:r>
      <w:r w:rsidR="00BD442E" w:rsidRPr="00225D82">
        <w:rPr>
          <w:sz w:val="24"/>
          <w:szCs w:val="24"/>
        </w:rPr>
        <w:tab/>
      </w:r>
      <w:r w:rsidRPr="00225D82">
        <w:rPr>
          <w:sz w:val="24"/>
          <w:szCs w:val="24"/>
        </w:rPr>
        <w:t>$ 13.21</w:t>
      </w:r>
      <w:r w:rsidRPr="00225D82">
        <w:rPr>
          <w:sz w:val="24"/>
          <w:szCs w:val="24"/>
        </w:rPr>
        <w:tab/>
        <w:t>$13.21</w:t>
      </w:r>
      <w:r w:rsidRPr="00225D82">
        <w:rPr>
          <w:sz w:val="24"/>
          <w:szCs w:val="24"/>
        </w:rPr>
        <w:tab/>
      </w:r>
      <w:r w:rsidRPr="00225D82">
        <w:rPr>
          <w:sz w:val="24"/>
          <w:szCs w:val="24"/>
        </w:rPr>
        <w:tab/>
        <w:t>$677.64</w:t>
      </w:r>
    </w:p>
    <w:p w:rsidR="00E04BCC" w:rsidRPr="00225D82" w:rsidRDefault="00E04BCC" w:rsidP="005E5E5A">
      <w:pPr>
        <w:spacing w:line="360" w:lineRule="auto"/>
        <w:rPr>
          <w:sz w:val="24"/>
          <w:szCs w:val="24"/>
        </w:rPr>
      </w:pPr>
      <w:r w:rsidRPr="00225D82">
        <w:rPr>
          <w:sz w:val="24"/>
          <w:szCs w:val="24"/>
        </w:rPr>
        <w:t>8/20/13</w:t>
      </w:r>
      <w:r w:rsidRPr="00225D82">
        <w:rPr>
          <w:sz w:val="24"/>
          <w:szCs w:val="24"/>
        </w:rPr>
        <w:tab/>
        <w:t xml:space="preserve">   31</w:t>
      </w:r>
      <w:r w:rsidRPr="00225D82">
        <w:rPr>
          <w:sz w:val="24"/>
          <w:szCs w:val="24"/>
        </w:rPr>
        <w:tab/>
      </w:r>
      <w:r w:rsidRPr="00225D82">
        <w:rPr>
          <w:sz w:val="24"/>
          <w:szCs w:val="24"/>
        </w:rPr>
        <w:tab/>
      </w:r>
      <w:r w:rsidR="00841152" w:rsidRPr="00225D82">
        <w:rPr>
          <w:sz w:val="24"/>
          <w:szCs w:val="24"/>
        </w:rPr>
        <w:t>0</w:t>
      </w:r>
      <w:r w:rsidR="00BD442E" w:rsidRPr="00225D82">
        <w:rPr>
          <w:sz w:val="24"/>
          <w:szCs w:val="24"/>
        </w:rPr>
        <w:tab/>
      </w:r>
      <w:r w:rsidRPr="00225D82">
        <w:rPr>
          <w:sz w:val="24"/>
          <w:szCs w:val="24"/>
        </w:rPr>
        <w:t>$ 13.35</w:t>
      </w:r>
      <w:r w:rsidRPr="00225D82">
        <w:rPr>
          <w:sz w:val="24"/>
          <w:szCs w:val="24"/>
        </w:rPr>
        <w:tab/>
        <w:t>$13.35</w:t>
      </w:r>
      <w:r w:rsidRPr="00225D82">
        <w:rPr>
          <w:sz w:val="24"/>
          <w:szCs w:val="24"/>
        </w:rPr>
        <w:tab/>
      </w:r>
      <w:r w:rsidRPr="00225D82">
        <w:rPr>
          <w:sz w:val="24"/>
          <w:szCs w:val="24"/>
        </w:rPr>
        <w:tab/>
        <w:t>$677.64</w:t>
      </w:r>
    </w:p>
    <w:p w:rsidR="00BD442E" w:rsidRPr="00225D82" w:rsidRDefault="00E04BCC" w:rsidP="005E5E5A">
      <w:pPr>
        <w:spacing w:line="360" w:lineRule="auto"/>
        <w:rPr>
          <w:sz w:val="24"/>
          <w:szCs w:val="24"/>
        </w:rPr>
      </w:pPr>
      <w:r w:rsidRPr="00225D82">
        <w:rPr>
          <w:sz w:val="24"/>
          <w:szCs w:val="24"/>
        </w:rPr>
        <w:t>9</w:t>
      </w:r>
      <w:r w:rsidR="00BD442E" w:rsidRPr="00225D82">
        <w:rPr>
          <w:sz w:val="24"/>
          <w:szCs w:val="24"/>
        </w:rPr>
        <w:t>/12/13</w:t>
      </w:r>
      <w:r w:rsidR="00BD442E" w:rsidRPr="00225D82">
        <w:rPr>
          <w:sz w:val="24"/>
          <w:szCs w:val="24"/>
        </w:rPr>
        <w:tab/>
        <w:t xml:space="preserve">   31</w:t>
      </w:r>
      <w:r w:rsidR="00BD442E" w:rsidRPr="00225D82">
        <w:rPr>
          <w:sz w:val="24"/>
          <w:szCs w:val="24"/>
        </w:rPr>
        <w:tab/>
      </w:r>
      <w:r w:rsidR="00BD442E" w:rsidRPr="00225D82">
        <w:rPr>
          <w:sz w:val="24"/>
          <w:szCs w:val="24"/>
        </w:rPr>
        <w:tab/>
      </w:r>
      <w:r w:rsidR="00841152" w:rsidRPr="00225D82">
        <w:rPr>
          <w:sz w:val="24"/>
          <w:szCs w:val="24"/>
        </w:rPr>
        <w:t>0</w:t>
      </w:r>
      <w:r w:rsidR="00BD442E" w:rsidRPr="00225D82">
        <w:rPr>
          <w:sz w:val="24"/>
          <w:szCs w:val="24"/>
        </w:rPr>
        <w:tab/>
        <w:t>$ 13.35</w:t>
      </w:r>
      <w:r w:rsidR="00BD442E" w:rsidRPr="00225D82">
        <w:rPr>
          <w:sz w:val="24"/>
          <w:szCs w:val="24"/>
        </w:rPr>
        <w:tab/>
        <w:t>$13.35</w:t>
      </w:r>
      <w:r w:rsidR="00BD442E" w:rsidRPr="00225D82">
        <w:rPr>
          <w:sz w:val="24"/>
          <w:szCs w:val="24"/>
        </w:rPr>
        <w:tab/>
      </w:r>
      <w:r w:rsidR="007E6C8C" w:rsidRPr="00225D82">
        <w:rPr>
          <w:sz w:val="24"/>
          <w:szCs w:val="24"/>
        </w:rPr>
        <w:tab/>
      </w:r>
      <w:r w:rsidR="00BD442E" w:rsidRPr="00225D82">
        <w:rPr>
          <w:sz w:val="24"/>
          <w:szCs w:val="24"/>
        </w:rPr>
        <w:t>$690.99</w:t>
      </w:r>
    </w:p>
    <w:p w:rsidR="00BD442E" w:rsidRPr="00225D82" w:rsidRDefault="00BD442E" w:rsidP="005E5E5A">
      <w:pPr>
        <w:spacing w:line="360" w:lineRule="auto"/>
        <w:rPr>
          <w:sz w:val="24"/>
          <w:szCs w:val="24"/>
        </w:rPr>
      </w:pPr>
      <w:r w:rsidRPr="00225D82">
        <w:rPr>
          <w:sz w:val="24"/>
          <w:szCs w:val="24"/>
        </w:rPr>
        <w:t>10/22/13</w:t>
      </w:r>
      <w:r w:rsidRPr="00225D82">
        <w:rPr>
          <w:sz w:val="24"/>
          <w:szCs w:val="24"/>
        </w:rPr>
        <w:tab/>
        <w:t xml:space="preserve">   29</w:t>
      </w:r>
      <w:r w:rsidRPr="00225D82">
        <w:rPr>
          <w:sz w:val="24"/>
          <w:szCs w:val="24"/>
        </w:rPr>
        <w:tab/>
      </w:r>
      <w:r w:rsidRPr="00225D82">
        <w:rPr>
          <w:sz w:val="24"/>
          <w:szCs w:val="24"/>
        </w:rPr>
        <w:tab/>
      </w:r>
      <w:r w:rsidR="00841152" w:rsidRPr="00225D82">
        <w:rPr>
          <w:sz w:val="24"/>
          <w:szCs w:val="24"/>
        </w:rPr>
        <w:t>0</w:t>
      </w:r>
      <w:r w:rsidRPr="00225D82">
        <w:rPr>
          <w:sz w:val="24"/>
          <w:szCs w:val="24"/>
        </w:rPr>
        <w:tab/>
        <w:t>$ 13.44</w:t>
      </w:r>
      <w:r w:rsidRPr="00225D82">
        <w:rPr>
          <w:sz w:val="24"/>
          <w:szCs w:val="24"/>
        </w:rPr>
        <w:tab/>
        <w:t>$13.44</w:t>
      </w:r>
      <w:r w:rsidRPr="00225D82">
        <w:rPr>
          <w:sz w:val="24"/>
          <w:szCs w:val="24"/>
        </w:rPr>
        <w:tab/>
      </w:r>
      <w:r w:rsidRPr="00225D82">
        <w:rPr>
          <w:sz w:val="24"/>
          <w:szCs w:val="24"/>
        </w:rPr>
        <w:tab/>
        <w:t>$691.08</w:t>
      </w:r>
    </w:p>
    <w:p w:rsidR="00BD442E" w:rsidRPr="00225D82" w:rsidRDefault="00BD442E" w:rsidP="005E5E5A">
      <w:pPr>
        <w:spacing w:line="360" w:lineRule="auto"/>
        <w:rPr>
          <w:sz w:val="24"/>
          <w:szCs w:val="24"/>
        </w:rPr>
      </w:pPr>
      <w:r w:rsidRPr="00225D82">
        <w:rPr>
          <w:sz w:val="24"/>
          <w:szCs w:val="24"/>
        </w:rPr>
        <w:t>11/20/13</w:t>
      </w:r>
      <w:r w:rsidRPr="00225D82">
        <w:rPr>
          <w:sz w:val="24"/>
          <w:szCs w:val="24"/>
        </w:rPr>
        <w:tab/>
        <w:t xml:space="preserve">   32</w:t>
      </w:r>
      <w:r w:rsidRPr="00225D82">
        <w:rPr>
          <w:sz w:val="24"/>
          <w:szCs w:val="24"/>
        </w:rPr>
        <w:tab/>
      </w:r>
      <w:r w:rsidRPr="00225D82">
        <w:rPr>
          <w:sz w:val="24"/>
          <w:szCs w:val="24"/>
        </w:rPr>
        <w:tab/>
        <w:t>0</w:t>
      </w:r>
      <w:r w:rsidRPr="00225D82">
        <w:rPr>
          <w:sz w:val="24"/>
          <w:szCs w:val="24"/>
        </w:rPr>
        <w:tab/>
        <w:t>$ 13.51</w:t>
      </w:r>
      <w:r w:rsidRPr="00225D82">
        <w:rPr>
          <w:sz w:val="24"/>
          <w:szCs w:val="24"/>
        </w:rPr>
        <w:tab/>
        <w:t>$13.51</w:t>
      </w:r>
      <w:r w:rsidRPr="00225D82">
        <w:rPr>
          <w:sz w:val="24"/>
          <w:szCs w:val="24"/>
        </w:rPr>
        <w:tab/>
      </w:r>
      <w:r w:rsidRPr="00225D82">
        <w:rPr>
          <w:sz w:val="24"/>
          <w:szCs w:val="24"/>
        </w:rPr>
        <w:tab/>
        <w:t>$677.64</w:t>
      </w:r>
    </w:p>
    <w:p w:rsidR="00BD442E" w:rsidRPr="00225D82" w:rsidRDefault="00BD442E" w:rsidP="005E5E5A">
      <w:pPr>
        <w:spacing w:line="360" w:lineRule="auto"/>
        <w:rPr>
          <w:sz w:val="24"/>
          <w:szCs w:val="24"/>
        </w:rPr>
      </w:pPr>
      <w:r w:rsidRPr="00225D82">
        <w:rPr>
          <w:sz w:val="24"/>
          <w:szCs w:val="24"/>
        </w:rPr>
        <w:t>12/20/13</w:t>
      </w:r>
      <w:r w:rsidRPr="00225D82">
        <w:rPr>
          <w:sz w:val="24"/>
          <w:szCs w:val="24"/>
        </w:rPr>
        <w:tab/>
        <w:t xml:space="preserve">   29</w:t>
      </w:r>
      <w:r w:rsidRPr="00225D82">
        <w:rPr>
          <w:sz w:val="24"/>
          <w:szCs w:val="24"/>
        </w:rPr>
        <w:tab/>
      </w:r>
      <w:r w:rsidRPr="00225D82">
        <w:rPr>
          <w:sz w:val="24"/>
          <w:szCs w:val="24"/>
        </w:rPr>
        <w:tab/>
        <w:t>0</w:t>
      </w:r>
      <w:r w:rsidRPr="00225D82">
        <w:rPr>
          <w:sz w:val="24"/>
          <w:szCs w:val="24"/>
        </w:rPr>
        <w:tab/>
        <w:t>$ 13.51</w:t>
      </w:r>
      <w:r w:rsidRPr="00225D82">
        <w:rPr>
          <w:sz w:val="24"/>
          <w:szCs w:val="24"/>
        </w:rPr>
        <w:tab/>
        <w:t>$13.51</w:t>
      </w:r>
      <w:r w:rsidRPr="00225D82">
        <w:rPr>
          <w:sz w:val="24"/>
          <w:szCs w:val="24"/>
        </w:rPr>
        <w:tab/>
      </w:r>
      <w:r w:rsidRPr="00225D82">
        <w:rPr>
          <w:sz w:val="24"/>
          <w:szCs w:val="24"/>
        </w:rPr>
        <w:tab/>
        <w:t>$677.64</w:t>
      </w:r>
    </w:p>
    <w:p w:rsidR="00BD442E" w:rsidRPr="00225D82" w:rsidRDefault="00BD442E" w:rsidP="005E5E5A">
      <w:pPr>
        <w:spacing w:line="360" w:lineRule="auto"/>
        <w:rPr>
          <w:sz w:val="24"/>
          <w:szCs w:val="24"/>
        </w:rPr>
      </w:pPr>
      <w:r w:rsidRPr="00225D82">
        <w:rPr>
          <w:sz w:val="24"/>
          <w:szCs w:val="24"/>
        </w:rPr>
        <w:t>1/22/14</w:t>
      </w:r>
      <w:r w:rsidRPr="00225D82">
        <w:rPr>
          <w:sz w:val="24"/>
          <w:szCs w:val="24"/>
        </w:rPr>
        <w:tab/>
        <w:t xml:space="preserve">   34</w:t>
      </w:r>
      <w:r w:rsidRPr="00225D82">
        <w:rPr>
          <w:sz w:val="24"/>
          <w:szCs w:val="24"/>
        </w:rPr>
        <w:tab/>
      </w:r>
      <w:r w:rsidRPr="00225D82">
        <w:rPr>
          <w:sz w:val="24"/>
          <w:szCs w:val="24"/>
        </w:rPr>
        <w:tab/>
        <w:t>20</w:t>
      </w:r>
      <w:r w:rsidRPr="00225D82">
        <w:rPr>
          <w:sz w:val="24"/>
          <w:szCs w:val="24"/>
        </w:rPr>
        <w:tab/>
        <w:t>$44.84</w:t>
      </w:r>
      <w:r w:rsidRPr="00225D82">
        <w:rPr>
          <w:sz w:val="24"/>
          <w:szCs w:val="24"/>
        </w:rPr>
        <w:tab/>
      </w:r>
      <w:r w:rsidRPr="00225D82">
        <w:rPr>
          <w:sz w:val="24"/>
          <w:szCs w:val="24"/>
        </w:rPr>
        <w:tab/>
        <w:t>$44.84</w:t>
      </w:r>
      <w:r w:rsidRPr="00225D82">
        <w:rPr>
          <w:sz w:val="24"/>
          <w:szCs w:val="24"/>
        </w:rPr>
        <w:tab/>
      </w:r>
      <w:r w:rsidRPr="00225D82">
        <w:rPr>
          <w:sz w:val="24"/>
          <w:szCs w:val="24"/>
        </w:rPr>
        <w:tab/>
        <w:t>$722.48</w:t>
      </w:r>
    </w:p>
    <w:p w:rsidR="007E6C8C" w:rsidRPr="00225D82" w:rsidRDefault="00BD442E" w:rsidP="005E5E5A">
      <w:pPr>
        <w:spacing w:line="360" w:lineRule="auto"/>
        <w:rPr>
          <w:sz w:val="24"/>
          <w:szCs w:val="24"/>
        </w:rPr>
      </w:pPr>
      <w:r w:rsidRPr="00225D82">
        <w:rPr>
          <w:sz w:val="24"/>
          <w:szCs w:val="24"/>
        </w:rPr>
        <w:t>2/22/14</w:t>
      </w:r>
      <w:r w:rsidRPr="00225D82">
        <w:rPr>
          <w:sz w:val="24"/>
          <w:szCs w:val="24"/>
        </w:rPr>
        <w:tab/>
        <w:t xml:space="preserve">   30</w:t>
      </w:r>
      <w:r w:rsidRPr="00225D82">
        <w:rPr>
          <w:sz w:val="24"/>
          <w:szCs w:val="24"/>
        </w:rPr>
        <w:tab/>
      </w:r>
      <w:r w:rsidRPr="00225D82">
        <w:rPr>
          <w:sz w:val="24"/>
          <w:szCs w:val="24"/>
        </w:rPr>
        <w:tab/>
        <w:t>187</w:t>
      </w:r>
      <w:r w:rsidRPr="00225D82">
        <w:rPr>
          <w:sz w:val="24"/>
          <w:szCs w:val="24"/>
        </w:rPr>
        <w:tab/>
        <w:t>$282.45</w:t>
      </w:r>
      <w:r w:rsidRPr="00225D82">
        <w:rPr>
          <w:sz w:val="24"/>
          <w:szCs w:val="24"/>
        </w:rPr>
        <w:tab/>
        <w:t>$141.54</w:t>
      </w:r>
      <w:r w:rsidRPr="00225D82">
        <w:rPr>
          <w:sz w:val="24"/>
          <w:szCs w:val="24"/>
        </w:rPr>
        <w:tab/>
        <w:t>$818.55</w:t>
      </w:r>
    </w:p>
    <w:p w:rsidR="00E04BCC" w:rsidRPr="00225D82" w:rsidRDefault="007E6C8C" w:rsidP="005E5E5A">
      <w:pPr>
        <w:spacing w:line="360" w:lineRule="auto"/>
        <w:rPr>
          <w:sz w:val="24"/>
          <w:szCs w:val="24"/>
        </w:rPr>
      </w:pPr>
      <w:r w:rsidRPr="00225D82">
        <w:rPr>
          <w:sz w:val="24"/>
          <w:szCs w:val="24"/>
        </w:rPr>
        <w:t>PGW Exhibit 4</w:t>
      </w:r>
      <w:r w:rsidR="00BD442E" w:rsidRPr="00225D82">
        <w:rPr>
          <w:sz w:val="24"/>
          <w:szCs w:val="24"/>
        </w:rPr>
        <w:tab/>
      </w:r>
      <w:r w:rsidR="00BD442E" w:rsidRPr="00225D82">
        <w:rPr>
          <w:sz w:val="24"/>
          <w:szCs w:val="24"/>
        </w:rPr>
        <w:tab/>
      </w:r>
      <w:r w:rsidR="00BD442E" w:rsidRPr="00225D82">
        <w:rPr>
          <w:sz w:val="24"/>
          <w:szCs w:val="24"/>
        </w:rPr>
        <w:tab/>
      </w:r>
      <w:r w:rsidR="00E04BCC" w:rsidRPr="00225D82">
        <w:rPr>
          <w:sz w:val="24"/>
          <w:szCs w:val="24"/>
        </w:rPr>
        <w:tab/>
      </w:r>
      <w:r w:rsidR="00E04BCC" w:rsidRPr="00225D82">
        <w:rPr>
          <w:sz w:val="24"/>
          <w:szCs w:val="24"/>
        </w:rPr>
        <w:tab/>
      </w:r>
    </w:p>
    <w:p w:rsidR="00E04BCC" w:rsidRPr="00225D82" w:rsidRDefault="00E04BCC" w:rsidP="005E5E5A">
      <w:pPr>
        <w:spacing w:line="360" w:lineRule="auto"/>
        <w:rPr>
          <w:sz w:val="24"/>
          <w:szCs w:val="24"/>
        </w:rPr>
      </w:pPr>
    </w:p>
    <w:p w:rsidR="00F733A4" w:rsidRPr="00225D82" w:rsidRDefault="007E6C8C" w:rsidP="005E5E5A">
      <w:pPr>
        <w:spacing w:line="360" w:lineRule="auto"/>
        <w:rPr>
          <w:sz w:val="24"/>
          <w:szCs w:val="24"/>
        </w:rPr>
      </w:pPr>
      <w:r w:rsidRPr="00225D82">
        <w:rPr>
          <w:sz w:val="24"/>
          <w:szCs w:val="24"/>
        </w:rPr>
        <w:tab/>
      </w:r>
      <w:r w:rsidRPr="00225D82">
        <w:rPr>
          <w:sz w:val="24"/>
          <w:szCs w:val="24"/>
        </w:rPr>
        <w:tab/>
      </w:r>
      <w:r w:rsidR="002620CD" w:rsidRPr="00225D82">
        <w:rPr>
          <w:sz w:val="24"/>
          <w:szCs w:val="24"/>
        </w:rPr>
        <w:t xml:space="preserve">Complainant's allegation that he did not use over $600 worth of gas in one month is accurate.  </w:t>
      </w:r>
      <w:r w:rsidRPr="00225D82">
        <w:rPr>
          <w:sz w:val="24"/>
          <w:szCs w:val="24"/>
        </w:rPr>
        <w:t xml:space="preserve">As the chart above illustrates, Complainant's arrearage accrued because he failed to make the payments for </w:t>
      </w:r>
      <w:r w:rsidR="004728C1" w:rsidRPr="00225D82">
        <w:rPr>
          <w:sz w:val="24"/>
          <w:szCs w:val="24"/>
        </w:rPr>
        <w:t xml:space="preserve">three </w:t>
      </w:r>
      <w:r w:rsidRPr="00225D82">
        <w:rPr>
          <w:sz w:val="24"/>
          <w:szCs w:val="24"/>
        </w:rPr>
        <w:t xml:space="preserve">winter months when he was using gas to </w:t>
      </w:r>
      <w:r w:rsidR="00AF460B">
        <w:rPr>
          <w:sz w:val="24"/>
          <w:szCs w:val="24"/>
        </w:rPr>
        <w:t xml:space="preserve">keep the pipes from freezing.  </w:t>
      </w:r>
      <w:r w:rsidR="00F733A4" w:rsidRPr="00225D82">
        <w:rPr>
          <w:sz w:val="24"/>
          <w:szCs w:val="24"/>
        </w:rPr>
        <w:t>As the chart above shows, unpaid bills add up quickly.</w:t>
      </w:r>
    </w:p>
    <w:p w:rsidR="00F733A4" w:rsidRPr="00225D82" w:rsidRDefault="00F733A4" w:rsidP="005E5E5A">
      <w:pPr>
        <w:spacing w:line="360" w:lineRule="auto"/>
        <w:rPr>
          <w:sz w:val="24"/>
          <w:szCs w:val="24"/>
        </w:rPr>
      </w:pPr>
    </w:p>
    <w:p w:rsidR="005E5E5A" w:rsidRPr="00225D82" w:rsidRDefault="00F733A4" w:rsidP="005E5E5A">
      <w:pPr>
        <w:spacing w:line="360" w:lineRule="auto"/>
        <w:rPr>
          <w:sz w:val="24"/>
          <w:szCs w:val="24"/>
        </w:rPr>
      </w:pPr>
      <w:r w:rsidRPr="00225D82">
        <w:rPr>
          <w:sz w:val="24"/>
          <w:szCs w:val="24"/>
        </w:rPr>
        <w:tab/>
      </w:r>
      <w:r w:rsidRPr="00225D82">
        <w:rPr>
          <w:sz w:val="24"/>
          <w:szCs w:val="24"/>
        </w:rPr>
        <w:tab/>
        <w:t>Complainant</w:t>
      </w:r>
      <w:r w:rsidR="007E6C8C" w:rsidRPr="00225D82">
        <w:rPr>
          <w:sz w:val="24"/>
          <w:szCs w:val="24"/>
        </w:rPr>
        <w:t xml:space="preserve"> paid the months after April</w:t>
      </w:r>
      <w:r w:rsidR="00AF460B">
        <w:rPr>
          <w:sz w:val="24"/>
          <w:szCs w:val="24"/>
        </w:rPr>
        <w:t>,</w:t>
      </w:r>
      <w:r w:rsidR="007E6C8C" w:rsidRPr="00225D82">
        <w:rPr>
          <w:sz w:val="24"/>
          <w:szCs w:val="24"/>
        </w:rPr>
        <w:t xml:space="preserve"> 2013 until th</w:t>
      </w:r>
      <w:r w:rsidR="004728C1" w:rsidRPr="00225D82">
        <w:rPr>
          <w:sz w:val="24"/>
          <w:szCs w:val="24"/>
        </w:rPr>
        <w:t>is</w:t>
      </w:r>
      <w:r w:rsidR="007E6C8C" w:rsidRPr="00225D82">
        <w:rPr>
          <w:sz w:val="24"/>
          <w:szCs w:val="24"/>
        </w:rPr>
        <w:t xml:space="preserve"> past February, when the bill again jumped to a level commensurate with the cold weather and the higher usage necessary to keep pipes from freezing.  As ascertained from his questioning of the PGW witness at the hearing, the fees for the months when there was no usage consist of a $12.00 customer service fee and a City-imposed 8% sales tax.  The</w:t>
      </w:r>
      <w:r w:rsidR="002620CD" w:rsidRPr="00225D82">
        <w:rPr>
          <w:sz w:val="24"/>
          <w:szCs w:val="24"/>
        </w:rPr>
        <w:t xml:space="preserve"> totals include</w:t>
      </w:r>
      <w:r w:rsidR="007E6C8C" w:rsidRPr="00225D82">
        <w:rPr>
          <w:sz w:val="24"/>
          <w:szCs w:val="24"/>
        </w:rPr>
        <w:t xml:space="preserve"> late charges added during those months when there was no informal or formal complaint pending before the Commission</w:t>
      </w:r>
      <w:r w:rsidR="002620CD" w:rsidRPr="00225D82">
        <w:rPr>
          <w:sz w:val="24"/>
          <w:szCs w:val="24"/>
        </w:rPr>
        <w:t xml:space="preserve"> (April and </w:t>
      </w:r>
      <w:r w:rsidR="002620CD" w:rsidRPr="00225D82">
        <w:rPr>
          <w:sz w:val="24"/>
          <w:szCs w:val="24"/>
        </w:rPr>
        <w:lastRenderedPageBreak/>
        <w:t>May</w:t>
      </w:r>
      <w:r w:rsidR="0082103B">
        <w:rPr>
          <w:sz w:val="24"/>
          <w:szCs w:val="24"/>
        </w:rPr>
        <w:t xml:space="preserve">, </w:t>
      </w:r>
      <w:r w:rsidR="002620CD" w:rsidRPr="00225D82">
        <w:rPr>
          <w:sz w:val="24"/>
          <w:szCs w:val="24"/>
        </w:rPr>
        <w:t>2013)</w:t>
      </w:r>
      <w:r w:rsidR="007E6C8C" w:rsidRPr="00225D82">
        <w:rPr>
          <w:sz w:val="24"/>
          <w:szCs w:val="24"/>
        </w:rPr>
        <w:t xml:space="preserve">.  </w:t>
      </w:r>
      <w:r w:rsidR="002620CD" w:rsidRPr="00225D82">
        <w:rPr>
          <w:sz w:val="24"/>
          <w:szCs w:val="24"/>
        </w:rPr>
        <w:t>No late charges were added for the months that a proceeding was pending before the Commission.</w:t>
      </w:r>
      <w:r w:rsidR="004728C1" w:rsidRPr="00225D82">
        <w:rPr>
          <w:sz w:val="24"/>
          <w:szCs w:val="24"/>
        </w:rPr>
        <w:t xml:space="preserve">  </w:t>
      </w:r>
      <w:r w:rsidR="004728C1" w:rsidRPr="00225D82">
        <w:rPr>
          <w:i/>
          <w:sz w:val="24"/>
          <w:szCs w:val="24"/>
        </w:rPr>
        <w:t xml:space="preserve">See </w:t>
      </w:r>
      <w:r w:rsidR="004728C1" w:rsidRPr="00225D82">
        <w:rPr>
          <w:sz w:val="24"/>
          <w:szCs w:val="24"/>
        </w:rPr>
        <w:t>PGW Exhibit 4.</w:t>
      </w:r>
    </w:p>
    <w:p w:rsidR="0024306D" w:rsidRPr="00225D82" w:rsidRDefault="0024306D" w:rsidP="005E5E5A">
      <w:pPr>
        <w:spacing w:line="360" w:lineRule="auto"/>
        <w:rPr>
          <w:sz w:val="24"/>
          <w:szCs w:val="24"/>
        </w:rPr>
      </w:pPr>
    </w:p>
    <w:p w:rsidR="0024306D" w:rsidRPr="00225D82" w:rsidRDefault="0024306D" w:rsidP="005E5E5A">
      <w:pPr>
        <w:spacing w:line="360" w:lineRule="auto"/>
        <w:rPr>
          <w:sz w:val="24"/>
          <w:szCs w:val="24"/>
        </w:rPr>
      </w:pPr>
      <w:r w:rsidRPr="00225D82">
        <w:rPr>
          <w:sz w:val="24"/>
          <w:szCs w:val="24"/>
        </w:rPr>
        <w:tab/>
      </w:r>
      <w:r w:rsidRPr="00225D82">
        <w:rPr>
          <w:sz w:val="24"/>
          <w:szCs w:val="24"/>
        </w:rPr>
        <w:tab/>
        <w:t xml:space="preserve">Complainant testified that his bill at his residence is considerably lower than the bill for the subject house, which is smaller.  </w:t>
      </w:r>
      <w:r w:rsidR="006200CF" w:rsidRPr="00225D82">
        <w:rPr>
          <w:sz w:val="24"/>
          <w:szCs w:val="24"/>
        </w:rPr>
        <w:t>No bills for the Catharine Street address were submitted for comparison purposes, but this statement</w:t>
      </w:r>
      <w:r w:rsidRPr="00225D82">
        <w:rPr>
          <w:sz w:val="24"/>
          <w:szCs w:val="24"/>
        </w:rPr>
        <w:t xml:space="preserve"> is undoubtedly true</w:t>
      </w:r>
      <w:r w:rsidR="00D103F2" w:rsidRPr="00225D82">
        <w:rPr>
          <w:sz w:val="24"/>
          <w:szCs w:val="24"/>
        </w:rPr>
        <w:t>, and Complainant's expectation of the gas bill is understandably lower than the bill received for actual usage</w:t>
      </w:r>
      <w:r w:rsidR="006200CF" w:rsidRPr="00225D82">
        <w:rPr>
          <w:sz w:val="24"/>
          <w:szCs w:val="24"/>
        </w:rPr>
        <w:t>.  T</w:t>
      </w:r>
      <w:r w:rsidRPr="00225D82">
        <w:rPr>
          <w:sz w:val="24"/>
          <w:szCs w:val="24"/>
        </w:rPr>
        <w:t>h</w:t>
      </w:r>
      <w:r w:rsidR="00D103F2" w:rsidRPr="00225D82">
        <w:rPr>
          <w:sz w:val="24"/>
          <w:szCs w:val="24"/>
        </w:rPr>
        <w:t>is is because</w:t>
      </w:r>
      <w:r w:rsidRPr="00225D82">
        <w:rPr>
          <w:sz w:val="24"/>
          <w:szCs w:val="24"/>
        </w:rPr>
        <w:t xml:space="preserve"> Complainant is </w:t>
      </w:r>
      <w:r w:rsidR="00D103F2" w:rsidRPr="00225D82">
        <w:rPr>
          <w:sz w:val="24"/>
          <w:szCs w:val="24"/>
        </w:rPr>
        <w:t xml:space="preserve">enrolled in </w:t>
      </w:r>
      <w:r w:rsidRPr="00225D82">
        <w:rPr>
          <w:sz w:val="24"/>
          <w:szCs w:val="24"/>
        </w:rPr>
        <w:t xml:space="preserve">the PGW customer assistance program, CRP, </w:t>
      </w:r>
      <w:r w:rsidR="006200CF" w:rsidRPr="00225D82">
        <w:rPr>
          <w:sz w:val="24"/>
          <w:szCs w:val="24"/>
        </w:rPr>
        <w:t>for the Catharine Street address.  CRP</w:t>
      </w:r>
      <w:r w:rsidRPr="00225D82">
        <w:rPr>
          <w:sz w:val="24"/>
          <w:szCs w:val="24"/>
        </w:rPr>
        <w:t xml:space="preserve"> customers</w:t>
      </w:r>
      <w:r w:rsidR="00C206BC">
        <w:rPr>
          <w:sz w:val="24"/>
          <w:szCs w:val="24"/>
        </w:rPr>
        <w:t xml:space="preserve"> are billed</w:t>
      </w:r>
      <w:r w:rsidRPr="00225D82">
        <w:rPr>
          <w:sz w:val="24"/>
          <w:szCs w:val="24"/>
        </w:rPr>
        <w:t xml:space="preserve"> based on a percentage of their income instead of on actual usage.  </w:t>
      </w:r>
      <w:r w:rsidR="006200CF" w:rsidRPr="00225D82">
        <w:rPr>
          <w:sz w:val="24"/>
          <w:szCs w:val="24"/>
        </w:rPr>
        <w:t>Therefore, e</w:t>
      </w:r>
      <w:r w:rsidR="008F5430" w:rsidRPr="00225D82">
        <w:rPr>
          <w:sz w:val="24"/>
          <w:szCs w:val="24"/>
        </w:rPr>
        <w:t xml:space="preserve">ven if the Complainant had presented bills for his residence, they would not have supported his claims, </w:t>
      </w:r>
      <w:r w:rsidR="00F733A4" w:rsidRPr="00225D82">
        <w:rPr>
          <w:sz w:val="24"/>
          <w:szCs w:val="24"/>
        </w:rPr>
        <w:t xml:space="preserve">as the billing </w:t>
      </w:r>
      <w:r w:rsidR="006200CF" w:rsidRPr="00225D82">
        <w:rPr>
          <w:sz w:val="24"/>
          <w:szCs w:val="24"/>
        </w:rPr>
        <w:t>for</w:t>
      </w:r>
      <w:r w:rsidR="00F733A4" w:rsidRPr="00225D82">
        <w:rPr>
          <w:sz w:val="24"/>
          <w:szCs w:val="24"/>
        </w:rPr>
        <w:t xml:space="preserve"> the Hazel Street address and </w:t>
      </w:r>
      <w:r w:rsidR="006200CF" w:rsidRPr="00225D82">
        <w:rPr>
          <w:sz w:val="24"/>
          <w:szCs w:val="24"/>
        </w:rPr>
        <w:t xml:space="preserve">for </w:t>
      </w:r>
      <w:r w:rsidR="00F733A4" w:rsidRPr="00225D82">
        <w:rPr>
          <w:sz w:val="24"/>
          <w:szCs w:val="24"/>
        </w:rPr>
        <w:t>the Catharine Street address are not comparable.</w:t>
      </w:r>
    </w:p>
    <w:p w:rsidR="004728C1" w:rsidRPr="00225D82" w:rsidRDefault="004728C1" w:rsidP="005E5E5A">
      <w:pPr>
        <w:spacing w:line="360" w:lineRule="auto"/>
        <w:rPr>
          <w:sz w:val="24"/>
          <w:szCs w:val="24"/>
        </w:rPr>
      </w:pPr>
    </w:p>
    <w:p w:rsidR="004728C1" w:rsidRPr="00225D82" w:rsidRDefault="004728C1" w:rsidP="005E5E5A">
      <w:pPr>
        <w:spacing w:line="360" w:lineRule="auto"/>
        <w:rPr>
          <w:sz w:val="24"/>
          <w:szCs w:val="24"/>
        </w:rPr>
      </w:pPr>
      <w:r w:rsidRPr="00225D82">
        <w:rPr>
          <w:sz w:val="24"/>
          <w:szCs w:val="24"/>
        </w:rPr>
        <w:tab/>
      </w:r>
      <w:r w:rsidRPr="00225D82">
        <w:rPr>
          <w:sz w:val="24"/>
          <w:szCs w:val="24"/>
        </w:rPr>
        <w:tab/>
        <w:t>When the service was reconnected in</w:t>
      </w:r>
      <w:r w:rsidR="0074777A" w:rsidRPr="00225D82">
        <w:rPr>
          <w:sz w:val="24"/>
          <w:szCs w:val="24"/>
        </w:rPr>
        <w:t xml:space="preserve"> the Hazel Street </w:t>
      </w:r>
      <w:r w:rsidR="006200CF" w:rsidRPr="00225D82">
        <w:rPr>
          <w:sz w:val="24"/>
          <w:szCs w:val="24"/>
        </w:rPr>
        <w:t>rental unit</w:t>
      </w:r>
      <w:r w:rsidR="0074777A" w:rsidRPr="00225D82">
        <w:rPr>
          <w:sz w:val="24"/>
          <w:szCs w:val="24"/>
        </w:rPr>
        <w:t xml:space="preserve"> in </w:t>
      </w:r>
      <w:r w:rsidRPr="00225D82">
        <w:rPr>
          <w:sz w:val="24"/>
          <w:szCs w:val="24"/>
        </w:rPr>
        <w:t>January</w:t>
      </w:r>
      <w:r w:rsidR="008D0068">
        <w:rPr>
          <w:sz w:val="24"/>
          <w:szCs w:val="24"/>
        </w:rPr>
        <w:t>,</w:t>
      </w:r>
      <w:r w:rsidRPr="00225D82">
        <w:rPr>
          <w:sz w:val="24"/>
          <w:szCs w:val="24"/>
        </w:rPr>
        <w:t xml:space="preserve"> 2013, a meter had to be placed there as the prior one had been removed.  In May</w:t>
      </w:r>
      <w:r w:rsidR="007960A8">
        <w:rPr>
          <w:sz w:val="24"/>
          <w:szCs w:val="24"/>
        </w:rPr>
        <w:t>,</w:t>
      </w:r>
      <w:r w:rsidRPr="00225D82">
        <w:rPr>
          <w:sz w:val="24"/>
          <w:szCs w:val="24"/>
        </w:rPr>
        <w:t xml:space="preserve"> 2013, PGW tested this meter and found it to be reporting usage within 2% accuracy.  </w:t>
      </w:r>
      <w:proofErr w:type="gramStart"/>
      <w:r w:rsidRPr="00225D82">
        <w:rPr>
          <w:sz w:val="24"/>
          <w:szCs w:val="24"/>
        </w:rPr>
        <w:t>PGW Exs.1, 2.</w:t>
      </w:r>
      <w:proofErr w:type="gramEnd"/>
      <w:r w:rsidRPr="00225D82">
        <w:rPr>
          <w:sz w:val="24"/>
          <w:szCs w:val="24"/>
        </w:rPr>
        <w:t xml:space="preserve">  </w:t>
      </w:r>
      <w:r w:rsidR="000033F3" w:rsidRPr="00225D82">
        <w:rPr>
          <w:sz w:val="24"/>
          <w:szCs w:val="24"/>
        </w:rPr>
        <w:t>PGW's own investigation indicated that the subject property is capable of using the amount of energy consumed.</w:t>
      </w:r>
    </w:p>
    <w:p w:rsidR="00696FA4" w:rsidRPr="00225D82" w:rsidRDefault="00696FA4" w:rsidP="005E5E5A">
      <w:pPr>
        <w:spacing w:line="360" w:lineRule="auto"/>
        <w:rPr>
          <w:sz w:val="24"/>
          <w:szCs w:val="24"/>
        </w:rPr>
      </w:pPr>
    </w:p>
    <w:p w:rsidR="00696FA4" w:rsidRPr="00225D82" w:rsidRDefault="00696FA4" w:rsidP="005E5E5A">
      <w:pPr>
        <w:spacing w:line="360" w:lineRule="auto"/>
        <w:rPr>
          <w:sz w:val="24"/>
          <w:szCs w:val="24"/>
        </w:rPr>
      </w:pPr>
      <w:r w:rsidRPr="00225D82">
        <w:rPr>
          <w:sz w:val="24"/>
          <w:szCs w:val="24"/>
        </w:rPr>
        <w:tab/>
      </w:r>
      <w:r w:rsidRPr="00225D82">
        <w:rPr>
          <w:sz w:val="24"/>
          <w:szCs w:val="24"/>
        </w:rPr>
        <w:tab/>
        <w:t xml:space="preserve">Complainant testified that the gas heater and water heater were on during the winter months in order to keep pipes from freezing, and the PGW statement of account shows usage only during those months.  While Complainant has expressed his disbelief that the usage can be as high as the billing indicates, Complainant has not provided </w:t>
      </w:r>
      <w:r w:rsidR="0024306D" w:rsidRPr="00225D82">
        <w:rPr>
          <w:sz w:val="24"/>
          <w:szCs w:val="24"/>
        </w:rPr>
        <w:t>sufficient</w:t>
      </w:r>
      <w:r w:rsidRPr="00225D82">
        <w:rPr>
          <w:sz w:val="24"/>
          <w:szCs w:val="24"/>
        </w:rPr>
        <w:t xml:space="preserve"> evidence to support a finding that the billing is faulty.</w:t>
      </w:r>
    </w:p>
    <w:p w:rsidR="00696FA4" w:rsidRPr="00225D82" w:rsidRDefault="00696FA4" w:rsidP="005E5E5A">
      <w:pPr>
        <w:spacing w:line="360" w:lineRule="auto"/>
        <w:rPr>
          <w:sz w:val="24"/>
          <w:szCs w:val="24"/>
        </w:rPr>
      </w:pPr>
    </w:p>
    <w:p w:rsidR="004728C1" w:rsidRPr="00225D82" w:rsidRDefault="004728C1" w:rsidP="005E5E5A">
      <w:pPr>
        <w:spacing w:line="360" w:lineRule="auto"/>
        <w:rPr>
          <w:b/>
          <w:sz w:val="24"/>
          <w:szCs w:val="24"/>
        </w:rPr>
      </w:pPr>
      <w:r w:rsidRPr="00225D82">
        <w:rPr>
          <w:b/>
          <w:sz w:val="24"/>
          <w:szCs w:val="24"/>
        </w:rPr>
        <w:t>Payment Agreement</w:t>
      </w:r>
    </w:p>
    <w:p w:rsidR="0082478D" w:rsidRPr="00225D82" w:rsidRDefault="0082478D" w:rsidP="005E5E5A">
      <w:pPr>
        <w:spacing w:line="360" w:lineRule="auto"/>
        <w:rPr>
          <w:b/>
          <w:sz w:val="24"/>
          <w:szCs w:val="24"/>
        </w:rPr>
      </w:pPr>
    </w:p>
    <w:p w:rsidR="00D103F2" w:rsidRPr="00225D82" w:rsidRDefault="0082478D" w:rsidP="005E5E5A">
      <w:pPr>
        <w:spacing w:line="360" w:lineRule="auto"/>
        <w:rPr>
          <w:sz w:val="24"/>
          <w:szCs w:val="24"/>
        </w:rPr>
      </w:pPr>
      <w:r w:rsidRPr="00225D82">
        <w:rPr>
          <w:b/>
          <w:sz w:val="24"/>
          <w:szCs w:val="24"/>
        </w:rPr>
        <w:tab/>
      </w:r>
      <w:r w:rsidRPr="00225D82">
        <w:rPr>
          <w:b/>
          <w:sz w:val="24"/>
          <w:szCs w:val="24"/>
        </w:rPr>
        <w:tab/>
      </w:r>
      <w:r w:rsidRPr="00225D82">
        <w:rPr>
          <w:sz w:val="24"/>
          <w:szCs w:val="24"/>
        </w:rPr>
        <w:t xml:space="preserve">Complainant did not indicate on the Complaint that he wanted a payment agreement for the arrearage.  </w:t>
      </w:r>
      <w:r w:rsidR="00D103F2" w:rsidRPr="00225D82">
        <w:rPr>
          <w:sz w:val="24"/>
          <w:szCs w:val="24"/>
        </w:rPr>
        <w:t xml:space="preserve">He did express his outrage that the utility would offer him a payment agreement that would result in his overpayment of the amount due, which indicated an interest in his entering into a reasonable payment agreement for the outstanding arrearage.  </w:t>
      </w:r>
      <w:r w:rsidR="00D103F2" w:rsidRPr="00225D82">
        <w:rPr>
          <w:sz w:val="24"/>
          <w:szCs w:val="24"/>
        </w:rPr>
        <w:lastRenderedPageBreak/>
        <w:t xml:space="preserve">Accordingly, this Initial Decision gives the Complainant the opportunity to enter into a payment agreement if he chooses.  He is free to decline, at which time the entire arrearage is billable.  Should he decline, this does not count as the one payment agreement to which he is entitled under Chapter 14.  </w:t>
      </w:r>
      <w:proofErr w:type="gramStart"/>
      <w:r w:rsidR="00D103F2" w:rsidRPr="00225D82">
        <w:rPr>
          <w:sz w:val="24"/>
          <w:szCs w:val="24"/>
        </w:rPr>
        <w:t>66 Pa.C.S.</w:t>
      </w:r>
      <w:proofErr w:type="gramEnd"/>
      <w:r w:rsidR="00D103F2" w:rsidRPr="00225D82">
        <w:rPr>
          <w:sz w:val="24"/>
          <w:szCs w:val="24"/>
        </w:rPr>
        <w:t xml:space="preserve"> § 1405.</w:t>
      </w:r>
    </w:p>
    <w:p w:rsidR="00D103F2" w:rsidRPr="00225D82" w:rsidRDefault="00D103F2" w:rsidP="005E5E5A">
      <w:pPr>
        <w:spacing w:line="360" w:lineRule="auto"/>
        <w:rPr>
          <w:sz w:val="24"/>
          <w:szCs w:val="24"/>
        </w:rPr>
      </w:pPr>
    </w:p>
    <w:p w:rsidR="0082478D" w:rsidRPr="00225D82" w:rsidRDefault="00D103F2" w:rsidP="005E5E5A">
      <w:pPr>
        <w:spacing w:line="360" w:lineRule="auto"/>
        <w:rPr>
          <w:sz w:val="24"/>
          <w:szCs w:val="24"/>
        </w:rPr>
      </w:pPr>
      <w:r w:rsidRPr="00225D82">
        <w:rPr>
          <w:sz w:val="24"/>
          <w:szCs w:val="24"/>
        </w:rPr>
        <w:tab/>
      </w:r>
      <w:r w:rsidRPr="00225D82">
        <w:rPr>
          <w:sz w:val="24"/>
          <w:szCs w:val="24"/>
        </w:rPr>
        <w:tab/>
      </w:r>
      <w:r w:rsidR="0082478D" w:rsidRPr="00225D82">
        <w:rPr>
          <w:sz w:val="24"/>
          <w:szCs w:val="24"/>
        </w:rPr>
        <w:t xml:space="preserve">PGW testified that the BCS informal decision in Docket No. 3107795, issued October </w:t>
      </w:r>
      <w:r w:rsidR="00805D96">
        <w:rPr>
          <w:sz w:val="24"/>
          <w:szCs w:val="24"/>
        </w:rPr>
        <w:t>2</w:t>
      </w:r>
      <w:r w:rsidR="0082478D" w:rsidRPr="00225D82">
        <w:rPr>
          <w:sz w:val="24"/>
          <w:szCs w:val="24"/>
        </w:rPr>
        <w:t xml:space="preserve">, 2013, </w:t>
      </w:r>
      <w:r w:rsidR="00805D96">
        <w:rPr>
          <w:sz w:val="24"/>
          <w:szCs w:val="24"/>
        </w:rPr>
        <w:t xml:space="preserve">reflects </w:t>
      </w:r>
      <w:r w:rsidR="0082478D" w:rsidRPr="00225D82">
        <w:rPr>
          <w:sz w:val="24"/>
          <w:szCs w:val="24"/>
        </w:rPr>
        <w:t>Complainant</w:t>
      </w:r>
      <w:r w:rsidR="00805D96">
        <w:rPr>
          <w:sz w:val="24"/>
          <w:szCs w:val="24"/>
        </w:rPr>
        <w:t>'s income as</w:t>
      </w:r>
      <w:r w:rsidR="0082478D" w:rsidRPr="00225D82">
        <w:rPr>
          <w:sz w:val="24"/>
          <w:szCs w:val="24"/>
        </w:rPr>
        <w:t xml:space="preserve"> $972 for a household of one, and that PGW would enter a payment agreement</w:t>
      </w:r>
      <w:r w:rsidR="00093D93" w:rsidRPr="00225D82">
        <w:rPr>
          <w:sz w:val="24"/>
          <w:szCs w:val="24"/>
        </w:rPr>
        <w:t xml:space="preserve"> which would permit Complainant to pay the arrearage over a period of time</w:t>
      </w:r>
      <w:r w:rsidR="0082478D" w:rsidRPr="00225D82">
        <w:rPr>
          <w:sz w:val="24"/>
          <w:szCs w:val="24"/>
        </w:rPr>
        <w:t>.</w:t>
      </w:r>
      <w:r w:rsidR="0024306D" w:rsidRPr="00225D82">
        <w:rPr>
          <w:sz w:val="24"/>
          <w:szCs w:val="24"/>
        </w:rPr>
        <w:t xml:space="preserve">  </w:t>
      </w:r>
      <w:r w:rsidR="00DD3202" w:rsidRPr="00225D82">
        <w:rPr>
          <w:sz w:val="24"/>
          <w:szCs w:val="24"/>
        </w:rPr>
        <w:t>PGW Ex. 5.</w:t>
      </w:r>
    </w:p>
    <w:p w:rsidR="0082478D" w:rsidRPr="00225D82" w:rsidRDefault="0082478D" w:rsidP="005E5E5A">
      <w:pPr>
        <w:spacing w:line="360" w:lineRule="auto"/>
        <w:rPr>
          <w:sz w:val="24"/>
          <w:szCs w:val="24"/>
        </w:rPr>
      </w:pPr>
    </w:p>
    <w:p w:rsidR="00615A0E" w:rsidRPr="00225D82" w:rsidRDefault="0082478D" w:rsidP="005E5E5A">
      <w:pPr>
        <w:spacing w:line="360" w:lineRule="auto"/>
        <w:rPr>
          <w:sz w:val="24"/>
          <w:szCs w:val="24"/>
        </w:rPr>
      </w:pPr>
      <w:r w:rsidRPr="00225D82">
        <w:rPr>
          <w:sz w:val="24"/>
          <w:szCs w:val="24"/>
        </w:rPr>
        <w:tab/>
      </w:r>
      <w:r w:rsidRPr="00225D82">
        <w:rPr>
          <w:sz w:val="24"/>
          <w:szCs w:val="24"/>
        </w:rPr>
        <w:tab/>
        <w:t xml:space="preserve">The Commission's ability to order payment agreements between public utilities and their customers </w:t>
      </w:r>
      <w:r w:rsidR="00DD3202" w:rsidRPr="00225D82">
        <w:rPr>
          <w:sz w:val="24"/>
          <w:szCs w:val="24"/>
        </w:rPr>
        <w:t>is</w:t>
      </w:r>
      <w:r w:rsidRPr="00225D82">
        <w:rPr>
          <w:sz w:val="24"/>
          <w:szCs w:val="24"/>
        </w:rPr>
        <w:t xml:space="preserve"> governed by Chapter 14 of the Public Utility Code.  </w:t>
      </w:r>
      <w:proofErr w:type="gramStart"/>
      <w:r w:rsidRPr="00225D82">
        <w:rPr>
          <w:sz w:val="24"/>
          <w:szCs w:val="24"/>
        </w:rPr>
        <w:t>66 Pa.C.S.</w:t>
      </w:r>
      <w:proofErr w:type="gramEnd"/>
      <w:r w:rsidRPr="00225D82">
        <w:rPr>
          <w:sz w:val="24"/>
          <w:szCs w:val="24"/>
        </w:rPr>
        <w:t xml:space="preserve"> §§ 140</w:t>
      </w:r>
      <w:r w:rsidR="00093D93" w:rsidRPr="00225D82">
        <w:rPr>
          <w:sz w:val="24"/>
          <w:szCs w:val="24"/>
        </w:rPr>
        <w:t xml:space="preserve">3-1418.  The Commission may order only one payment agreement per customer until the arrearage is paid or there is a significant change in circumstances or change in income, and the length of time permitted for the repayment is spelled out in Section 1405(b).  Complainant's income places him as a Level 1 customer, whose income does not exceed 150% of the Federal poverty level.  Accordingly, he can be given up to five years to repay his debt.  </w:t>
      </w:r>
      <w:proofErr w:type="gramStart"/>
      <w:r w:rsidR="00093D93" w:rsidRPr="00225D82">
        <w:rPr>
          <w:sz w:val="24"/>
          <w:szCs w:val="24"/>
        </w:rPr>
        <w:t>66 Pa.C.S.</w:t>
      </w:r>
      <w:proofErr w:type="gramEnd"/>
      <w:r w:rsidR="00093D93" w:rsidRPr="00225D82">
        <w:rPr>
          <w:sz w:val="24"/>
          <w:szCs w:val="24"/>
        </w:rPr>
        <w:t xml:space="preserve"> § 1405(b</w:t>
      </w:r>
      <w:proofErr w:type="gramStart"/>
      <w:r w:rsidR="00093D93" w:rsidRPr="00225D82">
        <w:rPr>
          <w:sz w:val="24"/>
          <w:szCs w:val="24"/>
        </w:rPr>
        <w:t>)(</w:t>
      </w:r>
      <w:proofErr w:type="gramEnd"/>
      <w:r w:rsidR="00093D93" w:rsidRPr="00225D82">
        <w:rPr>
          <w:sz w:val="24"/>
          <w:szCs w:val="24"/>
        </w:rPr>
        <w:t>1).  This means that, if the Complainant agrees to enter the payment agreement with PGW, the Complainant will add 1/60</w:t>
      </w:r>
      <w:r w:rsidR="00093D93" w:rsidRPr="00225D82">
        <w:rPr>
          <w:sz w:val="24"/>
          <w:szCs w:val="24"/>
          <w:vertAlign w:val="superscript"/>
        </w:rPr>
        <w:t>th</w:t>
      </w:r>
      <w:r w:rsidR="00093D93" w:rsidRPr="00225D82">
        <w:rPr>
          <w:sz w:val="24"/>
          <w:szCs w:val="24"/>
        </w:rPr>
        <w:t xml:space="preserve"> of the arrearage to the regular monthly bill for five years.  At the end of that time, the arrearage will be paid off, and the amount due will be the monthly bill.  </w:t>
      </w:r>
      <w:r w:rsidR="00615A0E" w:rsidRPr="00225D82">
        <w:rPr>
          <w:sz w:val="24"/>
          <w:szCs w:val="24"/>
        </w:rPr>
        <w:t xml:space="preserve">Should the Complainant pay off the arrearage earlier, the amount </w:t>
      </w:r>
      <w:r w:rsidR="00DD3202" w:rsidRPr="00225D82">
        <w:rPr>
          <w:sz w:val="24"/>
          <w:szCs w:val="24"/>
        </w:rPr>
        <w:t xml:space="preserve">added to the bills to cover the arrearage </w:t>
      </w:r>
      <w:r w:rsidR="00615A0E" w:rsidRPr="00225D82">
        <w:rPr>
          <w:sz w:val="24"/>
          <w:szCs w:val="24"/>
        </w:rPr>
        <w:t>will not appear on the bills</w:t>
      </w:r>
      <w:r w:rsidR="00DD3202" w:rsidRPr="00225D82">
        <w:rPr>
          <w:sz w:val="24"/>
          <w:szCs w:val="24"/>
        </w:rPr>
        <w:t xml:space="preserve"> any longer</w:t>
      </w:r>
      <w:r w:rsidR="00615A0E" w:rsidRPr="00225D82">
        <w:rPr>
          <w:sz w:val="24"/>
          <w:szCs w:val="24"/>
        </w:rPr>
        <w:t>.</w:t>
      </w:r>
      <w:r w:rsidR="00DD3202" w:rsidRPr="00225D82">
        <w:rPr>
          <w:sz w:val="24"/>
          <w:szCs w:val="24"/>
        </w:rPr>
        <w:t xml:space="preserve">  Complainant will not be billed more than the arrearage plus usage.</w:t>
      </w:r>
    </w:p>
    <w:p w:rsidR="00615A0E" w:rsidRPr="00225D82" w:rsidRDefault="00615A0E" w:rsidP="005E5E5A">
      <w:pPr>
        <w:spacing w:line="360" w:lineRule="auto"/>
        <w:rPr>
          <w:sz w:val="24"/>
          <w:szCs w:val="24"/>
        </w:rPr>
      </w:pPr>
    </w:p>
    <w:p w:rsidR="004A419C" w:rsidRPr="00225D82" w:rsidRDefault="00615A0E" w:rsidP="005E5E5A">
      <w:pPr>
        <w:spacing w:line="360" w:lineRule="auto"/>
        <w:rPr>
          <w:sz w:val="24"/>
          <w:szCs w:val="24"/>
        </w:rPr>
      </w:pPr>
      <w:r w:rsidRPr="00225D82">
        <w:rPr>
          <w:sz w:val="24"/>
          <w:szCs w:val="24"/>
        </w:rPr>
        <w:tab/>
      </w:r>
      <w:r w:rsidRPr="00225D82">
        <w:rPr>
          <w:sz w:val="24"/>
          <w:szCs w:val="24"/>
        </w:rPr>
        <w:tab/>
        <w:t xml:space="preserve">At the end of the hearing, Complainant stated that PGW was proposing to give him a payment agreement of $123 per month for 23 months, which is a total </w:t>
      </w:r>
      <w:r w:rsidR="00DD3202" w:rsidRPr="00225D82">
        <w:rPr>
          <w:sz w:val="24"/>
          <w:szCs w:val="24"/>
        </w:rPr>
        <w:t>of $2</w:t>
      </w:r>
      <w:r w:rsidR="004245A9">
        <w:rPr>
          <w:sz w:val="24"/>
          <w:szCs w:val="24"/>
        </w:rPr>
        <w:t>,</w:t>
      </w:r>
      <w:r w:rsidR="00DD3202" w:rsidRPr="00225D82">
        <w:rPr>
          <w:sz w:val="24"/>
          <w:szCs w:val="24"/>
        </w:rPr>
        <w:t xml:space="preserve">829.00, </w:t>
      </w:r>
      <w:r w:rsidRPr="00225D82">
        <w:rPr>
          <w:sz w:val="24"/>
          <w:szCs w:val="24"/>
        </w:rPr>
        <w:t xml:space="preserve">which far exceeds the arrearage.  This </w:t>
      </w:r>
      <w:r w:rsidR="00DD3202" w:rsidRPr="00225D82">
        <w:rPr>
          <w:sz w:val="24"/>
          <w:szCs w:val="24"/>
        </w:rPr>
        <w:t xml:space="preserve">calculation </w:t>
      </w:r>
      <w:r w:rsidRPr="00225D82">
        <w:rPr>
          <w:sz w:val="24"/>
          <w:szCs w:val="24"/>
        </w:rPr>
        <w:t>is incorrect.  The amount to be added to the monthly bills will be 1/60</w:t>
      </w:r>
      <w:r w:rsidRPr="00225D82">
        <w:rPr>
          <w:sz w:val="24"/>
          <w:szCs w:val="24"/>
          <w:vertAlign w:val="superscript"/>
        </w:rPr>
        <w:t>th</w:t>
      </w:r>
      <w:r w:rsidRPr="00225D82">
        <w:rPr>
          <w:sz w:val="24"/>
          <w:szCs w:val="24"/>
        </w:rPr>
        <w:t xml:space="preserve"> of the total arrearage and will only appear on the Complainant's bill until the arrearage is paid off.  There will be no penalty and no interest attached to this amount.  However, failure to </w:t>
      </w:r>
      <w:r w:rsidR="00DD3202" w:rsidRPr="00225D82">
        <w:rPr>
          <w:sz w:val="24"/>
          <w:szCs w:val="24"/>
        </w:rPr>
        <w:t>make timely payment on his regular bill plus the amount added per t</w:t>
      </w:r>
      <w:r w:rsidRPr="00225D82">
        <w:rPr>
          <w:sz w:val="24"/>
          <w:szCs w:val="24"/>
        </w:rPr>
        <w:t xml:space="preserve">he payment agreement will result in default, which means that the full amount </w:t>
      </w:r>
      <w:r w:rsidR="00DD3202" w:rsidRPr="00225D82">
        <w:rPr>
          <w:sz w:val="24"/>
          <w:szCs w:val="24"/>
        </w:rPr>
        <w:t xml:space="preserve">of the arrearage at the time of </w:t>
      </w:r>
      <w:r w:rsidR="00DD3202" w:rsidRPr="00225D82">
        <w:rPr>
          <w:sz w:val="24"/>
          <w:szCs w:val="24"/>
        </w:rPr>
        <w:lastRenderedPageBreak/>
        <w:t xml:space="preserve">the default </w:t>
      </w:r>
      <w:r w:rsidRPr="00225D82">
        <w:rPr>
          <w:sz w:val="24"/>
          <w:szCs w:val="24"/>
        </w:rPr>
        <w:t xml:space="preserve">will become due.  Upon default, the Commission will not grant an additional payment agreement, absent unusual circumstances as set forth in the statute.  </w:t>
      </w:r>
      <w:proofErr w:type="gramStart"/>
      <w:r w:rsidRPr="00225D82">
        <w:rPr>
          <w:sz w:val="24"/>
          <w:szCs w:val="24"/>
        </w:rPr>
        <w:t>66 Pa.C.S.</w:t>
      </w:r>
      <w:proofErr w:type="gramEnd"/>
      <w:r w:rsidRPr="00225D82">
        <w:rPr>
          <w:sz w:val="24"/>
          <w:szCs w:val="24"/>
        </w:rPr>
        <w:t xml:space="preserve"> </w:t>
      </w:r>
      <w:proofErr w:type="gramStart"/>
      <w:r w:rsidRPr="00225D82">
        <w:rPr>
          <w:sz w:val="24"/>
          <w:szCs w:val="24"/>
        </w:rPr>
        <w:t>§§ 1403, 1405.</w:t>
      </w:r>
      <w:proofErr w:type="gramEnd"/>
      <w:r w:rsidRPr="00225D82">
        <w:rPr>
          <w:sz w:val="24"/>
          <w:szCs w:val="24"/>
        </w:rPr>
        <w:t xml:space="preserve">  </w:t>
      </w:r>
      <w:r w:rsidR="004A419C" w:rsidRPr="00225D82">
        <w:rPr>
          <w:sz w:val="24"/>
          <w:szCs w:val="24"/>
        </w:rPr>
        <w:t>Complainant's acceptance of a payment agreement is voluntary, and he can decline to enter it, in which case, the entire arrearage is due within thirty days of the date of the final Commission order in this matter.</w:t>
      </w:r>
    </w:p>
    <w:p w:rsidR="004A419C" w:rsidRPr="00225D82" w:rsidRDefault="004A419C" w:rsidP="005E5E5A">
      <w:pPr>
        <w:spacing w:line="360" w:lineRule="auto"/>
        <w:rPr>
          <w:sz w:val="24"/>
          <w:szCs w:val="24"/>
        </w:rPr>
      </w:pPr>
    </w:p>
    <w:p w:rsidR="0082478D" w:rsidRPr="00225D82" w:rsidRDefault="004A419C" w:rsidP="004A419C">
      <w:pPr>
        <w:spacing w:line="360" w:lineRule="auto"/>
        <w:jc w:val="center"/>
        <w:rPr>
          <w:sz w:val="24"/>
          <w:szCs w:val="24"/>
          <w:u w:val="single"/>
        </w:rPr>
      </w:pPr>
      <w:r w:rsidRPr="00225D82">
        <w:rPr>
          <w:sz w:val="24"/>
          <w:szCs w:val="24"/>
          <w:u w:val="single"/>
        </w:rPr>
        <w:t>CONCLUSIONS OF LAW</w:t>
      </w:r>
    </w:p>
    <w:p w:rsidR="004A419C" w:rsidRPr="00225D82" w:rsidRDefault="004A419C" w:rsidP="004A419C">
      <w:pPr>
        <w:spacing w:line="360" w:lineRule="auto"/>
        <w:jc w:val="center"/>
        <w:rPr>
          <w:sz w:val="24"/>
          <w:szCs w:val="24"/>
          <w:u w:val="single"/>
        </w:rPr>
      </w:pPr>
    </w:p>
    <w:p w:rsidR="004A419C" w:rsidRPr="00225D82" w:rsidRDefault="004A419C" w:rsidP="004A419C">
      <w:pPr>
        <w:spacing w:line="360" w:lineRule="auto"/>
        <w:rPr>
          <w:sz w:val="24"/>
          <w:szCs w:val="24"/>
        </w:rPr>
      </w:pPr>
      <w:r w:rsidRPr="00225D82">
        <w:rPr>
          <w:sz w:val="24"/>
          <w:szCs w:val="24"/>
        </w:rPr>
        <w:tab/>
      </w:r>
      <w:r w:rsidRPr="00225D82">
        <w:rPr>
          <w:sz w:val="24"/>
          <w:szCs w:val="24"/>
        </w:rPr>
        <w:tab/>
        <w:t>1.</w:t>
      </w:r>
      <w:r w:rsidRPr="00225D82">
        <w:rPr>
          <w:sz w:val="24"/>
          <w:szCs w:val="24"/>
        </w:rPr>
        <w:tab/>
        <w:t>The Commission has jurisdiction over the subject matter and parties to this proceeding.</w:t>
      </w:r>
    </w:p>
    <w:p w:rsidR="004A419C" w:rsidRPr="00225D82" w:rsidRDefault="004A419C" w:rsidP="004A419C">
      <w:pPr>
        <w:spacing w:line="360" w:lineRule="auto"/>
        <w:rPr>
          <w:sz w:val="24"/>
          <w:szCs w:val="24"/>
        </w:rPr>
      </w:pPr>
    </w:p>
    <w:p w:rsidR="004A419C" w:rsidRPr="00225D82" w:rsidRDefault="004A419C" w:rsidP="004A419C">
      <w:pPr>
        <w:tabs>
          <w:tab w:val="left" w:pos="-1440"/>
          <w:tab w:val="left" w:pos="-720"/>
        </w:tabs>
        <w:suppressAutoHyphens/>
        <w:spacing w:line="360" w:lineRule="auto"/>
        <w:ind w:firstLine="1440"/>
        <w:rPr>
          <w:spacing w:val="-3"/>
          <w:sz w:val="24"/>
          <w:szCs w:val="24"/>
        </w:rPr>
      </w:pPr>
      <w:r w:rsidRPr="00225D82">
        <w:rPr>
          <w:sz w:val="24"/>
          <w:szCs w:val="24"/>
        </w:rPr>
        <w:t>2.</w:t>
      </w:r>
      <w:r w:rsidRPr="00225D82">
        <w:rPr>
          <w:sz w:val="24"/>
          <w:szCs w:val="24"/>
        </w:rPr>
        <w:tab/>
        <w:t>T</w:t>
      </w:r>
      <w:r w:rsidRPr="00225D82">
        <w:rPr>
          <w:spacing w:val="-3"/>
          <w:sz w:val="24"/>
          <w:szCs w:val="24"/>
        </w:rPr>
        <w:t xml:space="preserve">o establish a sufficient case and satisfy the burden of proof, complainant must show that respondent is responsible or accountable for the problem described in the Complaint.  </w:t>
      </w:r>
      <w:proofErr w:type="gramStart"/>
      <w:r w:rsidRPr="00225D82">
        <w:rPr>
          <w:i/>
          <w:spacing w:val="-3"/>
          <w:sz w:val="24"/>
          <w:szCs w:val="24"/>
        </w:rPr>
        <w:t>Patterson v. Bell Telephone Company of Pennsylvania</w:t>
      </w:r>
      <w:r w:rsidRPr="00225D82">
        <w:rPr>
          <w:spacing w:val="-3"/>
          <w:sz w:val="24"/>
          <w:szCs w:val="24"/>
        </w:rPr>
        <w:t xml:space="preserve">, 72 Pa. PUC 196 (1990), </w:t>
      </w:r>
      <w:r w:rsidRPr="00225D82">
        <w:rPr>
          <w:i/>
          <w:spacing w:val="-3"/>
          <w:sz w:val="24"/>
          <w:szCs w:val="24"/>
        </w:rPr>
        <w:t>Feinstein v. Philadelphia Suburban Water Company</w:t>
      </w:r>
      <w:r w:rsidRPr="00225D82">
        <w:rPr>
          <w:spacing w:val="-3"/>
          <w:sz w:val="24"/>
          <w:szCs w:val="24"/>
        </w:rPr>
        <w:t>, 50 Pa. PUC 300 (1976).</w:t>
      </w:r>
      <w:proofErr w:type="gramEnd"/>
      <w:r w:rsidRPr="00225D82">
        <w:rPr>
          <w:spacing w:val="-3"/>
          <w:sz w:val="24"/>
          <w:szCs w:val="24"/>
        </w:rPr>
        <w:t xml:space="preserve">  Such a showing must be by a preponderance of the evidence.  </w:t>
      </w:r>
      <w:proofErr w:type="gramStart"/>
      <w:r w:rsidRPr="00225D82">
        <w:rPr>
          <w:i/>
          <w:spacing w:val="-3"/>
          <w:sz w:val="24"/>
          <w:szCs w:val="24"/>
        </w:rPr>
        <w:t>Samuel J. Lansberry, Inc. v. Pa. Pub.</w:t>
      </w:r>
      <w:proofErr w:type="gramEnd"/>
      <w:r w:rsidRPr="00225D82">
        <w:rPr>
          <w:i/>
          <w:spacing w:val="-3"/>
          <w:sz w:val="24"/>
          <w:szCs w:val="24"/>
        </w:rPr>
        <w:t xml:space="preserve"> Util. Comm’n</w:t>
      </w:r>
      <w:r w:rsidRPr="00225D82">
        <w:rPr>
          <w:spacing w:val="-3"/>
          <w:sz w:val="24"/>
          <w:szCs w:val="24"/>
        </w:rPr>
        <w:t xml:space="preserve">, </w:t>
      </w:r>
      <w:proofErr w:type="gramStart"/>
      <w:r w:rsidRPr="00225D82">
        <w:rPr>
          <w:spacing w:val="-3"/>
          <w:sz w:val="24"/>
          <w:szCs w:val="24"/>
        </w:rPr>
        <w:t>134 Pa.Cmwlth</w:t>
      </w:r>
      <w:proofErr w:type="gramEnd"/>
      <w:r w:rsidRPr="00225D82">
        <w:rPr>
          <w:spacing w:val="-3"/>
          <w:sz w:val="24"/>
          <w:szCs w:val="24"/>
        </w:rPr>
        <w:t xml:space="preserve">. 218; 221-222, 578 A.2d 600; 602 (1990), </w:t>
      </w:r>
      <w:r w:rsidRPr="00225D82">
        <w:rPr>
          <w:iCs/>
          <w:spacing w:val="-3"/>
          <w:sz w:val="24"/>
          <w:szCs w:val="24"/>
        </w:rPr>
        <w:t>app. denied,</w:t>
      </w:r>
      <w:r w:rsidRPr="00225D82">
        <w:rPr>
          <w:spacing w:val="-3"/>
          <w:sz w:val="24"/>
          <w:szCs w:val="24"/>
        </w:rPr>
        <w:t xml:space="preserve"> 529 Pa. 654, 602 A.2d 863 (1992).  That is, by presenting evidence more convincing, by even the smallest amount, than that presented by the other party.  </w:t>
      </w:r>
      <w:proofErr w:type="gramStart"/>
      <w:r w:rsidRPr="00225D82">
        <w:rPr>
          <w:i/>
          <w:spacing w:val="-3"/>
          <w:sz w:val="24"/>
          <w:szCs w:val="24"/>
        </w:rPr>
        <w:t>Se-Ling Hosiery v. Margulies</w:t>
      </w:r>
      <w:r w:rsidRPr="00225D82">
        <w:rPr>
          <w:spacing w:val="-3"/>
          <w:sz w:val="24"/>
          <w:szCs w:val="24"/>
        </w:rPr>
        <w:t>, 364 Pa. 45, 70 A.2d 854 (1950).</w:t>
      </w:r>
      <w:proofErr w:type="gramEnd"/>
    </w:p>
    <w:p w:rsidR="004A419C" w:rsidRPr="00225D82" w:rsidRDefault="004A419C" w:rsidP="004A419C">
      <w:pPr>
        <w:tabs>
          <w:tab w:val="left" w:pos="-1440"/>
          <w:tab w:val="left" w:pos="-720"/>
        </w:tabs>
        <w:suppressAutoHyphens/>
        <w:spacing w:line="360" w:lineRule="auto"/>
        <w:ind w:firstLine="1440"/>
        <w:rPr>
          <w:spacing w:val="-3"/>
          <w:sz w:val="24"/>
          <w:szCs w:val="24"/>
        </w:rPr>
      </w:pPr>
    </w:p>
    <w:p w:rsidR="004A419C" w:rsidRPr="00225D82" w:rsidRDefault="004A419C" w:rsidP="004A419C">
      <w:pPr>
        <w:tabs>
          <w:tab w:val="left" w:pos="-1440"/>
          <w:tab w:val="left" w:pos="-720"/>
        </w:tabs>
        <w:suppressAutoHyphens/>
        <w:spacing w:line="360" w:lineRule="auto"/>
        <w:ind w:firstLine="1440"/>
        <w:rPr>
          <w:spacing w:val="-3"/>
          <w:sz w:val="24"/>
          <w:szCs w:val="24"/>
        </w:rPr>
      </w:pPr>
      <w:r w:rsidRPr="00225D82">
        <w:rPr>
          <w:spacing w:val="-3"/>
          <w:sz w:val="24"/>
          <w:szCs w:val="24"/>
        </w:rPr>
        <w:t>3.</w:t>
      </w:r>
      <w:r w:rsidRPr="00225D82">
        <w:rPr>
          <w:spacing w:val="-3"/>
          <w:sz w:val="24"/>
          <w:szCs w:val="24"/>
        </w:rPr>
        <w:tab/>
        <w:t xml:space="preserve">Complainant must initially produce sufficient credible evidence to establish a </w:t>
      </w:r>
      <w:r w:rsidRPr="00E5139D">
        <w:rPr>
          <w:i/>
          <w:spacing w:val="-3"/>
          <w:sz w:val="24"/>
          <w:szCs w:val="24"/>
        </w:rPr>
        <w:t>prima facie</w:t>
      </w:r>
      <w:r w:rsidRPr="00225D82">
        <w:rPr>
          <w:spacing w:val="-3"/>
          <w:sz w:val="24"/>
          <w:szCs w:val="24"/>
        </w:rPr>
        <w:t xml:space="preserve"> case in order that complainant not lose summarily.  </w:t>
      </w:r>
      <w:proofErr w:type="gramStart"/>
      <w:r w:rsidRPr="00225D82">
        <w:rPr>
          <w:i/>
          <w:spacing w:val="-3"/>
          <w:sz w:val="24"/>
          <w:szCs w:val="24"/>
        </w:rPr>
        <w:t>Morrissey v. Dep’t of Highways</w:t>
      </w:r>
      <w:r w:rsidR="00E5139D">
        <w:rPr>
          <w:spacing w:val="-3"/>
          <w:sz w:val="24"/>
          <w:szCs w:val="24"/>
        </w:rPr>
        <w:t>, </w:t>
      </w:r>
      <w:r w:rsidRPr="00225D82">
        <w:rPr>
          <w:spacing w:val="-3"/>
          <w:sz w:val="24"/>
          <w:szCs w:val="24"/>
        </w:rPr>
        <w:t>424 Pa. 87, 225 A.2d 895 (1967).</w:t>
      </w:r>
      <w:proofErr w:type="gramEnd"/>
      <w:r w:rsidRPr="00225D82">
        <w:rPr>
          <w:spacing w:val="-3"/>
          <w:sz w:val="24"/>
          <w:szCs w:val="24"/>
        </w:rPr>
        <w:t xml:space="preserve">  If complainant does so, the burden of going forward with evidence shifts to respondent to produce credible evidence of at least co-equal weight.  This burden of going forward with evidence may shift back and forth between the parties, but the ultimate burden of persuasion remains with complainant.  </w:t>
      </w:r>
      <w:proofErr w:type="spellStart"/>
      <w:proofErr w:type="gramStart"/>
      <w:r w:rsidRPr="00225D82">
        <w:rPr>
          <w:i/>
          <w:spacing w:val="-3"/>
          <w:sz w:val="24"/>
          <w:szCs w:val="24"/>
        </w:rPr>
        <w:t>Milkie</w:t>
      </w:r>
      <w:proofErr w:type="spellEnd"/>
      <w:r w:rsidRPr="00225D82">
        <w:rPr>
          <w:i/>
          <w:spacing w:val="-3"/>
          <w:sz w:val="24"/>
          <w:szCs w:val="24"/>
        </w:rPr>
        <w:t xml:space="preserve"> v. Pa. Pub.</w:t>
      </w:r>
      <w:proofErr w:type="gramEnd"/>
      <w:r w:rsidRPr="00225D82">
        <w:rPr>
          <w:i/>
          <w:spacing w:val="-3"/>
          <w:sz w:val="24"/>
          <w:szCs w:val="24"/>
        </w:rPr>
        <w:t xml:space="preserve"> </w:t>
      </w:r>
      <w:proofErr w:type="gramStart"/>
      <w:r w:rsidRPr="00225D82">
        <w:rPr>
          <w:i/>
          <w:spacing w:val="-3"/>
          <w:sz w:val="24"/>
          <w:szCs w:val="24"/>
        </w:rPr>
        <w:t>Util. Comm’n</w:t>
      </w:r>
      <w:r w:rsidRPr="00225D82">
        <w:rPr>
          <w:spacing w:val="-3"/>
          <w:sz w:val="24"/>
          <w:szCs w:val="24"/>
        </w:rPr>
        <w:t>, 768 A.2d 1217 (Pa.Cmwlth. 2001).</w:t>
      </w:r>
      <w:proofErr w:type="gramEnd"/>
    </w:p>
    <w:p w:rsidR="004A419C" w:rsidRPr="00225D82" w:rsidRDefault="004A419C" w:rsidP="004A419C">
      <w:pPr>
        <w:tabs>
          <w:tab w:val="left" w:pos="-1440"/>
          <w:tab w:val="left" w:pos="-720"/>
        </w:tabs>
        <w:suppressAutoHyphens/>
        <w:spacing w:line="360" w:lineRule="auto"/>
        <w:ind w:firstLine="1440"/>
        <w:rPr>
          <w:spacing w:val="-3"/>
          <w:sz w:val="24"/>
          <w:szCs w:val="24"/>
        </w:rPr>
      </w:pPr>
    </w:p>
    <w:p w:rsidR="004A419C" w:rsidRPr="00225D82" w:rsidRDefault="004A419C" w:rsidP="004A419C">
      <w:pPr>
        <w:tabs>
          <w:tab w:val="left" w:pos="-1440"/>
          <w:tab w:val="left" w:pos="-720"/>
        </w:tabs>
        <w:suppressAutoHyphens/>
        <w:spacing w:line="360" w:lineRule="auto"/>
        <w:ind w:firstLine="1440"/>
        <w:rPr>
          <w:spacing w:val="-3"/>
          <w:sz w:val="24"/>
          <w:szCs w:val="24"/>
        </w:rPr>
      </w:pPr>
      <w:r w:rsidRPr="00225D82">
        <w:rPr>
          <w:spacing w:val="-3"/>
          <w:sz w:val="24"/>
          <w:szCs w:val="24"/>
        </w:rPr>
        <w:t>4.</w:t>
      </w:r>
      <w:r w:rsidRPr="00225D82">
        <w:rPr>
          <w:spacing w:val="-3"/>
          <w:sz w:val="24"/>
          <w:szCs w:val="24"/>
        </w:rPr>
        <w:tab/>
        <w:t xml:space="preserve">Any finding of fact necessary to support the Commission’s adjudication must be based upon substantial evidence.  </w:t>
      </w:r>
      <w:r w:rsidRPr="00225D82">
        <w:rPr>
          <w:i/>
          <w:spacing w:val="-3"/>
          <w:sz w:val="24"/>
          <w:szCs w:val="24"/>
        </w:rPr>
        <w:t>Mill v. Pa. Public Utility Comm’n</w:t>
      </w:r>
      <w:r w:rsidRPr="00225D82">
        <w:rPr>
          <w:spacing w:val="-3"/>
          <w:sz w:val="24"/>
          <w:szCs w:val="24"/>
        </w:rPr>
        <w:t xml:space="preserve">, </w:t>
      </w:r>
      <w:proofErr w:type="gramStart"/>
      <w:r w:rsidRPr="00225D82">
        <w:rPr>
          <w:spacing w:val="-3"/>
          <w:sz w:val="24"/>
          <w:szCs w:val="24"/>
        </w:rPr>
        <w:t xml:space="preserve">67 </w:t>
      </w:r>
      <w:r w:rsidRPr="00225D82">
        <w:rPr>
          <w:spacing w:val="-3"/>
          <w:sz w:val="24"/>
          <w:szCs w:val="24"/>
        </w:rPr>
        <w:lastRenderedPageBreak/>
        <w:t>Pa.Cmwlth</w:t>
      </w:r>
      <w:proofErr w:type="gramEnd"/>
      <w:r w:rsidRPr="00225D82">
        <w:rPr>
          <w:spacing w:val="-3"/>
          <w:sz w:val="24"/>
          <w:szCs w:val="24"/>
        </w:rPr>
        <w:t>.</w:t>
      </w:r>
      <w:r w:rsidR="00785DB8">
        <w:rPr>
          <w:spacing w:val="-3"/>
          <w:sz w:val="24"/>
          <w:szCs w:val="24"/>
        </w:rPr>
        <w:t> </w:t>
      </w:r>
      <w:proofErr w:type="gramStart"/>
      <w:r w:rsidRPr="00225D82">
        <w:rPr>
          <w:spacing w:val="-3"/>
          <w:sz w:val="24"/>
          <w:szCs w:val="24"/>
        </w:rPr>
        <w:t>597,</w:t>
      </w:r>
      <w:r w:rsidR="00785DB8">
        <w:rPr>
          <w:spacing w:val="-3"/>
          <w:sz w:val="24"/>
          <w:szCs w:val="24"/>
        </w:rPr>
        <w:t> </w:t>
      </w:r>
      <w:r w:rsidRPr="00225D82">
        <w:rPr>
          <w:spacing w:val="-3"/>
          <w:sz w:val="24"/>
          <w:szCs w:val="24"/>
        </w:rPr>
        <w:t xml:space="preserve">447 A.2d 1100 (1982), </w:t>
      </w:r>
      <w:r w:rsidRPr="00225D82">
        <w:rPr>
          <w:i/>
          <w:spacing w:val="-3"/>
          <w:sz w:val="24"/>
          <w:szCs w:val="24"/>
        </w:rPr>
        <w:t>Edan Transportation Corp. v. Pa. Public Utility Comm’n</w:t>
      </w:r>
      <w:r w:rsidR="00785DB8">
        <w:rPr>
          <w:spacing w:val="-3"/>
          <w:sz w:val="24"/>
          <w:szCs w:val="24"/>
        </w:rPr>
        <w:t>, </w:t>
      </w:r>
      <w:r w:rsidRPr="00225D82">
        <w:rPr>
          <w:spacing w:val="-3"/>
          <w:sz w:val="24"/>
          <w:szCs w:val="24"/>
        </w:rPr>
        <w:t>154 Pa.Cmwlth.</w:t>
      </w:r>
      <w:proofErr w:type="gramEnd"/>
      <w:r w:rsidRPr="00225D82">
        <w:rPr>
          <w:spacing w:val="-3"/>
          <w:sz w:val="24"/>
          <w:szCs w:val="24"/>
        </w:rPr>
        <w:t xml:space="preserve"> </w:t>
      </w:r>
      <w:proofErr w:type="gramStart"/>
      <w:r w:rsidRPr="00225D82">
        <w:rPr>
          <w:spacing w:val="-3"/>
          <w:sz w:val="24"/>
          <w:szCs w:val="24"/>
        </w:rPr>
        <w:t xml:space="preserve">21, 623 </w:t>
      </w:r>
      <w:r w:rsidR="00785DB8">
        <w:rPr>
          <w:spacing w:val="-3"/>
          <w:sz w:val="24"/>
          <w:szCs w:val="24"/>
        </w:rPr>
        <w:t>A.2d 6 (1993), 2 Pa.C.S.</w:t>
      </w:r>
      <w:proofErr w:type="gramEnd"/>
      <w:r w:rsidR="00785DB8">
        <w:rPr>
          <w:spacing w:val="-3"/>
          <w:sz w:val="24"/>
          <w:szCs w:val="24"/>
        </w:rPr>
        <w:t xml:space="preserve"> § 704.</w:t>
      </w:r>
    </w:p>
    <w:p w:rsidR="004A419C" w:rsidRPr="00225D82" w:rsidRDefault="004A419C" w:rsidP="004A419C">
      <w:pPr>
        <w:tabs>
          <w:tab w:val="left" w:pos="-1440"/>
          <w:tab w:val="left" w:pos="-720"/>
        </w:tabs>
        <w:suppressAutoHyphens/>
        <w:spacing w:line="360" w:lineRule="auto"/>
        <w:ind w:firstLine="1440"/>
        <w:rPr>
          <w:spacing w:val="-3"/>
          <w:sz w:val="24"/>
          <w:szCs w:val="24"/>
        </w:rPr>
      </w:pPr>
    </w:p>
    <w:p w:rsidR="004A419C" w:rsidRPr="00225D82" w:rsidRDefault="004A419C" w:rsidP="004A419C">
      <w:pPr>
        <w:tabs>
          <w:tab w:val="left" w:pos="-1440"/>
          <w:tab w:val="left" w:pos="-720"/>
        </w:tabs>
        <w:suppressAutoHyphens/>
        <w:spacing w:line="360" w:lineRule="auto"/>
        <w:ind w:firstLine="1440"/>
        <w:rPr>
          <w:spacing w:val="-3"/>
          <w:sz w:val="24"/>
          <w:szCs w:val="24"/>
        </w:rPr>
      </w:pPr>
      <w:r w:rsidRPr="00225D82">
        <w:rPr>
          <w:spacing w:val="-3"/>
          <w:sz w:val="24"/>
          <w:szCs w:val="24"/>
        </w:rPr>
        <w:t>5.</w:t>
      </w:r>
      <w:r w:rsidRPr="00225D82">
        <w:rPr>
          <w:spacing w:val="-3"/>
          <w:sz w:val="24"/>
          <w:szCs w:val="24"/>
        </w:rPr>
        <w:tab/>
        <w:t xml:space="preserve">Substantial evidence has been defined as such relevant evidence as a reasonable mind might accept as adequate to support a conclusion.  </w:t>
      </w:r>
      <w:proofErr w:type="spellStart"/>
      <w:proofErr w:type="gramStart"/>
      <w:r w:rsidRPr="00225D82">
        <w:rPr>
          <w:i/>
          <w:spacing w:val="-3"/>
          <w:sz w:val="24"/>
          <w:szCs w:val="24"/>
        </w:rPr>
        <w:t>Bethenergy</w:t>
      </w:r>
      <w:proofErr w:type="spellEnd"/>
      <w:r w:rsidRPr="00225D82">
        <w:rPr>
          <w:i/>
          <w:spacing w:val="-3"/>
          <w:sz w:val="24"/>
          <w:szCs w:val="24"/>
        </w:rPr>
        <w:t xml:space="preserve"> Mines, Inc. v. Workmen’s Compensation Appeal Bd. (</w:t>
      </w:r>
      <w:proofErr w:type="spellStart"/>
      <w:r w:rsidRPr="00225D82">
        <w:rPr>
          <w:i/>
          <w:spacing w:val="-3"/>
          <w:sz w:val="24"/>
          <w:szCs w:val="24"/>
        </w:rPr>
        <w:t>Skirpan</w:t>
      </w:r>
      <w:proofErr w:type="spellEnd"/>
      <w:r w:rsidRPr="00225D82">
        <w:rPr>
          <w:i/>
          <w:spacing w:val="-3"/>
          <w:sz w:val="24"/>
          <w:szCs w:val="24"/>
        </w:rPr>
        <w:t>)</w:t>
      </w:r>
      <w:r w:rsidRPr="00225D82">
        <w:rPr>
          <w:spacing w:val="-3"/>
          <w:sz w:val="24"/>
          <w:szCs w:val="24"/>
        </w:rPr>
        <w:t>, 531 Pa. 287, 612 A.2d 434 (1992).</w:t>
      </w:r>
      <w:proofErr w:type="gramEnd"/>
      <w:r w:rsidRPr="00225D82">
        <w:rPr>
          <w:spacing w:val="-3"/>
          <w:sz w:val="24"/>
          <w:szCs w:val="24"/>
        </w:rPr>
        <w:t xml:space="preserve">  More is required than a mere trace of evidence or a suspicion of the existence of a fact sought to be established.  </w:t>
      </w:r>
      <w:proofErr w:type="gramStart"/>
      <w:r w:rsidRPr="00225D82">
        <w:rPr>
          <w:i/>
          <w:spacing w:val="-3"/>
          <w:sz w:val="24"/>
          <w:szCs w:val="24"/>
        </w:rPr>
        <w:t>Norfolk and Western Ry. v. Pa. Public Utility Comm’n</w:t>
      </w:r>
      <w:r w:rsidRPr="00225D82">
        <w:rPr>
          <w:spacing w:val="-3"/>
          <w:sz w:val="24"/>
          <w:szCs w:val="24"/>
        </w:rPr>
        <w:t xml:space="preserve">, 489 Pa. 109, 413 A.2d 1037 (1980); </w:t>
      </w:r>
      <w:r w:rsidRPr="00225D82">
        <w:rPr>
          <w:i/>
          <w:spacing w:val="-3"/>
          <w:sz w:val="24"/>
          <w:szCs w:val="24"/>
        </w:rPr>
        <w:t>Erie Resistor Corp. v. Unemployment Compensation Bd. of Review</w:t>
      </w:r>
      <w:r w:rsidRPr="00225D82">
        <w:rPr>
          <w:spacing w:val="-3"/>
          <w:sz w:val="24"/>
          <w:szCs w:val="24"/>
        </w:rPr>
        <w:t xml:space="preserve">, 194 </w:t>
      </w:r>
      <w:proofErr w:type="spellStart"/>
      <w:r w:rsidRPr="00225D82">
        <w:rPr>
          <w:spacing w:val="-3"/>
          <w:sz w:val="24"/>
          <w:szCs w:val="24"/>
        </w:rPr>
        <w:t>Pa.Super</w:t>
      </w:r>
      <w:proofErr w:type="spellEnd"/>
      <w:r w:rsidRPr="00225D82">
        <w:rPr>
          <w:spacing w:val="-3"/>
          <w:sz w:val="24"/>
          <w:szCs w:val="24"/>
        </w:rPr>
        <w:t>.</w:t>
      </w:r>
      <w:proofErr w:type="gramEnd"/>
      <w:r w:rsidRPr="00225D82">
        <w:rPr>
          <w:spacing w:val="-3"/>
          <w:sz w:val="24"/>
          <w:szCs w:val="24"/>
        </w:rPr>
        <w:t xml:space="preserve"> </w:t>
      </w:r>
      <w:proofErr w:type="gramStart"/>
      <w:r w:rsidRPr="00225D82">
        <w:rPr>
          <w:spacing w:val="-3"/>
          <w:sz w:val="24"/>
          <w:szCs w:val="24"/>
        </w:rPr>
        <w:t xml:space="preserve">278, 166 A.2d 96 (1960); </w:t>
      </w:r>
      <w:r w:rsidRPr="00225D82">
        <w:rPr>
          <w:i/>
          <w:spacing w:val="-3"/>
          <w:sz w:val="24"/>
          <w:szCs w:val="24"/>
        </w:rPr>
        <w:t>Murphy v. Dep’t of Public Welfare</w:t>
      </w:r>
      <w:r w:rsidRPr="00225D82">
        <w:rPr>
          <w:spacing w:val="-3"/>
          <w:sz w:val="24"/>
          <w:szCs w:val="24"/>
        </w:rPr>
        <w:t>, 85 Pa.Cmwlth.</w:t>
      </w:r>
      <w:proofErr w:type="gramEnd"/>
      <w:r w:rsidRPr="00225D82">
        <w:rPr>
          <w:spacing w:val="-3"/>
          <w:sz w:val="24"/>
          <w:szCs w:val="24"/>
        </w:rPr>
        <w:t xml:space="preserve"> </w:t>
      </w:r>
      <w:proofErr w:type="gramStart"/>
      <w:r w:rsidRPr="00225D82">
        <w:rPr>
          <w:spacing w:val="-3"/>
          <w:sz w:val="24"/>
          <w:szCs w:val="24"/>
        </w:rPr>
        <w:t>23, 480 A.2d 382 (1984).</w:t>
      </w:r>
      <w:proofErr w:type="gramEnd"/>
    </w:p>
    <w:p w:rsidR="004A419C" w:rsidRPr="00225D82" w:rsidRDefault="004A419C" w:rsidP="004A419C">
      <w:pPr>
        <w:tabs>
          <w:tab w:val="left" w:pos="-1440"/>
          <w:tab w:val="left" w:pos="-720"/>
        </w:tabs>
        <w:suppressAutoHyphens/>
        <w:spacing w:line="360" w:lineRule="auto"/>
        <w:ind w:firstLine="1440"/>
        <w:rPr>
          <w:spacing w:val="-3"/>
          <w:sz w:val="24"/>
          <w:szCs w:val="24"/>
        </w:rPr>
      </w:pPr>
    </w:p>
    <w:p w:rsidR="004A419C" w:rsidRPr="00225D82" w:rsidRDefault="004A419C" w:rsidP="004A419C">
      <w:pPr>
        <w:spacing w:line="360" w:lineRule="auto"/>
        <w:ind w:firstLine="1440"/>
        <w:rPr>
          <w:sz w:val="24"/>
          <w:szCs w:val="24"/>
        </w:rPr>
      </w:pPr>
      <w:r w:rsidRPr="00225D82">
        <w:rPr>
          <w:sz w:val="24"/>
          <w:szCs w:val="24"/>
        </w:rPr>
        <w:t>6.</w:t>
      </w:r>
      <w:r w:rsidRPr="00225D82">
        <w:rPr>
          <w:sz w:val="24"/>
          <w:szCs w:val="24"/>
        </w:rPr>
        <w:tab/>
        <w:t xml:space="preserve">The burden of proof for “high bill” complaints has been explained in </w:t>
      </w:r>
      <w:r w:rsidRPr="00225D82">
        <w:rPr>
          <w:i/>
          <w:sz w:val="24"/>
          <w:szCs w:val="24"/>
        </w:rPr>
        <w:t>Waldron v. Philadelphia Electric Company</w:t>
      </w:r>
      <w:r w:rsidR="005A7B58">
        <w:rPr>
          <w:sz w:val="24"/>
          <w:szCs w:val="24"/>
        </w:rPr>
        <w:t>, 54 Pa. PUC</w:t>
      </w:r>
      <w:r w:rsidRPr="00225D82">
        <w:rPr>
          <w:sz w:val="24"/>
          <w:szCs w:val="24"/>
        </w:rPr>
        <w:t xml:space="preserve"> 98 (1980), and its progeny.  In </w:t>
      </w:r>
      <w:r w:rsidRPr="00225D82">
        <w:rPr>
          <w:i/>
          <w:sz w:val="24"/>
          <w:szCs w:val="24"/>
        </w:rPr>
        <w:t>Waldron</w:t>
      </w:r>
      <w:r w:rsidRPr="00225D82">
        <w:rPr>
          <w:sz w:val="24"/>
          <w:szCs w:val="24"/>
        </w:rPr>
        <w:t xml:space="preserve">, the Commission adopted the Michigan Public Service Commission’s (PSC’s) policy annunciated in </w:t>
      </w:r>
      <w:proofErr w:type="spellStart"/>
      <w:r w:rsidRPr="00225D82">
        <w:rPr>
          <w:i/>
          <w:sz w:val="24"/>
          <w:szCs w:val="24"/>
        </w:rPr>
        <w:t>Hallifax</w:t>
      </w:r>
      <w:proofErr w:type="spellEnd"/>
      <w:r w:rsidRPr="00225D82">
        <w:rPr>
          <w:i/>
          <w:sz w:val="24"/>
          <w:szCs w:val="24"/>
        </w:rPr>
        <w:t xml:space="preserve"> v. O &amp; </w:t>
      </w:r>
      <w:proofErr w:type="gramStart"/>
      <w:r w:rsidRPr="00225D82">
        <w:rPr>
          <w:i/>
          <w:sz w:val="24"/>
          <w:szCs w:val="24"/>
        </w:rPr>
        <w:t>A</w:t>
      </w:r>
      <w:proofErr w:type="gramEnd"/>
      <w:r w:rsidRPr="00225D82">
        <w:rPr>
          <w:i/>
          <w:sz w:val="24"/>
          <w:szCs w:val="24"/>
        </w:rPr>
        <w:t xml:space="preserve"> Electric Co-Op</w:t>
      </w:r>
      <w:r w:rsidRPr="00225D82">
        <w:rPr>
          <w:sz w:val="24"/>
          <w:szCs w:val="24"/>
        </w:rPr>
        <w:t xml:space="preserve">, Case No. </w:t>
      </w:r>
      <w:proofErr w:type="gramStart"/>
      <w:r w:rsidRPr="00225D82">
        <w:rPr>
          <w:sz w:val="24"/>
          <w:szCs w:val="24"/>
        </w:rPr>
        <w:t>U-5825, May 1979, which stated that, while the accuracy of the meter is an important factor in resolving billing disputes, it is not the sole criterion.</w:t>
      </w:r>
      <w:proofErr w:type="gramEnd"/>
      <w:r w:rsidRPr="00225D82">
        <w:rPr>
          <w:sz w:val="24"/>
          <w:szCs w:val="24"/>
        </w:rPr>
        <w:t xml:space="preserve">  The Commission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rsidRPr="00225D82" w:rsidDel="000555B3">
        <w:rPr>
          <w:rFonts w:eastAsiaTheme="minorEastAsia"/>
          <w:sz w:val="24"/>
          <w:szCs w:val="24"/>
          <w:vertAlign w:val="superscript"/>
        </w:rPr>
        <w:t xml:space="preserve"> </w:t>
      </w:r>
      <w:r w:rsidRPr="00225D82">
        <w:rPr>
          <w:sz w:val="24"/>
          <w:szCs w:val="24"/>
        </w:rPr>
        <w:t xml:space="preserve">  </w:t>
      </w:r>
      <w:proofErr w:type="gramStart"/>
      <w:r w:rsidRPr="00225D82">
        <w:rPr>
          <w:i/>
          <w:sz w:val="24"/>
          <w:szCs w:val="24"/>
        </w:rPr>
        <w:t>Waldron</w:t>
      </w:r>
      <w:r w:rsidRPr="00225D82">
        <w:rPr>
          <w:sz w:val="24"/>
          <w:szCs w:val="24"/>
        </w:rPr>
        <w:t xml:space="preserve"> at 100.</w:t>
      </w:r>
      <w:proofErr w:type="gramEnd"/>
    </w:p>
    <w:p w:rsidR="004A419C" w:rsidRPr="00225D82" w:rsidRDefault="004A419C" w:rsidP="004A419C">
      <w:pPr>
        <w:spacing w:line="360" w:lineRule="auto"/>
        <w:ind w:firstLine="1440"/>
        <w:rPr>
          <w:sz w:val="24"/>
          <w:szCs w:val="24"/>
        </w:rPr>
      </w:pPr>
    </w:p>
    <w:p w:rsidR="004A419C" w:rsidRPr="00225D82" w:rsidRDefault="004A419C" w:rsidP="004A419C">
      <w:pPr>
        <w:spacing w:line="360" w:lineRule="auto"/>
        <w:ind w:firstLine="1440"/>
        <w:rPr>
          <w:sz w:val="24"/>
          <w:szCs w:val="24"/>
        </w:rPr>
      </w:pPr>
      <w:r w:rsidRPr="00225D82">
        <w:rPr>
          <w:color w:val="000000"/>
          <w:sz w:val="24"/>
          <w:szCs w:val="24"/>
        </w:rPr>
        <w:t>7.</w:t>
      </w:r>
      <w:r w:rsidRPr="00225D82">
        <w:rPr>
          <w:color w:val="000000"/>
          <w:sz w:val="24"/>
          <w:szCs w:val="24"/>
        </w:rPr>
        <w:tab/>
        <w:t xml:space="preserve">The Commission's holding in </w:t>
      </w:r>
      <w:proofErr w:type="spellStart"/>
      <w:r w:rsidRPr="00225D82">
        <w:rPr>
          <w:i/>
          <w:color w:val="000000"/>
          <w:sz w:val="24"/>
          <w:szCs w:val="24"/>
        </w:rPr>
        <w:t>Charisse</w:t>
      </w:r>
      <w:proofErr w:type="spellEnd"/>
      <w:r w:rsidRPr="00225D82">
        <w:rPr>
          <w:i/>
          <w:color w:val="000000"/>
          <w:sz w:val="24"/>
          <w:szCs w:val="24"/>
        </w:rPr>
        <w:t xml:space="preserve"> Bennett v. Peoples Natural Gas Co.</w:t>
      </w:r>
      <w:r w:rsidRPr="00225D82">
        <w:rPr>
          <w:color w:val="000000"/>
          <w:sz w:val="24"/>
          <w:szCs w:val="24"/>
        </w:rPr>
        <w:t xml:space="preserve">, Docket No. C-2009-2122979 (Order entered October 13, 2010), provides that the </w:t>
      </w:r>
      <w:r w:rsidRPr="00225D82">
        <w:rPr>
          <w:i/>
          <w:color w:val="000000"/>
          <w:sz w:val="24"/>
          <w:szCs w:val="24"/>
        </w:rPr>
        <w:t xml:space="preserve">Waldron </w:t>
      </w:r>
      <w:r w:rsidRPr="00225D82">
        <w:rPr>
          <w:color w:val="000000"/>
          <w:sz w:val="24"/>
          <w:szCs w:val="24"/>
        </w:rPr>
        <w:t xml:space="preserve">Rule allows a complainant to establish a </w:t>
      </w:r>
      <w:r w:rsidRPr="00225D82">
        <w:rPr>
          <w:i/>
          <w:color w:val="000000"/>
          <w:sz w:val="24"/>
          <w:szCs w:val="24"/>
        </w:rPr>
        <w:t xml:space="preserve">prima facie </w:t>
      </w:r>
      <w:r w:rsidRPr="00225D82">
        <w:rPr>
          <w:color w:val="000000"/>
          <w:sz w:val="24"/>
          <w:szCs w:val="24"/>
        </w:rPr>
        <w:t xml:space="preserve">case in a “high bill” complaint by showing that the disputed bill is abnormally high when compared to prior usage patterns and his or her pattern of usage has not changed </w:t>
      </w:r>
      <w:r w:rsidR="004C2CDF">
        <w:rPr>
          <w:color w:val="000000"/>
          <w:sz w:val="24"/>
          <w:szCs w:val="24"/>
        </w:rPr>
        <w:t xml:space="preserve">or </w:t>
      </w:r>
      <w:r w:rsidRPr="00225D82">
        <w:rPr>
          <w:color w:val="000000"/>
          <w:sz w:val="24"/>
          <w:szCs w:val="24"/>
        </w:rPr>
        <w:t>by providing other relevant evidence sh</w:t>
      </w:r>
      <w:r w:rsidR="004C2CDF">
        <w:rPr>
          <w:color w:val="000000"/>
          <w:sz w:val="24"/>
          <w:szCs w:val="24"/>
        </w:rPr>
        <w:t xml:space="preserve">owing that the disputed bill is </w:t>
      </w:r>
      <w:r w:rsidRPr="00225D82">
        <w:rPr>
          <w:color w:val="000000"/>
          <w:sz w:val="24"/>
          <w:szCs w:val="24"/>
        </w:rPr>
        <w:t>unreasonably high.  In evaluating a “high bill” complaint,</w:t>
      </w:r>
      <w:r w:rsidRPr="00225D82">
        <w:rPr>
          <w:sz w:val="24"/>
          <w:szCs w:val="24"/>
        </w:rPr>
        <w:t xml:space="preserve"> the Commission may consider such evidence as “the billing history of the account, any change in usage patterns (such as a change in the number of occupants residing in the household or potential energy utilization), and</w:t>
      </w:r>
      <w:r w:rsidRPr="00225D82">
        <w:rPr>
          <w:b/>
          <w:sz w:val="24"/>
          <w:szCs w:val="24"/>
        </w:rPr>
        <w:t xml:space="preserve"> </w:t>
      </w:r>
      <w:r w:rsidRPr="00225D82">
        <w:rPr>
          <w:sz w:val="24"/>
          <w:szCs w:val="24"/>
        </w:rPr>
        <w:t xml:space="preserve">any other relevant facts or circumstances that come to light during the proceeding.”  </w:t>
      </w:r>
      <w:r w:rsidRPr="00225D82">
        <w:rPr>
          <w:i/>
          <w:sz w:val="24"/>
          <w:szCs w:val="24"/>
        </w:rPr>
        <w:t>Id.</w:t>
      </w:r>
      <w:r w:rsidRPr="00225D82">
        <w:rPr>
          <w:sz w:val="24"/>
          <w:szCs w:val="24"/>
        </w:rPr>
        <w:t xml:space="preserve"> at 6 (emphasis added).</w:t>
      </w:r>
    </w:p>
    <w:p w:rsidR="004A419C" w:rsidRPr="00225D82" w:rsidRDefault="004A419C" w:rsidP="004A419C">
      <w:pPr>
        <w:spacing w:line="360" w:lineRule="auto"/>
        <w:ind w:firstLine="720"/>
        <w:rPr>
          <w:sz w:val="24"/>
          <w:szCs w:val="24"/>
        </w:rPr>
      </w:pPr>
    </w:p>
    <w:p w:rsidR="004A419C" w:rsidRPr="00225D82" w:rsidRDefault="004A419C" w:rsidP="004A419C">
      <w:pPr>
        <w:spacing w:line="360" w:lineRule="auto"/>
        <w:rPr>
          <w:sz w:val="24"/>
          <w:szCs w:val="24"/>
        </w:rPr>
      </w:pPr>
      <w:r w:rsidRPr="00225D82">
        <w:rPr>
          <w:sz w:val="24"/>
          <w:szCs w:val="24"/>
        </w:rPr>
        <w:tab/>
      </w:r>
      <w:r w:rsidRPr="00225D82">
        <w:rPr>
          <w:sz w:val="24"/>
          <w:szCs w:val="24"/>
        </w:rPr>
        <w:tab/>
        <w:t>8.</w:t>
      </w:r>
      <w:r w:rsidRPr="00225D82">
        <w:rPr>
          <w:sz w:val="24"/>
          <w:szCs w:val="24"/>
        </w:rPr>
        <w:tab/>
        <w:t xml:space="preserve">Limiting the </w:t>
      </w:r>
      <w:r w:rsidRPr="00225D82">
        <w:rPr>
          <w:i/>
          <w:sz w:val="24"/>
          <w:szCs w:val="24"/>
        </w:rPr>
        <w:t>Waldron</w:t>
      </w:r>
      <w:r w:rsidRPr="00225D82">
        <w:rPr>
          <w:sz w:val="24"/>
          <w:szCs w:val="24"/>
        </w:rPr>
        <w:t xml:space="preserve"> Rule to the above three factors creates a situation in which a new customer is asked to produce evidence regarding prior usage that he or she does not possess.  </w:t>
      </w:r>
      <w:r w:rsidRPr="00225D82">
        <w:rPr>
          <w:i/>
          <w:sz w:val="24"/>
          <w:szCs w:val="24"/>
        </w:rPr>
        <w:t xml:space="preserve">See Bennett </w:t>
      </w:r>
      <w:r w:rsidRPr="00225D82">
        <w:rPr>
          <w:sz w:val="24"/>
          <w:szCs w:val="24"/>
        </w:rPr>
        <w:t xml:space="preserve">at 6.  This interpretation of </w:t>
      </w:r>
      <w:r w:rsidRPr="00225D82">
        <w:rPr>
          <w:i/>
          <w:sz w:val="24"/>
          <w:szCs w:val="24"/>
        </w:rPr>
        <w:t xml:space="preserve">Waldron </w:t>
      </w:r>
      <w:r w:rsidRPr="00225D82">
        <w:rPr>
          <w:sz w:val="24"/>
          <w:szCs w:val="24"/>
        </w:rPr>
        <w:t xml:space="preserve">is too narrow and would prevent a new customer from challenging a high bill.  </w:t>
      </w:r>
      <w:r w:rsidRPr="00225D82">
        <w:rPr>
          <w:i/>
          <w:sz w:val="24"/>
          <w:szCs w:val="24"/>
        </w:rPr>
        <w:t xml:space="preserve">Nehemiah B. Thomas v. PECO Energy Company, </w:t>
      </w:r>
      <w:r w:rsidRPr="00225D82">
        <w:rPr>
          <w:sz w:val="24"/>
          <w:szCs w:val="24"/>
        </w:rPr>
        <w:t>Docket No. C-2010-2187197 (Opinion and Order entered November 15, 2012).</w:t>
      </w:r>
    </w:p>
    <w:p w:rsidR="004A419C" w:rsidRPr="00225D82" w:rsidRDefault="004A419C" w:rsidP="004A419C">
      <w:pPr>
        <w:spacing w:line="360" w:lineRule="auto"/>
        <w:rPr>
          <w:sz w:val="24"/>
          <w:szCs w:val="24"/>
        </w:rPr>
      </w:pPr>
    </w:p>
    <w:p w:rsidR="004A419C" w:rsidRPr="00225D82" w:rsidRDefault="004A419C" w:rsidP="004A419C">
      <w:pPr>
        <w:spacing w:line="360" w:lineRule="auto"/>
        <w:rPr>
          <w:sz w:val="24"/>
          <w:szCs w:val="24"/>
        </w:rPr>
      </w:pPr>
      <w:r w:rsidRPr="00225D82">
        <w:rPr>
          <w:sz w:val="24"/>
          <w:szCs w:val="24"/>
        </w:rPr>
        <w:tab/>
      </w:r>
      <w:r w:rsidRPr="00225D82">
        <w:rPr>
          <w:sz w:val="24"/>
          <w:szCs w:val="24"/>
        </w:rPr>
        <w:tab/>
        <w:t>9.</w:t>
      </w:r>
      <w:r w:rsidRPr="00225D82">
        <w:rPr>
          <w:sz w:val="24"/>
          <w:szCs w:val="24"/>
        </w:rPr>
        <w:tab/>
        <w:t>Complainant has not provided sufficient evidence to support a finding that the billing is faulty.</w:t>
      </w:r>
    </w:p>
    <w:p w:rsidR="004A419C" w:rsidRPr="00225D82" w:rsidRDefault="004A419C" w:rsidP="004A419C">
      <w:pPr>
        <w:spacing w:line="360" w:lineRule="auto"/>
        <w:rPr>
          <w:sz w:val="24"/>
          <w:szCs w:val="24"/>
        </w:rPr>
      </w:pPr>
    </w:p>
    <w:p w:rsidR="00805D96" w:rsidRDefault="004A419C" w:rsidP="004A419C">
      <w:pPr>
        <w:spacing w:line="360" w:lineRule="auto"/>
        <w:rPr>
          <w:sz w:val="24"/>
          <w:szCs w:val="24"/>
        </w:rPr>
      </w:pPr>
      <w:r w:rsidRPr="00225D82">
        <w:rPr>
          <w:sz w:val="24"/>
          <w:szCs w:val="24"/>
        </w:rPr>
        <w:tab/>
      </w:r>
      <w:r w:rsidRPr="00225D82">
        <w:rPr>
          <w:sz w:val="24"/>
          <w:szCs w:val="24"/>
        </w:rPr>
        <w:tab/>
        <w:t>10.</w:t>
      </w:r>
      <w:r w:rsidRPr="00225D82">
        <w:rPr>
          <w:sz w:val="24"/>
          <w:szCs w:val="24"/>
        </w:rPr>
        <w:tab/>
        <w:t xml:space="preserve">The Commission's ability to order payment agreements between public utilities and their customers </w:t>
      </w:r>
      <w:r w:rsidR="00805D96">
        <w:rPr>
          <w:sz w:val="24"/>
          <w:szCs w:val="24"/>
        </w:rPr>
        <w:t>is</w:t>
      </w:r>
      <w:r w:rsidRPr="00225D82">
        <w:rPr>
          <w:sz w:val="24"/>
          <w:szCs w:val="24"/>
        </w:rPr>
        <w:t xml:space="preserve"> governed by Chapter 14 of the Public Utility Code.  </w:t>
      </w:r>
      <w:proofErr w:type="gramStart"/>
      <w:r w:rsidRPr="00225D82">
        <w:rPr>
          <w:sz w:val="24"/>
          <w:szCs w:val="24"/>
        </w:rPr>
        <w:t>66 Pa.C.S.</w:t>
      </w:r>
      <w:proofErr w:type="gramEnd"/>
      <w:r w:rsidRPr="00225D82">
        <w:rPr>
          <w:sz w:val="24"/>
          <w:szCs w:val="24"/>
        </w:rPr>
        <w:t xml:space="preserve"> </w:t>
      </w:r>
    </w:p>
    <w:p w:rsidR="004A419C" w:rsidRPr="00225D82" w:rsidRDefault="004A419C" w:rsidP="004A419C">
      <w:pPr>
        <w:spacing w:line="360" w:lineRule="auto"/>
        <w:rPr>
          <w:sz w:val="24"/>
          <w:szCs w:val="24"/>
        </w:rPr>
      </w:pPr>
      <w:r w:rsidRPr="00225D82">
        <w:rPr>
          <w:sz w:val="24"/>
          <w:szCs w:val="24"/>
        </w:rPr>
        <w:t>§§ 1403-1418.  The Commission may order only one payment agreement per customer until the arrearage is paid or there is a significant change in circumstances or change in income, and the length of time permitted for the repayment is spelled out in Section 1405(b).</w:t>
      </w:r>
    </w:p>
    <w:p w:rsidR="004A419C" w:rsidRPr="00225D82" w:rsidRDefault="004A419C" w:rsidP="004A419C">
      <w:pPr>
        <w:spacing w:line="360" w:lineRule="auto"/>
        <w:rPr>
          <w:sz w:val="24"/>
          <w:szCs w:val="24"/>
        </w:rPr>
      </w:pPr>
    </w:p>
    <w:p w:rsidR="004A419C" w:rsidRPr="00225D82" w:rsidRDefault="004A419C" w:rsidP="004A419C">
      <w:pPr>
        <w:spacing w:line="360" w:lineRule="auto"/>
        <w:rPr>
          <w:sz w:val="24"/>
          <w:szCs w:val="24"/>
        </w:rPr>
      </w:pPr>
      <w:r w:rsidRPr="00225D82">
        <w:rPr>
          <w:sz w:val="24"/>
          <w:szCs w:val="24"/>
        </w:rPr>
        <w:tab/>
      </w:r>
      <w:r w:rsidRPr="00225D82">
        <w:rPr>
          <w:sz w:val="24"/>
          <w:szCs w:val="24"/>
        </w:rPr>
        <w:tab/>
        <w:t>11.</w:t>
      </w:r>
      <w:r w:rsidRPr="00225D82">
        <w:rPr>
          <w:sz w:val="24"/>
          <w:szCs w:val="24"/>
        </w:rPr>
        <w:tab/>
        <w:t xml:space="preserve">Complainant's income places him as a Level 1 customer, whose income does not exceed 150% of the Federal poverty level.  Accordingly, he can be given up to five years to repay his debt.  </w:t>
      </w:r>
      <w:proofErr w:type="gramStart"/>
      <w:r w:rsidRPr="00225D82">
        <w:rPr>
          <w:sz w:val="24"/>
          <w:szCs w:val="24"/>
        </w:rPr>
        <w:t>66 Pa.C.S.</w:t>
      </w:r>
      <w:proofErr w:type="gramEnd"/>
      <w:r w:rsidRPr="00225D82">
        <w:rPr>
          <w:sz w:val="24"/>
          <w:szCs w:val="24"/>
        </w:rPr>
        <w:t xml:space="preserve"> § 1405(b</w:t>
      </w:r>
      <w:proofErr w:type="gramStart"/>
      <w:r w:rsidRPr="00225D82">
        <w:rPr>
          <w:sz w:val="24"/>
          <w:szCs w:val="24"/>
        </w:rPr>
        <w:t>)(</w:t>
      </w:r>
      <w:proofErr w:type="gramEnd"/>
      <w:r w:rsidRPr="00225D82">
        <w:rPr>
          <w:sz w:val="24"/>
          <w:szCs w:val="24"/>
        </w:rPr>
        <w:t>1).</w:t>
      </w:r>
    </w:p>
    <w:p w:rsidR="004A419C" w:rsidRPr="00225D82" w:rsidRDefault="004A419C" w:rsidP="004A419C">
      <w:pPr>
        <w:spacing w:line="360" w:lineRule="auto"/>
        <w:rPr>
          <w:sz w:val="24"/>
          <w:szCs w:val="24"/>
        </w:rPr>
      </w:pPr>
    </w:p>
    <w:p w:rsidR="004A419C" w:rsidRPr="00225D82" w:rsidRDefault="004A419C" w:rsidP="004A419C">
      <w:pPr>
        <w:spacing w:line="360" w:lineRule="auto"/>
        <w:rPr>
          <w:sz w:val="24"/>
          <w:szCs w:val="24"/>
        </w:rPr>
      </w:pPr>
      <w:r w:rsidRPr="00225D82">
        <w:rPr>
          <w:sz w:val="24"/>
          <w:szCs w:val="24"/>
        </w:rPr>
        <w:tab/>
      </w:r>
      <w:r w:rsidRPr="00225D82">
        <w:rPr>
          <w:sz w:val="24"/>
          <w:szCs w:val="24"/>
        </w:rPr>
        <w:tab/>
        <w:t>12.</w:t>
      </w:r>
      <w:r w:rsidRPr="00225D82">
        <w:rPr>
          <w:sz w:val="24"/>
          <w:szCs w:val="24"/>
        </w:rPr>
        <w:tab/>
        <w:t>Participation in a payment a</w:t>
      </w:r>
      <w:r w:rsidR="001C4C21">
        <w:rPr>
          <w:sz w:val="24"/>
          <w:szCs w:val="24"/>
        </w:rPr>
        <w:t>greement is strictly voluntary.</w:t>
      </w:r>
    </w:p>
    <w:p w:rsidR="004A419C" w:rsidRPr="00225D82" w:rsidRDefault="004A419C" w:rsidP="004A419C">
      <w:pPr>
        <w:spacing w:line="360" w:lineRule="auto"/>
        <w:rPr>
          <w:sz w:val="24"/>
          <w:szCs w:val="24"/>
        </w:rPr>
      </w:pPr>
    </w:p>
    <w:p w:rsidR="004A419C" w:rsidRPr="001C4C21" w:rsidRDefault="004A419C" w:rsidP="004A419C">
      <w:pPr>
        <w:spacing w:line="360" w:lineRule="auto"/>
        <w:jc w:val="center"/>
        <w:rPr>
          <w:sz w:val="24"/>
          <w:szCs w:val="24"/>
          <w:u w:val="single"/>
        </w:rPr>
      </w:pPr>
      <w:r w:rsidRPr="001C4C21">
        <w:rPr>
          <w:sz w:val="24"/>
          <w:szCs w:val="24"/>
          <w:u w:val="single"/>
        </w:rPr>
        <w:t>ORDER</w:t>
      </w:r>
    </w:p>
    <w:p w:rsidR="004A419C" w:rsidRDefault="004A419C" w:rsidP="004A419C">
      <w:pPr>
        <w:spacing w:line="360" w:lineRule="auto"/>
        <w:jc w:val="center"/>
        <w:rPr>
          <w:sz w:val="24"/>
          <w:szCs w:val="24"/>
        </w:rPr>
      </w:pPr>
    </w:p>
    <w:p w:rsidR="001C4C21" w:rsidRPr="00225D82" w:rsidRDefault="001C4C21" w:rsidP="004A419C">
      <w:pPr>
        <w:spacing w:line="360" w:lineRule="auto"/>
        <w:jc w:val="center"/>
        <w:rPr>
          <w:sz w:val="24"/>
          <w:szCs w:val="24"/>
        </w:rPr>
      </w:pPr>
    </w:p>
    <w:p w:rsidR="004A419C" w:rsidRPr="00225D82" w:rsidRDefault="004A419C" w:rsidP="004A419C">
      <w:pPr>
        <w:spacing w:line="360" w:lineRule="auto"/>
        <w:rPr>
          <w:sz w:val="24"/>
          <w:szCs w:val="24"/>
        </w:rPr>
      </w:pPr>
      <w:r w:rsidRPr="00225D82">
        <w:rPr>
          <w:sz w:val="24"/>
          <w:szCs w:val="24"/>
        </w:rPr>
        <w:tab/>
      </w:r>
      <w:r w:rsidRPr="00225D82">
        <w:rPr>
          <w:sz w:val="24"/>
          <w:szCs w:val="24"/>
        </w:rPr>
        <w:tab/>
        <w:t>THEREFORE,</w:t>
      </w:r>
    </w:p>
    <w:p w:rsidR="004A419C" w:rsidRPr="00225D82" w:rsidRDefault="004A419C" w:rsidP="004A419C">
      <w:pPr>
        <w:spacing w:line="360" w:lineRule="auto"/>
        <w:rPr>
          <w:sz w:val="24"/>
          <w:szCs w:val="24"/>
        </w:rPr>
      </w:pPr>
    </w:p>
    <w:p w:rsidR="004A419C" w:rsidRPr="00225D82" w:rsidRDefault="004A419C" w:rsidP="004A419C">
      <w:pPr>
        <w:spacing w:line="360" w:lineRule="auto"/>
        <w:rPr>
          <w:sz w:val="24"/>
          <w:szCs w:val="24"/>
        </w:rPr>
      </w:pPr>
      <w:r w:rsidRPr="00225D82">
        <w:rPr>
          <w:sz w:val="24"/>
          <w:szCs w:val="24"/>
        </w:rPr>
        <w:tab/>
      </w:r>
      <w:r w:rsidRPr="00225D82">
        <w:rPr>
          <w:sz w:val="24"/>
          <w:szCs w:val="24"/>
        </w:rPr>
        <w:tab/>
        <w:t>IT IS ORDERED:</w:t>
      </w:r>
    </w:p>
    <w:p w:rsidR="004A419C" w:rsidRPr="00225D82" w:rsidRDefault="004A419C" w:rsidP="004A419C">
      <w:pPr>
        <w:spacing w:line="360" w:lineRule="auto"/>
        <w:rPr>
          <w:sz w:val="24"/>
          <w:szCs w:val="24"/>
        </w:rPr>
      </w:pPr>
    </w:p>
    <w:p w:rsidR="00F90035" w:rsidRPr="00225D82" w:rsidRDefault="004A419C" w:rsidP="004A419C">
      <w:pPr>
        <w:spacing w:line="360" w:lineRule="auto"/>
        <w:rPr>
          <w:sz w:val="24"/>
          <w:szCs w:val="24"/>
        </w:rPr>
      </w:pPr>
      <w:r w:rsidRPr="00225D82">
        <w:rPr>
          <w:sz w:val="24"/>
          <w:szCs w:val="24"/>
        </w:rPr>
        <w:tab/>
      </w:r>
      <w:r w:rsidRPr="00225D82">
        <w:rPr>
          <w:sz w:val="24"/>
          <w:szCs w:val="24"/>
        </w:rPr>
        <w:tab/>
        <w:t>1.</w:t>
      </w:r>
      <w:r w:rsidRPr="00225D82">
        <w:rPr>
          <w:sz w:val="24"/>
          <w:szCs w:val="24"/>
        </w:rPr>
        <w:tab/>
        <w:t xml:space="preserve">That the Complaint filed by </w:t>
      </w:r>
      <w:r w:rsidR="00F90035" w:rsidRPr="00225D82">
        <w:rPr>
          <w:sz w:val="24"/>
          <w:szCs w:val="24"/>
        </w:rPr>
        <w:t>Timothy McLemore against Philadelphia Gas Works at Docket No. C-2013-</w:t>
      </w:r>
      <w:proofErr w:type="gramStart"/>
      <w:r w:rsidR="00F90035" w:rsidRPr="00225D82">
        <w:rPr>
          <w:sz w:val="24"/>
          <w:szCs w:val="24"/>
        </w:rPr>
        <w:t>2393126,</w:t>
      </w:r>
      <w:proofErr w:type="gramEnd"/>
      <w:r w:rsidR="00F90035" w:rsidRPr="00225D82">
        <w:rPr>
          <w:sz w:val="24"/>
          <w:szCs w:val="24"/>
        </w:rPr>
        <w:t xml:space="preserve"> is denied insofar as it seeks a finding that he is not </w:t>
      </w:r>
      <w:r w:rsidR="00F90035" w:rsidRPr="00225D82">
        <w:rPr>
          <w:sz w:val="24"/>
          <w:szCs w:val="24"/>
        </w:rPr>
        <w:lastRenderedPageBreak/>
        <w:t>responsible for the gas bills issued by Philadelphia Gas Works for the months of January, February and March of 2013.</w:t>
      </w:r>
    </w:p>
    <w:p w:rsidR="00F90035" w:rsidRPr="00225D82" w:rsidRDefault="00F90035" w:rsidP="004A419C">
      <w:pPr>
        <w:spacing w:line="360" w:lineRule="auto"/>
        <w:rPr>
          <w:sz w:val="24"/>
          <w:szCs w:val="24"/>
        </w:rPr>
      </w:pPr>
    </w:p>
    <w:p w:rsidR="00F90035" w:rsidRPr="00225D82" w:rsidRDefault="00F90035" w:rsidP="004A419C">
      <w:pPr>
        <w:spacing w:line="360" w:lineRule="auto"/>
        <w:rPr>
          <w:sz w:val="24"/>
          <w:szCs w:val="24"/>
        </w:rPr>
      </w:pPr>
      <w:r w:rsidRPr="00225D82">
        <w:rPr>
          <w:sz w:val="24"/>
          <w:szCs w:val="24"/>
        </w:rPr>
        <w:tab/>
      </w:r>
      <w:r w:rsidRPr="00225D82">
        <w:rPr>
          <w:sz w:val="24"/>
          <w:szCs w:val="24"/>
        </w:rPr>
        <w:tab/>
        <w:t>2.</w:t>
      </w:r>
      <w:r w:rsidRPr="00225D82">
        <w:rPr>
          <w:sz w:val="24"/>
          <w:szCs w:val="24"/>
        </w:rPr>
        <w:tab/>
        <w:t>That the Complaint filed by Timothy McLemore against Philadelphia Gas Works at Docket No. C-2013-</w:t>
      </w:r>
      <w:proofErr w:type="gramStart"/>
      <w:r w:rsidRPr="00225D82">
        <w:rPr>
          <w:sz w:val="24"/>
          <w:szCs w:val="24"/>
        </w:rPr>
        <w:t>2393126,</w:t>
      </w:r>
      <w:proofErr w:type="gramEnd"/>
      <w:r w:rsidRPr="00225D82">
        <w:rPr>
          <w:sz w:val="24"/>
          <w:szCs w:val="24"/>
        </w:rPr>
        <w:t xml:space="preserve"> is granted insofar as it seeks a payment agreement for the arrearage accrued for the Hazel Avenue account.</w:t>
      </w:r>
    </w:p>
    <w:p w:rsidR="00F90035" w:rsidRPr="00225D82" w:rsidRDefault="00F90035" w:rsidP="004A419C">
      <w:pPr>
        <w:spacing w:line="360" w:lineRule="auto"/>
        <w:rPr>
          <w:sz w:val="24"/>
          <w:szCs w:val="24"/>
        </w:rPr>
      </w:pPr>
    </w:p>
    <w:p w:rsidR="00F90035" w:rsidRPr="00225D82" w:rsidRDefault="00F90035" w:rsidP="004A419C">
      <w:pPr>
        <w:spacing w:line="360" w:lineRule="auto"/>
        <w:rPr>
          <w:sz w:val="24"/>
          <w:szCs w:val="24"/>
        </w:rPr>
      </w:pPr>
      <w:r w:rsidRPr="00225D82">
        <w:rPr>
          <w:sz w:val="24"/>
          <w:szCs w:val="24"/>
        </w:rPr>
        <w:tab/>
      </w:r>
      <w:r w:rsidRPr="00225D82">
        <w:rPr>
          <w:sz w:val="24"/>
          <w:szCs w:val="24"/>
        </w:rPr>
        <w:tab/>
        <w:t>3.</w:t>
      </w:r>
      <w:r w:rsidRPr="00225D82">
        <w:rPr>
          <w:sz w:val="24"/>
          <w:szCs w:val="24"/>
        </w:rPr>
        <w:tab/>
        <w:t>That Philadelphia Gas Works shall offer Timothy McLemore a payment agreement consisting of actual usage plus 1/60</w:t>
      </w:r>
      <w:r w:rsidRPr="00225D82">
        <w:rPr>
          <w:sz w:val="24"/>
          <w:szCs w:val="24"/>
          <w:vertAlign w:val="superscript"/>
        </w:rPr>
        <w:t>th</w:t>
      </w:r>
      <w:r w:rsidRPr="00225D82">
        <w:rPr>
          <w:sz w:val="24"/>
          <w:szCs w:val="24"/>
        </w:rPr>
        <w:t xml:space="preserve"> of the outstanding arrearage for the Hazel Avenue account, or budget billing plus 1/60</w:t>
      </w:r>
      <w:r w:rsidRPr="00225D82">
        <w:rPr>
          <w:sz w:val="24"/>
          <w:szCs w:val="24"/>
          <w:vertAlign w:val="superscript"/>
        </w:rPr>
        <w:t>th</w:t>
      </w:r>
      <w:r w:rsidRPr="00225D82">
        <w:rPr>
          <w:sz w:val="24"/>
          <w:szCs w:val="24"/>
        </w:rPr>
        <w:t xml:space="preserve"> of the outstanding arrearage for the Hazel Avenue account.</w:t>
      </w:r>
    </w:p>
    <w:p w:rsidR="00F90035" w:rsidRPr="00225D82" w:rsidRDefault="00F90035" w:rsidP="004A419C">
      <w:pPr>
        <w:spacing w:line="360" w:lineRule="auto"/>
        <w:rPr>
          <w:sz w:val="24"/>
          <w:szCs w:val="24"/>
        </w:rPr>
      </w:pPr>
    </w:p>
    <w:p w:rsidR="00F90035" w:rsidRPr="00225D82" w:rsidRDefault="00F90035" w:rsidP="004A419C">
      <w:pPr>
        <w:spacing w:line="360" w:lineRule="auto"/>
        <w:rPr>
          <w:sz w:val="24"/>
          <w:szCs w:val="24"/>
        </w:rPr>
      </w:pPr>
      <w:r w:rsidRPr="00225D82">
        <w:rPr>
          <w:sz w:val="24"/>
          <w:szCs w:val="24"/>
        </w:rPr>
        <w:tab/>
      </w:r>
      <w:r w:rsidRPr="00225D82">
        <w:rPr>
          <w:sz w:val="24"/>
          <w:szCs w:val="24"/>
        </w:rPr>
        <w:tab/>
        <w:t>4.</w:t>
      </w:r>
      <w:r w:rsidRPr="00225D82">
        <w:rPr>
          <w:sz w:val="24"/>
          <w:szCs w:val="24"/>
        </w:rPr>
        <w:tab/>
        <w:t>That Philadelphia Gas Works shall not terminate the service to the Hazel Avenue account based on the arrearage of the account so long as Timothy McLemore makes timely payments for the account, including the payment agreement amount.</w:t>
      </w:r>
    </w:p>
    <w:p w:rsidR="00F90035" w:rsidRPr="00225D82" w:rsidRDefault="00F90035" w:rsidP="004A419C">
      <w:pPr>
        <w:spacing w:line="360" w:lineRule="auto"/>
        <w:rPr>
          <w:sz w:val="24"/>
          <w:szCs w:val="24"/>
        </w:rPr>
      </w:pPr>
    </w:p>
    <w:p w:rsidR="004A419C" w:rsidRPr="00225D82" w:rsidRDefault="00F90035" w:rsidP="004A419C">
      <w:pPr>
        <w:spacing w:line="360" w:lineRule="auto"/>
        <w:rPr>
          <w:sz w:val="24"/>
          <w:szCs w:val="24"/>
        </w:rPr>
      </w:pPr>
      <w:r w:rsidRPr="00225D82">
        <w:rPr>
          <w:sz w:val="24"/>
          <w:szCs w:val="24"/>
        </w:rPr>
        <w:tab/>
      </w:r>
      <w:r w:rsidRPr="00225D82">
        <w:rPr>
          <w:sz w:val="24"/>
          <w:szCs w:val="24"/>
        </w:rPr>
        <w:tab/>
        <w:t>5.</w:t>
      </w:r>
      <w:r w:rsidRPr="00225D82">
        <w:rPr>
          <w:sz w:val="24"/>
          <w:szCs w:val="24"/>
        </w:rPr>
        <w:tab/>
      </w:r>
      <w:r w:rsidR="004A419C" w:rsidRPr="00225D82">
        <w:rPr>
          <w:sz w:val="24"/>
          <w:szCs w:val="24"/>
        </w:rPr>
        <w:t xml:space="preserve"> </w:t>
      </w:r>
      <w:r w:rsidRPr="00225D82">
        <w:rPr>
          <w:sz w:val="24"/>
          <w:szCs w:val="24"/>
        </w:rPr>
        <w:t>That Philadelphia Gas Works shall cease to charge the 1/60</w:t>
      </w:r>
      <w:r w:rsidRPr="00225D82">
        <w:rPr>
          <w:sz w:val="24"/>
          <w:szCs w:val="24"/>
          <w:vertAlign w:val="superscript"/>
        </w:rPr>
        <w:t>th</w:t>
      </w:r>
      <w:r w:rsidRPr="00225D82">
        <w:rPr>
          <w:sz w:val="24"/>
          <w:szCs w:val="24"/>
        </w:rPr>
        <w:t xml:space="preserve"> amount of the arrearage as soon as the arrearage is paid off.</w:t>
      </w:r>
    </w:p>
    <w:p w:rsidR="00F90035" w:rsidRPr="00225D82" w:rsidRDefault="00F90035" w:rsidP="004A419C">
      <w:pPr>
        <w:spacing w:line="360" w:lineRule="auto"/>
        <w:rPr>
          <w:sz w:val="24"/>
          <w:szCs w:val="24"/>
        </w:rPr>
      </w:pPr>
    </w:p>
    <w:p w:rsidR="00F90035" w:rsidRPr="00225D82" w:rsidRDefault="00F90035" w:rsidP="004A419C">
      <w:pPr>
        <w:spacing w:line="360" w:lineRule="auto"/>
        <w:rPr>
          <w:sz w:val="24"/>
          <w:szCs w:val="24"/>
        </w:rPr>
      </w:pPr>
      <w:r w:rsidRPr="00225D82">
        <w:rPr>
          <w:sz w:val="24"/>
          <w:szCs w:val="24"/>
        </w:rPr>
        <w:tab/>
      </w:r>
      <w:r w:rsidRPr="00225D82">
        <w:rPr>
          <w:sz w:val="24"/>
          <w:szCs w:val="24"/>
        </w:rPr>
        <w:tab/>
        <w:t>6.</w:t>
      </w:r>
      <w:r w:rsidRPr="00225D82">
        <w:rPr>
          <w:sz w:val="24"/>
          <w:szCs w:val="24"/>
        </w:rPr>
        <w:tab/>
        <w:t xml:space="preserve">That the Secretary </w:t>
      </w:r>
      <w:proofErr w:type="gramStart"/>
      <w:r w:rsidRPr="00225D82">
        <w:rPr>
          <w:sz w:val="24"/>
          <w:szCs w:val="24"/>
        </w:rPr>
        <w:t>mark</w:t>
      </w:r>
      <w:proofErr w:type="gramEnd"/>
      <w:r w:rsidRPr="00225D82">
        <w:rPr>
          <w:sz w:val="24"/>
          <w:szCs w:val="24"/>
        </w:rPr>
        <w:t xml:space="preserve"> this docket closed.</w:t>
      </w:r>
    </w:p>
    <w:p w:rsidR="00F90035" w:rsidRDefault="00F90035" w:rsidP="004A419C">
      <w:pPr>
        <w:spacing w:line="360" w:lineRule="auto"/>
        <w:rPr>
          <w:sz w:val="24"/>
          <w:szCs w:val="24"/>
        </w:rPr>
      </w:pPr>
    </w:p>
    <w:p w:rsidR="00277980" w:rsidRPr="00225D82" w:rsidRDefault="00277980" w:rsidP="004A419C">
      <w:pPr>
        <w:spacing w:line="360" w:lineRule="auto"/>
        <w:rPr>
          <w:sz w:val="24"/>
          <w:szCs w:val="24"/>
        </w:rPr>
      </w:pPr>
    </w:p>
    <w:p w:rsidR="00F90035" w:rsidRPr="00225D82" w:rsidRDefault="00F90035" w:rsidP="00F90035">
      <w:pPr>
        <w:rPr>
          <w:sz w:val="24"/>
          <w:szCs w:val="24"/>
        </w:rPr>
      </w:pPr>
      <w:r w:rsidRPr="00225D82">
        <w:rPr>
          <w:sz w:val="24"/>
          <w:szCs w:val="24"/>
        </w:rPr>
        <w:t>Dated:</w:t>
      </w:r>
      <w:r w:rsidRPr="00225D82">
        <w:rPr>
          <w:sz w:val="24"/>
          <w:szCs w:val="24"/>
        </w:rPr>
        <w:tab/>
      </w:r>
      <w:r w:rsidRPr="00225D82">
        <w:rPr>
          <w:sz w:val="24"/>
          <w:szCs w:val="24"/>
          <w:u w:val="single"/>
        </w:rPr>
        <w:t>May 7, 2014</w:t>
      </w:r>
      <w:r w:rsidRPr="00225D82">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t>___</w:t>
      </w:r>
      <w:r w:rsidRPr="00225D82">
        <w:rPr>
          <w:sz w:val="24"/>
          <w:szCs w:val="24"/>
          <w:u w:val="single"/>
        </w:rPr>
        <w:t>/s/</w:t>
      </w:r>
      <w:r w:rsidRPr="00225D82">
        <w:rPr>
          <w:sz w:val="24"/>
          <w:szCs w:val="24"/>
        </w:rPr>
        <w:t>__________________________</w:t>
      </w:r>
    </w:p>
    <w:p w:rsidR="00F90035" w:rsidRPr="00225D82" w:rsidRDefault="00F90035" w:rsidP="00F90035">
      <w:pPr>
        <w:rPr>
          <w:sz w:val="24"/>
          <w:szCs w:val="24"/>
        </w:rPr>
      </w:pPr>
      <w:r w:rsidRPr="00225D82">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t>Susan D. Colwell</w:t>
      </w:r>
    </w:p>
    <w:p w:rsidR="00F90035" w:rsidRPr="00225D82" w:rsidRDefault="00F90035" w:rsidP="00F90035">
      <w:pPr>
        <w:rPr>
          <w:sz w:val="24"/>
          <w:szCs w:val="24"/>
        </w:rPr>
      </w:pPr>
      <w:r w:rsidRPr="00225D82">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r>
      <w:r w:rsidRPr="00225D82">
        <w:rPr>
          <w:sz w:val="24"/>
          <w:szCs w:val="24"/>
        </w:rPr>
        <w:tab/>
        <w:t>Administrative Law Judge</w:t>
      </w:r>
    </w:p>
    <w:p w:rsidR="004728C1" w:rsidRPr="00225D82" w:rsidRDefault="004728C1" w:rsidP="005E5E5A">
      <w:pPr>
        <w:spacing w:line="360" w:lineRule="auto"/>
        <w:rPr>
          <w:b/>
          <w:sz w:val="24"/>
          <w:szCs w:val="24"/>
        </w:rPr>
      </w:pPr>
    </w:p>
    <w:p w:rsidR="004728C1" w:rsidRPr="00225D82" w:rsidRDefault="004728C1" w:rsidP="005E5E5A">
      <w:pPr>
        <w:spacing w:line="360" w:lineRule="auto"/>
        <w:rPr>
          <w:sz w:val="24"/>
          <w:szCs w:val="24"/>
        </w:rPr>
      </w:pPr>
      <w:r w:rsidRPr="00225D82">
        <w:rPr>
          <w:b/>
          <w:sz w:val="24"/>
          <w:szCs w:val="24"/>
        </w:rPr>
        <w:tab/>
      </w:r>
      <w:r w:rsidRPr="00225D82">
        <w:rPr>
          <w:b/>
          <w:sz w:val="24"/>
          <w:szCs w:val="24"/>
        </w:rPr>
        <w:tab/>
      </w:r>
    </w:p>
    <w:p w:rsidR="004728C1" w:rsidRPr="00225D82" w:rsidRDefault="004728C1" w:rsidP="005E5E5A">
      <w:pPr>
        <w:spacing w:line="360" w:lineRule="auto"/>
        <w:rPr>
          <w:sz w:val="24"/>
          <w:szCs w:val="24"/>
        </w:rPr>
      </w:pPr>
      <w:r w:rsidRPr="00225D82">
        <w:rPr>
          <w:sz w:val="24"/>
          <w:szCs w:val="24"/>
        </w:rPr>
        <w:tab/>
      </w:r>
      <w:r w:rsidRPr="00225D82">
        <w:rPr>
          <w:sz w:val="24"/>
          <w:szCs w:val="24"/>
        </w:rPr>
        <w:tab/>
      </w:r>
    </w:p>
    <w:p w:rsidR="002620CD" w:rsidRPr="00225D82" w:rsidRDefault="002620CD" w:rsidP="005E5E5A">
      <w:pPr>
        <w:spacing w:line="360" w:lineRule="auto"/>
        <w:rPr>
          <w:sz w:val="24"/>
          <w:szCs w:val="24"/>
        </w:rPr>
      </w:pPr>
    </w:p>
    <w:p w:rsidR="002620CD" w:rsidRPr="00225D82" w:rsidRDefault="002620CD" w:rsidP="005E5E5A">
      <w:pPr>
        <w:spacing w:line="360" w:lineRule="auto"/>
        <w:rPr>
          <w:sz w:val="24"/>
          <w:szCs w:val="24"/>
        </w:rPr>
      </w:pPr>
      <w:r w:rsidRPr="00225D82">
        <w:rPr>
          <w:sz w:val="24"/>
          <w:szCs w:val="24"/>
        </w:rPr>
        <w:tab/>
      </w:r>
      <w:r w:rsidRPr="00225D82">
        <w:rPr>
          <w:sz w:val="24"/>
          <w:szCs w:val="24"/>
        </w:rPr>
        <w:tab/>
      </w:r>
    </w:p>
    <w:p w:rsidR="00B86E3B" w:rsidRPr="00225D82" w:rsidRDefault="00B86E3B" w:rsidP="005E5E5A">
      <w:pPr>
        <w:spacing w:line="360" w:lineRule="auto"/>
        <w:rPr>
          <w:sz w:val="24"/>
          <w:szCs w:val="24"/>
        </w:rPr>
      </w:pPr>
    </w:p>
    <w:p w:rsidR="004756D3" w:rsidRPr="00225D82" w:rsidRDefault="004756D3" w:rsidP="005E5E5A">
      <w:pPr>
        <w:spacing w:line="360" w:lineRule="auto"/>
        <w:rPr>
          <w:sz w:val="24"/>
          <w:szCs w:val="24"/>
        </w:rPr>
      </w:pPr>
    </w:p>
    <w:sectPr w:rsidR="004756D3" w:rsidRPr="00225D82" w:rsidSect="0024306D">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9C7" w:rsidRDefault="000E39C7" w:rsidP="0024306D">
      <w:r>
        <w:separator/>
      </w:r>
    </w:p>
  </w:endnote>
  <w:endnote w:type="continuationSeparator" w:id="0">
    <w:p w:rsidR="000E39C7" w:rsidRDefault="000E39C7" w:rsidP="0024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3650919"/>
      <w:docPartObj>
        <w:docPartGallery w:val="Page Numbers (Bottom of Page)"/>
        <w:docPartUnique/>
      </w:docPartObj>
    </w:sdtPr>
    <w:sdtEndPr>
      <w:rPr>
        <w:noProof/>
      </w:rPr>
    </w:sdtEndPr>
    <w:sdtContent>
      <w:p w:rsidR="0024306D" w:rsidRPr="00384F7E" w:rsidRDefault="0024306D" w:rsidP="00384F7E">
        <w:pPr>
          <w:pStyle w:val="Footer"/>
          <w:jc w:val="center"/>
          <w:rPr>
            <w:sz w:val="20"/>
            <w:szCs w:val="20"/>
          </w:rPr>
        </w:pPr>
        <w:r w:rsidRPr="00384F7E">
          <w:rPr>
            <w:sz w:val="20"/>
            <w:szCs w:val="20"/>
          </w:rPr>
          <w:fldChar w:fldCharType="begin"/>
        </w:r>
        <w:r w:rsidRPr="00384F7E">
          <w:rPr>
            <w:sz w:val="20"/>
            <w:szCs w:val="20"/>
          </w:rPr>
          <w:instrText xml:space="preserve"> PAGE   \* MERGEFORMAT </w:instrText>
        </w:r>
        <w:r w:rsidRPr="00384F7E">
          <w:rPr>
            <w:sz w:val="20"/>
            <w:szCs w:val="20"/>
          </w:rPr>
          <w:fldChar w:fldCharType="separate"/>
        </w:r>
        <w:r w:rsidR="004578C4">
          <w:rPr>
            <w:noProof/>
            <w:sz w:val="20"/>
            <w:szCs w:val="20"/>
          </w:rPr>
          <w:t>14</w:t>
        </w:r>
        <w:r w:rsidRPr="00384F7E">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9C7" w:rsidRDefault="000E39C7" w:rsidP="0024306D">
      <w:r>
        <w:separator/>
      </w:r>
    </w:p>
  </w:footnote>
  <w:footnote w:type="continuationSeparator" w:id="0">
    <w:p w:rsidR="000E39C7" w:rsidRDefault="000E39C7" w:rsidP="00243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6D3"/>
    <w:rsid w:val="00001E3A"/>
    <w:rsid w:val="00001EF6"/>
    <w:rsid w:val="000028EA"/>
    <w:rsid w:val="000033F3"/>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5D7A"/>
    <w:rsid w:val="00086449"/>
    <w:rsid w:val="000902E3"/>
    <w:rsid w:val="0009043B"/>
    <w:rsid w:val="00091F08"/>
    <w:rsid w:val="0009220F"/>
    <w:rsid w:val="00092B4E"/>
    <w:rsid w:val="00092E44"/>
    <w:rsid w:val="0009318F"/>
    <w:rsid w:val="000931F7"/>
    <w:rsid w:val="00093562"/>
    <w:rsid w:val="00093D93"/>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39C7"/>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BE"/>
    <w:rsid w:val="00152FD8"/>
    <w:rsid w:val="001537E3"/>
    <w:rsid w:val="00153C39"/>
    <w:rsid w:val="00154F0C"/>
    <w:rsid w:val="0015537D"/>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323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593D"/>
    <w:rsid w:val="001B6470"/>
    <w:rsid w:val="001B760E"/>
    <w:rsid w:val="001C0410"/>
    <w:rsid w:val="001C054D"/>
    <w:rsid w:val="001C2234"/>
    <w:rsid w:val="001C4C21"/>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5D82"/>
    <w:rsid w:val="00227A4A"/>
    <w:rsid w:val="00230CC6"/>
    <w:rsid w:val="002337D7"/>
    <w:rsid w:val="00234DEB"/>
    <w:rsid w:val="0023584A"/>
    <w:rsid w:val="00236C44"/>
    <w:rsid w:val="00240343"/>
    <w:rsid w:val="002403E6"/>
    <w:rsid w:val="002422D0"/>
    <w:rsid w:val="0024306D"/>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0CD"/>
    <w:rsid w:val="00262A17"/>
    <w:rsid w:val="00262AF8"/>
    <w:rsid w:val="00263AD5"/>
    <w:rsid w:val="0026705F"/>
    <w:rsid w:val="002704DD"/>
    <w:rsid w:val="00270AF3"/>
    <w:rsid w:val="0027207B"/>
    <w:rsid w:val="0027210A"/>
    <w:rsid w:val="002748C2"/>
    <w:rsid w:val="002752C3"/>
    <w:rsid w:val="00275659"/>
    <w:rsid w:val="002761E2"/>
    <w:rsid w:val="00277591"/>
    <w:rsid w:val="00277980"/>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3FD3"/>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56EC"/>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091E"/>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4F7E"/>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3F4457"/>
    <w:rsid w:val="00401386"/>
    <w:rsid w:val="004017C5"/>
    <w:rsid w:val="004047B1"/>
    <w:rsid w:val="00404E55"/>
    <w:rsid w:val="0040584C"/>
    <w:rsid w:val="00406807"/>
    <w:rsid w:val="004078EF"/>
    <w:rsid w:val="00407C2F"/>
    <w:rsid w:val="0041082C"/>
    <w:rsid w:val="00411425"/>
    <w:rsid w:val="00413B28"/>
    <w:rsid w:val="00413BA5"/>
    <w:rsid w:val="00413DAC"/>
    <w:rsid w:val="004158C5"/>
    <w:rsid w:val="0041623E"/>
    <w:rsid w:val="00416A3B"/>
    <w:rsid w:val="00416AB2"/>
    <w:rsid w:val="00421203"/>
    <w:rsid w:val="004212AA"/>
    <w:rsid w:val="004222CB"/>
    <w:rsid w:val="00423359"/>
    <w:rsid w:val="004245A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578C4"/>
    <w:rsid w:val="00460024"/>
    <w:rsid w:val="00460031"/>
    <w:rsid w:val="00460140"/>
    <w:rsid w:val="0046238B"/>
    <w:rsid w:val="004625E8"/>
    <w:rsid w:val="00464B18"/>
    <w:rsid w:val="00465D71"/>
    <w:rsid w:val="00466D15"/>
    <w:rsid w:val="0047070D"/>
    <w:rsid w:val="004728C1"/>
    <w:rsid w:val="004756D3"/>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19C"/>
    <w:rsid w:val="004A4B6C"/>
    <w:rsid w:val="004A5318"/>
    <w:rsid w:val="004A5D57"/>
    <w:rsid w:val="004A6184"/>
    <w:rsid w:val="004A741E"/>
    <w:rsid w:val="004B0321"/>
    <w:rsid w:val="004B1ADE"/>
    <w:rsid w:val="004B2625"/>
    <w:rsid w:val="004B570B"/>
    <w:rsid w:val="004B652A"/>
    <w:rsid w:val="004B7DB2"/>
    <w:rsid w:val="004C015B"/>
    <w:rsid w:val="004C125D"/>
    <w:rsid w:val="004C1ABF"/>
    <w:rsid w:val="004C2CDF"/>
    <w:rsid w:val="004C30D2"/>
    <w:rsid w:val="004C3AE2"/>
    <w:rsid w:val="004C4C1E"/>
    <w:rsid w:val="004C657C"/>
    <w:rsid w:val="004D0BE0"/>
    <w:rsid w:val="004D14F0"/>
    <w:rsid w:val="004D1505"/>
    <w:rsid w:val="004D17DF"/>
    <w:rsid w:val="004D38F8"/>
    <w:rsid w:val="004D4A68"/>
    <w:rsid w:val="004D5646"/>
    <w:rsid w:val="004D6D13"/>
    <w:rsid w:val="004D6DCE"/>
    <w:rsid w:val="004D6EC5"/>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375B"/>
    <w:rsid w:val="00504F92"/>
    <w:rsid w:val="00505551"/>
    <w:rsid w:val="005078B3"/>
    <w:rsid w:val="00510A28"/>
    <w:rsid w:val="00511C54"/>
    <w:rsid w:val="00512162"/>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3B30"/>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A7B58"/>
    <w:rsid w:val="005B3D45"/>
    <w:rsid w:val="005B4CB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E5E5A"/>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5A0E"/>
    <w:rsid w:val="00616232"/>
    <w:rsid w:val="006200CF"/>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6FA4"/>
    <w:rsid w:val="006A177A"/>
    <w:rsid w:val="006A1A5D"/>
    <w:rsid w:val="006A2CF4"/>
    <w:rsid w:val="006A3267"/>
    <w:rsid w:val="006A4533"/>
    <w:rsid w:val="006A5968"/>
    <w:rsid w:val="006A5F8B"/>
    <w:rsid w:val="006A600F"/>
    <w:rsid w:val="006B1A6D"/>
    <w:rsid w:val="006B210B"/>
    <w:rsid w:val="006B2B00"/>
    <w:rsid w:val="006B2FA8"/>
    <w:rsid w:val="006B3210"/>
    <w:rsid w:val="006B3E08"/>
    <w:rsid w:val="006B49AE"/>
    <w:rsid w:val="006B529B"/>
    <w:rsid w:val="006C35A5"/>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1D7B"/>
    <w:rsid w:val="00732046"/>
    <w:rsid w:val="007335EB"/>
    <w:rsid w:val="007337E0"/>
    <w:rsid w:val="007344C3"/>
    <w:rsid w:val="00736C31"/>
    <w:rsid w:val="00741D06"/>
    <w:rsid w:val="0074239D"/>
    <w:rsid w:val="00742CE1"/>
    <w:rsid w:val="0074372C"/>
    <w:rsid w:val="00744C7C"/>
    <w:rsid w:val="00745862"/>
    <w:rsid w:val="00746657"/>
    <w:rsid w:val="0074687F"/>
    <w:rsid w:val="00746973"/>
    <w:rsid w:val="0074777A"/>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5DB8"/>
    <w:rsid w:val="00786FA8"/>
    <w:rsid w:val="00787AF1"/>
    <w:rsid w:val="0079132B"/>
    <w:rsid w:val="0079360E"/>
    <w:rsid w:val="00795245"/>
    <w:rsid w:val="007960A8"/>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E6C8C"/>
    <w:rsid w:val="007F07AF"/>
    <w:rsid w:val="007F2A44"/>
    <w:rsid w:val="007F6E2B"/>
    <w:rsid w:val="007F7699"/>
    <w:rsid w:val="007F773D"/>
    <w:rsid w:val="008003C8"/>
    <w:rsid w:val="00802118"/>
    <w:rsid w:val="00804065"/>
    <w:rsid w:val="008047DD"/>
    <w:rsid w:val="00805D96"/>
    <w:rsid w:val="0080611B"/>
    <w:rsid w:val="00806213"/>
    <w:rsid w:val="008121D7"/>
    <w:rsid w:val="00812B80"/>
    <w:rsid w:val="008168A2"/>
    <w:rsid w:val="00820421"/>
    <w:rsid w:val="0082103B"/>
    <w:rsid w:val="008213E7"/>
    <w:rsid w:val="00821687"/>
    <w:rsid w:val="0082217D"/>
    <w:rsid w:val="00822A40"/>
    <w:rsid w:val="008236C7"/>
    <w:rsid w:val="00823E67"/>
    <w:rsid w:val="0082478D"/>
    <w:rsid w:val="00826045"/>
    <w:rsid w:val="008307DB"/>
    <w:rsid w:val="00830A48"/>
    <w:rsid w:val="00833331"/>
    <w:rsid w:val="00833C36"/>
    <w:rsid w:val="00834B96"/>
    <w:rsid w:val="00836409"/>
    <w:rsid w:val="00836415"/>
    <w:rsid w:val="00836B47"/>
    <w:rsid w:val="00840A53"/>
    <w:rsid w:val="00841152"/>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A6FC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0068"/>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430"/>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04DC"/>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08C5"/>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4A38"/>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2731"/>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15E"/>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20D"/>
    <w:rsid w:val="00A7646D"/>
    <w:rsid w:val="00A77155"/>
    <w:rsid w:val="00A77757"/>
    <w:rsid w:val="00A77C4C"/>
    <w:rsid w:val="00A8008F"/>
    <w:rsid w:val="00A8092D"/>
    <w:rsid w:val="00A80D3B"/>
    <w:rsid w:val="00A80E74"/>
    <w:rsid w:val="00A851A4"/>
    <w:rsid w:val="00A86BD8"/>
    <w:rsid w:val="00A8787E"/>
    <w:rsid w:val="00A87EDF"/>
    <w:rsid w:val="00A90218"/>
    <w:rsid w:val="00A90897"/>
    <w:rsid w:val="00A909E1"/>
    <w:rsid w:val="00A90C67"/>
    <w:rsid w:val="00A92B4B"/>
    <w:rsid w:val="00A93509"/>
    <w:rsid w:val="00A935BC"/>
    <w:rsid w:val="00A940DD"/>
    <w:rsid w:val="00A9585F"/>
    <w:rsid w:val="00A969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60B"/>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475B"/>
    <w:rsid w:val="00B459AF"/>
    <w:rsid w:val="00B475B6"/>
    <w:rsid w:val="00B55869"/>
    <w:rsid w:val="00B567F1"/>
    <w:rsid w:val="00B569FA"/>
    <w:rsid w:val="00B56A06"/>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E3B"/>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442E"/>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94E"/>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328"/>
    <w:rsid w:val="00C14B96"/>
    <w:rsid w:val="00C158D4"/>
    <w:rsid w:val="00C206BC"/>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4534"/>
    <w:rsid w:val="00C613E2"/>
    <w:rsid w:val="00C621E3"/>
    <w:rsid w:val="00C6430C"/>
    <w:rsid w:val="00C64E24"/>
    <w:rsid w:val="00C65047"/>
    <w:rsid w:val="00C653CC"/>
    <w:rsid w:val="00C665D4"/>
    <w:rsid w:val="00C67E56"/>
    <w:rsid w:val="00C73CE1"/>
    <w:rsid w:val="00C74775"/>
    <w:rsid w:val="00C75F67"/>
    <w:rsid w:val="00C76F9B"/>
    <w:rsid w:val="00C77064"/>
    <w:rsid w:val="00C80AB6"/>
    <w:rsid w:val="00C81963"/>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67AD"/>
    <w:rsid w:val="00CC74BD"/>
    <w:rsid w:val="00CD0768"/>
    <w:rsid w:val="00CD3CC4"/>
    <w:rsid w:val="00CD788F"/>
    <w:rsid w:val="00CE047D"/>
    <w:rsid w:val="00CE1017"/>
    <w:rsid w:val="00CE358A"/>
    <w:rsid w:val="00CE373E"/>
    <w:rsid w:val="00CE43AF"/>
    <w:rsid w:val="00CE577D"/>
    <w:rsid w:val="00CE639A"/>
    <w:rsid w:val="00CE665D"/>
    <w:rsid w:val="00CE6758"/>
    <w:rsid w:val="00CE7731"/>
    <w:rsid w:val="00CE77E8"/>
    <w:rsid w:val="00CF096F"/>
    <w:rsid w:val="00CF1226"/>
    <w:rsid w:val="00CF329F"/>
    <w:rsid w:val="00CF6106"/>
    <w:rsid w:val="00CF6A79"/>
    <w:rsid w:val="00CF73D7"/>
    <w:rsid w:val="00D00AAE"/>
    <w:rsid w:val="00D02D5A"/>
    <w:rsid w:val="00D03B9D"/>
    <w:rsid w:val="00D0498A"/>
    <w:rsid w:val="00D065E6"/>
    <w:rsid w:val="00D06F2D"/>
    <w:rsid w:val="00D103F2"/>
    <w:rsid w:val="00D10843"/>
    <w:rsid w:val="00D11B6A"/>
    <w:rsid w:val="00D13B2D"/>
    <w:rsid w:val="00D154A5"/>
    <w:rsid w:val="00D15660"/>
    <w:rsid w:val="00D16E7D"/>
    <w:rsid w:val="00D17731"/>
    <w:rsid w:val="00D17D52"/>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0AF"/>
    <w:rsid w:val="00D73BC0"/>
    <w:rsid w:val="00D76C93"/>
    <w:rsid w:val="00D80799"/>
    <w:rsid w:val="00D81512"/>
    <w:rsid w:val="00D84747"/>
    <w:rsid w:val="00D84BD3"/>
    <w:rsid w:val="00D85346"/>
    <w:rsid w:val="00D90E7B"/>
    <w:rsid w:val="00D91EDC"/>
    <w:rsid w:val="00D92D94"/>
    <w:rsid w:val="00D961DB"/>
    <w:rsid w:val="00DA0625"/>
    <w:rsid w:val="00DA373C"/>
    <w:rsid w:val="00DA3748"/>
    <w:rsid w:val="00DA4C82"/>
    <w:rsid w:val="00DA57C6"/>
    <w:rsid w:val="00DA596E"/>
    <w:rsid w:val="00DA671A"/>
    <w:rsid w:val="00DA756A"/>
    <w:rsid w:val="00DA7819"/>
    <w:rsid w:val="00DA78D9"/>
    <w:rsid w:val="00DA7E64"/>
    <w:rsid w:val="00DA7E6E"/>
    <w:rsid w:val="00DB0399"/>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3202"/>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515C"/>
    <w:rsid w:val="00DF63EB"/>
    <w:rsid w:val="00DF78BC"/>
    <w:rsid w:val="00E0212C"/>
    <w:rsid w:val="00E02A20"/>
    <w:rsid w:val="00E030AE"/>
    <w:rsid w:val="00E04587"/>
    <w:rsid w:val="00E04BCC"/>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290"/>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39D"/>
    <w:rsid w:val="00E519D9"/>
    <w:rsid w:val="00E536DE"/>
    <w:rsid w:val="00E538E6"/>
    <w:rsid w:val="00E5535A"/>
    <w:rsid w:val="00E553E9"/>
    <w:rsid w:val="00E563DF"/>
    <w:rsid w:val="00E569B2"/>
    <w:rsid w:val="00E577FD"/>
    <w:rsid w:val="00E608C6"/>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67D"/>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33A4"/>
    <w:rsid w:val="00F748DD"/>
    <w:rsid w:val="00F76633"/>
    <w:rsid w:val="00F77EEC"/>
    <w:rsid w:val="00F81710"/>
    <w:rsid w:val="00F81FF7"/>
    <w:rsid w:val="00F83E64"/>
    <w:rsid w:val="00F86EF9"/>
    <w:rsid w:val="00F86FB1"/>
    <w:rsid w:val="00F87E61"/>
    <w:rsid w:val="00F90035"/>
    <w:rsid w:val="00F9058E"/>
    <w:rsid w:val="00F908E0"/>
    <w:rsid w:val="00F90B86"/>
    <w:rsid w:val="00F9237A"/>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33E8"/>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6D3"/>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06D"/>
    <w:pPr>
      <w:tabs>
        <w:tab w:val="center" w:pos="4680"/>
        <w:tab w:val="right" w:pos="9360"/>
      </w:tabs>
    </w:pPr>
  </w:style>
  <w:style w:type="character" w:customStyle="1" w:styleId="HeaderChar">
    <w:name w:val="Header Char"/>
    <w:basedOn w:val="DefaultParagraphFont"/>
    <w:link w:val="Header"/>
    <w:uiPriority w:val="99"/>
    <w:rsid w:val="0024306D"/>
    <w:rPr>
      <w:rFonts w:eastAsia="Times New Roman"/>
      <w:sz w:val="26"/>
      <w:szCs w:val="26"/>
    </w:rPr>
  </w:style>
  <w:style w:type="paragraph" w:styleId="Footer">
    <w:name w:val="footer"/>
    <w:basedOn w:val="Normal"/>
    <w:link w:val="FooterChar"/>
    <w:uiPriority w:val="99"/>
    <w:unhideWhenUsed/>
    <w:rsid w:val="0024306D"/>
    <w:pPr>
      <w:tabs>
        <w:tab w:val="center" w:pos="4680"/>
        <w:tab w:val="right" w:pos="9360"/>
      </w:tabs>
    </w:pPr>
  </w:style>
  <w:style w:type="character" w:customStyle="1" w:styleId="FooterChar">
    <w:name w:val="Footer Char"/>
    <w:basedOn w:val="DefaultParagraphFont"/>
    <w:link w:val="Footer"/>
    <w:uiPriority w:val="99"/>
    <w:rsid w:val="0024306D"/>
    <w:rPr>
      <w:rFonts w:eastAsia="Times New Roman"/>
      <w:sz w:val="26"/>
      <w:szCs w:val="26"/>
    </w:rPr>
  </w:style>
  <w:style w:type="paragraph" w:styleId="BalloonText">
    <w:name w:val="Balloon Text"/>
    <w:basedOn w:val="Normal"/>
    <w:link w:val="BalloonTextChar"/>
    <w:uiPriority w:val="99"/>
    <w:semiHidden/>
    <w:unhideWhenUsed/>
    <w:rsid w:val="00C206BC"/>
    <w:rPr>
      <w:rFonts w:ascii="Tahoma" w:hAnsi="Tahoma" w:cs="Tahoma"/>
      <w:sz w:val="16"/>
      <w:szCs w:val="16"/>
    </w:rPr>
  </w:style>
  <w:style w:type="character" w:customStyle="1" w:styleId="BalloonTextChar">
    <w:name w:val="Balloon Text Char"/>
    <w:basedOn w:val="DefaultParagraphFont"/>
    <w:link w:val="BalloonText"/>
    <w:uiPriority w:val="99"/>
    <w:semiHidden/>
    <w:rsid w:val="00C206B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6D3"/>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06D"/>
    <w:pPr>
      <w:tabs>
        <w:tab w:val="center" w:pos="4680"/>
        <w:tab w:val="right" w:pos="9360"/>
      </w:tabs>
    </w:pPr>
  </w:style>
  <w:style w:type="character" w:customStyle="1" w:styleId="HeaderChar">
    <w:name w:val="Header Char"/>
    <w:basedOn w:val="DefaultParagraphFont"/>
    <w:link w:val="Header"/>
    <w:uiPriority w:val="99"/>
    <w:rsid w:val="0024306D"/>
    <w:rPr>
      <w:rFonts w:eastAsia="Times New Roman"/>
      <w:sz w:val="26"/>
      <w:szCs w:val="26"/>
    </w:rPr>
  </w:style>
  <w:style w:type="paragraph" w:styleId="Footer">
    <w:name w:val="footer"/>
    <w:basedOn w:val="Normal"/>
    <w:link w:val="FooterChar"/>
    <w:uiPriority w:val="99"/>
    <w:unhideWhenUsed/>
    <w:rsid w:val="0024306D"/>
    <w:pPr>
      <w:tabs>
        <w:tab w:val="center" w:pos="4680"/>
        <w:tab w:val="right" w:pos="9360"/>
      </w:tabs>
    </w:pPr>
  </w:style>
  <w:style w:type="character" w:customStyle="1" w:styleId="FooterChar">
    <w:name w:val="Footer Char"/>
    <w:basedOn w:val="DefaultParagraphFont"/>
    <w:link w:val="Footer"/>
    <w:uiPriority w:val="99"/>
    <w:rsid w:val="0024306D"/>
    <w:rPr>
      <w:rFonts w:eastAsia="Times New Roman"/>
      <w:sz w:val="26"/>
      <w:szCs w:val="26"/>
    </w:rPr>
  </w:style>
  <w:style w:type="paragraph" w:styleId="BalloonText">
    <w:name w:val="Balloon Text"/>
    <w:basedOn w:val="Normal"/>
    <w:link w:val="BalloonTextChar"/>
    <w:uiPriority w:val="99"/>
    <w:semiHidden/>
    <w:unhideWhenUsed/>
    <w:rsid w:val="00C206BC"/>
    <w:rPr>
      <w:rFonts w:ascii="Tahoma" w:hAnsi="Tahoma" w:cs="Tahoma"/>
      <w:sz w:val="16"/>
      <w:szCs w:val="16"/>
    </w:rPr>
  </w:style>
  <w:style w:type="character" w:customStyle="1" w:styleId="BalloonTextChar">
    <w:name w:val="Balloon Text Char"/>
    <w:basedOn w:val="DefaultParagraphFont"/>
    <w:link w:val="BalloonText"/>
    <w:uiPriority w:val="99"/>
    <w:semiHidden/>
    <w:rsid w:val="00C206B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3543</Words>
  <Characters>20198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2014-05-13T19:05:00Z</cp:lastPrinted>
  <dcterms:created xsi:type="dcterms:W3CDTF">2014-05-16T19:25:00Z</dcterms:created>
  <dcterms:modified xsi:type="dcterms:W3CDTF">2014-05-16T19:25:00Z</dcterms:modified>
</cp:coreProperties>
</file>