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PENNSYLVANIA</w:t>
      </w:r>
    </w:p>
    <w:p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PUBLIC UTILITY COMMISSION</w:t>
      </w:r>
    </w:p>
    <w:p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Harrisburg, PA 17105-3265</w:t>
      </w:r>
    </w:p>
    <w:p w:rsidR="00F44833" w:rsidRPr="003F7EE6" w:rsidRDefault="00F44833" w:rsidP="00F44833">
      <w:pPr>
        <w:tabs>
          <w:tab w:val="left" w:pos="-720"/>
        </w:tabs>
        <w:suppressAutoHyphens/>
        <w:spacing w:after="0" w:line="240" w:lineRule="auto"/>
        <w:jc w:val="both"/>
        <w:rPr>
          <w:rFonts w:ascii="Times New Roman" w:eastAsia="Times New Roman" w:hAnsi="Times New Roman" w:cs="Times New Roman"/>
          <w:spacing w:val="-3"/>
          <w:sz w:val="26"/>
          <w:szCs w:val="26"/>
        </w:rPr>
      </w:pPr>
    </w:p>
    <w:p w:rsidR="00F44833" w:rsidRPr="003F7EE6" w:rsidRDefault="00F44833" w:rsidP="00F44833">
      <w:pPr>
        <w:tabs>
          <w:tab w:val="left" w:pos="-720"/>
        </w:tabs>
        <w:suppressAutoHyphens/>
        <w:spacing w:after="0" w:line="240" w:lineRule="auto"/>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Public Meeting held </w:t>
      </w:r>
      <w:r w:rsidR="00F46F47">
        <w:rPr>
          <w:rFonts w:ascii="Times New Roman" w:eastAsia="Times New Roman" w:hAnsi="Times New Roman" w:cs="Times New Roman"/>
          <w:sz w:val="26"/>
          <w:szCs w:val="26"/>
        </w:rPr>
        <w:t>May 22</w:t>
      </w:r>
      <w:r w:rsidRPr="003F7EE6">
        <w:rPr>
          <w:rFonts w:ascii="Times New Roman" w:eastAsia="Times New Roman" w:hAnsi="Times New Roman" w:cs="Times New Roman"/>
          <w:sz w:val="26"/>
          <w:szCs w:val="26"/>
        </w:rPr>
        <w:t xml:space="preserve">, 2014 </w:t>
      </w: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Commissioners Present: </w:t>
      </w: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t>Robert F. Powelson, Chairman</w:t>
      </w: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t>John F. Coleman, Jr., Vice Chairman</w:t>
      </w: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t>James H. Cawley</w:t>
      </w: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t>Pamela A. Witmer</w:t>
      </w: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t>Gladys M. Brown</w:t>
      </w: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tbl>
      <w:tblPr>
        <w:tblW w:w="9648" w:type="dxa"/>
        <w:tblLayout w:type="fixed"/>
        <w:tblLook w:val="0000" w:firstRow="0" w:lastRow="0" w:firstColumn="0" w:lastColumn="0" w:noHBand="0" w:noVBand="0"/>
      </w:tblPr>
      <w:tblGrid>
        <w:gridCol w:w="5238"/>
        <w:gridCol w:w="1080"/>
        <w:gridCol w:w="3330"/>
      </w:tblGrid>
      <w:tr w:rsidR="00F44833" w:rsidRPr="003F7EE6" w:rsidTr="008A0FC5">
        <w:tc>
          <w:tcPr>
            <w:tcW w:w="5238" w:type="dxa"/>
          </w:tcPr>
          <w:p w:rsidR="00F44833" w:rsidRPr="003F7EE6" w:rsidRDefault="00F44833" w:rsidP="008A0FC5">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Pennsylvania Public Utility Commission,</w:t>
            </w:r>
          </w:p>
          <w:p w:rsidR="00F44833" w:rsidRPr="003F7EE6" w:rsidRDefault="00F46F47" w:rsidP="008A0FC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Law </w:t>
            </w:r>
            <w:r w:rsidR="00F44833" w:rsidRPr="003F7EE6">
              <w:rPr>
                <w:rFonts w:ascii="Times New Roman" w:eastAsia="Times New Roman" w:hAnsi="Times New Roman" w:cs="Times New Roman"/>
                <w:sz w:val="26"/>
                <w:szCs w:val="26"/>
              </w:rPr>
              <w:t>Bureau</w:t>
            </w:r>
            <w:r>
              <w:rPr>
                <w:rFonts w:ascii="Times New Roman" w:eastAsia="Times New Roman" w:hAnsi="Times New Roman" w:cs="Times New Roman"/>
                <w:sz w:val="26"/>
                <w:szCs w:val="26"/>
              </w:rPr>
              <w:t xml:space="preserve"> Prosecutory Staff</w:t>
            </w:r>
            <w:r w:rsidR="00F44833" w:rsidRPr="003F7EE6">
              <w:rPr>
                <w:rFonts w:ascii="Times New Roman" w:eastAsia="Times New Roman" w:hAnsi="Times New Roman" w:cs="Times New Roman"/>
                <w:sz w:val="26"/>
                <w:szCs w:val="26"/>
              </w:rPr>
              <w:t xml:space="preserve">  </w:t>
            </w:r>
          </w:p>
          <w:p w:rsidR="00F44833" w:rsidRPr="003F7EE6" w:rsidRDefault="00F44833" w:rsidP="008A0FC5">
            <w:pPr>
              <w:spacing w:after="0" w:line="240" w:lineRule="auto"/>
              <w:rPr>
                <w:rFonts w:ascii="Times New Roman" w:eastAsia="Times New Roman" w:hAnsi="Times New Roman" w:cs="Times New Roman"/>
                <w:sz w:val="26"/>
                <w:szCs w:val="26"/>
              </w:rPr>
            </w:pPr>
          </w:p>
          <w:p w:rsidR="00F44833" w:rsidRPr="003F7EE6" w:rsidRDefault="00F44833" w:rsidP="008A0FC5">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v.</w:t>
            </w:r>
          </w:p>
          <w:p w:rsidR="00F44833" w:rsidRPr="003F7EE6" w:rsidRDefault="00F44833" w:rsidP="008A0FC5">
            <w:pPr>
              <w:spacing w:after="0" w:line="240" w:lineRule="auto"/>
              <w:rPr>
                <w:rFonts w:ascii="Times New Roman" w:eastAsia="Times New Roman" w:hAnsi="Times New Roman" w:cs="Times New Roman"/>
                <w:sz w:val="26"/>
                <w:szCs w:val="26"/>
              </w:rPr>
            </w:pPr>
          </w:p>
          <w:p w:rsidR="00F44833" w:rsidRPr="003F7EE6" w:rsidRDefault="00F46F47" w:rsidP="008A0FC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Duquesne Light Company</w:t>
            </w:r>
          </w:p>
          <w:p w:rsidR="00F44833" w:rsidRPr="003F7EE6" w:rsidRDefault="00F44833" w:rsidP="008A0FC5">
            <w:pPr>
              <w:spacing w:after="0" w:line="240" w:lineRule="auto"/>
              <w:rPr>
                <w:rFonts w:ascii="Times New Roman" w:eastAsia="Times New Roman" w:hAnsi="Times New Roman" w:cs="Times New Roman"/>
                <w:sz w:val="26"/>
                <w:szCs w:val="26"/>
              </w:rPr>
            </w:pPr>
          </w:p>
        </w:tc>
        <w:tc>
          <w:tcPr>
            <w:tcW w:w="1080" w:type="dxa"/>
          </w:tcPr>
          <w:p w:rsidR="00F44833" w:rsidRPr="003F7EE6" w:rsidRDefault="00F44833" w:rsidP="008A0FC5">
            <w:pPr>
              <w:suppressAutoHyphens/>
              <w:spacing w:after="0" w:line="240" w:lineRule="auto"/>
              <w:rPr>
                <w:rFonts w:ascii="Times New Roman" w:eastAsia="Times New Roman" w:hAnsi="Times New Roman" w:cs="Times New Roman"/>
                <w:sz w:val="26"/>
                <w:szCs w:val="26"/>
              </w:rPr>
            </w:pPr>
          </w:p>
        </w:tc>
        <w:tc>
          <w:tcPr>
            <w:tcW w:w="3330" w:type="dxa"/>
          </w:tcPr>
          <w:p w:rsidR="00F44833" w:rsidRPr="003F7EE6" w:rsidRDefault="00F46F47" w:rsidP="008A0FC5">
            <w:pPr>
              <w:suppressAutoHyphens/>
              <w:spacing w:after="0" w:line="240" w:lineRule="auto"/>
              <w:ind w:right="252"/>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M-2014</w:t>
            </w:r>
            <w:r w:rsidR="00F44833" w:rsidRPr="003F7EE6">
              <w:rPr>
                <w:rFonts w:ascii="Times New Roman" w:eastAsia="Times New Roman" w:hAnsi="Times New Roman" w:cs="Times New Roman"/>
                <w:sz w:val="26"/>
                <w:szCs w:val="26"/>
              </w:rPr>
              <w:t>-2</w:t>
            </w:r>
            <w:r>
              <w:rPr>
                <w:rFonts w:ascii="Times New Roman" w:eastAsia="Times New Roman" w:hAnsi="Times New Roman" w:cs="Times New Roman"/>
                <w:sz w:val="26"/>
                <w:szCs w:val="26"/>
              </w:rPr>
              <w:t>165364</w:t>
            </w:r>
          </w:p>
          <w:p w:rsidR="00F44833" w:rsidRPr="003F7EE6" w:rsidRDefault="00F44833" w:rsidP="008A0FC5">
            <w:pPr>
              <w:suppressAutoHyphens/>
              <w:spacing w:after="0" w:line="240" w:lineRule="auto"/>
              <w:rPr>
                <w:rFonts w:ascii="Times New Roman" w:eastAsia="Times New Roman" w:hAnsi="Times New Roman" w:cs="Times New Roman"/>
                <w:sz w:val="26"/>
                <w:szCs w:val="26"/>
              </w:rPr>
            </w:pPr>
          </w:p>
        </w:tc>
      </w:tr>
    </w:tbl>
    <w:p w:rsidR="00F44833" w:rsidRPr="003F7EE6" w:rsidRDefault="00F44833" w:rsidP="00F44833">
      <w:pPr>
        <w:keepNext/>
        <w:tabs>
          <w:tab w:val="center" w:pos="4680"/>
        </w:tabs>
        <w:suppressAutoHyphens/>
        <w:spacing w:after="0" w:line="360" w:lineRule="auto"/>
        <w:outlineLvl w:val="0"/>
        <w:rPr>
          <w:rFonts w:ascii="CG Times" w:eastAsia="Times New Roman" w:hAnsi="CG Times" w:cs="Times New Roman"/>
          <w:b/>
          <w:sz w:val="26"/>
          <w:szCs w:val="20"/>
        </w:rPr>
      </w:pPr>
      <w:r w:rsidRPr="003F7EE6">
        <w:rPr>
          <w:rFonts w:ascii="CG Times" w:eastAsia="Times New Roman" w:hAnsi="CG Times" w:cs="Times New Roman"/>
          <w:b/>
          <w:sz w:val="26"/>
          <w:szCs w:val="20"/>
        </w:rPr>
        <w:tab/>
      </w:r>
    </w:p>
    <w:p w:rsidR="00F44833" w:rsidRPr="003F7EE6" w:rsidRDefault="00F44833" w:rsidP="00F44833">
      <w:pPr>
        <w:keepNext/>
        <w:tabs>
          <w:tab w:val="center" w:pos="4680"/>
        </w:tabs>
        <w:suppressAutoHyphens/>
        <w:spacing w:after="0" w:line="360" w:lineRule="auto"/>
        <w:jc w:val="center"/>
        <w:outlineLvl w:val="0"/>
        <w:rPr>
          <w:rFonts w:ascii="Times New Roman" w:eastAsia="Times New Roman" w:hAnsi="Times New Roman" w:cs="Times New Roman"/>
          <w:b/>
          <w:caps/>
          <w:sz w:val="26"/>
          <w:szCs w:val="20"/>
        </w:rPr>
      </w:pPr>
      <w:r w:rsidRPr="003F7EE6">
        <w:rPr>
          <w:rFonts w:ascii="Times New Roman" w:eastAsia="Times New Roman" w:hAnsi="Times New Roman" w:cs="Times New Roman"/>
          <w:b/>
          <w:caps/>
          <w:sz w:val="26"/>
          <w:szCs w:val="20"/>
        </w:rPr>
        <w:t>Opinion and Order</w:t>
      </w:r>
    </w:p>
    <w:p w:rsidR="00F44833" w:rsidRPr="003F7EE6" w:rsidRDefault="00F44833" w:rsidP="00F44833">
      <w:pPr>
        <w:tabs>
          <w:tab w:val="left" w:pos="-720"/>
        </w:tabs>
        <w:suppressAutoHyphens/>
        <w:spacing w:after="0" w:line="360" w:lineRule="auto"/>
        <w:rPr>
          <w:rFonts w:ascii="Times New Roman" w:eastAsia="Times New Roman" w:hAnsi="Times New Roman" w:cs="Times New Roman"/>
          <w:b/>
          <w:sz w:val="26"/>
          <w:szCs w:val="26"/>
        </w:rPr>
      </w:pPr>
    </w:p>
    <w:p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BY THE COMMISSION:</w:t>
      </w:r>
    </w:p>
    <w:p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p>
    <w:p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Before the Pennsylvania Public Utility Commission (Commission) for consideration and disposition is a proposed Settlement Agreement (Settlement) filed on </w:t>
      </w:r>
      <w:r w:rsidR="00F46F47">
        <w:rPr>
          <w:rFonts w:ascii="Times New Roman" w:eastAsia="Times New Roman" w:hAnsi="Times New Roman" w:cs="Times New Roman"/>
          <w:sz w:val="26"/>
          <w:szCs w:val="26"/>
        </w:rPr>
        <w:t>April 1, 2014</w:t>
      </w:r>
      <w:r w:rsidRPr="003F7EE6">
        <w:rPr>
          <w:rFonts w:ascii="Times New Roman" w:eastAsia="Times New Roman" w:hAnsi="Times New Roman" w:cs="Times New Roman"/>
          <w:sz w:val="26"/>
          <w:szCs w:val="26"/>
        </w:rPr>
        <w:t xml:space="preserve">, by the Commission’s </w:t>
      </w:r>
      <w:r w:rsidR="00F46F47">
        <w:rPr>
          <w:rFonts w:ascii="Times New Roman" w:eastAsia="Times New Roman" w:hAnsi="Times New Roman" w:cs="Times New Roman"/>
          <w:sz w:val="26"/>
          <w:szCs w:val="26"/>
        </w:rPr>
        <w:t xml:space="preserve">Law </w:t>
      </w:r>
      <w:r w:rsidRPr="003F7EE6">
        <w:rPr>
          <w:rFonts w:ascii="Times New Roman" w:eastAsia="Times New Roman" w:hAnsi="Times New Roman" w:cs="Times New Roman"/>
          <w:sz w:val="26"/>
          <w:szCs w:val="26"/>
        </w:rPr>
        <w:t xml:space="preserve">Bureau </w:t>
      </w:r>
      <w:r w:rsidR="00F46F47">
        <w:rPr>
          <w:rFonts w:ascii="Times New Roman" w:eastAsia="Times New Roman" w:hAnsi="Times New Roman" w:cs="Times New Roman"/>
          <w:sz w:val="26"/>
          <w:szCs w:val="26"/>
        </w:rPr>
        <w:t>Prosecutory Staff</w:t>
      </w:r>
      <w:r w:rsidRPr="003F7EE6">
        <w:rPr>
          <w:rFonts w:ascii="Times New Roman" w:eastAsia="Times New Roman" w:hAnsi="Times New Roman" w:cs="Times New Roman"/>
          <w:sz w:val="26"/>
          <w:szCs w:val="26"/>
        </w:rPr>
        <w:t xml:space="preserve"> (</w:t>
      </w:r>
      <w:r w:rsidR="00F46F47">
        <w:rPr>
          <w:rFonts w:ascii="Times New Roman" w:eastAsia="Times New Roman" w:hAnsi="Times New Roman" w:cs="Times New Roman"/>
          <w:sz w:val="26"/>
          <w:szCs w:val="26"/>
        </w:rPr>
        <w:t>LBPS</w:t>
      </w:r>
      <w:r w:rsidRPr="003F7EE6">
        <w:rPr>
          <w:rFonts w:ascii="Times New Roman" w:eastAsia="Times New Roman" w:hAnsi="Times New Roman" w:cs="Times New Roman"/>
          <w:sz w:val="26"/>
          <w:szCs w:val="26"/>
        </w:rPr>
        <w:t xml:space="preserve">) and </w:t>
      </w:r>
      <w:r w:rsidR="00F46F47">
        <w:rPr>
          <w:rFonts w:ascii="Times New Roman" w:eastAsia="Times New Roman" w:hAnsi="Times New Roman" w:cs="Times New Roman"/>
          <w:sz w:val="26"/>
          <w:szCs w:val="26"/>
        </w:rPr>
        <w:t>Duquesne Light Company</w:t>
      </w:r>
      <w:r w:rsidRPr="003F7EE6">
        <w:rPr>
          <w:rFonts w:ascii="Times New Roman" w:eastAsia="Times New Roman" w:hAnsi="Times New Roman" w:cs="Times New Roman"/>
          <w:sz w:val="26"/>
          <w:szCs w:val="26"/>
        </w:rPr>
        <w:t xml:space="preserve"> (</w:t>
      </w:r>
      <w:r w:rsidR="00F46F47">
        <w:rPr>
          <w:rFonts w:ascii="Times New Roman" w:eastAsia="Times New Roman" w:hAnsi="Times New Roman" w:cs="Times New Roman"/>
          <w:sz w:val="26"/>
          <w:szCs w:val="26"/>
        </w:rPr>
        <w:t>Duquesne</w:t>
      </w:r>
      <w:r w:rsidRPr="003F7EE6">
        <w:rPr>
          <w:rFonts w:ascii="Times New Roman" w:eastAsia="Times New Roman" w:hAnsi="Times New Roman" w:cs="Times New Roman"/>
          <w:sz w:val="26"/>
          <w:szCs w:val="26"/>
        </w:rPr>
        <w:t xml:space="preserve"> or Company) (collectively, </w:t>
      </w:r>
      <w:r w:rsidR="00DD62AF">
        <w:rPr>
          <w:rFonts w:ascii="Times New Roman" w:eastAsia="Times New Roman" w:hAnsi="Times New Roman" w:cs="Times New Roman"/>
          <w:sz w:val="26"/>
          <w:szCs w:val="26"/>
        </w:rPr>
        <w:t>the Parties), with respect to</w:t>
      </w:r>
      <w:r w:rsidRPr="003F7EE6">
        <w:rPr>
          <w:rFonts w:ascii="Times New Roman" w:eastAsia="Times New Roman" w:hAnsi="Times New Roman" w:cs="Times New Roman"/>
          <w:sz w:val="26"/>
          <w:szCs w:val="26"/>
        </w:rPr>
        <w:t xml:space="preserve"> </w:t>
      </w:r>
      <w:r w:rsidR="00F46F47">
        <w:rPr>
          <w:rFonts w:ascii="Times New Roman" w:eastAsia="Times New Roman" w:hAnsi="Times New Roman" w:cs="Times New Roman"/>
          <w:sz w:val="26"/>
          <w:szCs w:val="26"/>
        </w:rPr>
        <w:t xml:space="preserve">an </w:t>
      </w:r>
      <w:r w:rsidRPr="003F7EE6">
        <w:rPr>
          <w:rFonts w:ascii="Times New Roman" w:eastAsia="Times New Roman" w:hAnsi="Times New Roman" w:cs="Times New Roman"/>
          <w:sz w:val="26"/>
          <w:szCs w:val="26"/>
        </w:rPr>
        <w:t xml:space="preserve">Informal Investigation conducted by </w:t>
      </w:r>
      <w:r w:rsidR="00F46F47">
        <w:rPr>
          <w:rFonts w:ascii="Times New Roman" w:eastAsia="Times New Roman" w:hAnsi="Times New Roman" w:cs="Times New Roman"/>
          <w:sz w:val="26"/>
          <w:szCs w:val="26"/>
        </w:rPr>
        <w:t>LBPS</w:t>
      </w:r>
      <w:r w:rsidRPr="003F7EE6">
        <w:rPr>
          <w:rFonts w:ascii="Times New Roman" w:eastAsia="Times New Roman" w:hAnsi="Times New Roman" w:cs="Times New Roman"/>
          <w:sz w:val="26"/>
          <w:szCs w:val="26"/>
        </w:rPr>
        <w:t xml:space="preserve">.  </w:t>
      </w:r>
      <w:r w:rsidR="00F46F47">
        <w:rPr>
          <w:rFonts w:ascii="Times New Roman" w:eastAsia="Times New Roman" w:hAnsi="Times New Roman" w:cs="Times New Roman"/>
          <w:sz w:val="26"/>
          <w:szCs w:val="26"/>
        </w:rPr>
        <w:t>Contained within the body of the Settlement is a</w:t>
      </w:r>
      <w:r w:rsidRPr="003F7EE6">
        <w:rPr>
          <w:rFonts w:ascii="Times New Roman" w:eastAsia="Times New Roman" w:hAnsi="Times New Roman" w:cs="Times New Roman"/>
          <w:sz w:val="26"/>
          <w:szCs w:val="26"/>
        </w:rPr>
        <w:t xml:space="preserve"> Statement in Support.  </w:t>
      </w:r>
      <w:r w:rsidR="00957DAA">
        <w:rPr>
          <w:rFonts w:ascii="Times New Roman" w:eastAsia="Times New Roman" w:hAnsi="Times New Roman" w:cs="Times New Roman"/>
          <w:sz w:val="26"/>
          <w:szCs w:val="26"/>
        </w:rPr>
        <w:t>The Parties</w:t>
      </w:r>
      <w:r w:rsidRPr="003F7EE6">
        <w:rPr>
          <w:rFonts w:ascii="Times New Roman" w:eastAsia="Times New Roman" w:hAnsi="Times New Roman" w:cs="Times New Roman"/>
          <w:sz w:val="26"/>
          <w:szCs w:val="26"/>
        </w:rPr>
        <w:t xml:space="preserve"> submit that the Settlement is in the public interest and is consistent with the Commission’s Policy Statement at 52 Pa. Code §</w:t>
      </w:r>
      <w:r w:rsidR="003A695E">
        <w:rPr>
          <w:rFonts w:ascii="Times New Roman" w:eastAsia="Times New Roman" w:hAnsi="Times New Roman" w:cs="Times New Roman"/>
          <w:sz w:val="26"/>
          <w:szCs w:val="26"/>
        </w:rPr>
        <w:t> </w:t>
      </w:r>
      <w:r w:rsidRPr="003F7EE6">
        <w:rPr>
          <w:rFonts w:ascii="Times New Roman" w:eastAsia="Times New Roman" w:hAnsi="Times New Roman" w:cs="Times New Roman"/>
          <w:sz w:val="26"/>
          <w:szCs w:val="26"/>
        </w:rPr>
        <w:t xml:space="preserve">69.1201, </w:t>
      </w:r>
      <w:r w:rsidRPr="003F7EE6">
        <w:rPr>
          <w:rFonts w:ascii="Times New Roman" w:eastAsia="Times New Roman" w:hAnsi="Times New Roman" w:cs="Times New Roman"/>
          <w:i/>
          <w:sz w:val="26"/>
          <w:szCs w:val="26"/>
        </w:rPr>
        <w:t xml:space="preserve">Factors and standards for evaluating litigated and settled proceedings involving </w:t>
      </w:r>
      <w:r w:rsidRPr="003F7EE6">
        <w:rPr>
          <w:rFonts w:ascii="Times New Roman" w:eastAsia="Times New Roman" w:hAnsi="Times New Roman" w:cs="Times New Roman"/>
          <w:i/>
          <w:sz w:val="26"/>
          <w:szCs w:val="26"/>
        </w:rPr>
        <w:lastRenderedPageBreak/>
        <w:t>violations of the Public Utility Code and Commission regulations—statement of policy</w:t>
      </w:r>
      <w:r w:rsidR="00DD62AF">
        <w:rPr>
          <w:rFonts w:ascii="Times New Roman" w:eastAsia="Times New Roman" w:hAnsi="Times New Roman" w:cs="Times New Roman"/>
          <w:sz w:val="26"/>
          <w:szCs w:val="26"/>
        </w:rPr>
        <w:t xml:space="preserve">.  </w:t>
      </w:r>
      <w:r w:rsidR="00957DAA">
        <w:rPr>
          <w:rFonts w:ascii="Times New Roman" w:eastAsia="Times New Roman" w:hAnsi="Times New Roman" w:cs="Times New Roman"/>
          <w:sz w:val="26"/>
          <w:szCs w:val="26"/>
        </w:rPr>
        <w:t>Settlement</w:t>
      </w:r>
      <w:r w:rsidR="00DD62AF">
        <w:rPr>
          <w:rFonts w:ascii="Times New Roman" w:eastAsia="Times New Roman" w:hAnsi="Times New Roman" w:cs="Times New Roman"/>
          <w:sz w:val="26"/>
          <w:szCs w:val="26"/>
        </w:rPr>
        <w:t xml:space="preserve"> at </w:t>
      </w:r>
      <w:r w:rsidR="00957DAA">
        <w:rPr>
          <w:rFonts w:ascii="Times New Roman" w:eastAsia="Times New Roman" w:hAnsi="Times New Roman" w:cs="Times New Roman"/>
          <w:sz w:val="26"/>
          <w:szCs w:val="26"/>
        </w:rPr>
        <w:t>5-8</w:t>
      </w:r>
      <w:r w:rsidRPr="003F7EE6">
        <w:rPr>
          <w:rFonts w:ascii="Times New Roman" w:eastAsia="Times New Roman" w:hAnsi="Times New Roman" w:cs="Times New Roman"/>
          <w:sz w:val="26"/>
          <w:szCs w:val="26"/>
        </w:rPr>
        <w:t xml:space="preserve">.  We will </w:t>
      </w:r>
      <w:r w:rsidR="00957DAA">
        <w:rPr>
          <w:rFonts w:ascii="Times New Roman" w:eastAsia="Times New Roman" w:hAnsi="Times New Roman" w:cs="Times New Roman"/>
          <w:sz w:val="26"/>
          <w:szCs w:val="26"/>
        </w:rPr>
        <w:t>issue the Settlement for comment</w:t>
      </w:r>
      <w:r w:rsidR="003A695E">
        <w:rPr>
          <w:rFonts w:ascii="Times New Roman" w:eastAsia="Times New Roman" w:hAnsi="Times New Roman" w:cs="Times New Roman"/>
          <w:sz w:val="26"/>
          <w:szCs w:val="26"/>
        </w:rPr>
        <w:t>.</w:t>
      </w:r>
    </w:p>
    <w:p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p>
    <w:p w:rsidR="00F44833" w:rsidRPr="003F7EE6" w:rsidRDefault="00A30ECF" w:rsidP="00F44833">
      <w:pPr>
        <w:tabs>
          <w:tab w:val="left" w:pos="-720"/>
        </w:tabs>
        <w:suppressAutoHyphens/>
        <w:spacing w:after="0" w:line="240" w:lineRule="auto"/>
        <w:ind w:left="1440" w:hanging="144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History of the </w:t>
      </w:r>
      <w:r w:rsidR="0076203D">
        <w:rPr>
          <w:rFonts w:ascii="Times New Roman" w:eastAsia="Times New Roman" w:hAnsi="Times New Roman" w:cs="Times New Roman"/>
          <w:b/>
          <w:sz w:val="26"/>
          <w:szCs w:val="26"/>
        </w:rPr>
        <w:t>Proceeding</w:t>
      </w:r>
    </w:p>
    <w:p w:rsidR="00F44833" w:rsidRPr="003F7EE6" w:rsidRDefault="00F44833" w:rsidP="00F44833">
      <w:pPr>
        <w:tabs>
          <w:tab w:val="center" w:pos="0"/>
        </w:tabs>
        <w:suppressAutoHyphens/>
        <w:spacing w:after="0" w:line="360" w:lineRule="auto"/>
        <w:rPr>
          <w:rFonts w:ascii="Times New Roman" w:eastAsia="Times New Roman" w:hAnsi="Times New Roman" w:cs="Times New Roman"/>
          <w:sz w:val="26"/>
          <w:szCs w:val="26"/>
        </w:rPr>
      </w:pPr>
    </w:p>
    <w:p w:rsidR="0076203D" w:rsidRDefault="00FC773F" w:rsidP="00F44833">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96259F">
        <w:rPr>
          <w:rFonts w:ascii="Times New Roman" w:eastAsia="Times New Roman" w:hAnsi="Times New Roman" w:cs="Times New Roman"/>
          <w:sz w:val="26"/>
          <w:szCs w:val="26"/>
        </w:rPr>
        <w:t xml:space="preserve">On March 19, 2010, LBPS initiated an informal investigation of Duquesne’s real property and disposition practices.  In particular, LBPS investigated the acquisition and disposition of the real property for the </w:t>
      </w:r>
      <w:r w:rsidR="00B5363A">
        <w:rPr>
          <w:rFonts w:ascii="Times New Roman" w:eastAsia="Times New Roman" w:hAnsi="Times New Roman" w:cs="Times New Roman"/>
          <w:sz w:val="26"/>
          <w:szCs w:val="26"/>
        </w:rPr>
        <w:t>“</w:t>
      </w:r>
      <w:r w:rsidR="0096259F">
        <w:rPr>
          <w:rFonts w:ascii="Times New Roman" w:eastAsia="Times New Roman" w:hAnsi="Times New Roman" w:cs="Times New Roman"/>
          <w:sz w:val="26"/>
          <w:szCs w:val="26"/>
        </w:rPr>
        <w:t>Moon-Sewickley tap project, Moon Township, A</w:t>
      </w:r>
      <w:r w:rsidR="00B5363A">
        <w:rPr>
          <w:rFonts w:ascii="Times New Roman" w:eastAsia="Times New Roman" w:hAnsi="Times New Roman" w:cs="Times New Roman"/>
          <w:sz w:val="26"/>
          <w:szCs w:val="26"/>
        </w:rPr>
        <w:t xml:space="preserve">llegheny County, Pennsylvania.”  </w:t>
      </w:r>
      <w:r w:rsidR="00D419FC">
        <w:rPr>
          <w:rFonts w:ascii="Times New Roman" w:eastAsia="Times New Roman" w:hAnsi="Times New Roman" w:cs="Times New Roman"/>
          <w:sz w:val="26"/>
          <w:szCs w:val="26"/>
        </w:rPr>
        <w:t xml:space="preserve">Settlement at 1-2.  </w:t>
      </w:r>
      <w:r w:rsidR="00B5363A">
        <w:rPr>
          <w:rFonts w:ascii="Times New Roman" w:eastAsia="Times New Roman" w:hAnsi="Times New Roman" w:cs="Times New Roman"/>
          <w:sz w:val="26"/>
          <w:szCs w:val="26"/>
        </w:rPr>
        <w:t>During its review, LBPS investigated whether this transaction</w:t>
      </w:r>
      <w:r w:rsidR="00AB2DCB">
        <w:rPr>
          <w:rFonts w:ascii="Times New Roman" w:eastAsia="Times New Roman" w:hAnsi="Times New Roman" w:cs="Times New Roman"/>
          <w:sz w:val="26"/>
          <w:szCs w:val="26"/>
        </w:rPr>
        <w:t>,</w:t>
      </w:r>
      <w:r w:rsidR="00B5363A">
        <w:rPr>
          <w:rFonts w:ascii="Times New Roman" w:eastAsia="Times New Roman" w:hAnsi="Times New Roman" w:cs="Times New Roman"/>
          <w:sz w:val="26"/>
          <w:szCs w:val="26"/>
        </w:rPr>
        <w:t xml:space="preserve"> and the Company’s practices and procedures for acquiring and disposing of real property and obtaining all necessary regulatory approvals</w:t>
      </w:r>
      <w:r w:rsidR="00AB2DCB">
        <w:rPr>
          <w:rFonts w:ascii="Times New Roman" w:eastAsia="Times New Roman" w:hAnsi="Times New Roman" w:cs="Times New Roman"/>
          <w:sz w:val="26"/>
          <w:szCs w:val="26"/>
        </w:rPr>
        <w:t xml:space="preserve"> for</w:t>
      </w:r>
      <w:r w:rsidR="00B4245B">
        <w:rPr>
          <w:rFonts w:ascii="Times New Roman" w:eastAsia="Times New Roman" w:hAnsi="Times New Roman" w:cs="Times New Roman"/>
          <w:sz w:val="26"/>
          <w:szCs w:val="26"/>
        </w:rPr>
        <w:t xml:space="preserve"> such transactions</w:t>
      </w:r>
      <w:r w:rsidR="00AB2DCB">
        <w:rPr>
          <w:rFonts w:ascii="Times New Roman" w:eastAsia="Times New Roman" w:hAnsi="Times New Roman" w:cs="Times New Roman"/>
          <w:sz w:val="26"/>
          <w:szCs w:val="26"/>
        </w:rPr>
        <w:t>,</w:t>
      </w:r>
      <w:r w:rsidR="00B5363A">
        <w:rPr>
          <w:rFonts w:ascii="Times New Roman" w:eastAsia="Times New Roman" w:hAnsi="Times New Roman" w:cs="Times New Roman"/>
          <w:sz w:val="26"/>
          <w:szCs w:val="26"/>
        </w:rPr>
        <w:t xml:space="preserve"> </w:t>
      </w:r>
      <w:r w:rsidR="00D419FC">
        <w:rPr>
          <w:rFonts w:ascii="Times New Roman" w:eastAsia="Times New Roman" w:hAnsi="Times New Roman" w:cs="Times New Roman"/>
          <w:sz w:val="26"/>
          <w:szCs w:val="26"/>
        </w:rPr>
        <w:t>were</w:t>
      </w:r>
      <w:r w:rsidR="00B5363A">
        <w:rPr>
          <w:rFonts w:ascii="Times New Roman" w:eastAsia="Times New Roman" w:hAnsi="Times New Roman" w:cs="Times New Roman"/>
          <w:sz w:val="26"/>
          <w:szCs w:val="26"/>
        </w:rPr>
        <w:t xml:space="preserve"> in compliance with the Public Utility Code (Code), 66 Pa. C.S. §§ 101, </w:t>
      </w:r>
      <w:r w:rsidR="00B5363A">
        <w:rPr>
          <w:rFonts w:ascii="Times New Roman" w:eastAsia="Times New Roman" w:hAnsi="Times New Roman" w:cs="Times New Roman"/>
          <w:i/>
          <w:sz w:val="26"/>
          <w:szCs w:val="26"/>
        </w:rPr>
        <w:t>et seq.</w:t>
      </w:r>
      <w:r w:rsidR="00B5363A">
        <w:rPr>
          <w:rFonts w:ascii="Times New Roman" w:eastAsia="Times New Roman" w:hAnsi="Times New Roman" w:cs="Times New Roman"/>
          <w:sz w:val="26"/>
          <w:szCs w:val="26"/>
        </w:rPr>
        <w:t xml:space="preserve">, and the Commission’s Regulations, 52 Pa. Code §§ 1.1, </w:t>
      </w:r>
      <w:r w:rsidR="009F3EEF">
        <w:rPr>
          <w:rFonts w:ascii="Times New Roman" w:eastAsia="Times New Roman" w:hAnsi="Times New Roman" w:cs="Times New Roman"/>
          <w:i/>
          <w:sz w:val="26"/>
          <w:szCs w:val="26"/>
        </w:rPr>
        <w:t>et seq.</w:t>
      </w:r>
    </w:p>
    <w:p w:rsidR="0076203D" w:rsidRDefault="0076203D" w:rsidP="00F44833">
      <w:pPr>
        <w:tabs>
          <w:tab w:val="center" w:pos="0"/>
        </w:tabs>
        <w:suppressAutoHyphens/>
        <w:spacing w:after="0" w:line="360" w:lineRule="auto"/>
        <w:rPr>
          <w:rFonts w:ascii="Times New Roman" w:eastAsia="Times New Roman" w:hAnsi="Times New Roman" w:cs="Times New Roman"/>
          <w:sz w:val="26"/>
          <w:szCs w:val="26"/>
        </w:rPr>
      </w:pPr>
    </w:p>
    <w:p w:rsidR="008359B7" w:rsidRDefault="0076203D" w:rsidP="008359B7">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026DFB">
        <w:rPr>
          <w:rFonts w:ascii="Times New Roman" w:eastAsia="Times New Roman" w:hAnsi="Times New Roman" w:cs="Times New Roman"/>
          <w:sz w:val="26"/>
          <w:szCs w:val="26"/>
        </w:rPr>
        <w:t>The Parties entered into negotiations and agreed to resolve th</w:t>
      </w:r>
      <w:r w:rsidR="00B316E5">
        <w:rPr>
          <w:rFonts w:ascii="Times New Roman" w:eastAsia="Times New Roman" w:hAnsi="Times New Roman" w:cs="Times New Roman"/>
          <w:sz w:val="26"/>
          <w:szCs w:val="26"/>
        </w:rPr>
        <w:t>is</w:t>
      </w:r>
      <w:r w:rsidR="00026DFB">
        <w:rPr>
          <w:rFonts w:ascii="Times New Roman" w:eastAsia="Times New Roman" w:hAnsi="Times New Roman" w:cs="Times New Roman"/>
          <w:sz w:val="26"/>
          <w:szCs w:val="26"/>
        </w:rPr>
        <w:t xml:space="preserve"> matter in accord with the Commission’s policy to promote settlements at 52 Pa. Code § 5.231.  </w:t>
      </w:r>
      <w:r w:rsidR="00B316E5">
        <w:rPr>
          <w:rFonts w:ascii="Times New Roman" w:eastAsia="Times New Roman" w:hAnsi="Times New Roman" w:cs="Times New Roman"/>
          <w:sz w:val="26"/>
          <w:szCs w:val="26"/>
        </w:rPr>
        <w:t>Settlement at 1</w:t>
      </w:r>
      <w:r w:rsidR="00026DFB">
        <w:rPr>
          <w:rFonts w:ascii="Times New Roman" w:eastAsia="Times New Roman" w:hAnsi="Times New Roman" w:cs="Times New Roman"/>
          <w:sz w:val="26"/>
          <w:szCs w:val="26"/>
        </w:rPr>
        <w:t xml:space="preserve">.  The Parties filed the instant Settlement on </w:t>
      </w:r>
      <w:r w:rsidR="00B316E5">
        <w:rPr>
          <w:rFonts w:ascii="Times New Roman" w:eastAsia="Times New Roman" w:hAnsi="Times New Roman" w:cs="Times New Roman"/>
          <w:sz w:val="26"/>
          <w:szCs w:val="26"/>
        </w:rPr>
        <w:t>April 1, 2014</w:t>
      </w:r>
      <w:r w:rsidR="00026DFB">
        <w:rPr>
          <w:rFonts w:ascii="Times New Roman" w:eastAsia="Times New Roman" w:hAnsi="Times New Roman" w:cs="Times New Roman"/>
          <w:sz w:val="26"/>
          <w:szCs w:val="26"/>
        </w:rPr>
        <w:t xml:space="preserve">.  </w:t>
      </w:r>
      <w:r w:rsidR="00E468B9">
        <w:rPr>
          <w:rFonts w:ascii="Times New Roman" w:eastAsia="Times New Roman" w:hAnsi="Times New Roman" w:cs="Times New Roman"/>
          <w:sz w:val="26"/>
          <w:szCs w:val="26"/>
        </w:rPr>
        <w:t xml:space="preserve">LBPS concurrently filed a Report of Law Bureau Prosecutory Staff’s Informal Investigation of Duquesne Light Company’s Real Property Acquisition and Disposition Practices (Report) on April 1, 2014.  </w:t>
      </w:r>
    </w:p>
    <w:p w:rsidR="008359B7" w:rsidRDefault="008359B7" w:rsidP="008359B7">
      <w:pPr>
        <w:tabs>
          <w:tab w:val="center" w:pos="0"/>
        </w:tabs>
        <w:suppressAutoHyphens/>
        <w:spacing w:after="0" w:line="360" w:lineRule="auto"/>
        <w:rPr>
          <w:rFonts w:ascii="Times New Roman" w:eastAsia="Times New Roman" w:hAnsi="Times New Roman" w:cs="Times New Roman"/>
          <w:sz w:val="26"/>
          <w:szCs w:val="26"/>
        </w:rPr>
      </w:pPr>
    </w:p>
    <w:p w:rsidR="008359B7" w:rsidRDefault="00026DFB" w:rsidP="008359B7">
      <w:pPr>
        <w:tabs>
          <w:tab w:val="center" w:pos="0"/>
        </w:tabs>
        <w:suppressAutoHyphen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Background</w:t>
      </w:r>
    </w:p>
    <w:p w:rsidR="00BC47ED" w:rsidRDefault="00BC47ED" w:rsidP="008359B7">
      <w:pPr>
        <w:tabs>
          <w:tab w:val="center" w:pos="0"/>
        </w:tabs>
        <w:suppressAutoHyphens/>
        <w:spacing w:after="0" w:line="360" w:lineRule="auto"/>
        <w:rPr>
          <w:rFonts w:ascii="Times New Roman" w:eastAsia="Times New Roman" w:hAnsi="Times New Roman" w:cs="Times New Roman"/>
          <w:sz w:val="26"/>
          <w:szCs w:val="26"/>
        </w:rPr>
      </w:pPr>
    </w:p>
    <w:p w:rsidR="00BC47ED" w:rsidRDefault="008359B7" w:rsidP="008359B7">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F260E">
        <w:rPr>
          <w:rFonts w:ascii="Times New Roman" w:eastAsia="Times New Roman" w:hAnsi="Times New Roman" w:cs="Times New Roman"/>
          <w:sz w:val="26"/>
          <w:szCs w:val="26"/>
        </w:rPr>
        <w:t>By letter dated</w:t>
      </w:r>
      <w:r w:rsidR="00B316E5">
        <w:rPr>
          <w:rFonts w:ascii="Times New Roman" w:eastAsia="Times New Roman" w:hAnsi="Times New Roman" w:cs="Times New Roman"/>
          <w:sz w:val="26"/>
          <w:szCs w:val="26"/>
        </w:rPr>
        <w:t xml:space="preserve"> March 19, 2010, LBPS initiated its investigation of Duquesne related to the Company’s acquisition and disposition of real property for the </w:t>
      </w:r>
      <w:r w:rsidR="00B316E5">
        <w:rPr>
          <w:rFonts w:ascii="Times New Roman" w:eastAsia="Times New Roman" w:hAnsi="Times New Roman" w:cs="Times New Roman"/>
          <w:sz w:val="26"/>
          <w:szCs w:val="26"/>
        </w:rPr>
        <w:lastRenderedPageBreak/>
        <w:t>Moon-Sewickley tap project.</w:t>
      </w:r>
      <w:r w:rsidR="00DF260E">
        <w:rPr>
          <w:rStyle w:val="FootnoteReference"/>
          <w:rFonts w:ascii="Times New Roman" w:eastAsia="Times New Roman" w:hAnsi="Times New Roman" w:cs="Times New Roman"/>
          <w:sz w:val="26"/>
          <w:szCs w:val="26"/>
        </w:rPr>
        <w:footnoteReference w:id="1"/>
      </w:r>
      <w:r w:rsidR="00B316E5">
        <w:rPr>
          <w:rFonts w:ascii="Times New Roman" w:eastAsia="Times New Roman" w:hAnsi="Times New Roman" w:cs="Times New Roman"/>
          <w:sz w:val="26"/>
          <w:szCs w:val="26"/>
        </w:rPr>
        <w:t xml:space="preserve">  </w:t>
      </w:r>
      <w:r w:rsidR="00BC47ED">
        <w:rPr>
          <w:rFonts w:ascii="Times New Roman" w:eastAsia="Times New Roman" w:hAnsi="Times New Roman" w:cs="Times New Roman"/>
          <w:sz w:val="26"/>
          <w:szCs w:val="26"/>
        </w:rPr>
        <w:t>Additionally, LBPS’ investigation focused on Duquesne’s general practices and procedures pertaining to real property disposition and acquisition to evaluate compliance with the Code and the Commission’</w:t>
      </w:r>
      <w:r w:rsidR="009F3EEF">
        <w:rPr>
          <w:rFonts w:ascii="Times New Roman" w:eastAsia="Times New Roman" w:hAnsi="Times New Roman" w:cs="Times New Roman"/>
          <w:sz w:val="26"/>
          <w:szCs w:val="26"/>
        </w:rPr>
        <w:t>s Regulations.  Settlement at 1</w:t>
      </w:r>
      <w:r w:rsidR="009F3EEF">
        <w:rPr>
          <w:rFonts w:ascii="Times New Roman" w:eastAsia="Times New Roman" w:hAnsi="Times New Roman" w:cs="Times New Roman"/>
          <w:sz w:val="26"/>
          <w:szCs w:val="26"/>
        </w:rPr>
        <w:noBreakHyphen/>
      </w:r>
      <w:r w:rsidR="00BC47ED">
        <w:rPr>
          <w:rFonts w:ascii="Times New Roman" w:eastAsia="Times New Roman" w:hAnsi="Times New Roman" w:cs="Times New Roman"/>
          <w:sz w:val="26"/>
          <w:szCs w:val="26"/>
        </w:rPr>
        <w:t>2.</w:t>
      </w:r>
    </w:p>
    <w:p w:rsidR="00BC47ED" w:rsidRDefault="00BC47ED" w:rsidP="008359B7">
      <w:pPr>
        <w:tabs>
          <w:tab w:val="center" w:pos="0"/>
        </w:tabs>
        <w:suppressAutoHyphens/>
        <w:spacing w:after="0" w:line="360" w:lineRule="auto"/>
        <w:rPr>
          <w:rFonts w:ascii="Times New Roman" w:eastAsia="Times New Roman" w:hAnsi="Times New Roman" w:cs="Times New Roman"/>
          <w:sz w:val="26"/>
          <w:szCs w:val="26"/>
        </w:rPr>
      </w:pPr>
    </w:p>
    <w:p w:rsidR="00BC47ED" w:rsidRDefault="00BC47ED" w:rsidP="008359B7">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In 1914 and 1915, Duquesne acquired rights-of-way (Easement) across properties located in Moon Township and installed a transmission line and transmission facilities within the Easement in the 1920s.  A portion of the properties was later subdivided into developments with each owner taking title subject to Duquesne’s Easement.  Duquesne’s high tension power line crossed the Property in this proceeding subject to the Easement.  Report at 1-2.</w:t>
      </w:r>
    </w:p>
    <w:p w:rsidR="00BC47ED" w:rsidRDefault="00BC47ED" w:rsidP="008359B7">
      <w:pPr>
        <w:tabs>
          <w:tab w:val="center" w:pos="0"/>
        </w:tabs>
        <w:suppressAutoHyphens/>
        <w:spacing w:after="0" w:line="360" w:lineRule="auto"/>
        <w:rPr>
          <w:rFonts w:ascii="Times New Roman" w:eastAsia="Times New Roman" w:hAnsi="Times New Roman" w:cs="Times New Roman"/>
          <w:sz w:val="26"/>
          <w:szCs w:val="26"/>
        </w:rPr>
      </w:pPr>
    </w:p>
    <w:p w:rsidR="00BC47ED" w:rsidRPr="00A079E5" w:rsidRDefault="00BC47ED" w:rsidP="008359B7">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A079E5">
        <w:rPr>
          <w:rFonts w:ascii="Times New Roman" w:eastAsia="Times New Roman" w:hAnsi="Times New Roman" w:cs="Times New Roman"/>
          <w:sz w:val="26"/>
          <w:szCs w:val="26"/>
        </w:rPr>
        <w:t xml:space="preserve">Beginning around 2007, Duquesne proposed to upgrade its electric transmission lines by building an extension from Moon Township, across the Ohio River, and into Sewickley Borough (Sewickley Loop Project).  The Sewickley Loop Project was designed to connect with the existing transmission line and tower located within the Easement on the Property in Moon Township.  In 2008, Duquesne </w:t>
      </w:r>
      <w:r w:rsidR="002A7A8D">
        <w:rPr>
          <w:rFonts w:ascii="Times New Roman" w:eastAsia="Times New Roman" w:hAnsi="Times New Roman" w:cs="Times New Roman"/>
          <w:sz w:val="26"/>
          <w:szCs w:val="26"/>
        </w:rPr>
        <w:t xml:space="preserve">met with the daughter of </w:t>
      </w:r>
      <w:r w:rsidR="00A079E5">
        <w:rPr>
          <w:rFonts w:ascii="Times New Roman" w:eastAsia="Times New Roman" w:hAnsi="Times New Roman" w:cs="Times New Roman"/>
          <w:sz w:val="26"/>
          <w:szCs w:val="26"/>
        </w:rPr>
        <w:t>the Property owners to discuss the installation of two new towers within the existing Easement on t</w:t>
      </w:r>
      <w:r w:rsidR="002A7A8D">
        <w:rPr>
          <w:rFonts w:ascii="Times New Roman" w:eastAsia="Times New Roman" w:hAnsi="Times New Roman" w:cs="Times New Roman"/>
          <w:sz w:val="26"/>
          <w:szCs w:val="26"/>
        </w:rPr>
        <w:t>he</w:t>
      </w:r>
      <w:r w:rsidR="00A079E5">
        <w:rPr>
          <w:rFonts w:ascii="Times New Roman" w:eastAsia="Times New Roman" w:hAnsi="Times New Roman" w:cs="Times New Roman"/>
          <w:sz w:val="26"/>
          <w:szCs w:val="26"/>
        </w:rPr>
        <w:t xml:space="preserve"> Property and </w:t>
      </w:r>
      <w:r w:rsidR="002A7A8D">
        <w:rPr>
          <w:rFonts w:ascii="Times New Roman" w:eastAsia="Times New Roman" w:hAnsi="Times New Roman" w:cs="Times New Roman"/>
          <w:sz w:val="26"/>
          <w:szCs w:val="26"/>
        </w:rPr>
        <w:t>the connection of</w:t>
      </w:r>
      <w:r w:rsidR="00A079E5">
        <w:rPr>
          <w:rFonts w:ascii="Times New Roman" w:eastAsia="Times New Roman" w:hAnsi="Times New Roman" w:cs="Times New Roman"/>
          <w:sz w:val="26"/>
          <w:szCs w:val="26"/>
        </w:rPr>
        <w:t xml:space="preserve"> the existing transmission line to the Company’s new river-crossing towers.  </w:t>
      </w:r>
      <w:r w:rsidR="002A7A8D">
        <w:rPr>
          <w:rFonts w:ascii="Times New Roman" w:eastAsia="Times New Roman" w:hAnsi="Times New Roman" w:cs="Times New Roman"/>
          <w:sz w:val="26"/>
          <w:szCs w:val="26"/>
        </w:rPr>
        <w:t xml:space="preserve">Because the existing Easement across the Property was insufficient to properly connect the existing transmission line to the new river-crossing towers, Duquesne proposed acquiring an additional right-of-way from the Property owners.  </w:t>
      </w:r>
      <w:r w:rsidR="002A7A8D">
        <w:rPr>
          <w:rFonts w:ascii="Times New Roman" w:eastAsia="Times New Roman" w:hAnsi="Times New Roman" w:cs="Times New Roman"/>
          <w:i/>
          <w:sz w:val="26"/>
          <w:szCs w:val="26"/>
        </w:rPr>
        <w:t xml:space="preserve">Id. </w:t>
      </w:r>
      <w:r w:rsidR="002A7A8D">
        <w:rPr>
          <w:rFonts w:ascii="Times New Roman" w:eastAsia="Times New Roman" w:hAnsi="Times New Roman" w:cs="Times New Roman"/>
          <w:sz w:val="26"/>
          <w:szCs w:val="26"/>
        </w:rPr>
        <w:t>at 2-3.</w:t>
      </w:r>
      <w:r w:rsidR="00782F34">
        <w:rPr>
          <w:rFonts w:ascii="Times New Roman" w:eastAsia="Times New Roman" w:hAnsi="Times New Roman" w:cs="Times New Roman"/>
          <w:sz w:val="26"/>
          <w:szCs w:val="26"/>
        </w:rPr>
        <w:t xml:space="preserve">  </w:t>
      </w:r>
    </w:p>
    <w:p w:rsidR="00BC47ED" w:rsidRDefault="00BC47ED" w:rsidP="008359B7">
      <w:pPr>
        <w:tabs>
          <w:tab w:val="center" w:pos="0"/>
        </w:tabs>
        <w:suppressAutoHyphens/>
        <w:spacing w:after="0" w:line="360" w:lineRule="auto"/>
        <w:rPr>
          <w:rFonts w:ascii="Times New Roman" w:eastAsia="Times New Roman" w:hAnsi="Times New Roman" w:cs="Times New Roman"/>
          <w:sz w:val="26"/>
          <w:szCs w:val="26"/>
        </w:rPr>
      </w:pPr>
    </w:p>
    <w:p w:rsidR="00633F73" w:rsidRDefault="002A7A8D" w:rsidP="00782F34">
      <w:pPr>
        <w:keepNext/>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r>
        <w:rPr>
          <w:rFonts w:ascii="Times New Roman" w:eastAsia="Times New Roman" w:hAnsi="Times New Roman" w:cs="Times New Roman"/>
          <w:sz w:val="26"/>
          <w:szCs w:val="26"/>
        </w:rPr>
        <w:tab/>
      </w:r>
      <w:r w:rsidR="00782F34">
        <w:rPr>
          <w:rFonts w:ascii="Times New Roman" w:eastAsia="Times New Roman" w:hAnsi="Times New Roman" w:cs="Times New Roman"/>
          <w:sz w:val="26"/>
          <w:szCs w:val="26"/>
        </w:rPr>
        <w:t xml:space="preserve">Duquesne successfully obtained a </w:t>
      </w:r>
      <w:r w:rsidR="002A6527">
        <w:rPr>
          <w:rFonts w:ascii="Times New Roman" w:eastAsia="Times New Roman" w:hAnsi="Times New Roman" w:cs="Times New Roman"/>
          <w:sz w:val="26"/>
          <w:szCs w:val="26"/>
        </w:rPr>
        <w:t xml:space="preserve">new </w:t>
      </w:r>
      <w:r w:rsidR="00782F34">
        <w:rPr>
          <w:rFonts w:ascii="Times New Roman" w:eastAsia="Times New Roman" w:hAnsi="Times New Roman" w:cs="Times New Roman"/>
          <w:sz w:val="26"/>
          <w:szCs w:val="26"/>
        </w:rPr>
        <w:t>right-of-way from Sewickley Borough to facilitate the Sewickley Loop Project.  Report at 8.  However, the Company</w:t>
      </w:r>
      <w:r w:rsidR="001374E3">
        <w:rPr>
          <w:rFonts w:ascii="Times New Roman" w:eastAsia="Times New Roman" w:hAnsi="Times New Roman" w:cs="Times New Roman"/>
          <w:sz w:val="26"/>
          <w:szCs w:val="26"/>
        </w:rPr>
        <w:t xml:space="preserve"> was unable to </w:t>
      </w:r>
      <w:r>
        <w:rPr>
          <w:rFonts w:ascii="Times New Roman" w:eastAsia="Times New Roman" w:hAnsi="Times New Roman" w:cs="Times New Roman"/>
          <w:sz w:val="26"/>
          <w:szCs w:val="26"/>
        </w:rPr>
        <w:t>negotiate the acquisition of an expanded right</w:t>
      </w:r>
      <w:r w:rsidR="002A6527">
        <w:rPr>
          <w:rFonts w:ascii="Times New Roman" w:eastAsia="Times New Roman" w:hAnsi="Times New Roman" w:cs="Times New Roman"/>
          <w:sz w:val="26"/>
          <w:szCs w:val="26"/>
        </w:rPr>
        <w:t>-of-way from the Property owners in Moon Township</w:t>
      </w:r>
      <w:r w:rsidR="00D419FC">
        <w:rPr>
          <w:rFonts w:ascii="Times New Roman" w:eastAsia="Times New Roman" w:hAnsi="Times New Roman" w:cs="Times New Roman"/>
          <w:sz w:val="26"/>
          <w:szCs w:val="26"/>
        </w:rPr>
        <w:t>.  It l</w:t>
      </w:r>
      <w:r w:rsidR="00547BF4">
        <w:rPr>
          <w:rFonts w:ascii="Times New Roman" w:eastAsia="Times New Roman" w:hAnsi="Times New Roman" w:cs="Times New Roman"/>
          <w:sz w:val="26"/>
          <w:szCs w:val="26"/>
        </w:rPr>
        <w:t xml:space="preserve">ater purchased the </w:t>
      </w:r>
      <w:r w:rsidR="001374E3">
        <w:rPr>
          <w:rFonts w:ascii="Times New Roman" w:eastAsia="Times New Roman" w:hAnsi="Times New Roman" w:cs="Times New Roman"/>
          <w:sz w:val="26"/>
          <w:szCs w:val="26"/>
        </w:rPr>
        <w:t xml:space="preserve">entire </w:t>
      </w:r>
      <w:r w:rsidR="00547BF4">
        <w:rPr>
          <w:rFonts w:ascii="Times New Roman" w:eastAsia="Times New Roman" w:hAnsi="Times New Roman" w:cs="Times New Roman"/>
          <w:sz w:val="26"/>
          <w:szCs w:val="26"/>
        </w:rPr>
        <w:t>Property outright.</w:t>
      </w:r>
      <w:r w:rsidR="00547BF4">
        <w:rPr>
          <w:rStyle w:val="FootnoteReference"/>
          <w:rFonts w:ascii="Times New Roman" w:eastAsia="Times New Roman" w:hAnsi="Times New Roman" w:cs="Times New Roman"/>
          <w:sz w:val="26"/>
          <w:szCs w:val="26"/>
        </w:rPr>
        <w:footnoteReference w:id="2"/>
      </w:r>
      <w:r w:rsidR="00547BF4">
        <w:rPr>
          <w:rFonts w:ascii="Times New Roman" w:eastAsia="Times New Roman" w:hAnsi="Times New Roman" w:cs="Times New Roman"/>
          <w:sz w:val="26"/>
          <w:szCs w:val="26"/>
        </w:rPr>
        <w:t xml:space="preserve">  </w:t>
      </w:r>
      <w:r w:rsidR="00DF34D9">
        <w:rPr>
          <w:rFonts w:ascii="Times New Roman" w:eastAsia="Times New Roman" w:hAnsi="Times New Roman" w:cs="Times New Roman"/>
          <w:sz w:val="26"/>
          <w:szCs w:val="26"/>
        </w:rPr>
        <w:t xml:space="preserve">On January 25, 2010, Duquesne sold the Property to another party.  In the deed to the new owner, Duquesne reserved its initial Easement rights and an expanded easement of one hundred feet in width for the Sewickley Loop Project.  </w:t>
      </w:r>
      <w:r w:rsidR="00F67562">
        <w:rPr>
          <w:rFonts w:ascii="Times New Roman" w:eastAsia="Times New Roman" w:hAnsi="Times New Roman" w:cs="Times New Roman"/>
          <w:sz w:val="26"/>
          <w:szCs w:val="26"/>
        </w:rPr>
        <w:t xml:space="preserve">Duquesne did not seek Commission approval for </w:t>
      </w:r>
      <w:r w:rsidR="00033124">
        <w:rPr>
          <w:rFonts w:ascii="Times New Roman" w:eastAsia="Times New Roman" w:hAnsi="Times New Roman" w:cs="Times New Roman"/>
          <w:sz w:val="26"/>
          <w:szCs w:val="26"/>
        </w:rPr>
        <w:t xml:space="preserve">either the </w:t>
      </w:r>
      <w:r w:rsidR="00F67562">
        <w:rPr>
          <w:rFonts w:ascii="Times New Roman" w:eastAsia="Times New Roman" w:hAnsi="Times New Roman" w:cs="Times New Roman"/>
          <w:sz w:val="26"/>
          <w:szCs w:val="26"/>
        </w:rPr>
        <w:t>initial acquisition or the later transfe</w:t>
      </w:r>
      <w:r w:rsidR="00917270">
        <w:rPr>
          <w:rFonts w:ascii="Times New Roman" w:eastAsia="Times New Roman" w:hAnsi="Times New Roman" w:cs="Times New Roman"/>
          <w:sz w:val="26"/>
          <w:szCs w:val="26"/>
        </w:rPr>
        <w:t>r of the Property.  Report at 3</w:t>
      </w:r>
      <w:r w:rsidR="00917270">
        <w:rPr>
          <w:rFonts w:ascii="Times New Roman" w:eastAsia="Times New Roman" w:hAnsi="Times New Roman" w:cs="Times New Roman"/>
          <w:sz w:val="26"/>
          <w:szCs w:val="26"/>
        </w:rPr>
        <w:noBreakHyphen/>
      </w:r>
      <w:r w:rsidR="00F67562">
        <w:rPr>
          <w:rFonts w:ascii="Times New Roman" w:eastAsia="Times New Roman" w:hAnsi="Times New Roman" w:cs="Times New Roman"/>
          <w:sz w:val="26"/>
          <w:szCs w:val="26"/>
        </w:rPr>
        <w:t>5</w:t>
      </w:r>
      <w:r w:rsidR="00DF34D9">
        <w:rPr>
          <w:rFonts w:ascii="Times New Roman" w:eastAsia="Times New Roman" w:hAnsi="Times New Roman" w:cs="Times New Roman"/>
          <w:sz w:val="26"/>
          <w:szCs w:val="26"/>
        </w:rPr>
        <w:t xml:space="preserve">.  </w:t>
      </w:r>
    </w:p>
    <w:p w:rsidR="00633F73" w:rsidRDefault="00633F73" w:rsidP="00026DFB">
      <w:pPr>
        <w:keepNext/>
        <w:tabs>
          <w:tab w:val="center" w:pos="0"/>
        </w:tabs>
        <w:suppressAutoHyphens/>
        <w:spacing w:after="0" w:line="360" w:lineRule="auto"/>
        <w:rPr>
          <w:rFonts w:ascii="Times New Roman" w:eastAsia="Times New Roman" w:hAnsi="Times New Roman" w:cs="Times New Roman"/>
          <w:sz w:val="26"/>
          <w:szCs w:val="26"/>
        </w:rPr>
      </w:pPr>
    </w:p>
    <w:p w:rsidR="00B1202C" w:rsidRDefault="00633F73" w:rsidP="00026DFB">
      <w:pPr>
        <w:keepNext/>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419FC">
        <w:rPr>
          <w:rFonts w:ascii="Times New Roman" w:eastAsia="Times New Roman" w:hAnsi="Times New Roman" w:cs="Times New Roman"/>
          <w:sz w:val="26"/>
          <w:szCs w:val="26"/>
        </w:rPr>
        <w:t>LBPS alleged</w:t>
      </w:r>
      <w:r>
        <w:rPr>
          <w:rFonts w:ascii="Times New Roman" w:eastAsia="Times New Roman" w:hAnsi="Times New Roman" w:cs="Times New Roman"/>
          <w:sz w:val="26"/>
          <w:szCs w:val="26"/>
        </w:rPr>
        <w:t xml:space="preserve"> that Duquesne acquired and disposed </w:t>
      </w:r>
      <w:r w:rsidR="00DF260E">
        <w:rPr>
          <w:rFonts w:ascii="Times New Roman" w:eastAsia="Times New Roman" w:hAnsi="Times New Roman" w:cs="Times New Roman"/>
          <w:sz w:val="26"/>
          <w:szCs w:val="26"/>
        </w:rPr>
        <w:t xml:space="preserve">of the Property </w:t>
      </w:r>
      <w:r w:rsidR="00606FD1">
        <w:rPr>
          <w:rFonts w:ascii="Times New Roman" w:eastAsia="Times New Roman" w:hAnsi="Times New Roman" w:cs="Times New Roman"/>
          <w:sz w:val="26"/>
          <w:szCs w:val="26"/>
        </w:rPr>
        <w:t>without obtaining a Certificate of Public C</w:t>
      </w:r>
      <w:r>
        <w:rPr>
          <w:rFonts w:ascii="Times New Roman" w:eastAsia="Times New Roman" w:hAnsi="Times New Roman" w:cs="Times New Roman"/>
          <w:sz w:val="26"/>
          <w:szCs w:val="26"/>
        </w:rPr>
        <w:t>onvenience</w:t>
      </w:r>
      <w:r w:rsidR="00606FD1">
        <w:rPr>
          <w:rFonts w:ascii="Times New Roman" w:eastAsia="Times New Roman" w:hAnsi="Times New Roman" w:cs="Times New Roman"/>
          <w:sz w:val="26"/>
          <w:szCs w:val="26"/>
        </w:rPr>
        <w:t xml:space="preserve"> (C</w:t>
      </w:r>
      <w:r w:rsidR="0084663B">
        <w:rPr>
          <w:rFonts w:ascii="Times New Roman" w:eastAsia="Times New Roman" w:hAnsi="Times New Roman" w:cs="Times New Roman"/>
          <w:sz w:val="26"/>
          <w:szCs w:val="26"/>
        </w:rPr>
        <w:t>ertificate)</w:t>
      </w:r>
      <w:r>
        <w:rPr>
          <w:rFonts w:ascii="Times New Roman" w:eastAsia="Times New Roman" w:hAnsi="Times New Roman" w:cs="Times New Roman"/>
          <w:sz w:val="26"/>
          <w:szCs w:val="26"/>
        </w:rPr>
        <w:t xml:space="preserve">, in violation of Section 1102(a)(3) of the Code, 66 Pa. C.S. § 1102(a)(3). </w:t>
      </w:r>
      <w:r>
        <w:rPr>
          <w:rStyle w:val="FootnoteReference"/>
          <w:rFonts w:ascii="Times New Roman" w:eastAsia="Times New Roman" w:hAnsi="Times New Roman" w:cs="Times New Roman"/>
          <w:sz w:val="26"/>
          <w:szCs w:val="26"/>
        </w:rPr>
        <w:footnoteReference w:id="3"/>
      </w:r>
      <w:r w:rsidR="0084663B">
        <w:rPr>
          <w:rFonts w:ascii="Times New Roman" w:eastAsia="Times New Roman" w:hAnsi="Times New Roman" w:cs="Times New Roman"/>
          <w:sz w:val="26"/>
          <w:szCs w:val="26"/>
        </w:rPr>
        <w:t xml:space="preserve">  In response, the Company aver</w:t>
      </w:r>
      <w:r w:rsidR="002A6527">
        <w:rPr>
          <w:rFonts w:ascii="Times New Roman" w:eastAsia="Times New Roman" w:hAnsi="Times New Roman" w:cs="Times New Roman"/>
          <w:sz w:val="26"/>
          <w:szCs w:val="26"/>
        </w:rPr>
        <w:t>red</w:t>
      </w:r>
      <w:r w:rsidR="0084663B">
        <w:rPr>
          <w:rFonts w:ascii="Times New Roman" w:eastAsia="Times New Roman" w:hAnsi="Times New Roman" w:cs="Times New Roman"/>
          <w:sz w:val="26"/>
          <w:szCs w:val="26"/>
        </w:rPr>
        <w:t xml:space="preserve"> that </w:t>
      </w:r>
      <w:r w:rsidR="00606FD1">
        <w:rPr>
          <w:rFonts w:ascii="Times New Roman" w:eastAsia="Times New Roman" w:hAnsi="Times New Roman" w:cs="Times New Roman"/>
          <w:sz w:val="26"/>
          <w:szCs w:val="26"/>
        </w:rPr>
        <w:t>a C</w:t>
      </w:r>
      <w:r w:rsidR="0084663B">
        <w:rPr>
          <w:rFonts w:ascii="Times New Roman" w:eastAsia="Times New Roman" w:hAnsi="Times New Roman" w:cs="Times New Roman"/>
          <w:sz w:val="26"/>
          <w:szCs w:val="26"/>
        </w:rPr>
        <w:t>ertificate was</w:t>
      </w:r>
      <w:r w:rsidR="00606FD1">
        <w:rPr>
          <w:rFonts w:ascii="Times New Roman" w:eastAsia="Times New Roman" w:hAnsi="Times New Roman" w:cs="Times New Roman"/>
          <w:sz w:val="26"/>
          <w:szCs w:val="26"/>
        </w:rPr>
        <w:t xml:space="preserve"> not</w:t>
      </w:r>
      <w:r w:rsidR="0084663B">
        <w:rPr>
          <w:rFonts w:ascii="Times New Roman" w:eastAsia="Times New Roman" w:hAnsi="Times New Roman" w:cs="Times New Roman"/>
          <w:sz w:val="26"/>
          <w:szCs w:val="26"/>
        </w:rPr>
        <w:t xml:space="preserve"> required under the facts and circumstances of this case.  Duquesne </w:t>
      </w:r>
      <w:r w:rsidR="00606FD1">
        <w:rPr>
          <w:rFonts w:ascii="Times New Roman" w:eastAsia="Times New Roman" w:hAnsi="Times New Roman" w:cs="Times New Roman"/>
          <w:sz w:val="26"/>
          <w:szCs w:val="26"/>
        </w:rPr>
        <w:t xml:space="preserve">further </w:t>
      </w:r>
      <w:r w:rsidR="00B1202C">
        <w:rPr>
          <w:rFonts w:ascii="Times New Roman" w:eastAsia="Times New Roman" w:hAnsi="Times New Roman" w:cs="Times New Roman"/>
          <w:sz w:val="26"/>
          <w:szCs w:val="26"/>
        </w:rPr>
        <w:t>allege</w:t>
      </w:r>
      <w:r w:rsidR="00BD1BBB">
        <w:rPr>
          <w:rFonts w:ascii="Times New Roman" w:eastAsia="Times New Roman" w:hAnsi="Times New Roman" w:cs="Times New Roman"/>
          <w:sz w:val="26"/>
          <w:szCs w:val="26"/>
        </w:rPr>
        <w:t>d</w:t>
      </w:r>
      <w:r w:rsidR="0084663B">
        <w:rPr>
          <w:rFonts w:ascii="Times New Roman" w:eastAsia="Times New Roman" w:hAnsi="Times New Roman" w:cs="Times New Roman"/>
          <w:sz w:val="26"/>
          <w:szCs w:val="26"/>
        </w:rPr>
        <w:t xml:space="preserve"> “that its actions with respect to this property were</w:t>
      </w:r>
      <w:r w:rsidR="002D332F">
        <w:rPr>
          <w:rFonts w:ascii="Times New Roman" w:eastAsia="Times New Roman" w:hAnsi="Times New Roman" w:cs="Times New Roman"/>
          <w:sz w:val="26"/>
          <w:szCs w:val="26"/>
        </w:rPr>
        <w:t xml:space="preserve"> in full accordance</w:t>
      </w:r>
      <w:r w:rsidR="00B1202C">
        <w:rPr>
          <w:rFonts w:ascii="Times New Roman" w:eastAsia="Times New Roman" w:hAnsi="Times New Roman" w:cs="Times New Roman"/>
          <w:sz w:val="26"/>
          <w:szCs w:val="26"/>
        </w:rPr>
        <w:t xml:space="preserve"> with long-standing Commission practice and precedent.”  Settlement at 3.</w:t>
      </w:r>
    </w:p>
    <w:p w:rsidR="00B1202C" w:rsidRDefault="00B1202C" w:rsidP="00026DFB">
      <w:pPr>
        <w:keepNext/>
        <w:tabs>
          <w:tab w:val="center" w:pos="0"/>
        </w:tabs>
        <w:suppressAutoHyphens/>
        <w:spacing w:after="0" w:line="360" w:lineRule="auto"/>
        <w:rPr>
          <w:rFonts w:ascii="Times New Roman" w:eastAsia="Times New Roman" w:hAnsi="Times New Roman" w:cs="Times New Roman"/>
          <w:sz w:val="26"/>
          <w:szCs w:val="26"/>
        </w:rPr>
      </w:pPr>
    </w:p>
    <w:p w:rsidR="00782F34" w:rsidRDefault="0084663B" w:rsidP="008359B7">
      <w:pPr>
        <w:keepNext/>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E468B9">
        <w:rPr>
          <w:rFonts w:ascii="Times New Roman" w:eastAsia="Times New Roman" w:hAnsi="Times New Roman" w:cs="Times New Roman"/>
          <w:sz w:val="26"/>
          <w:szCs w:val="26"/>
        </w:rPr>
        <w:tab/>
      </w:r>
      <w:r w:rsidR="00E468B9">
        <w:rPr>
          <w:rFonts w:ascii="Times New Roman" w:eastAsia="Times New Roman" w:hAnsi="Times New Roman" w:cs="Times New Roman"/>
          <w:sz w:val="26"/>
          <w:szCs w:val="26"/>
        </w:rPr>
        <w:tab/>
      </w:r>
      <w:r w:rsidR="00DF260E">
        <w:rPr>
          <w:rFonts w:ascii="Times New Roman" w:eastAsia="Times New Roman" w:hAnsi="Times New Roman" w:cs="Times New Roman"/>
          <w:sz w:val="26"/>
          <w:szCs w:val="26"/>
        </w:rPr>
        <w:t xml:space="preserve"> </w:t>
      </w:r>
      <w:r w:rsidR="00631CE7">
        <w:rPr>
          <w:rFonts w:ascii="Times New Roman" w:eastAsia="Times New Roman" w:hAnsi="Times New Roman" w:cs="Times New Roman"/>
          <w:sz w:val="26"/>
          <w:szCs w:val="26"/>
        </w:rPr>
        <w:t xml:space="preserve">In its Report, LBPS </w:t>
      </w:r>
      <w:r w:rsidR="00782F34">
        <w:rPr>
          <w:rFonts w:ascii="Times New Roman" w:eastAsia="Times New Roman" w:hAnsi="Times New Roman" w:cs="Times New Roman"/>
          <w:sz w:val="26"/>
          <w:szCs w:val="26"/>
        </w:rPr>
        <w:t xml:space="preserve">also </w:t>
      </w:r>
      <w:r w:rsidR="00631CE7">
        <w:rPr>
          <w:rFonts w:ascii="Times New Roman" w:eastAsia="Times New Roman" w:hAnsi="Times New Roman" w:cs="Times New Roman"/>
          <w:sz w:val="26"/>
          <w:szCs w:val="26"/>
        </w:rPr>
        <w:t>referenced Section 57.91 of our Regulations, 5</w:t>
      </w:r>
      <w:r w:rsidR="00BD1BBB">
        <w:rPr>
          <w:rFonts w:ascii="Times New Roman" w:eastAsia="Times New Roman" w:hAnsi="Times New Roman" w:cs="Times New Roman"/>
          <w:sz w:val="26"/>
          <w:szCs w:val="26"/>
        </w:rPr>
        <w:t>2</w:t>
      </w:r>
      <w:r w:rsidR="00917270">
        <w:rPr>
          <w:rFonts w:ascii="Times New Roman" w:eastAsia="Times New Roman" w:hAnsi="Times New Roman" w:cs="Times New Roman"/>
          <w:sz w:val="26"/>
          <w:szCs w:val="26"/>
        </w:rPr>
        <w:t> </w:t>
      </w:r>
      <w:r w:rsidR="00631CE7">
        <w:rPr>
          <w:rFonts w:ascii="Times New Roman" w:eastAsia="Times New Roman" w:hAnsi="Times New Roman" w:cs="Times New Roman"/>
          <w:sz w:val="26"/>
          <w:szCs w:val="26"/>
        </w:rPr>
        <w:t xml:space="preserve">Pa. Code § 57.91, which requires a public utility to provide a specific written notice at least fifteen days before its </w:t>
      </w:r>
      <w:r w:rsidR="00782F34">
        <w:rPr>
          <w:rFonts w:ascii="Times New Roman" w:eastAsia="Times New Roman" w:hAnsi="Times New Roman" w:cs="Times New Roman"/>
          <w:sz w:val="26"/>
          <w:szCs w:val="26"/>
        </w:rPr>
        <w:t xml:space="preserve">employees or agents are permitted to communicate in any manner with a property owner for the purpose of negotiating the acquisition of a transmission right-of-way.  LBPS alleged that Duquesne failed to provide to the original Property owners in Moon Township or the Borough of Sewickley the written notice </w:t>
      </w:r>
      <w:r w:rsidR="00782F34">
        <w:rPr>
          <w:rFonts w:ascii="Times New Roman" w:eastAsia="Times New Roman" w:hAnsi="Times New Roman" w:cs="Times New Roman"/>
          <w:sz w:val="26"/>
          <w:szCs w:val="26"/>
        </w:rPr>
        <w:lastRenderedPageBreak/>
        <w:t>required by Section 57.91.  According to LBPS, the Company did not contest this violation.  Report at 8.</w:t>
      </w:r>
    </w:p>
    <w:p w:rsidR="001A233D" w:rsidRDefault="001A233D" w:rsidP="008359B7">
      <w:pPr>
        <w:keepNext/>
        <w:tabs>
          <w:tab w:val="center" w:pos="0"/>
        </w:tabs>
        <w:suppressAutoHyphens/>
        <w:spacing w:after="0" w:line="360" w:lineRule="auto"/>
        <w:rPr>
          <w:rFonts w:ascii="Times New Roman" w:eastAsia="Times New Roman" w:hAnsi="Times New Roman" w:cs="Times New Roman"/>
          <w:sz w:val="26"/>
          <w:szCs w:val="26"/>
        </w:rPr>
      </w:pPr>
    </w:p>
    <w:p w:rsidR="001A233D" w:rsidRDefault="001A233D" w:rsidP="008359B7">
      <w:pPr>
        <w:keepNext/>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Additionally, LBPS alleged </w:t>
      </w:r>
      <w:r w:rsidR="00457CDB">
        <w:rPr>
          <w:rFonts w:ascii="Times New Roman" w:eastAsia="Times New Roman" w:hAnsi="Times New Roman" w:cs="Times New Roman"/>
          <w:sz w:val="26"/>
          <w:szCs w:val="26"/>
        </w:rPr>
        <w:t xml:space="preserve">in its Report </w:t>
      </w:r>
      <w:r>
        <w:rPr>
          <w:rFonts w:ascii="Times New Roman" w:eastAsia="Times New Roman" w:hAnsi="Times New Roman" w:cs="Times New Roman"/>
          <w:sz w:val="26"/>
          <w:szCs w:val="26"/>
        </w:rPr>
        <w:t>that Duquesne used a “straw person” or “straw man”</w:t>
      </w:r>
      <w:r>
        <w:rPr>
          <w:rStyle w:val="FootnoteReference"/>
          <w:rFonts w:ascii="Times New Roman" w:eastAsia="Times New Roman" w:hAnsi="Times New Roman" w:cs="Times New Roman"/>
          <w:sz w:val="26"/>
          <w:szCs w:val="26"/>
        </w:rPr>
        <w:footnoteReference w:id="4"/>
      </w:r>
      <w:r>
        <w:rPr>
          <w:rFonts w:ascii="Times New Roman" w:eastAsia="Times New Roman" w:hAnsi="Times New Roman" w:cs="Times New Roman"/>
          <w:sz w:val="26"/>
          <w:szCs w:val="26"/>
        </w:rPr>
        <w:t xml:space="preserve"> to purchase real estate and gave as an example the purchase of property on Chadwick Street in Sewickley Borough.</w:t>
      </w:r>
      <w:r>
        <w:rPr>
          <w:rStyle w:val="FootnoteReference"/>
          <w:rFonts w:ascii="Times New Roman" w:eastAsia="Times New Roman" w:hAnsi="Times New Roman" w:cs="Times New Roman"/>
          <w:sz w:val="26"/>
          <w:szCs w:val="26"/>
        </w:rPr>
        <w:footnoteReference w:id="5"/>
      </w:r>
      <w:r>
        <w:rPr>
          <w:rFonts w:ascii="Times New Roman" w:eastAsia="Times New Roman" w:hAnsi="Times New Roman" w:cs="Times New Roman"/>
          <w:sz w:val="26"/>
          <w:szCs w:val="26"/>
        </w:rPr>
        <w:t xml:space="preserve">  </w:t>
      </w:r>
      <w:r w:rsidR="004642CF">
        <w:rPr>
          <w:rFonts w:ascii="Times New Roman" w:eastAsia="Times New Roman" w:hAnsi="Times New Roman" w:cs="Times New Roman"/>
          <w:sz w:val="26"/>
          <w:szCs w:val="26"/>
        </w:rPr>
        <w:t xml:space="preserve">Although LBPS did not find that Duquesne’s use of a “straw man” to purchase real estate was illegal </w:t>
      </w:r>
      <w:r w:rsidR="004642CF" w:rsidRPr="004642CF">
        <w:rPr>
          <w:rFonts w:ascii="Times New Roman" w:eastAsia="Times New Roman" w:hAnsi="Times New Roman" w:cs="Times New Roman"/>
          <w:i/>
          <w:sz w:val="26"/>
          <w:szCs w:val="26"/>
        </w:rPr>
        <w:t>per se</w:t>
      </w:r>
      <w:r w:rsidR="004642CF">
        <w:rPr>
          <w:rFonts w:ascii="Times New Roman" w:eastAsia="Times New Roman" w:hAnsi="Times New Roman" w:cs="Times New Roman"/>
          <w:sz w:val="26"/>
          <w:szCs w:val="26"/>
        </w:rPr>
        <w:t>, it concluded that utilities</w:t>
      </w:r>
      <w:r w:rsidR="00457CDB">
        <w:rPr>
          <w:rFonts w:ascii="Times New Roman" w:eastAsia="Times New Roman" w:hAnsi="Times New Roman" w:cs="Times New Roman"/>
          <w:sz w:val="26"/>
          <w:szCs w:val="26"/>
        </w:rPr>
        <w:t xml:space="preserve">, in the interest of transparency and full disclosure of their dealings, must comply with Section 1102(a) of the Code and 52 Pa. Code § 57.91.  Report at 12-13. </w:t>
      </w:r>
    </w:p>
    <w:p w:rsidR="00457CDB" w:rsidRDefault="00457CDB" w:rsidP="008359B7">
      <w:pPr>
        <w:keepNext/>
        <w:tabs>
          <w:tab w:val="center" w:pos="0"/>
        </w:tabs>
        <w:suppressAutoHyphens/>
        <w:spacing w:after="0" w:line="360" w:lineRule="auto"/>
        <w:rPr>
          <w:rFonts w:ascii="Times New Roman" w:eastAsia="Times New Roman" w:hAnsi="Times New Roman" w:cs="Times New Roman"/>
          <w:sz w:val="26"/>
          <w:szCs w:val="26"/>
        </w:rPr>
      </w:pPr>
    </w:p>
    <w:p w:rsidR="00F44833" w:rsidRPr="003F7EE6" w:rsidRDefault="00E468B9" w:rsidP="00D419FC">
      <w:pPr>
        <w:keepNext/>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 xml:space="preserve">As a result of negotiations between </w:t>
      </w:r>
      <w:r w:rsidR="008359B7">
        <w:rPr>
          <w:rFonts w:ascii="Times New Roman" w:eastAsia="Times New Roman" w:hAnsi="Times New Roman" w:cs="Times New Roman"/>
          <w:sz w:val="26"/>
          <w:szCs w:val="26"/>
        </w:rPr>
        <w:t>LBPS and Duquesne</w:t>
      </w:r>
      <w:r w:rsidR="00F44833" w:rsidRPr="003F7EE6">
        <w:rPr>
          <w:rFonts w:ascii="Times New Roman" w:eastAsia="Times New Roman" w:hAnsi="Times New Roman" w:cs="Times New Roman"/>
          <w:sz w:val="26"/>
          <w:szCs w:val="26"/>
        </w:rPr>
        <w:t>, the Parties have agreed to resolve their differences and urge the Commission to approve the Settlement as being in the p</w:t>
      </w:r>
      <w:r w:rsidR="00ED2472">
        <w:rPr>
          <w:rFonts w:ascii="Times New Roman" w:eastAsia="Times New Roman" w:hAnsi="Times New Roman" w:cs="Times New Roman"/>
          <w:sz w:val="26"/>
          <w:szCs w:val="26"/>
        </w:rPr>
        <w:t xml:space="preserve">ublic interest.  Settlement at </w:t>
      </w:r>
      <w:r w:rsidR="008359B7">
        <w:rPr>
          <w:rFonts w:ascii="Times New Roman" w:eastAsia="Times New Roman" w:hAnsi="Times New Roman" w:cs="Times New Roman"/>
          <w:sz w:val="26"/>
          <w:szCs w:val="26"/>
        </w:rPr>
        <w:t xml:space="preserve">2, </w:t>
      </w:r>
      <w:r w:rsidR="00ED2472">
        <w:rPr>
          <w:rFonts w:ascii="Times New Roman" w:eastAsia="Times New Roman" w:hAnsi="Times New Roman" w:cs="Times New Roman"/>
          <w:sz w:val="26"/>
          <w:szCs w:val="26"/>
        </w:rPr>
        <w:t>4</w:t>
      </w:r>
      <w:r w:rsidR="003A695E">
        <w:rPr>
          <w:rFonts w:ascii="Times New Roman" w:eastAsia="Times New Roman" w:hAnsi="Times New Roman" w:cs="Times New Roman"/>
          <w:sz w:val="26"/>
          <w:szCs w:val="26"/>
        </w:rPr>
        <w:t>.</w:t>
      </w:r>
      <w:r w:rsidR="00F44833" w:rsidRPr="003F7EE6">
        <w:rPr>
          <w:rFonts w:ascii="Times New Roman" w:eastAsia="Times New Roman" w:hAnsi="Times New Roman" w:cs="Times New Roman"/>
          <w:sz w:val="26"/>
          <w:szCs w:val="26"/>
        </w:rPr>
        <w:t xml:space="preserve">  </w:t>
      </w:r>
      <w:r w:rsidR="00E62727">
        <w:rPr>
          <w:rFonts w:ascii="Times New Roman" w:eastAsia="Times New Roman" w:hAnsi="Times New Roman" w:cs="Times New Roman"/>
          <w:sz w:val="26"/>
          <w:szCs w:val="26"/>
        </w:rPr>
        <w:t xml:space="preserve">In the Settlement, </w:t>
      </w:r>
      <w:r w:rsidR="008359B7">
        <w:rPr>
          <w:rFonts w:ascii="Times New Roman" w:eastAsia="Times New Roman" w:hAnsi="Times New Roman" w:cs="Times New Roman"/>
          <w:sz w:val="26"/>
          <w:szCs w:val="26"/>
        </w:rPr>
        <w:t>LBPS</w:t>
      </w:r>
      <w:r w:rsidR="006F13AD">
        <w:rPr>
          <w:rFonts w:ascii="Times New Roman" w:eastAsia="Times New Roman" w:hAnsi="Times New Roman" w:cs="Times New Roman"/>
          <w:sz w:val="26"/>
          <w:szCs w:val="26"/>
        </w:rPr>
        <w:t xml:space="preserve"> </w:t>
      </w:r>
      <w:r w:rsidR="00E62727">
        <w:rPr>
          <w:rFonts w:ascii="Times New Roman" w:eastAsia="Times New Roman" w:hAnsi="Times New Roman" w:cs="Times New Roman"/>
          <w:sz w:val="26"/>
          <w:szCs w:val="26"/>
        </w:rPr>
        <w:t xml:space="preserve">credits </w:t>
      </w:r>
      <w:r w:rsidR="008359B7">
        <w:rPr>
          <w:rFonts w:ascii="Times New Roman" w:eastAsia="Times New Roman" w:hAnsi="Times New Roman" w:cs="Times New Roman"/>
          <w:sz w:val="26"/>
          <w:szCs w:val="26"/>
        </w:rPr>
        <w:t>Duquesne</w:t>
      </w:r>
      <w:r w:rsidR="00E62727">
        <w:rPr>
          <w:rFonts w:ascii="Times New Roman" w:eastAsia="Times New Roman" w:hAnsi="Times New Roman" w:cs="Times New Roman"/>
          <w:sz w:val="26"/>
          <w:szCs w:val="26"/>
        </w:rPr>
        <w:t xml:space="preserve"> with</w:t>
      </w:r>
      <w:r w:rsidR="006F13AD">
        <w:rPr>
          <w:rFonts w:ascii="Times New Roman" w:eastAsia="Times New Roman" w:hAnsi="Times New Roman" w:cs="Times New Roman"/>
          <w:sz w:val="26"/>
          <w:szCs w:val="26"/>
        </w:rPr>
        <w:t xml:space="preserve"> full</w:t>
      </w:r>
      <w:r w:rsidR="00E62727">
        <w:rPr>
          <w:rFonts w:ascii="Times New Roman" w:eastAsia="Times New Roman" w:hAnsi="Times New Roman" w:cs="Times New Roman"/>
          <w:sz w:val="26"/>
          <w:szCs w:val="26"/>
        </w:rPr>
        <w:t>y cooperating and complying</w:t>
      </w:r>
      <w:r w:rsidR="006F13AD">
        <w:rPr>
          <w:rFonts w:ascii="Times New Roman" w:eastAsia="Times New Roman" w:hAnsi="Times New Roman" w:cs="Times New Roman"/>
          <w:sz w:val="26"/>
          <w:szCs w:val="26"/>
        </w:rPr>
        <w:t xml:space="preserve"> with </w:t>
      </w:r>
      <w:r w:rsidR="008359B7">
        <w:rPr>
          <w:rFonts w:ascii="Times New Roman" w:eastAsia="Times New Roman" w:hAnsi="Times New Roman" w:cs="Times New Roman"/>
          <w:sz w:val="26"/>
          <w:szCs w:val="26"/>
        </w:rPr>
        <w:t>the</w:t>
      </w:r>
      <w:r w:rsidR="006F13AD">
        <w:rPr>
          <w:rFonts w:ascii="Times New Roman" w:eastAsia="Times New Roman" w:hAnsi="Times New Roman" w:cs="Times New Roman"/>
          <w:sz w:val="26"/>
          <w:szCs w:val="26"/>
        </w:rPr>
        <w:t xml:space="preserve"> </w:t>
      </w:r>
      <w:r w:rsidR="00EE31D1">
        <w:rPr>
          <w:rFonts w:ascii="Times New Roman" w:eastAsia="Times New Roman" w:hAnsi="Times New Roman" w:cs="Times New Roman"/>
          <w:sz w:val="26"/>
          <w:szCs w:val="26"/>
        </w:rPr>
        <w:t xml:space="preserve">LBPS’s </w:t>
      </w:r>
      <w:r w:rsidR="006F13AD">
        <w:rPr>
          <w:rFonts w:ascii="Times New Roman" w:eastAsia="Times New Roman" w:hAnsi="Times New Roman" w:cs="Times New Roman"/>
          <w:sz w:val="26"/>
          <w:szCs w:val="26"/>
        </w:rPr>
        <w:t xml:space="preserve">investigation and requests for documentation.  </w:t>
      </w:r>
      <w:r w:rsidR="006F13AD">
        <w:rPr>
          <w:rFonts w:ascii="Times New Roman" w:eastAsia="Times New Roman" w:hAnsi="Times New Roman" w:cs="Times New Roman"/>
          <w:i/>
          <w:sz w:val="26"/>
          <w:szCs w:val="26"/>
        </w:rPr>
        <w:t xml:space="preserve">Id. </w:t>
      </w:r>
      <w:r w:rsidR="003A695E">
        <w:rPr>
          <w:rFonts w:ascii="Times New Roman" w:eastAsia="Times New Roman" w:hAnsi="Times New Roman" w:cs="Times New Roman"/>
          <w:sz w:val="26"/>
          <w:szCs w:val="26"/>
        </w:rPr>
        <w:t xml:space="preserve">at </w:t>
      </w:r>
      <w:r w:rsidR="008359B7">
        <w:rPr>
          <w:rFonts w:ascii="Times New Roman" w:eastAsia="Times New Roman" w:hAnsi="Times New Roman" w:cs="Times New Roman"/>
          <w:sz w:val="26"/>
          <w:szCs w:val="26"/>
        </w:rPr>
        <w:t>2</w:t>
      </w:r>
      <w:r w:rsidR="003A695E">
        <w:rPr>
          <w:rFonts w:ascii="Times New Roman" w:eastAsia="Times New Roman" w:hAnsi="Times New Roman" w:cs="Times New Roman"/>
          <w:sz w:val="26"/>
          <w:szCs w:val="26"/>
        </w:rPr>
        <w:t>.</w:t>
      </w:r>
      <w:r w:rsidR="00F44833" w:rsidRPr="003F7EE6">
        <w:rPr>
          <w:rFonts w:ascii="Times New Roman" w:eastAsia="Times New Roman" w:hAnsi="Times New Roman" w:cs="Times New Roman"/>
          <w:sz w:val="26"/>
          <w:szCs w:val="26"/>
        </w:rPr>
        <w:t xml:space="preserve">  </w:t>
      </w:r>
    </w:p>
    <w:p w:rsidR="00F44833" w:rsidRPr="003F7EE6" w:rsidRDefault="00F44833" w:rsidP="00F44833">
      <w:pPr>
        <w:tabs>
          <w:tab w:val="center" w:pos="0"/>
        </w:tabs>
        <w:suppressAutoHyphens/>
        <w:spacing w:after="0" w:line="360" w:lineRule="auto"/>
        <w:ind w:firstLine="1440"/>
        <w:rPr>
          <w:rFonts w:ascii="Times New Roman" w:eastAsia="Times New Roman" w:hAnsi="Times New Roman" w:cs="Times New Roman"/>
          <w:sz w:val="26"/>
          <w:szCs w:val="26"/>
        </w:rPr>
      </w:pPr>
    </w:p>
    <w:p w:rsidR="00F44833" w:rsidRPr="003F7EE6" w:rsidRDefault="00F44833" w:rsidP="00F44833">
      <w:pPr>
        <w:keepNext/>
        <w:tabs>
          <w:tab w:val="center" w:pos="0"/>
        </w:tabs>
        <w:suppressAutoHyphens/>
        <w:spacing w:after="0" w:line="360" w:lineRule="auto"/>
        <w:jc w:val="center"/>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Terms of the Settlement</w:t>
      </w:r>
      <w:r w:rsidRPr="003F7EE6">
        <w:rPr>
          <w:rFonts w:ascii="Times New Roman" w:eastAsia="Times New Roman" w:hAnsi="Times New Roman" w:cs="Times New Roman"/>
          <w:b/>
          <w:sz w:val="26"/>
          <w:szCs w:val="26"/>
          <w:vertAlign w:val="superscript"/>
        </w:rPr>
        <w:footnoteReference w:id="6"/>
      </w:r>
    </w:p>
    <w:p w:rsidR="00F44833" w:rsidRPr="003F7EE6" w:rsidRDefault="00F44833" w:rsidP="00F44833">
      <w:pPr>
        <w:keepNext/>
        <w:tabs>
          <w:tab w:val="center" w:pos="0"/>
        </w:tabs>
        <w:suppressAutoHyphens/>
        <w:spacing w:after="0" w:line="360" w:lineRule="auto"/>
        <w:jc w:val="center"/>
        <w:rPr>
          <w:rFonts w:ascii="Times New Roman" w:eastAsia="Times New Roman" w:hAnsi="Times New Roman" w:cs="Times New Roman"/>
          <w:sz w:val="26"/>
          <w:szCs w:val="26"/>
        </w:rPr>
      </w:pPr>
    </w:p>
    <w:p w:rsidR="00303007" w:rsidRDefault="00F44833" w:rsidP="00E62727">
      <w:pPr>
        <w:tabs>
          <w:tab w:val="center" w:pos="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Pursuant to the Settlement, </w:t>
      </w:r>
      <w:r w:rsidR="00303007">
        <w:rPr>
          <w:rFonts w:ascii="Times New Roman" w:eastAsia="Times New Roman" w:hAnsi="Times New Roman" w:cs="Times New Roman"/>
          <w:sz w:val="26"/>
          <w:szCs w:val="26"/>
        </w:rPr>
        <w:t>the Parties agree to settle “without further litigation all matters related to Duquesne’s real property acquisition and disposition for the Moon-Sewickley tap project, and all other Duquesne acquisition and sales of property through December 31, 201</w:t>
      </w:r>
      <w:r w:rsidR="002F59EF">
        <w:rPr>
          <w:rFonts w:ascii="Times New Roman" w:eastAsia="Times New Roman" w:hAnsi="Times New Roman" w:cs="Times New Roman"/>
          <w:sz w:val="26"/>
          <w:szCs w:val="26"/>
        </w:rPr>
        <w:t>2</w:t>
      </w:r>
      <w:r w:rsidR="00303007">
        <w:rPr>
          <w:rFonts w:ascii="Times New Roman" w:eastAsia="Times New Roman" w:hAnsi="Times New Roman" w:cs="Times New Roman"/>
          <w:sz w:val="26"/>
          <w:szCs w:val="26"/>
        </w:rPr>
        <w:t xml:space="preserve">.”  Settlement at 2-3.  </w:t>
      </w:r>
    </w:p>
    <w:p w:rsidR="00D31E0C" w:rsidRDefault="00303007" w:rsidP="00E62727">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r>
        <w:rPr>
          <w:rFonts w:ascii="Times New Roman" w:eastAsia="Times New Roman" w:hAnsi="Times New Roman" w:cs="Times New Roman"/>
          <w:sz w:val="26"/>
          <w:szCs w:val="26"/>
        </w:rPr>
        <w:tab/>
        <w:t>Under the terms</w:t>
      </w:r>
      <w:r w:rsidR="00FB173E">
        <w:rPr>
          <w:rFonts w:ascii="Times New Roman" w:eastAsia="Times New Roman" w:hAnsi="Times New Roman" w:cs="Times New Roman"/>
          <w:sz w:val="26"/>
          <w:szCs w:val="26"/>
        </w:rPr>
        <w:t xml:space="preserve"> of the Settlement</w:t>
      </w:r>
      <w:r>
        <w:rPr>
          <w:rFonts w:ascii="Times New Roman" w:eastAsia="Times New Roman" w:hAnsi="Times New Roman" w:cs="Times New Roman"/>
          <w:sz w:val="26"/>
          <w:szCs w:val="26"/>
        </w:rPr>
        <w:t xml:space="preserve">, </w:t>
      </w:r>
      <w:r w:rsidR="008359B7">
        <w:rPr>
          <w:rFonts w:ascii="Times New Roman" w:eastAsia="Times New Roman" w:hAnsi="Times New Roman" w:cs="Times New Roman"/>
          <w:sz w:val="26"/>
          <w:szCs w:val="26"/>
        </w:rPr>
        <w:t>Duquesne</w:t>
      </w:r>
      <w:r w:rsidR="00F44833" w:rsidRPr="003F7EE6">
        <w:rPr>
          <w:rFonts w:ascii="Times New Roman" w:eastAsia="Times New Roman" w:hAnsi="Times New Roman" w:cs="Times New Roman"/>
          <w:sz w:val="26"/>
          <w:szCs w:val="26"/>
        </w:rPr>
        <w:t xml:space="preserve"> will pay a civil penalty of $</w:t>
      </w:r>
      <w:r w:rsidR="008359B7">
        <w:rPr>
          <w:rFonts w:ascii="Times New Roman" w:eastAsia="Times New Roman" w:hAnsi="Times New Roman" w:cs="Times New Roman"/>
          <w:sz w:val="26"/>
          <w:szCs w:val="26"/>
        </w:rPr>
        <w:t>2,</w:t>
      </w:r>
      <w:r w:rsidR="00072EB3">
        <w:rPr>
          <w:rFonts w:ascii="Times New Roman" w:eastAsia="Times New Roman" w:hAnsi="Times New Roman" w:cs="Times New Roman"/>
          <w:sz w:val="26"/>
          <w:szCs w:val="26"/>
        </w:rPr>
        <w:t>5</w:t>
      </w:r>
      <w:r w:rsidR="00F44833" w:rsidRPr="003F7EE6">
        <w:rPr>
          <w:rFonts w:ascii="Times New Roman" w:eastAsia="Times New Roman" w:hAnsi="Times New Roman" w:cs="Times New Roman"/>
          <w:sz w:val="26"/>
          <w:szCs w:val="26"/>
        </w:rPr>
        <w:t>00</w:t>
      </w:r>
      <w:r w:rsidR="008F32DC">
        <w:rPr>
          <w:rFonts w:ascii="Times New Roman" w:eastAsia="Times New Roman" w:hAnsi="Times New Roman" w:cs="Times New Roman"/>
          <w:sz w:val="26"/>
          <w:szCs w:val="26"/>
        </w:rPr>
        <w:t>.  In addition, the Company agrees to pay $17,</w:t>
      </w:r>
      <w:r>
        <w:rPr>
          <w:rFonts w:ascii="Times New Roman" w:eastAsia="Times New Roman" w:hAnsi="Times New Roman" w:cs="Times New Roman"/>
          <w:sz w:val="26"/>
          <w:szCs w:val="26"/>
        </w:rPr>
        <w:t xml:space="preserve">500 to the Dollar Energy Fund.  </w:t>
      </w:r>
      <w:r w:rsidRPr="00303007">
        <w:rPr>
          <w:rFonts w:ascii="Times New Roman" w:eastAsia="Times New Roman" w:hAnsi="Times New Roman" w:cs="Times New Roman"/>
          <w:i/>
          <w:sz w:val="26"/>
          <w:szCs w:val="26"/>
        </w:rPr>
        <w:t>Id.</w:t>
      </w:r>
      <w:r w:rsidR="008F32DC">
        <w:rPr>
          <w:rFonts w:ascii="Times New Roman" w:eastAsia="Times New Roman" w:hAnsi="Times New Roman" w:cs="Times New Roman"/>
          <w:sz w:val="26"/>
          <w:szCs w:val="26"/>
        </w:rPr>
        <w:t xml:space="preserve"> at 4</w:t>
      </w:r>
      <w:r w:rsidR="00D31E0C">
        <w:rPr>
          <w:rFonts w:ascii="Times New Roman" w:eastAsia="Times New Roman" w:hAnsi="Times New Roman" w:cs="Times New Roman"/>
          <w:sz w:val="26"/>
          <w:szCs w:val="26"/>
        </w:rPr>
        <w:t xml:space="preserve">. </w:t>
      </w:r>
    </w:p>
    <w:p w:rsidR="00D419FC" w:rsidRDefault="00547BF4" w:rsidP="00D419FC">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D31E0C">
        <w:rPr>
          <w:rFonts w:ascii="Times New Roman" w:eastAsia="Times New Roman" w:hAnsi="Times New Roman" w:cs="Times New Roman"/>
          <w:sz w:val="26"/>
          <w:szCs w:val="26"/>
        </w:rPr>
        <w:tab/>
      </w:r>
      <w:r w:rsidR="00D31E0C">
        <w:rPr>
          <w:rFonts w:ascii="Times New Roman" w:eastAsia="Times New Roman" w:hAnsi="Times New Roman" w:cs="Times New Roman"/>
          <w:sz w:val="26"/>
          <w:szCs w:val="26"/>
        </w:rPr>
        <w:tab/>
      </w:r>
    </w:p>
    <w:p w:rsidR="007411D2" w:rsidRDefault="00303007" w:rsidP="00F44833">
      <w:pPr>
        <w:tabs>
          <w:tab w:val="center" w:pos="72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Duquesne </w:t>
      </w:r>
      <w:r w:rsidR="00E8725A">
        <w:rPr>
          <w:rFonts w:ascii="Times New Roman" w:eastAsia="Times New Roman" w:hAnsi="Times New Roman" w:cs="Times New Roman"/>
          <w:sz w:val="26"/>
          <w:szCs w:val="26"/>
        </w:rPr>
        <w:t>will also f</w:t>
      </w:r>
      <w:r>
        <w:rPr>
          <w:rFonts w:ascii="Times New Roman" w:eastAsia="Times New Roman" w:hAnsi="Times New Roman" w:cs="Times New Roman"/>
          <w:sz w:val="26"/>
          <w:szCs w:val="26"/>
        </w:rPr>
        <w:t>ollow the notification requirements of 52 Pa. Code §</w:t>
      </w:r>
      <w:r w:rsidR="00676DE2">
        <w:rPr>
          <w:rFonts w:ascii="Times New Roman" w:eastAsia="Times New Roman" w:hAnsi="Times New Roman" w:cs="Times New Roman"/>
          <w:sz w:val="26"/>
          <w:szCs w:val="26"/>
        </w:rPr>
        <w:t> </w:t>
      </w:r>
      <w:r>
        <w:rPr>
          <w:rFonts w:ascii="Times New Roman" w:eastAsia="Times New Roman" w:hAnsi="Times New Roman" w:cs="Times New Roman"/>
          <w:sz w:val="26"/>
          <w:szCs w:val="26"/>
        </w:rPr>
        <w:t xml:space="preserve">57.91 regardless of whether the property is subject to condemnation.  Additionally, the Company agrees not to employ straw purchasers when acquiring any interest in real property for the siting and construction of overhead transmission lines.  Settlement at 4.  </w:t>
      </w:r>
    </w:p>
    <w:p w:rsidR="00FC3B9A" w:rsidRPr="00FC3B9A" w:rsidRDefault="00FC3B9A" w:rsidP="00F44833">
      <w:pPr>
        <w:tabs>
          <w:tab w:val="center" w:pos="720"/>
        </w:tabs>
        <w:suppressAutoHyphens/>
        <w:spacing w:after="0" w:line="360" w:lineRule="auto"/>
        <w:rPr>
          <w:rFonts w:ascii="Times New Roman" w:eastAsia="Times New Roman" w:hAnsi="Times New Roman" w:cs="Times New Roman"/>
          <w:sz w:val="26"/>
          <w:szCs w:val="26"/>
        </w:rPr>
      </w:pPr>
    </w:p>
    <w:p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00E8725A">
        <w:rPr>
          <w:rFonts w:ascii="Times New Roman" w:eastAsia="Times New Roman" w:hAnsi="Times New Roman" w:cs="Times New Roman"/>
          <w:sz w:val="26"/>
          <w:szCs w:val="26"/>
        </w:rPr>
        <w:t xml:space="preserve">If the Commission substantially modifies the terms of the Settlement, the Parties are permitted to petition the Commission for a hearing.  </w:t>
      </w:r>
      <w:r w:rsidRPr="003F7EE6">
        <w:rPr>
          <w:rFonts w:ascii="Times New Roman" w:eastAsia="Times New Roman" w:hAnsi="Times New Roman" w:cs="Times New Roman"/>
          <w:i/>
          <w:sz w:val="26"/>
          <w:szCs w:val="26"/>
        </w:rPr>
        <w:t>Id.</w:t>
      </w:r>
      <w:r w:rsidR="00FC3B9A">
        <w:rPr>
          <w:rFonts w:ascii="Times New Roman" w:eastAsia="Times New Roman" w:hAnsi="Times New Roman" w:cs="Times New Roman"/>
          <w:sz w:val="26"/>
          <w:szCs w:val="26"/>
        </w:rPr>
        <w:t xml:space="preserve"> </w:t>
      </w:r>
      <w:r w:rsidR="000A4C22">
        <w:rPr>
          <w:rFonts w:ascii="Times New Roman" w:eastAsia="Times New Roman" w:hAnsi="Times New Roman" w:cs="Times New Roman"/>
          <w:sz w:val="26"/>
          <w:szCs w:val="26"/>
        </w:rPr>
        <w:t xml:space="preserve"> In that event, any Party may withdraw from the Settlement within ten business days of any Commission Order making substantive modifications in the Settlement.  </w:t>
      </w:r>
      <w:r w:rsidR="000A4C22" w:rsidRPr="00AA3E8E">
        <w:rPr>
          <w:rFonts w:ascii="Times New Roman" w:eastAsia="Times New Roman" w:hAnsi="Times New Roman" w:cs="Times New Roman"/>
          <w:i/>
          <w:sz w:val="26"/>
          <w:szCs w:val="26"/>
        </w:rPr>
        <w:t>Id</w:t>
      </w:r>
      <w:r w:rsidR="000A4C22">
        <w:rPr>
          <w:rFonts w:ascii="Times New Roman" w:eastAsia="Times New Roman" w:hAnsi="Times New Roman" w:cs="Times New Roman"/>
          <w:sz w:val="26"/>
          <w:szCs w:val="26"/>
        </w:rPr>
        <w:t>.</w:t>
      </w:r>
    </w:p>
    <w:p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p>
    <w:p w:rsidR="00F44833" w:rsidRPr="003F7EE6" w:rsidRDefault="00F44833" w:rsidP="00F44833">
      <w:pPr>
        <w:keepNext/>
        <w:tabs>
          <w:tab w:val="center" w:pos="720"/>
        </w:tabs>
        <w:suppressAutoHyphens/>
        <w:spacing w:after="0" w:line="360" w:lineRule="auto"/>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Discussion</w:t>
      </w:r>
    </w:p>
    <w:p w:rsidR="00F44833" w:rsidRPr="003F7EE6" w:rsidRDefault="00F44833" w:rsidP="00F44833">
      <w:pPr>
        <w:keepNext/>
        <w:tabs>
          <w:tab w:val="center" w:pos="720"/>
        </w:tabs>
        <w:suppressAutoHyphens/>
        <w:spacing w:after="0" w:line="360" w:lineRule="auto"/>
        <w:rPr>
          <w:rFonts w:ascii="Times New Roman" w:eastAsia="Times New Roman" w:hAnsi="Times New Roman" w:cs="Times New Roman"/>
          <w:sz w:val="26"/>
          <w:szCs w:val="26"/>
        </w:rPr>
      </w:pPr>
    </w:p>
    <w:p w:rsidR="00676DE2" w:rsidRDefault="00F44833" w:rsidP="00E8725A">
      <w:pPr>
        <w:tabs>
          <w:tab w:val="center"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Pursuant to our Regulation at 52 Pa. Code § 5.231, it is the Commission’s policy to promote settlements.  The Commission must, however, review proposed settlements to determine whether the terms are in the public interest.  </w:t>
      </w:r>
      <w:r w:rsidRPr="003F7EE6">
        <w:rPr>
          <w:rFonts w:ascii="Times New Roman" w:eastAsia="Times New Roman" w:hAnsi="Times New Roman" w:cs="Times New Roman"/>
          <w:i/>
          <w:sz w:val="26"/>
          <w:szCs w:val="26"/>
        </w:rPr>
        <w:t>Pa. PUC v. Philadelphia Gas Works</w:t>
      </w:r>
      <w:r w:rsidRPr="003F7EE6">
        <w:rPr>
          <w:rFonts w:ascii="Times New Roman" w:eastAsia="Times New Roman" w:hAnsi="Times New Roman" w:cs="Times New Roman"/>
          <w:sz w:val="26"/>
          <w:szCs w:val="26"/>
        </w:rPr>
        <w:t>, Docket No. M-00031768 (</w:t>
      </w:r>
      <w:r w:rsidR="00DA3949">
        <w:rPr>
          <w:rFonts w:ascii="Times New Roman" w:eastAsia="Times New Roman" w:hAnsi="Times New Roman" w:cs="Times New Roman"/>
          <w:sz w:val="26"/>
          <w:szCs w:val="26"/>
        </w:rPr>
        <w:t>Order entered January 7, 2004).</w:t>
      </w:r>
    </w:p>
    <w:p w:rsidR="00F44833" w:rsidRPr="003F7EE6" w:rsidRDefault="00DA3949" w:rsidP="00E8725A">
      <w:pPr>
        <w:tabs>
          <w:tab w:val="center" w:pos="72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F44833" w:rsidRPr="003F7EE6" w:rsidRDefault="00F44833" w:rsidP="00F44833">
      <w:pPr>
        <w:keepNext/>
        <w:spacing w:after="0" w:line="360" w:lineRule="auto"/>
        <w:ind w:left="720" w:hanging="720"/>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Conclusion</w:t>
      </w:r>
    </w:p>
    <w:p w:rsidR="00F44833" w:rsidRPr="003F7EE6" w:rsidRDefault="00F44833" w:rsidP="00F44833">
      <w:pPr>
        <w:keepNext/>
        <w:spacing w:after="0" w:line="360" w:lineRule="auto"/>
        <w:rPr>
          <w:rFonts w:ascii="Times New Roman" w:eastAsia="Times New Roman" w:hAnsi="Times New Roman" w:cs="Times New Roman"/>
          <w:sz w:val="26"/>
          <w:szCs w:val="26"/>
        </w:rPr>
      </w:pPr>
    </w:p>
    <w:p w:rsidR="00F44833" w:rsidRPr="003F7EE6" w:rsidRDefault="00E8725A" w:rsidP="00F44833">
      <w:pPr>
        <w:spacing w:after="0" w:line="360" w:lineRule="auto"/>
        <w:ind w:firstLine="14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Before issuing a decision on the merits of the Settlement, and consistent with the requirement of 52 Pa. Code § 3.113(b)(3), we are providing an opportunity for interested parties to file comments regarding the Settlement; </w:t>
      </w:r>
      <w:r w:rsidR="00F44833" w:rsidRPr="003F7EE6">
        <w:rPr>
          <w:rFonts w:ascii="Times New Roman" w:eastAsia="Times New Roman" w:hAnsi="Times New Roman" w:cs="Times New Roman"/>
          <w:b/>
          <w:sz w:val="26"/>
          <w:szCs w:val="26"/>
        </w:rPr>
        <w:t>THEREFORE,</w:t>
      </w:r>
    </w:p>
    <w:p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p>
    <w:p w:rsidR="00436E73" w:rsidRDefault="00F44833" w:rsidP="00F44833">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p>
    <w:p w:rsidR="00436E73" w:rsidRDefault="00436E73" w:rsidP="00F44833">
      <w:pPr>
        <w:spacing w:after="0" w:line="360" w:lineRule="auto"/>
        <w:rPr>
          <w:rFonts w:ascii="Times New Roman" w:eastAsia="Times New Roman" w:hAnsi="Times New Roman" w:cs="Times New Roman"/>
          <w:sz w:val="26"/>
          <w:szCs w:val="26"/>
        </w:rPr>
      </w:pPr>
    </w:p>
    <w:p w:rsidR="00F44833" w:rsidRPr="003F7EE6" w:rsidRDefault="00F44833" w:rsidP="00436E73">
      <w:pPr>
        <w:spacing w:after="0" w:line="360" w:lineRule="auto"/>
        <w:ind w:left="720" w:firstLine="720"/>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lastRenderedPageBreak/>
        <w:t>IT IS ORDERED:</w:t>
      </w:r>
    </w:p>
    <w:p w:rsidR="00F44833" w:rsidRPr="003F7EE6" w:rsidRDefault="00F44833" w:rsidP="00F44833">
      <w:pPr>
        <w:spacing w:after="0" w:line="360" w:lineRule="auto"/>
        <w:rPr>
          <w:rFonts w:ascii="Times New Roman" w:eastAsia="Times New Roman" w:hAnsi="Times New Roman" w:cs="Times New Roman"/>
          <w:sz w:val="26"/>
          <w:szCs w:val="26"/>
        </w:rPr>
      </w:pPr>
    </w:p>
    <w:p w:rsidR="00436E73" w:rsidRPr="003F7EE6" w:rsidRDefault="00F44833" w:rsidP="00436E73">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00436E73" w:rsidRPr="003F7EE6">
        <w:rPr>
          <w:rFonts w:ascii="Times New Roman" w:eastAsia="Times New Roman" w:hAnsi="Times New Roman" w:cs="Times New Roman"/>
          <w:sz w:val="26"/>
          <w:szCs w:val="26"/>
        </w:rPr>
        <w:t>1.</w:t>
      </w:r>
      <w:r w:rsidR="00436E73" w:rsidRPr="003F7EE6">
        <w:rPr>
          <w:rFonts w:ascii="Times New Roman" w:eastAsia="Times New Roman" w:hAnsi="Times New Roman" w:cs="Times New Roman"/>
          <w:sz w:val="26"/>
          <w:szCs w:val="26"/>
        </w:rPr>
        <w:tab/>
        <w:t>That this Opinion and Order, together with the attached</w:t>
      </w:r>
      <w:r w:rsidR="00FB173E">
        <w:rPr>
          <w:rFonts w:ascii="Times New Roman" w:eastAsia="Times New Roman" w:hAnsi="Times New Roman" w:cs="Times New Roman"/>
          <w:sz w:val="26"/>
          <w:szCs w:val="26"/>
        </w:rPr>
        <w:t xml:space="preserve"> </w:t>
      </w:r>
      <w:r w:rsidR="00436E73" w:rsidRPr="003F7EE6">
        <w:rPr>
          <w:rFonts w:ascii="Times New Roman" w:eastAsia="Times New Roman" w:hAnsi="Times New Roman" w:cs="Times New Roman"/>
          <w:sz w:val="26"/>
          <w:szCs w:val="26"/>
        </w:rPr>
        <w:t>Settlement Agreement, shall be issued for comments by any interested party.</w:t>
      </w:r>
    </w:p>
    <w:p w:rsidR="00436E73" w:rsidRPr="003F7EE6" w:rsidRDefault="00436E73" w:rsidP="00436E73">
      <w:pPr>
        <w:spacing w:after="0" w:line="360" w:lineRule="auto"/>
        <w:rPr>
          <w:rFonts w:ascii="Times New Roman" w:eastAsia="Times New Roman" w:hAnsi="Times New Roman" w:cs="Times New Roman"/>
          <w:sz w:val="26"/>
          <w:szCs w:val="26"/>
        </w:rPr>
      </w:pPr>
    </w:p>
    <w:p w:rsidR="00436E73" w:rsidRPr="003F7EE6" w:rsidRDefault="00436E73" w:rsidP="00436E73">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2.</w:t>
      </w:r>
      <w:r w:rsidRPr="003F7EE6">
        <w:rPr>
          <w:rFonts w:ascii="Times New Roman" w:eastAsia="Times New Roman" w:hAnsi="Times New Roman" w:cs="Times New Roman"/>
          <w:sz w:val="26"/>
          <w:szCs w:val="26"/>
        </w:rPr>
        <w:tab/>
        <w:t>That a copy of this Opinion and Order, together with the attached Settlement Agreement, shall be served on the Office of Consumer Advocate and the Office of Small Business Advocate.</w:t>
      </w:r>
    </w:p>
    <w:p w:rsidR="00436E73" w:rsidRPr="003F7EE6" w:rsidRDefault="00436E73" w:rsidP="00436E73">
      <w:pPr>
        <w:spacing w:after="0" w:line="360" w:lineRule="auto"/>
        <w:rPr>
          <w:rFonts w:ascii="Times New Roman" w:eastAsia="Times New Roman" w:hAnsi="Times New Roman" w:cs="Times New Roman"/>
          <w:sz w:val="26"/>
          <w:szCs w:val="26"/>
        </w:rPr>
      </w:pPr>
    </w:p>
    <w:p w:rsidR="00436E73" w:rsidRPr="003F7EE6" w:rsidRDefault="00436E73" w:rsidP="00436E73">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3.</w:t>
      </w:r>
      <w:r w:rsidRPr="003F7EE6">
        <w:rPr>
          <w:rFonts w:ascii="Times New Roman" w:eastAsia="Times New Roman" w:hAnsi="Times New Roman" w:cs="Times New Roman"/>
          <w:sz w:val="26"/>
          <w:szCs w:val="26"/>
        </w:rPr>
        <w:tab/>
        <w:t xml:space="preserve">That comments regarding the </w:t>
      </w:r>
      <w:r w:rsidR="00EE31D1">
        <w:rPr>
          <w:rFonts w:ascii="Times New Roman" w:eastAsia="Times New Roman" w:hAnsi="Times New Roman" w:cs="Times New Roman"/>
          <w:sz w:val="26"/>
          <w:szCs w:val="26"/>
        </w:rPr>
        <w:t>attach</w:t>
      </w:r>
      <w:r w:rsidRPr="003F7EE6">
        <w:rPr>
          <w:rFonts w:ascii="Times New Roman" w:eastAsia="Times New Roman" w:hAnsi="Times New Roman" w:cs="Times New Roman"/>
          <w:sz w:val="26"/>
          <w:szCs w:val="26"/>
        </w:rPr>
        <w:t>ed Settlement Agreement will be considered timely if filed within twenty (20) days of the date of entry of this Opinion and Order.</w:t>
      </w:r>
    </w:p>
    <w:p w:rsidR="00436E73" w:rsidRPr="003F7EE6" w:rsidRDefault="00436E73" w:rsidP="00436E73">
      <w:pPr>
        <w:spacing w:after="0" w:line="360" w:lineRule="auto"/>
        <w:rPr>
          <w:rFonts w:ascii="Times New Roman" w:eastAsia="Times New Roman" w:hAnsi="Times New Roman" w:cs="Times New Roman"/>
          <w:sz w:val="26"/>
          <w:szCs w:val="26"/>
        </w:rPr>
      </w:pPr>
    </w:p>
    <w:p w:rsidR="00436E73" w:rsidRPr="003F7EE6" w:rsidRDefault="00436E73" w:rsidP="00436E73">
      <w:pPr>
        <w:spacing w:after="0" w:line="360" w:lineRule="auto"/>
        <w:ind w:firstLine="14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4.</w:t>
      </w:r>
      <w:r w:rsidRPr="003F7EE6">
        <w:rPr>
          <w:rFonts w:ascii="Times New Roman" w:eastAsia="Times New Roman" w:hAnsi="Times New Roman" w:cs="Times New Roman"/>
          <w:sz w:val="26"/>
          <w:szCs w:val="26"/>
        </w:rPr>
        <w:tab/>
        <w:t>That, subsequent to the Commission’s review of comments filed in this proceeding, an Opinion and Order will be issued.</w:t>
      </w:r>
    </w:p>
    <w:p w:rsidR="00F44833" w:rsidRPr="003F7EE6" w:rsidRDefault="00F44833" w:rsidP="00F44833">
      <w:pPr>
        <w:spacing w:after="0" w:line="360" w:lineRule="auto"/>
        <w:rPr>
          <w:rFonts w:ascii="Times New Roman" w:eastAsia="Times New Roman" w:hAnsi="Times New Roman" w:cs="Times New Roman"/>
          <w:sz w:val="26"/>
          <w:szCs w:val="26"/>
        </w:rPr>
      </w:pPr>
    </w:p>
    <w:p w:rsidR="00F44833" w:rsidRPr="003F7EE6" w:rsidRDefault="00303D57" w:rsidP="00FD1212">
      <w:pPr>
        <w:rPr>
          <w:rFonts w:ascii="Times New Roman" w:eastAsia="Times New Roman" w:hAnsi="Times New Roman" w:cs="Times New Roman"/>
          <w:b/>
          <w:sz w:val="26"/>
          <w:szCs w:val="26"/>
        </w:rPr>
      </w:pPr>
      <w:bookmarkStart w:id="0" w:name="_GoBack"/>
      <w:r>
        <w:rPr>
          <w:noProof/>
        </w:rPr>
        <w:drawing>
          <wp:anchor distT="0" distB="0" distL="114300" distR="114300" simplePos="0" relativeHeight="251659264" behindDoc="1" locked="0" layoutInCell="1" allowOverlap="1" wp14:anchorId="76931D98" wp14:editId="04E34E54">
            <wp:simplePos x="0" y="0"/>
            <wp:positionH relativeFrom="column">
              <wp:posOffset>2684780</wp:posOffset>
            </wp:positionH>
            <wp:positionV relativeFrom="paragraph">
              <wp:posOffset>41275</wp:posOffset>
            </wp:positionV>
            <wp:extent cx="2200275" cy="8382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b/>
          <w:sz w:val="26"/>
          <w:szCs w:val="26"/>
        </w:rPr>
        <w:t>BY THE COMMISSION,</w:t>
      </w:r>
    </w:p>
    <w:p w:rsidR="00F44833" w:rsidRPr="003F7EE6" w:rsidRDefault="00F44833" w:rsidP="00F44833">
      <w:pPr>
        <w:spacing w:after="0" w:line="240" w:lineRule="auto"/>
        <w:rPr>
          <w:rFonts w:ascii="Times New Roman" w:eastAsia="Times New Roman" w:hAnsi="Times New Roman" w:cs="Times New Roman"/>
          <w:sz w:val="26"/>
          <w:szCs w:val="26"/>
        </w:rPr>
      </w:pPr>
    </w:p>
    <w:p w:rsidR="00F44833" w:rsidRPr="003F7EE6" w:rsidRDefault="00F44833" w:rsidP="00F44833">
      <w:pPr>
        <w:spacing w:after="0" w:line="240" w:lineRule="auto"/>
        <w:rPr>
          <w:rFonts w:ascii="Times New Roman" w:eastAsia="Times New Roman" w:hAnsi="Times New Roman" w:cs="Times New Roman"/>
          <w:sz w:val="26"/>
          <w:szCs w:val="26"/>
        </w:rPr>
      </w:pPr>
    </w:p>
    <w:p w:rsidR="00F44833" w:rsidRPr="003F7EE6" w:rsidRDefault="00F44833" w:rsidP="00F44833">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Rosemary Chiavetta</w:t>
      </w:r>
    </w:p>
    <w:p w:rsidR="00F44833" w:rsidRPr="003F7EE6" w:rsidRDefault="00F44833" w:rsidP="00F44833">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Secretary</w:t>
      </w:r>
    </w:p>
    <w:p w:rsidR="00F44833" w:rsidRPr="003F7EE6" w:rsidRDefault="00F44833" w:rsidP="00A61A76">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(SEAL)</w:t>
      </w:r>
    </w:p>
    <w:p w:rsidR="005A0B97" w:rsidRDefault="00F44833" w:rsidP="00A61A76">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ORDER ADOPTED:</w:t>
      </w:r>
      <w:r w:rsidRPr="003F7EE6">
        <w:rPr>
          <w:rFonts w:ascii="Times New Roman" w:eastAsia="Times New Roman" w:hAnsi="Times New Roman" w:cs="Times New Roman"/>
          <w:sz w:val="26"/>
          <w:szCs w:val="26"/>
        </w:rPr>
        <w:tab/>
      </w:r>
      <w:r w:rsidR="00436E73">
        <w:rPr>
          <w:rFonts w:ascii="Times New Roman" w:eastAsia="Times New Roman" w:hAnsi="Times New Roman" w:cs="Times New Roman"/>
          <w:sz w:val="26"/>
          <w:szCs w:val="26"/>
        </w:rPr>
        <w:t>May 22, 2014</w:t>
      </w:r>
    </w:p>
    <w:p w:rsidR="00F44833" w:rsidRDefault="00F44833" w:rsidP="00A61A76">
      <w:pPr>
        <w:tabs>
          <w:tab w:val="left" w:pos="-720"/>
        </w:tabs>
        <w:suppressAutoHyphens/>
        <w:spacing w:after="0" w:line="360" w:lineRule="auto"/>
        <w:rPr>
          <w:rFonts w:ascii="Times New Roman" w:eastAsia="Times New Roman" w:hAnsi="Times New Roman" w:cs="Times New Roman"/>
          <w:sz w:val="26"/>
          <w:szCs w:val="20"/>
        </w:rPr>
      </w:pPr>
      <w:r w:rsidRPr="003F7EE6">
        <w:rPr>
          <w:rFonts w:ascii="Times New Roman" w:eastAsia="Times New Roman" w:hAnsi="Times New Roman" w:cs="Times New Roman"/>
          <w:sz w:val="26"/>
          <w:szCs w:val="20"/>
        </w:rPr>
        <w:t>ORDER ENTERED:</w:t>
      </w:r>
      <w:r w:rsidR="00903707">
        <w:rPr>
          <w:rFonts w:ascii="Times New Roman" w:eastAsia="Times New Roman" w:hAnsi="Times New Roman" w:cs="Times New Roman"/>
          <w:sz w:val="26"/>
          <w:szCs w:val="20"/>
        </w:rPr>
        <w:t xml:space="preserve">  </w:t>
      </w:r>
      <w:r w:rsidR="00303D57">
        <w:rPr>
          <w:rFonts w:ascii="Times New Roman" w:eastAsia="Times New Roman" w:hAnsi="Times New Roman" w:cs="Times New Roman"/>
          <w:sz w:val="26"/>
          <w:szCs w:val="20"/>
        </w:rPr>
        <w:t xml:space="preserve"> May 22, 2014</w:t>
      </w:r>
    </w:p>
    <w:p w:rsidR="00676DE2" w:rsidRDefault="00676DE2" w:rsidP="00A61A76">
      <w:pPr>
        <w:tabs>
          <w:tab w:val="left" w:pos="-720"/>
        </w:tabs>
        <w:suppressAutoHyphens/>
        <w:spacing w:after="0" w:line="360" w:lineRule="auto"/>
        <w:rPr>
          <w:rFonts w:ascii="Times New Roman" w:eastAsia="Times New Roman" w:hAnsi="Times New Roman" w:cs="Times New Roman"/>
          <w:sz w:val="26"/>
          <w:szCs w:val="20"/>
        </w:rPr>
      </w:pPr>
    </w:p>
    <w:p w:rsidR="00A27E86" w:rsidRDefault="00A27E86" w:rsidP="00A61A76">
      <w:pPr>
        <w:tabs>
          <w:tab w:val="left" w:pos="-720"/>
        </w:tabs>
        <w:suppressAutoHyphens/>
        <w:spacing w:after="0" w:line="360" w:lineRule="auto"/>
        <w:rPr>
          <w:rFonts w:ascii="Times New Roman" w:eastAsia="Times New Roman" w:hAnsi="Times New Roman" w:cs="Times New Roman"/>
          <w:sz w:val="26"/>
          <w:szCs w:val="20"/>
        </w:rPr>
        <w:sectPr w:rsidR="00A27E86" w:rsidSect="00F83F8E">
          <w:footerReference w:type="default" r:id="rId9"/>
          <w:headerReference w:type="first" r:id="rId10"/>
          <w:pgSz w:w="12240" w:h="15840"/>
          <w:pgMar w:top="1440" w:right="1440" w:bottom="1440" w:left="1440" w:header="720" w:footer="720" w:gutter="0"/>
          <w:cols w:space="720"/>
          <w:titlePg/>
          <w:docGrid w:linePitch="360"/>
        </w:sectPr>
      </w:pPr>
    </w:p>
    <w:p w:rsidR="00D93A39" w:rsidRPr="003F7EE6" w:rsidRDefault="006D33D5" w:rsidP="00A61A76">
      <w:pPr>
        <w:tabs>
          <w:tab w:val="left" w:pos="-720"/>
        </w:tabs>
        <w:suppressAutoHyphens/>
        <w:spacing w:after="0" w:line="360" w:lineRule="auto"/>
        <w:rPr>
          <w:rFonts w:ascii="Times New Roman" w:eastAsia="Times New Roman" w:hAnsi="Times New Roman" w:cs="Times New Roman"/>
          <w:sz w:val="26"/>
          <w:szCs w:val="20"/>
        </w:rPr>
      </w:pPr>
      <w:r>
        <w:rPr>
          <w:rFonts w:ascii="Times New Roman" w:eastAsia="Times New Roman" w:hAnsi="Times New Roman" w:cs="Times New Roman"/>
          <w:noProof/>
          <w:sz w:val="26"/>
          <w:szCs w:val="20"/>
        </w:rPr>
        <w:lastRenderedPageBreak/>
        <w:drawing>
          <wp:inline distT="0" distB="0" distL="0" distR="0" wp14:anchorId="215382C5" wp14:editId="1BCC7D03">
            <wp:extent cx="6391275" cy="8271061"/>
            <wp:effectExtent l="0" t="0" r="0" b="0"/>
            <wp:docPr id="22" name="Picture 22" descr="C:\Users\rmarinko\Desktop\Settlement\Settlement Agreement - LBPS v Duquesne Light Co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marinko\Desktop\Settlement\Settlement Agreement - LBPS v Duquesne Light Co_Page_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1275" cy="8271061"/>
                    </a:xfrm>
                    <a:prstGeom prst="rect">
                      <a:avLst/>
                    </a:prstGeom>
                    <a:noFill/>
                    <a:ln>
                      <a:noFill/>
                    </a:ln>
                  </pic:spPr>
                </pic:pic>
              </a:graphicData>
            </a:graphic>
          </wp:inline>
        </w:drawing>
      </w:r>
      <w:r>
        <w:rPr>
          <w:rFonts w:ascii="Times New Roman" w:eastAsia="Times New Roman" w:hAnsi="Times New Roman" w:cs="Times New Roman"/>
          <w:noProof/>
          <w:sz w:val="26"/>
          <w:szCs w:val="20"/>
        </w:rPr>
        <w:lastRenderedPageBreak/>
        <w:drawing>
          <wp:inline distT="0" distB="0" distL="0" distR="0" wp14:anchorId="0EE48D79" wp14:editId="711402F7">
            <wp:extent cx="6610350" cy="8554570"/>
            <wp:effectExtent l="0" t="0" r="0" b="0"/>
            <wp:docPr id="21" name="Picture 21" descr="C:\Users\rmarinko\Desktop\Settlement\Settlement Agreement - LBPS v Duquesne Light Co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marinko\Desktop\Settlement\Settlement Agreement - LBPS v Duquesne Light Co_Page_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14472" cy="8559904"/>
                    </a:xfrm>
                    <a:prstGeom prst="rect">
                      <a:avLst/>
                    </a:prstGeom>
                    <a:noFill/>
                    <a:ln>
                      <a:noFill/>
                    </a:ln>
                  </pic:spPr>
                </pic:pic>
              </a:graphicData>
            </a:graphic>
          </wp:inline>
        </w:drawing>
      </w:r>
      <w:r>
        <w:rPr>
          <w:rFonts w:ascii="Times New Roman" w:eastAsia="Times New Roman" w:hAnsi="Times New Roman" w:cs="Times New Roman"/>
          <w:noProof/>
          <w:sz w:val="26"/>
          <w:szCs w:val="20"/>
        </w:rPr>
        <w:lastRenderedPageBreak/>
        <w:drawing>
          <wp:inline distT="0" distB="0" distL="0" distR="0" wp14:anchorId="27C2BDC9" wp14:editId="74F78BD4">
            <wp:extent cx="6580043" cy="8515350"/>
            <wp:effectExtent l="0" t="0" r="0" b="0"/>
            <wp:docPr id="20" name="Picture 20" descr="C:\Users\rmarinko\Desktop\Settlement\Settlement Agreement - LBPS v Duquesne Light Co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marinko\Desktop\Settlement\Settlement Agreement - LBPS v Duquesne Light Co_Page_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0043" cy="8515350"/>
                    </a:xfrm>
                    <a:prstGeom prst="rect">
                      <a:avLst/>
                    </a:prstGeom>
                    <a:noFill/>
                    <a:ln>
                      <a:noFill/>
                    </a:ln>
                  </pic:spPr>
                </pic:pic>
              </a:graphicData>
            </a:graphic>
          </wp:inline>
        </w:drawing>
      </w:r>
      <w:r>
        <w:rPr>
          <w:rFonts w:ascii="Times New Roman" w:eastAsia="Times New Roman" w:hAnsi="Times New Roman" w:cs="Times New Roman"/>
          <w:noProof/>
          <w:sz w:val="26"/>
          <w:szCs w:val="20"/>
        </w:rPr>
        <w:lastRenderedPageBreak/>
        <w:drawing>
          <wp:inline distT="0" distB="0" distL="0" distR="0" wp14:anchorId="57BC2C9D" wp14:editId="690872C0">
            <wp:extent cx="6513801" cy="8429625"/>
            <wp:effectExtent l="0" t="0" r="1905" b="0"/>
            <wp:docPr id="19" name="Picture 19" descr="C:\Users\rmarinko\Desktop\Settlement\Settlement Agreement - LBPS v Duquesne Light Co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marinko\Desktop\Settlement\Settlement Agreement - LBPS v Duquesne Light Co_Page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13801" cy="8429625"/>
                    </a:xfrm>
                    <a:prstGeom prst="rect">
                      <a:avLst/>
                    </a:prstGeom>
                    <a:noFill/>
                    <a:ln>
                      <a:noFill/>
                    </a:ln>
                  </pic:spPr>
                </pic:pic>
              </a:graphicData>
            </a:graphic>
          </wp:inline>
        </w:drawing>
      </w:r>
      <w:r>
        <w:rPr>
          <w:rFonts w:ascii="Times New Roman" w:eastAsia="Times New Roman" w:hAnsi="Times New Roman" w:cs="Times New Roman"/>
          <w:noProof/>
          <w:sz w:val="26"/>
          <w:szCs w:val="20"/>
        </w:rPr>
        <w:lastRenderedPageBreak/>
        <w:drawing>
          <wp:inline distT="0" distB="0" distL="0" distR="0" wp14:anchorId="0427294A" wp14:editId="6D67A0D2">
            <wp:extent cx="6506441" cy="8420100"/>
            <wp:effectExtent l="0" t="0" r="8890" b="0"/>
            <wp:docPr id="18" name="Picture 18" descr="C:\Users\rmarinko\Desktop\Settlement\Settlement Agreement - LBPS v Duquesne Light Co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marinko\Desktop\Settlement\Settlement Agreement - LBPS v Duquesne Light Co_Page_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10947" cy="8425932"/>
                    </a:xfrm>
                    <a:prstGeom prst="rect">
                      <a:avLst/>
                    </a:prstGeom>
                    <a:noFill/>
                    <a:ln>
                      <a:noFill/>
                    </a:ln>
                  </pic:spPr>
                </pic:pic>
              </a:graphicData>
            </a:graphic>
          </wp:inline>
        </w:drawing>
      </w:r>
      <w:r>
        <w:rPr>
          <w:rFonts w:ascii="Times New Roman" w:eastAsia="Times New Roman" w:hAnsi="Times New Roman" w:cs="Times New Roman"/>
          <w:noProof/>
          <w:sz w:val="26"/>
          <w:szCs w:val="20"/>
        </w:rPr>
        <w:lastRenderedPageBreak/>
        <w:drawing>
          <wp:inline distT="0" distB="0" distL="0" distR="0" wp14:anchorId="3B91872F" wp14:editId="58FBE951">
            <wp:extent cx="6565323" cy="8496300"/>
            <wp:effectExtent l="0" t="0" r="6985" b="0"/>
            <wp:docPr id="17" name="Picture 17" descr="C:\Users\rmarinko\Desktop\Settlement\Settlement Agreement - LBPS v Duquesne Light Co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marinko\Desktop\Settlement\Settlement Agreement - LBPS v Duquesne Light Co_Page_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65336" cy="8496317"/>
                    </a:xfrm>
                    <a:prstGeom prst="rect">
                      <a:avLst/>
                    </a:prstGeom>
                    <a:noFill/>
                    <a:ln>
                      <a:noFill/>
                    </a:ln>
                  </pic:spPr>
                </pic:pic>
              </a:graphicData>
            </a:graphic>
          </wp:inline>
        </w:drawing>
      </w:r>
      <w:r>
        <w:rPr>
          <w:rFonts w:ascii="Times New Roman" w:eastAsia="Times New Roman" w:hAnsi="Times New Roman" w:cs="Times New Roman"/>
          <w:noProof/>
          <w:sz w:val="26"/>
          <w:szCs w:val="20"/>
        </w:rPr>
        <w:lastRenderedPageBreak/>
        <w:drawing>
          <wp:inline distT="0" distB="0" distL="0" distR="0" wp14:anchorId="5332C10F" wp14:editId="5D254738">
            <wp:extent cx="6572683" cy="8505825"/>
            <wp:effectExtent l="0" t="0" r="0" b="0"/>
            <wp:docPr id="16" name="Picture 16" descr="C:\Users\rmarinko\Desktop\Settlement\Settlement Agreement - LBPS v Duquesne Light Co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marinko\Desktop\Settlement\Settlement Agreement - LBPS v Duquesne Light Co_Page_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3916" cy="8507421"/>
                    </a:xfrm>
                    <a:prstGeom prst="rect">
                      <a:avLst/>
                    </a:prstGeom>
                    <a:noFill/>
                    <a:ln>
                      <a:noFill/>
                    </a:ln>
                  </pic:spPr>
                </pic:pic>
              </a:graphicData>
            </a:graphic>
          </wp:inline>
        </w:drawing>
      </w:r>
      <w:r>
        <w:rPr>
          <w:rFonts w:ascii="Times New Roman" w:eastAsia="Times New Roman" w:hAnsi="Times New Roman" w:cs="Times New Roman"/>
          <w:noProof/>
          <w:sz w:val="26"/>
          <w:szCs w:val="20"/>
        </w:rPr>
        <w:lastRenderedPageBreak/>
        <w:drawing>
          <wp:inline distT="0" distB="0" distL="0" distR="0" wp14:anchorId="7A2A2953" wp14:editId="3E804A44">
            <wp:extent cx="6609484" cy="8553450"/>
            <wp:effectExtent l="0" t="0" r="1270" b="0"/>
            <wp:docPr id="15" name="Picture 15" descr="C:\Users\rmarinko\Desktop\Settlement\Settlement Agreement - LBPS v Duquesne Light Co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marinko\Desktop\Settlement\Settlement Agreement - LBPS v Duquesne Light Co_Page_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10724" cy="8555055"/>
                    </a:xfrm>
                    <a:prstGeom prst="rect">
                      <a:avLst/>
                    </a:prstGeom>
                    <a:noFill/>
                    <a:ln>
                      <a:noFill/>
                    </a:ln>
                  </pic:spPr>
                </pic:pic>
              </a:graphicData>
            </a:graphic>
          </wp:inline>
        </w:drawing>
      </w:r>
      <w:r>
        <w:rPr>
          <w:rFonts w:ascii="Times New Roman" w:eastAsia="Times New Roman" w:hAnsi="Times New Roman" w:cs="Times New Roman"/>
          <w:noProof/>
          <w:sz w:val="26"/>
          <w:szCs w:val="20"/>
        </w:rPr>
        <w:lastRenderedPageBreak/>
        <w:drawing>
          <wp:inline distT="0" distB="0" distL="0" distR="0" wp14:anchorId="5AADE8F2" wp14:editId="5CCE6860">
            <wp:extent cx="6396038" cy="8277225"/>
            <wp:effectExtent l="0" t="0" r="5080" b="0"/>
            <wp:docPr id="14" name="Picture 14" descr="C:\Users\rmarinko\Desktop\Settlement\Settlement Agreement - LBPS v Duquesne Light Co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marinko\Desktop\Settlement\Settlement Agreement - LBPS v Duquesne Light Co_Page_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6038" cy="8277225"/>
                    </a:xfrm>
                    <a:prstGeom prst="rect">
                      <a:avLst/>
                    </a:prstGeom>
                    <a:noFill/>
                    <a:ln>
                      <a:noFill/>
                    </a:ln>
                  </pic:spPr>
                </pic:pic>
              </a:graphicData>
            </a:graphic>
          </wp:inline>
        </w:drawing>
      </w:r>
    </w:p>
    <w:sectPr w:rsidR="00D93A39" w:rsidRPr="003F7EE6" w:rsidSect="00F83F8E">
      <w:headerReference w:type="default"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DC4" w:rsidRDefault="009A2DC4" w:rsidP="00F44833">
      <w:pPr>
        <w:spacing w:after="0" w:line="240" w:lineRule="auto"/>
      </w:pPr>
      <w:r>
        <w:separator/>
      </w:r>
    </w:p>
  </w:endnote>
  <w:endnote w:type="continuationSeparator" w:id="0">
    <w:p w:rsidR="009A2DC4" w:rsidRDefault="009A2DC4" w:rsidP="00F44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16186"/>
      <w:docPartObj>
        <w:docPartGallery w:val="Page Numbers (Bottom of Page)"/>
        <w:docPartUnique/>
      </w:docPartObj>
    </w:sdtPr>
    <w:sdtEndPr>
      <w:rPr>
        <w:rFonts w:ascii="Times New Roman" w:hAnsi="Times New Roman" w:cs="Times New Roman"/>
        <w:noProof/>
        <w:sz w:val="26"/>
        <w:szCs w:val="26"/>
      </w:rPr>
    </w:sdtEndPr>
    <w:sdtContent>
      <w:p w:rsidR="00DD4798" w:rsidRPr="00DD4798" w:rsidRDefault="00DD4798">
        <w:pPr>
          <w:pStyle w:val="Footer"/>
          <w:jc w:val="center"/>
          <w:rPr>
            <w:rFonts w:ascii="Times New Roman" w:hAnsi="Times New Roman" w:cs="Times New Roman"/>
            <w:sz w:val="26"/>
            <w:szCs w:val="26"/>
          </w:rPr>
        </w:pPr>
        <w:r w:rsidRPr="00DD4798">
          <w:rPr>
            <w:rFonts w:ascii="Times New Roman" w:hAnsi="Times New Roman" w:cs="Times New Roman"/>
            <w:sz w:val="26"/>
            <w:szCs w:val="26"/>
          </w:rPr>
          <w:fldChar w:fldCharType="begin"/>
        </w:r>
        <w:r w:rsidRPr="00DD4798">
          <w:rPr>
            <w:rFonts w:ascii="Times New Roman" w:hAnsi="Times New Roman" w:cs="Times New Roman"/>
            <w:sz w:val="26"/>
            <w:szCs w:val="26"/>
          </w:rPr>
          <w:instrText xml:space="preserve"> PAGE   \* MERGEFORMAT </w:instrText>
        </w:r>
        <w:r w:rsidRPr="00DD4798">
          <w:rPr>
            <w:rFonts w:ascii="Times New Roman" w:hAnsi="Times New Roman" w:cs="Times New Roman"/>
            <w:sz w:val="26"/>
            <w:szCs w:val="26"/>
          </w:rPr>
          <w:fldChar w:fldCharType="separate"/>
        </w:r>
        <w:r w:rsidR="00303D57">
          <w:rPr>
            <w:rFonts w:ascii="Times New Roman" w:hAnsi="Times New Roman" w:cs="Times New Roman"/>
            <w:noProof/>
            <w:sz w:val="26"/>
            <w:szCs w:val="26"/>
          </w:rPr>
          <w:t>7</w:t>
        </w:r>
        <w:r w:rsidRPr="00DD4798">
          <w:rPr>
            <w:rFonts w:ascii="Times New Roman" w:hAnsi="Times New Roman" w:cs="Times New Roman"/>
            <w:noProof/>
            <w:sz w:val="26"/>
            <w:szCs w:val="26"/>
          </w:rPr>
          <w:fldChar w:fldCharType="end"/>
        </w:r>
      </w:p>
    </w:sdtContent>
  </w:sdt>
  <w:p w:rsidR="009F3EEF" w:rsidRPr="009F3EEF" w:rsidRDefault="009F3EEF">
    <w:pPr>
      <w:pStyle w:val="Footer"/>
      <w:jc w:val="center"/>
      <w:rPr>
        <w:rFonts w:ascii="Times New Roman" w:hAnsi="Times New Roman" w:cs="Times New Roman"/>
        <w:sz w:val="26"/>
        <w:szCs w:val="2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798" w:rsidRDefault="00DD4798">
    <w:pPr>
      <w:pStyle w:val="Footer"/>
      <w:jc w:val="center"/>
    </w:pPr>
  </w:p>
  <w:p w:rsidR="00DD4798" w:rsidRPr="009F3EEF" w:rsidRDefault="00DD4798">
    <w:pPr>
      <w:pStyle w:val="Footer"/>
      <w:jc w:val="center"/>
      <w:rPr>
        <w:rFonts w:ascii="Times New Roman" w:hAnsi="Times New Roman" w:cs="Times New Roman"/>
        <w:sz w:val="26"/>
        <w:szCs w:val="2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798" w:rsidRDefault="00DD47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DC4" w:rsidRDefault="009A2DC4" w:rsidP="00F44833">
      <w:pPr>
        <w:spacing w:after="0" w:line="240" w:lineRule="auto"/>
      </w:pPr>
      <w:r>
        <w:separator/>
      </w:r>
    </w:p>
  </w:footnote>
  <w:footnote w:type="continuationSeparator" w:id="0">
    <w:p w:rsidR="009A2DC4" w:rsidRDefault="009A2DC4" w:rsidP="00F44833">
      <w:pPr>
        <w:spacing w:after="0" w:line="240" w:lineRule="auto"/>
      </w:pPr>
      <w:r>
        <w:continuationSeparator/>
      </w:r>
    </w:p>
  </w:footnote>
  <w:footnote w:id="1">
    <w:p w:rsidR="00DF260E" w:rsidRPr="00DF260E" w:rsidRDefault="00DF260E" w:rsidP="002D332F">
      <w:pPr>
        <w:pStyle w:val="FootnoteText"/>
        <w:keepNext/>
        <w:keepLines/>
        <w:ind w:firstLine="720"/>
        <w:rPr>
          <w:rFonts w:ascii="Times New Roman" w:hAnsi="Times New Roman" w:cs="Times New Roman"/>
          <w:sz w:val="26"/>
          <w:szCs w:val="26"/>
        </w:rPr>
      </w:pPr>
      <w:r w:rsidRPr="00DF260E">
        <w:rPr>
          <w:rStyle w:val="FootnoteReference"/>
          <w:rFonts w:ascii="Times New Roman" w:hAnsi="Times New Roman" w:cs="Times New Roman"/>
          <w:sz w:val="26"/>
          <w:szCs w:val="26"/>
        </w:rPr>
        <w:footnoteRef/>
      </w:r>
      <w:r w:rsidRPr="00DF260E">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eastAsia="Times New Roman" w:hAnsi="Times New Roman" w:cs="Times New Roman"/>
          <w:sz w:val="26"/>
          <w:szCs w:val="26"/>
        </w:rPr>
        <w:t xml:space="preserve">In its Report, LBPS provides an historical summary of actions and transactions affecting the parcel of real property at issue in this proceeding located at 143 Jarod Street, </w:t>
      </w:r>
      <w:r w:rsidR="001967EB">
        <w:rPr>
          <w:rFonts w:ascii="Times New Roman" w:eastAsia="Times New Roman" w:hAnsi="Times New Roman" w:cs="Times New Roman"/>
          <w:sz w:val="26"/>
          <w:szCs w:val="26"/>
        </w:rPr>
        <w:t xml:space="preserve">Coraopolis, </w:t>
      </w:r>
      <w:r>
        <w:rPr>
          <w:rFonts w:ascii="Times New Roman" w:eastAsia="Times New Roman" w:hAnsi="Times New Roman" w:cs="Times New Roman"/>
          <w:sz w:val="26"/>
          <w:szCs w:val="26"/>
        </w:rPr>
        <w:t>Moon Township, Allegheny County (Property)</w:t>
      </w:r>
      <w:r w:rsidR="00E52B9F">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00D419FC">
        <w:rPr>
          <w:rFonts w:ascii="Times New Roman" w:eastAsia="Times New Roman" w:hAnsi="Times New Roman" w:cs="Times New Roman"/>
          <w:sz w:val="26"/>
          <w:szCs w:val="26"/>
        </w:rPr>
        <w:t xml:space="preserve">Report at 1, 9.  The Report also summarizes the additional allegations against Duquesne and the positions of the Parties.  </w:t>
      </w:r>
    </w:p>
  </w:footnote>
  <w:footnote w:id="2">
    <w:p w:rsidR="00547BF4" w:rsidRPr="00547BF4" w:rsidRDefault="00547BF4" w:rsidP="00547BF4">
      <w:pPr>
        <w:pStyle w:val="FootnoteText"/>
        <w:ind w:firstLine="720"/>
      </w:pPr>
      <w:r w:rsidRPr="00547BF4">
        <w:rPr>
          <w:rStyle w:val="FootnoteReference"/>
          <w:rFonts w:ascii="Times New Roman" w:hAnsi="Times New Roman" w:cs="Times New Roman"/>
          <w:sz w:val="26"/>
          <w:szCs w:val="26"/>
        </w:rPr>
        <w:footnoteRef/>
      </w:r>
      <w:r w:rsidRPr="00547BF4">
        <w:rPr>
          <w:rFonts w:ascii="Times New Roman" w:hAnsi="Times New Roman" w:cs="Times New Roman"/>
          <w:sz w:val="26"/>
          <w:szCs w:val="26"/>
        </w:rPr>
        <w:t xml:space="preserve"> </w:t>
      </w:r>
      <w:r>
        <w:rPr>
          <w:rFonts w:ascii="Times New Roman" w:hAnsi="Times New Roman" w:cs="Times New Roman"/>
          <w:sz w:val="26"/>
          <w:szCs w:val="26"/>
        </w:rPr>
        <w:tab/>
        <w:t>Duquesne was apparently precluded from exercising its power of eminent domain to condemn the Property due to the proximity of the new transmission line to the dwelling on the Property.  Report at 3 (citing 15 Pa. C.S. § 1511(b)(1)(i)).</w:t>
      </w:r>
    </w:p>
  </w:footnote>
  <w:footnote w:id="3">
    <w:p w:rsidR="008359B7" w:rsidRPr="00633F73" w:rsidRDefault="008359B7" w:rsidP="00633F73">
      <w:pPr>
        <w:pStyle w:val="FootnoteText"/>
        <w:ind w:firstLine="720"/>
        <w:rPr>
          <w:rFonts w:ascii="Times New Roman" w:hAnsi="Times New Roman" w:cs="Times New Roman"/>
          <w:sz w:val="26"/>
          <w:szCs w:val="26"/>
        </w:rPr>
      </w:pPr>
      <w:r w:rsidRPr="00633F73">
        <w:rPr>
          <w:rStyle w:val="FootnoteReference"/>
          <w:rFonts w:ascii="Times New Roman" w:hAnsi="Times New Roman" w:cs="Times New Roman"/>
          <w:sz w:val="26"/>
          <w:szCs w:val="26"/>
        </w:rPr>
        <w:footnoteRef/>
      </w:r>
      <w:r w:rsidRPr="00633F73">
        <w:rPr>
          <w:rFonts w:ascii="Times New Roman" w:hAnsi="Times New Roman" w:cs="Times New Roman"/>
          <w:sz w:val="26"/>
          <w:szCs w:val="26"/>
        </w:rPr>
        <w:t xml:space="preserve"> </w:t>
      </w:r>
      <w:r>
        <w:rPr>
          <w:rFonts w:ascii="Times New Roman" w:hAnsi="Times New Roman" w:cs="Times New Roman"/>
          <w:sz w:val="26"/>
          <w:szCs w:val="26"/>
        </w:rPr>
        <w:tab/>
        <w:t xml:space="preserve">Section 1102(a)(3) requires, in part, that a public utility obtain a Commission-approved certificate of public convenience before acquiring or transferring any tangible or intangible property </w:t>
      </w:r>
      <w:r w:rsidR="00817891">
        <w:rPr>
          <w:rFonts w:ascii="Times New Roman" w:hAnsi="Times New Roman" w:cs="Times New Roman"/>
          <w:sz w:val="26"/>
          <w:szCs w:val="26"/>
        </w:rPr>
        <w:t>“</w:t>
      </w:r>
      <w:r>
        <w:rPr>
          <w:rFonts w:ascii="Times New Roman" w:hAnsi="Times New Roman" w:cs="Times New Roman"/>
          <w:sz w:val="26"/>
          <w:szCs w:val="26"/>
        </w:rPr>
        <w:t>used or useful</w:t>
      </w:r>
      <w:r w:rsidR="00817891">
        <w:rPr>
          <w:rFonts w:ascii="Times New Roman" w:hAnsi="Times New Roman" w:cs="Times New Roman"/>
          <w:sz w:val="26"/>
          <w:szCs w:val="26"/>
        </w:rPr>
        <w:t>”</w:t>
      </w:r>
      <w:r>
        <w:rPr>
          <w:rFonts w:ascii="Times New Roman" w:hAnsi="Times New Roman" w:cs="Times New Roman"/>
          <w:sz w:val="26"/>
          <w:szCs w:val="26"/>
        </w:rPr>
        <w:t xml:space="preserve"> in the public service.  66 Pa. C.S. </w:t>
      </w:r>
      <w:r w:rsidR="00BD1BBB">
        <w:rPr>
          <w:rFonts w:ascii="Times New Roman" w:hAnsi="Times New Roman" w:cs="Times New Roman"/>
          <w:sz w:val="26"/>
          <w:szCs w:val="26"/>
        </w:rPr>
        <w:br/>
      </w:r>
      <w:r>
        <w:rPr>
          <w:rFonts w:ascii="Times New Roman" w:hAnsi="Times New Roman" w:cs="Times New Roman"/>
          <w:sz w:val="26"/>
          <w:szCs w:val="26"/>
        </w:rPr>
        <w:t xml:space="preserve">§ 1102(a)(3).  </w:t>
      </w:r>
    </w:p>
  </w:footnote>
  <w:footnote w:id="4">
    <w:p w:rsidR="001A233D" w:rsidRPr="001A233D" w:rsidRDefault="001A233D" w:rsidP="001A233D">
      <w:pPr>
        <w:pStyle w:val="FootnoteText"/>
        <w:ind w:firstLine="720"/>
        <w:rPr>
          <w:rFonts w:ascii="Times New Roman" w:hAnsi="Times New Roman" w:cs="Times New Roman"/>
          <w:sz w:val="26"/>
          <w:szCs w:val="26"/>
        </w:rPr>
      </w:pPr>
      <w:r w:rsidRPr="001A233D">
        <w:rPr>
          <w:rStyle w:val="FootnoteReference"/>
          <w:rFonts w:ascii="Times New Roman" w:hAnsi="Times New Roman" w:cs="Times New Roman"/>
          <w:sz w:val="26"/>
          <w:szCs w:val="26"/>
        </w:rPr>
        <w:footnoteRef/>
      </w:r>
      <w:r w:rsidRPr="001A233D">
        <w:rPr>
          <w:rFonts w:ascii="Times New Roman" w:hAnsi="Times New Roman" w:cs="Times New Roman"/>
          <w:sz w:val="26"/>
          <w:szCs w:val="26"/>
        </w:rPr>
        <w:t xml:space="preserve"> </w:t>
      </w:r>
      <w:r>
        <w:rPr>
          <w:rFonts w:ascii="Times New Roman" w:hAnsi="Times New Roman" w:cs="Times New Roman"/>
          <w:sz w:val="26"/>
          <w:szCs w:val="26"/>
        </w:rPr>
        <w:tab/>
        <w:t xml:space="preserve">According to LBPS, a “straw purchase” involves an “individual who is not intended to have a genuine beneficial interest in a property to whom such property is nevertheless conveyed, in order to facilitate the eventual conveyance to another party.  In many cases and situations, e.g., car purchase, firearms, mortgages, a straw purchase is </w:t>
      </w:r>
      <w:r>
        <w:rPr>
          <w:rFonts w:ascii="Times New Roman" w:hAnsi="Times New Roman" w:cs="Times New Roman"/>
          <w:i/>
          <w:sz w:val="26"/>
          <w:szCs w:val="26"/>
        </w:rPr>
        <w:t>illegal per se</w:t>
      </w:r>
      <w:r>
        <w:rPr>
          <w:rFonts w:ascii="Times New Roman" w:hAnsi="Times New Roman" w:cs="Times New Roman"/>
          <w:sz w:val="26"/>
          <w:szCs w:val="26"/>
        </w:rPr>
        <w:t xml:space="preserve">.”  Report at 12 (emphasis in original).  </w:t>
      </w:r>
    </w:p>
  </w:footnote>
  <w:footnote w:id="5">
    <w:p w:rsidR="001A233D" w:rsidRPr="001A233D" w:rsidRDefault="001A233D" w:rsidP="001A233D">
      <w:pPr>
        <w:pStyle w:val="FootnoteText"/>
        <w:ind w:firstLine="720"/>
        <w:rPr>
          <w:rFonts w:ascii="Times New Roman" w:hAnsi="Times New Roman" w:cs="Times New Roman"/>
          <w:sz w:val="26"/>
          <w:szCs w:val="26"/>
        </w:rPr>
      </w:pPr>
      <w:r w:rsidRPr="001A233D">
        <w:rPr>
          <w:rStyle w:val="FootnoteReference"/>
          <w:rFonts w:ascii="Times New Roman" w:hAnsi="Times New Roman" w:cs="Times New Roman"/>
          <w:sz w:val="26"/>
          <w:szCs w:val="26"/>
        </w:rPr>
        <w:footnoteRef/>
      </w:r>
      <w:r w:rsidRPr="001A233D">
        <w:rPr>
          <w:rFonts w:ascii="Times New Roman" w:hAnsi="Times New Roman" w:cs="Times New Roman"/>
          <w:sz w:val="26"/>
          <w:szCs w:val="26"/>
        </w:rPr>
        <w:t xml:space="preserve"> </w:t>
      </w:r>
      <w:r>
        <w:rPr>
          <w:rFonts w:ascii="Times New Roman" w:hAnsi="Times New Roman" w:cs="Times New Roman"/>
          <w:sz w:val="26"/>
          <w:szCs w:val="26"/>
        </w:rPr>
        <w:tab/>
        <w:t xml:space="preserve">It is not clear from the Report whether the “Chadwick Street” property </w:t>
      </w:r>
      <w:r w:rsidR="004642CF">
        <w:rPr>
          <w:rFonts w:ascii="Times New Roman" w:hAnsi="Times New Roman" w:cs="Times New Roman"/>
          <w:sz w:val="26"/>
          <w:szCs w:val="26"/>
        </w:rPr>
        <w:t xml:space="preserve">includes or relates to the right-of-way the Company obtained in Sewickley Borough.  </w:t>
      </w:r>
    </w:p>
  </w:footnote>
  <w:footnote w:id="6">
    <w:p w:rsidR="008359B7" w:rsidRPr="00774405" w:rsidRDefault="008359B7" w:rsidP="00F44833">
      <w:pPr>
        <w:pStyle w:val="FootnoteText"/>
        <w:rPr>
          <w:rFonts w:ascii="Times New Roman" w:hAnsi="Times New Roman"/>
          <w:sz w:val="26"/>
          <w:szCs w:val="26"/>
        </w:rPr>
      </w:pPr>
      <w:r>
        <w:rPr>
          <w:rFonts w:ascii="Times New Roman" w:hAnsi="Times New Roman"/>
          <w:sz w:val="26"/>
          <w:szCs w:val="26"/>
        </w:rPr>
        <w:tab/>
      </w:r>
      <w:r w:rsidRPr="00774405">
        <w:rPr>
          <w:rStyle w:val="FootnoteReference"/>
          <w:rFonts w:ascii="Times New Roman" w:hAnsi="Times New Roman"/>
          <w:sz w:val="26"/>
          <w:szCs w:val="26"/>
        </w:rPr>
        <w:footnoteRef/>
      </w:r>
      <w:r w:rsidRPr="00774405">
        <w:rPr>
          <w:rFonts w:ascii="Times New Roman" w:hAnsi="Times New Roman"/>
          <w:sz w:val="26"/>
          <w:szCs w:val="26"/>
        </w:rPr>
        <w:t xml:space="preserve"> </w:t>
      </w:r>
      <w:r>
        <w:rPr>
          <w:rFonts w:ascii="Times New Roman" w:hAnsi="Times New Roman"/>
          <w:sz w:val="26"/>
          <w:szCs w:val="26"/>
        </w:rPr>
        <w:tab/>
        <w:t>The terms are set forth in greater detail in the Settlement at 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D5" w:rsidRDefault="006D33D5" w:rsidP="006D33D5">
    <w:pPr>
      <w:pStyle w:val="Header"/>
      <w:ind w:firstLine="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798" w:rsidRDefault="00DD47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798" w:rsidRDefault="00DD4798" w:rsidP="006D33D5">
    <w:pPr>
      <w:pStyle w:val="Header"/>
      <w:ind w:firstLine="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833"/>
    <w:rsid w:val="00014023"/>
    <w:rsid w:val="000162A3"/>
    <w:rsid w:val="00020D5B"/>
    <w:rsid w:val="00022992"/>
    <w:rsid w:val="00026DFB"/>
    <w:rsid w:val="00033124"/>
    <w:rsid w:val="000618DE"/>
    <w:rsid w:val="00072486"/>
    <w:rsid w:val="00072EB3"/>
    <w:rsid w:val="00083168"/>
    <w:rsid w:val="000A4C22"/>
    <w:rsid w:val="000E1629"/>
    <w:rsid w:val="000F0677"/>
    <w:rsid w:val="000F5FD3"/>
    <w:rsid w:val="001374E3"/>
    <w:rsid w:val="001942E8"/>
    <w:rsid w:val="00195A67"/>
    <w:rsid w:val="001967EB"/>
    <w:rsid w:val="001A233D"/>
    <w:rsid w:val="001C132E"/>
    <w:rsid w:val="0021289D"/>
    <w:rsid w:val="00225A89"/>
    <w:rsid w:val="00253ABA"/>
    <w:rsid w:val="00257C69"/>
    <w:rsid w:val="00270C9C"/>
    <w:rsid w:val="002A6527"/>
    <w:rsid w:val="002A7A8D"/>
    <w:rsid w:val="002D0A6C"/>
    <w:rsid w:val="002D1B5C"/>
    <w:rsid w:val="002D332F"/>
    <w:rsid w:val="002D36B0"/>
    <w:rsid w:val="002F59EF"/>
    <w:rsid w:val="00303007"/>
    <w:rsid w:val="00303D57"/>
    <w:rsid w:val="00382C0B"/>
    <w:rsid w:val="003A695E"/>
    <w:rsid w:val="003B1A2C"/>
    <w:rsid w:val="003B4C9F"/>
    <w:rsid w:val="003B7A7D"/>
    <w:rsid w:val="003C4584"/>
    <w:rsid w:val="00414D40"/>
    <w:rsid w:val="00431E4E"/>
    <w:rsid w:val="004320F9"/>
    <w:rsid w:val="004334B2"/>
    <w:rsid w:val="00436E73"/>
    <w:rsid w:val="00452AF5"/>
    <w:rsid w:val="00457CDB"/>
    <w:rsid w:val="004642CF"/>
    <w:rsid w:val="004E488E"/>
    <w:rsid w:val="005315BE"/>
    <w:rsid w:val="00547BF4"/>
    <w:rsid w:val="00553556"/>
    <w:rsid w:val="00586050"/>
    <w:rsid w:val="005A0B97"/>
    <w:rsid w:val="005A31E2"/>
    <w:rsid w:val="005C31E8"/>
    <w:rsid w:val="00606FD1"/>
    <w:rsid w:val="00610001"/>
    <w:rsid w:val="00631CE7"/>
    <w:rsid w:val="00633F73"/>
    <w:rsid w:val="0065459D"/>
    <w:rsid w:val="00676DE2"/>
    <w:rsid w:val="00677E39"/>
    <w:rsid w:val="00680B49"/>
    <w:rsid w:val="006B537D"/>
    <w:rsid w:val="006D33D5"/>
    <w:rsid w:val="006E1E9D"/>
    <w:rsid w:val="006F13AD"/>
    <w:rsid w:val="006F22C6"/>
    <w:rsid w:val="007411D2"/>
    <w:rsid w:val="00750222"/>
    <w:rsid w:val="0076203D"/>
    <w:rsid w:val="0076385F"/>
    <w:rsid w:val="00782F34"/>
    <w:rsid w:val="007830C1"/>
    <w:rsid w:val="007837C8"/>
    <w:rsid w:val="007A3DFA"/>
    <w:rsid w:val="007A7520"/>
    <w:rsid w:val="007B1EDF"/>
    <w:rsid w:val="007B5831"/>
    <w:rsid w:val="007E42DC"/>
    <w:rsid w:val="008114C6"/>
    <w:rsid w:val="00817891"/>
    <w:rsid w:val="00825EDF"/>
    <w:rsid w:val="00832CE2"/>
    <w:rsid w:val="008359B7"/>
    <w:rsid w:val="0084663B"/>
    <w:rsid w:val="008559CC"/>
    <w:rsid w:val="00861585"/>
    <w:rsid w:val="008A0FC5"/>
    <w:rsid w:val="008A2B99"/>
    <w:rsid w:val="008C2B2E"/>
    <w:rsid w:val="008D4C27"/>
    <w:rsid w:val="008F32DC"/>
    <w:rsid w:val="00903707"/>
    <w:rsid w:val="00917270"/>
    <w:rsid w:val="00936061"/>
    <w:rsid w:val="009502DD"/>
    <w:rsid w:val="00957DAA"/>
    <w:rsid w:val="0096259F"/>
    <w:rsid w:val="00967584"/>
    <w:rsid w:val="009A2DC4"/>
    <w:rsid w:val="009B2611"/>
    <w:rsid w:val="009C12EF"/>
    <w:rsid w:val="009C428B"/>
    <w:rsid w:val="009F3EEF"/>
    <w:rsid w:val="00A036F0"/>
    <w:rsid w:val="00A079E5"/>
    <w:rsid w:val="00A239E0"/>
    <w:rsid w:val="00A27E86"/>
    <w:rsid w:val="00A30ECF"/>
    <w:rsid w:val="00A3382D"/>
    <w:rsid w:val="00A35B48"/>
    <w:rsid w:val="00A61A76"/>
    <w:rsid w:val="00A61E56"/>
    <w:rsid w:val="00A86A92"/>
    <w:rsid w:val="00AA3E8E"/>
    <w:rsid w:val="00AB2DCB"/>
    <w:rsid w:val="00AC10CF"/>
    <w:rsid w:val="00AC33B1"/>
    <w:rsid w:val="00AE005A"/>
    <w:rsid w:val="00B10937"/>
    <w:rsid w:val="00B1202C"/>
    <w:rsid w:val="00B13682"/>
    <w:rsid w:val="00B17F87"/>
    <w:rsid w:val="00B316E5"/>
    <w:rsid w:val="00B40E0E"/>
    <w:rsid w:val="00B4245B"/>
    <w:rsid w:val="00B5363A"/>
    <w:rsid w:val="00B713E3"/>
    <w:rsid w:val="00B74096"/>
    <w:rsid w:val="00B8214E"/>
    <w:rsid w:val="00B8266C"/>
    <w:rsid w:val="00B82A4E"/>
    <w:rsid w:val="00B849C3"/>
    <w:rsid w:val="00BB1AB9"/>
    <w:rsid w:val="00BC07DF"/>
    <w:rsid w:val="00BC47ED"/>
    <w:rsid w:val="00BD1BBB"/>
    <w:rsid w:val="00BD66E3"/>
    <w:rsid w:val="00C25D6F"/>
    <w:rsid w:val="00C5068E"/>
    <w:rsid w:val="00C7596D"/>
    <w:rsid w:val="00C77EE0"/>
    <w:rsid w:val="00C8159D"/>
    <w:rsid w:val="00D06A31"/>
    <w:rsid w:val="00D11BE9"/>
    <w:rsid w:val="00D12582"/>
    <w:rsid w:val="00D25DA8"/>
    <w:rsid w:val="00D31E0C"/>
    <w:rsid w:val="00D32394"/>
    <w:rsid w:val="00D419FC"/>
    <w:rsid w:val="00D559F9"/>
    <w:rsid w:val="00D766ED"/>
    <w:rsid w:val="00D811C5"/>
    <w:rsid w:val="00D93A39"/>
    <w:rsid w:val="00DA3949"/>
    <w:rsid w:val="00DA4D7D"/>
    <w:rsid w:val="00DC1007"/>
    <w:rsid w:val="00DD4798"/>
    <w:rsid w:val="00DD62AF"/>
    <w:rsid w:val="00DE4991"/>
    <w:rsid w:val="00DE677B"/>
    <w:rsid w:val="00DF260E"/>
    <w:rsid w:val="00DF34D9"/>
    <w:rsid w:val="00E36B6B"/>
    <w:rsid w:val="00E468B9"/>
    <w:rsid w:val="00E521F2"/>
    <w:rsid w:val="00E52B9F"/>
    <w:rsid w:val="00E62727"/>
    <w:rsid w:val="00E8725A"/>
    <w:rsid w:val="00ED2472"/>
    <w:rsid w:val="00EE31D1"/>
    <w:rsid w:val="00EF31C4"/>
    <w:rsid w:val="00F019AE"/>
    <w:rsid w:val="00F44833"/>
    <w:rsid w:val="00F46F47"/>
    <w:rsid w:val="00F53943"/>
    <w:rsid w:val="00F54F3D"/>
    <w:rsid w:val="00F60FEA"/>
    <w:rsid w:val="00F67562"/>
    <w:rsid w:val="00F7018B"/>
    <w:rsid w:val="00F77210"/>
    <w:rsid w:val="00F82325"/>
    <w:rsid w:val="00F83F8E"/>
    <w:rsid w:val="00F8641C"/>
    <w:rsid w:val="00FB173E"/>
    <w:rsid w:val="00FC38CA"/>
    <w:rsid w:val="00FC3B9A"/>
    <w:rsid w:val="00FC66A1"/>
    <w:rsid w:val="00FC67A1"/>
    <w:rsid w:val="00FC773F"/>
    <w:rsid w:val="00FD1212"/>
    <w:rsid w:val="00FD28E5"/>
    <w:rsid w:val="00FE0DB4"/>
    <w:rsid w:val="00FE33BD"/>
    <w:rsid w:val="00FE515C"/>
    <w:rsid w:val="00FF6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448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833"/>
    <w:rPr>
      <w:sz w:val="20"/>
      <w:szCs w:val="20"/>
    </w:rPr>
  </w:style>
  <w:style w:type="character" w:styleId="FootnoteReference">
    <w:name w:val="footnote reference"/>
    <w:rsid w:val="00F44833"/>
    <w:rPr>
      <w:vertAlign w:val="superscript"/>
    </w:rPr>
  </w:style>
  <w:style w:type="paragraph" w:styleId="Header">
    <w:name w:val="header"/>
    <w:basedOn w:val="Normal"/>
    <w:link w:val="HeaderChar"/>
    <w:uiPriority w:val="99"/>
    <w:unhideWhenUsed/>
    <w:rsid w:val="009C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28B"/>
  </w:style>
  <w:style w:type="paragraph" w:styleId="Footer">
    <w:name w:val="footer"/>
    <w:basedOn w:val="Normal"/>
    <w:link w:val="FooterChar"/>
    <w:uiPriority w:val="99"/>
    <w:unhideWhenUsed/>
    <w:rsid w:val="009C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28B"/>
  </w:style>
  <w:style w:type="paragraph" w:styleId="BalloonText">
    <w:name w:val="Balloon Text"/>
    <w:basedOn w:val="Normal"/>
    <w:link w:val="BalloonTextChar"/>
    <w:uiPriority w:val="99"/>
    <w:semiHidden/>
    <w:unhideWhenUsed/>
    <w:rsid w:val="00F77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10"/>
    <w:rPr>
      <w:rFonts w:ascii="Tahoma" w:hAnsi="Tahoma" w:cs="Tahoma"/>
      <w:sz w:val="16"/>
      <w:szCs w:val="16"/>
    </w:rPr>
  </w:style>
  <w:style w:type="character" w:styleId="CommentReference">
    <w:name w:val="annotation reference"/>
    <w:basedOn w:val="DefaultParagraphFont"/>
    <w:uiPriority w:val="99"/>
    <w:semiHidden/>
    <w:unhideWhenUsed/>
    <w:rsid w:val="00AB2DCB"/>
    <w:rPr>
      <w:sz w:val="16"/>
      <w:szCs w:val="16"/>
    </w:rPr>
  </w:style>
  <w:style w:type="paragraph" w:styleId="CommentText">
    <w:name w:val="annotation text"/>
    <w:basedOn w:val="Normal"/>
    <w:link w:val="CommentTextChar"/>
    <w:uiPriority w:val="99"/>
    <w:semiHidden/>
    <w:unhideWhenUsed/>
    <w:rsid w:val="00AB2DCB"/>
    <w:pPr>
      <w:spacing w:line="240" w:lineRule="auto"/>
    </w:pPr>
    <w:rPr>
      <w:sz w:val="20"/>
      <w:szCs w:val="20"/>
    </w:rPr>
  </w:style>
  <w:style w:type="character" w:customStyle="1" w:styleId="CommentTextChar">
    <w:name w:val="Comment Text Char"/>
    <w:basedOn w:val="DefaultParagraphFont"/>
    <w:link w:val="CommentText"/>
    <w:uiPriority w:val="99"/>
    <w:semiHidden/>
    <w:rsid w:val="00AB2DCB"/>
    <w:rPr>
      <w:sz w:val="20"/>
      <w:szCs w:val="20"/>
    </w:rPr>
  </w:style>
  <w:style w:type="paragraph" w:styleId="CommentSubject">
    <w:name w:val="annotation subject"/>
    <w:basedOn w:val="CommentText"/>
    <w:next w:val="CommentText"/>
    <w:link w:val="CommentSubjectChar"/>
    <w:uiPriority w:val="99"/>
    <w:semiHidden/>
    <w:unhideWhenUsed/>
    <w:rsid w:val="00AB2DCB"/>
    <w:rPr>
      <w:b/>
      <w:bCs/>
    </w:rPr>
  </w:style>
  <w:style w:type="character" w:customStyle="1" w:styleId="CommentSubjectChar">
    <w:name w:val="Comment Subject Char"/>
    <w:basedOn w:val="CommentTextChar"/>
    <w:link w:val="CommentSubject"/>
    <w:uiPriority w:val="99"/>
    <w:semiHidden/>
    <w:rsid w:val="00AB2DC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448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833"/>
    <w:rPr>
      <w:sz w:val="20"/>
      <w:szCs w:val="20"/>
    </w:rPr>
  </w:style>
  <w:style w:type="character" w:styleId="FootnoteReference">
    <w:name w:val="footnote reference"/>
    <w:rsid w:val="00F44833"/>
    <w:rPr>
      <w:vertAlign w:val="superscript"/>
    </w:rPr>
  </w:style>
  <w:style w:type="paragraph" w:styleId="Header">
    <w:name w:val="header"/>
    <w:basedOn w:val="Normal"/>
    <w:link w:val="HeaderChar"/>
    <w:uiPriority w:val="99"/>
    <w:unhideWhenUsed/>
    <w:rsid w:val="009C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28B"/>
  </w:style>
  <w:style w:type="paragraph" w:styleId="Footer">
    <w:name w:val="footer"/>
    <w:basedOn w:val="Normal"/>
    <w:link w:val="FooterChar"/>
    <w:uiPriority w:val="99"/>
    <w:unhideWhenUsed/>
    <w:rsid w:val="009C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28B"/>
  </w:style>
  <w:style w:type="paragraph" w:styleId="BalloonText">
    <w:name w:val="Balloon Text"/>
    <w:basedOn w:val="Normal"/>
    <w:link w:val="BalloonTextChar"/>
    <w:uiPriority w:val="99"/>
    <w:semiHidden/>
    <w:unhideWhenUsed/>
    <w:rsid w:val="00F77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10"/>
    <w:rPr>
      <w:rFonts w:ascii="Tahoma" w:hAnsi="Tahoma" w:cs="Tahoma"/>
      <w:sz w:val="16"/>
      <w:szCs w:val="16"/>
    </w:rPr>
  </w:style>
  <w:style w:type="character" w:styleId="CommentReference">
    <w:name w:val="annotation reference"/>
    <w:basedOn w:val="DefaultParagraphFont"/>
    <w:uiPriority w:val="99"/>
    <w:semiHidden/>
    <w:unhideWhenUsed/>
    <w:rsid w:val="00AB2DCB"/>
    <w:rPr>
      <w:sz w:val="16"/>
      <w:szCs w:val="16"/>
    </w:rPr>
  </w:style>
  <w:style w:type="paragraph" w:styleId="CommentText">
    <w:name w:val="annotation text"/>
    <w:basedOn w:val="Normal"/>
    <w:link w:val="CommentTextChar"/>
    <w:uiPriority w:val="99"/>
    <w:semiHidden/>
    <w:unhideWhenUsed/>
    <w:rsid w:val="00AB2DCB"/>
    <w:pPr>
      <w:spacing w:line="240" w:lineRule="auto"/>
    </w:pPr>
    <w:rPr>
      <w:sz w:val="20"/>
      <w:szCs w:val="20"/>
    </w:rPr>
  </w:style>
  <w:style w:type="character" w:customStyle="1" w:styleId="CommentTextChar">
    <w:name w:val="Comment Text Char"/>
    <w:basedOn w:val="DefaultParagraphFont"/>
    <w:link w:val="CommentText"/>
    <w:uiPriority w:val="99"/>
    <w:semiHidden/>
    <w:rsid w:val="00AB2DCB"/>
    <w:rPr>
      <w:sz w:val="20"/>
      <w:szCs w:val="20"/>
    </w:rPr>
  </w:style>
  <w:style w:type="paragraph" w:styleId="CommentSubject">
    <w:name w:val="annotation subject"/>
    <w:basedOn w:val="CommentText"/>
    <w:next w:val="CommentText"/>
    <w:link w:val="CommentSubjectChar"/>
    <w:uiPriority w:val="99"/>
    <w:semiHidden/>
    <w:unhideWhenUsed/>
    <w:rsid w:val="00AB2DCB"/>
    <w:rPr>
      <w:b/>
      <w:bCs/>
    </w:rPr>
  </w:style>
  <w:style w:type="character" w:customStyle="1" w:styleId="CommentSubjectChar">
    <w:name w:val="Comment Subject Char"/>
    <w:basedOn w:val="CommentTextChar"/>
    <w:link w:val="CommentSubject"/>
    <w:uiPriority w:val="99"/>
    <w:semiHidden/>
    <w:rsid w:val="00AB2D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5D470-BC09-4298-B7E0-491DEAAF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16</Pages>
  <Words>1390</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9301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Capper, Thomas</dc:creator>
  <cp:lastModifiedBy>Farner, Joyce</cp:lastModifiedBy>
  <cp:revision>20</cp:revision>
  <cp:lastPrinted>2014-05-22T15:33:00Z</cp:lastPrinted>
  <dcterms:created xsi:type="dcterms:W3CDTF">2014-04-30T12:36:00Z</dcterms:created>
  <dcterms:modified xsi:type="dcterms:W3CDTF">2014-05-22T15:33:00Z</dcterms:modified>
</cp:coreProperties>
</file>