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C30E9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550627" w:rsidRDefault="00550627" w:rsidP="00352FFC">
      <w:pPr>
        <w:jc w:val="center"/>
        <w:rPr>
          <w:sz w:val="24"/>
          <w:szCs w:val="24"/>
        </w:rPr>
      </w:pPr>
    </w:p>
    <w:p w:rsidR="00292086" w:rsidRDefault="00403C3D" w:rsidP="00352FFC">
      <w:pPr>
        <w:jc w:val="center"/>
        <w:rPr>
          <w:sz w:val="24"/>
          <w:szCs w:val="24"/>
        </w:rPr>
      </w:pPr>
      <w:r>
        <w:rPr>
          <w:sz w:val="24"/>
          <w:szCs w:val="24"/>
        </w:rPr>
        <w:t>May 27</w:t>
      </w:r>
      <w:r w:rsidR="00550627">
        <w:rPr>
          <w:sz w:val="24"/>
          <w:szCs w:val="24"/>
        </w:rPr>
        <w:t>, 2014</w:t>
      </w:r>
    </w:p>
    <w:p w:rsidR="00550627" w:rsidRDefault="00550627" w:rsidP="00352FFC">
      <w:pPr>
        <w:jc w:val="center"/>
        <w:rPr>
          <w:sz w:val="24"/>
          <w:szCs w:val="24"/>
        </w:rPr>
      </w:pPr>
    </w:p>
    <w:p w:rsidR="00550627" w:rsidRDefault="00550627" w:rsidP="00352FFC">
      <w:pPr>
        <w:jc w:val="center"/>
        <w:rPr>
          <w:sz w:val="24"/>
          <w:szCs w:val="24"/>
        </w:rPr>
      </w:pPr>
    </w:p>
    <w:p w:rsidR="00550627" w:rsidRDefault="00550627" w:rsidP="00550627">
      <w:pPr>
        <w:rPr>
          <w:sz w:val="24"/>
          <w:szCs w:val="24"/>
        </w:rPr>
      </w:pPr>
      <w:r>
        <w:rPr>
          <w:sz w:val="24"/>
          <w:szCs w:val="24"/>
        </w:rPr>
        <w:t>Tyrone Gibbs FS7093</w:t>
      </w:r>
    </w:p>
    <w:p w:rsidR="00550627" w:rsidRDefault="00550627" w:rsidP="00550627">
      <w:pPr>
        <w:rPr>
          <w:sz w:val="24"/>
          <w:szCs w:val="24"/>
        </w:rPr>
      </w:pPr>
      <w:r>
        <w:rPr>
          <w:sz w:val="24"/>
          <w:szCs w:val="24"/>
        </w:rPr>
        <w:t>P.O. Box 244</w:t>
      </w:r>
    </w:p>
    <w:p w:rsidR="00550627" w:rsidRDefault="00550627" w:rsidP="00550627">
      <w:pPr>
        <w:rPr>
          <w:sz w:val="24"/>
          <w:szCs w:val="24"/>
        </w:rPr>
      </w:pPr>
      <w:r>
        <w:rPr>
          <w:sz w:val="24"/>
          <w:szCs w:val="24"/>
        </w:rPr>
        <w:t>Graterford, PA   19426</w:t>
      </w:r>
    </w:p>
    <w:p w:rsidR="00550627" w:rsidRDefault="00550627" w:rsidP="00550627">
      <w:pPr>
        <w:rPr>
          <w:sz w:val="24"/>
          <w:szCs w:val="24"/>
        </w:rPr>
      </w:pPr>
    </w:p>
    <w:p w:rsidR="00550627" w:rsidRDefault="00550627" w:rsidP="00550627">
      <w:pPr>
        <w:rPr>
          <w:sz w:val="24"/>
          <w:szCs w:val="24"/>
        </w:rPr>
      </w:pPr>
    </w:p>
    <w:p w:rsidR="00550627" w:rsidRDefault="00550627" w:rsidP="00550627">
      <w:pPr>
        <w:jc w:val="center"/>
        <w:rPr>
          <w:sz w:val="24"/>
          <w:szCs w:val="24"/>
        </w:rPr>
      </w:pPr>
      <w:r>
        <w:rPr>
          <w:sz w:val="24"/>
          <w:szCs w:val="24"/>
        </w:rPr>
        <w:t xml:space="preserve">Re:  </w:t>
      </w:r>
      <w:r w:rsidRPr="00550627">
        <w:rPr>
          <w:sz w:val="24"/>
          <w:szCs w:val="24"/>
          <w:u w:val="single"/>
        </w:rPr>
        <w:t>Tyrone Gibbs v. Global Tel Link Corporation</w:t>
      </w:r>
    </w:p>
    <w:p w:rsidR="00550627" w:rsidRDefault="00550627" w:rsidP="00550627">
      <w:pPr>
        <w:jc w:val="center"/>
        <w:rPr>
          <w:sz w:val="24"/>
          <w:szCs w:val="24"/>
        </w:rPr>
      </w:pPr>
      <w:r>
        <w:rPr>
          <w:sz w:val="24"/>
          <w:szCs w:val="24"/>
        </w:rPr>
        <w:t>Docket No. C-2013-2358084</w:t>
      </w:r>
    </w:p>
    <w:p w:rsidR="00550627" w:rsidRDefault="00550627" w:rsidP="00352FFC">
      <w:pPr>
        <w:jc w:val="center"/>
        <w:rPr>
          <w:sz w:val="24"/>
          <w:szCs w:val="24"/>
        </w:rPr>
      </w:pPr>
    </w:p>
    <w:p w:rsidR="00550627" w:rsidRDefault="005D3646" w:rsidP="005D3646">
      <w:pPr>
        <w:rPr>
          <w:sz w:val="24"/>
          <w:szCs w:val="24"/>
        </w:rPr>
      </w:pPr>
      <w:r>
        <w:rPr>
          <w:sz w:val="24"/>
          <w:szCs w:val="24"/>
        </w:rPr>
        <w:t>Dear Mr. Gibbs:</w:t>
      </w:r>
    </w:p>
    <w:p w:rsidR="005D3646" w:rsidRDefault="005D3646" w:rsidP="005D3646">
      <w:pPr>
        <w:rPr>
          <w:sz w:val="24"/>
          <w:szCs w:val="24"/>
        </w:rPr>
      </w:pPr>
    </w:p>
    <w:p w:rsidR="005D3646" w:rsidRDefault="005D3646" w:rsidP="005D3646">
      <w:pPr>
        <w:rPr>
          <w:sz w:val="24"/>
          <w:szCs w:val="24"/>
        </w:rPr>
      </w:pPr>
      <w:r>
        <w:rPr>
          <w:sz w:val="24"/>
          <w:szCs w:val="24"/>
        </w:rPr>
        <w:tab/>
      </w:r>
      <w:r>
        <w:rPr>
          <w:sz w:val="24"/>
          <w:szCs w:val="24"/>
        </w:rPr>
        <w:tab/>
        <w:t xml:space="preserve">As you know, there is a hearing scheduled in this matter for </w:t>
      </w:r>
      <w:r w:rsidR="00403C3D">
        <w:rPr>
          <w:sz w:val="24"/>
          <w:szCs w:val="24"/>
        </w:rPr>
        <w:t xml:space="preserve">Tuesday, June 17, 2014, at 9:00 a.m.  I am trying to schedule June 18, 2014, as well for hearings in case we need the extra day.  It is very important that we finish at the next scheduled hearing day or block of days because I plan to retire by the end of the year.  If hearings are not concluded in June, I will not have sufficient time to allow for briefing and decision writing so will likely end </w:t>
      </w:r>
      <w:r w:rsidR="00861F7A">
        <w:rPr>
          <w:sz w:val="24"/>
          <w:szCs w:val="24"/>
        </w:rPr>
        <w:t>up</w:t>
      </w:r>
      <w:r w:rsidR="00403C3D">
        <w:rPr>
          <w:sz w:val="24"/>
          <w:szCs w:val="24"/>
        </w:rPr>
        <w:t xml:space="preserve"> having to transfer the case to another ALJ.   </w:t>
      </w:r>
    </w:p>
    <w:p w:rsidR="00403C3D" w:rsidRDefault="00403C3D" w:rsidP="005D3646">
      <w:pPr>
        <w:rPr>
          <w:sz w:val="24"/>
          <w:szCs w:val="24"/>
        </w:rPr>
      </w:pPr>
    </w:p>
    <w:p w:rsidR="00403C3D" w:rsidRDefault="00403C3D" w:rsidP="005D3646">
      <w:pPr>
        <w:rPr>
          <w:sz w:val="24"/>
          <w:szCs w:val="24"/>
        </w:rPr>
      </w:pPr>
      <w:r>
        <w:rPr>
          <w:sz w:val="24"/>
          <w:szCs w:val="24"/>
        </w:rPr>
        <w:tab/>
      </w:r>
      <w:r>
        <w:rPr>
          <w:sz w:val="24"/>
          <w:szCs w:val="24"/>
        </w:rPr>
        <w:tab/>
        <w:t xml:space="preserve">I also wanted to inform you and Mr. Lanza that I have decided to admit your proposed Exhibits A (1) through (6) into the record.  The transcript is replete with references to these incidents and it would be helpful to have the discrepancy forms in the record for reference purposes. </w:t>
      </w:r>
    </w:p>
    <w:p w:rsidR="00403C3D" w:rsidRDefault="00403C3D" w:rsidP="005D3646">
      <w:pPr>
        <w:rPr>
          <w:sz w:val="24"/>
          <w:szCs w:val="24"/>
        </w:rPr>
      </w:pPr>
    </w:p>
    <w:p w:rsidR="00403C3D" w:rsidRDefault="00403C3D" w:rsidP="005D3646">
      <w:pPr>
        <w:rPr>
          <w:sz w:val="24"/>
          <w:szCs w:val="24"/>
        </w:rPr>
      </w:pPr>
      <w:r>
        <w:rPr>
          <w:sz w:val="24"/>
          <w:szCs w:val="24"/>
        </w:rPr>
        <w:tab/>
      </w:r>
      <w:r>
        <w:rPr>
          <w:sz w:val="24"/>
          <w:szCs w:val="24"/>
        </w:rPr>
        <w:tab/>
        <w:t xml:space="preserve">At the next scheduled hearing, we will address admission of Respondent’s Exhibit No. 5, and also consider admission of Respondent’s Exhibit 6, with Mr. Fulton available as a witness to answer questions.  We will also consider my question, posed to the parties at the conclusion of the hearing on January 15, 2014:  how </w:t>
      </w:r>
      <w:r w:rsidR="00861F7A">
        <w:rPr>
          <w:sz w:val="24"/>
          <w:szCs w:val="24"/>
        </w:rPr>
        <w:t>does</w:t>
      </w:r>
      <w:r>
        <w:rPr>
          <w:sz w:val="24"/>
          <w:szCs w:val="24"/>
        </w:rPr>
        <w:t xml:space="preserve"> </w:t>
      </w:r>
      <w:r w:rsidR="00861F7A">
        <w:rPr>
          <w:sz w:val="24"/>
          <w:szCs w:val="24"/>
        </w:rPr>
        <w:t>a telephone discrepancy that involves a cell phone call, and therefore is not refunded under Department of Corrections (DOC) policy, even get to the level of a trouble ticket so it can be evaluated for potential override of DOC policy and refund by Mr. Fulton?</w:t>
      </w:r>
      <w:r>
        <w:rPr>
          <w:sz w:val="24"/>
          <w:szCs w:val="24"/>
        </w:rPr>
        <w:t xml:space="preserve"> </w:t>
      </w:r>
    </w:p>
    <w:p w:rsidR="00550627" w:rsidRDefault="00550627" w:rsidP="00352FFC">
      <w:pPr>
        <w:jc w:val="center"/>
        <w:rPr>
          <w:sz w:val="24"/>
          <w:szCs w:val="24"/>
        </w:rPr>
      </w:pPr>
    </w:p>
    <w:p w:rsidR="00550627" w:rsidRDefault="00550627" w:rsidP="00550627">
      <w:pPr>
        <w:rPr>
          <w:sz w:val="24"/>
          <w:szCs w:val="24"/>
        </w:rPr>
      </w:pPr>
    </w:p>
    <w:p w:rsidR="00861F7A" w:rsidRDefault="00861F7A" w:rsidP="0055062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rsidR="00861F7A" w:rsidRDefault="00861F7A" w:rsidP="00550627">
      <w:pPr>
        <w:rPr>
          <w:sz w:val="24"/>
          <w:szCs w:val="24"/>
        </w:rPr>
      </w:pPr>
    </w:p>
    <w:p w:rsidR="00861F7A" w:rsidRDefault="00861F7A" w:rsidP="00550627">
      <w:pPr>
        <w:rPr>
          <w:sz w:val="24"/>
          <w:szCs w:val="24"/>
        </w:rPr>
      </w:pPr>
    </w:p>
    <w:p w:rsidR="00861F7A" w:rsidRDefault="00861F7A" w:rsidP="0055062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61F7A" w:rsidRDefault="00861F7A" w:rsidP="0055062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Kandace F. Melillo</w:t>
      </w:r>
    </w:p>
    <w:p w:rsidR="00861F7A" w:rsidRDefault="00861F7A" w:rsidP="0055062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861F7A" w:rsidRDefault="00861F7A" w:rsidP="00550627">
      <w:pPr>
        <w:rPr>
          <w:sz w:val="24"/>
          <w:szCs w:val="24"/>
        </w:rPr>
      </w:pPr>
    </w:p>
    <w:p w:rsidR="00861F7A" w:rsidRDefault="00861F7A" w:rsidP="00550627">
      <w:pPr>
        <w:rPr>
          <w:sz w:val="24"/>
          <w:szCs w:val="24"/>
        </w:rPr>
      </w:pPr>
      <w:r>
        <w:rPr>
          <w:sz w:val="24"/>
          <w:szCs w:val="24"/>
        </w:rPr>
        <w:t>cc:</w:t>
      </w:r>
      <w:r>
        <w:rPr>
          <w:sz w:val="24"/>
          <w:szCs w:val="24"/>
        </w:rPr>
        <w:tab/>
        <w:t>Edward Lanza, Esquire</w:t>
      </w:r>
    </w:p>
    <w:p w:rsidR="00DD2DE8" w:rsidRDefault="00861F7A" w:rsidP="00550627">
      <w:pPr>
        <w:rPr>
          <w:sz w:val="24"/>
          <w:szCs w:val="24"/>
        </w:rPr>
        <w:sectPr w:rsidR="00DD2DE8">
          <w:type w:val="continuous"/>
          <w:pgSz w:w="12240" w:h="15840"/>
          <w:pgMar w:top="504" w:right="1440" w:bottom="1440" w:left="1440" w:header="720" w:footer="720" w:gutter="0"/>
          <w:cols w:space="720"/>
        </w:sectPr>
      </w:pPr>
      <w:r>
        <w:rPr>
          <w:sz w:val="24"/>
          <w:szCs w:val="24"/>
        </w:rPr>
        <w:tab/>
        <w:t>File (C-2013-2358084)</w:t>
      </w:r>
    </w:p>
    <w:p w:rsidR="00DD2DE8" w:rsidRPr="00DD2DE8" w:rsidRDefault="00DD2DE8" w:rsidP="00DD2DE8">
      <w:pPr>
        <w:contextualSpacing/>
        <w:rPr>
          <w:rFonts w:ascii="Microsoft Sans Serif" w:hAnsi="Calibri"/>
          <w:b/>
          <w:sz w:val="24"/>
          <w:szCs w:val="22"/>
          <w:u w:val="single"/>
        </w:rPr>
      </w:pPr>
      <w:r w:rsidRPr="00DD2DE8">
        <w:rPr>
          <w:rFonts w:ascii="Microsoft Sans Serif" w:hAnsi="Calibri"/>
          <w:b/>
          <w:sz w:val="24"/>
          <w:szCs w:val="22"/>
          <w:u w:val="single"/>
        </w:rPr>
        <w:lastRenderedPageBreak/>
        <w:t>C-2013-2358084 - TYRONE GIBBS v. GLOBAL TEL LINK CORPORATION</w:t>
      </w:r>
      <w:r w:rsidRPr="00DD2DE8">
        <w:rPr>
          <w:rFonts w:ascii="Microsoft Sans Serif" w:hAnsi="Calibri"/>
          <w:b/>
          <w:sz w:val="24"/>
          <w:szCs w:val="22"/>
          <w:u w:val="single"/>
        </w:rPr>
        <w:cr/>
        <w:t>Revised (</w:t>
      </w:r>
      <w:r w:rsidRPr="00DD2DE8">
        <w:rPr>
          <w:rFonts w:ascii="Microsoft Sans Serif" w:hAnsi="Calibri"/>
          <w:b/>
          <w:i/>
          <w:sz w:val="24"/>
          <w:szCs w:val="22"/>
          <w:u w:val="single"/>
        </w:rPr>
        <w:t>11/13/13</w:t>
      </w:r>
      <w:r w:rsidRPr="00DD2DE8">
        <w:rPr>
          <w:rFonts w:ascii="Microsoft Sans Serif" w:hAnsi="Calibri"/>
          <w:b/>
          <w:sz w:val="24"/>
          <w:szCs w:val="22"/>
          <w:u w:val="single"/>
        </w:rPr>
        <w:t>)</w:t>
      </w:r>
    </w:p>
    <w:p w:rsidR="00DD2DE8" w:rsidRPr="00DD2DE8" w:rsidRDefault="00DD2DE8" w:rsidP="00DD2DE8">
      <w:pPr>
        <w:contextualSpacing/>
        <w:rPr>
          <w:rFonts w:ascii="Microsoft Sans Serif" w:hAnsi="Calibri"/>
          <w:b/>
          <w:sz w:val="24"/>
          <w:szCs w:val="22"/>
          <w:u w:val="single"/>
        </w:rPr>
      </w:pP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 xml:space="preserve">TYRONE GIBBS FS7093  </w:t>
      </w: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PO BOX 244</w:t>
      </w:r>
      <w:r w:rsidRPr="00DD2DE8">
        <w:rPr>
          <w:rFonts w:ascii="Microsoft Sans Serif" w:hAnsi="Calibri"/>
          <w:sz w:val="24"/>
          <w:szCs w:val="22"/>
        </w:rPr>
        <w:cr/>
        <w:t>GRATERFORD PA  19426</w:t>
      </w:r>
      <w:r w:rsidRPr="00DD2DE8">
        <w:rPr>
          <w:rFonts w:ascii="Microsoft Sans Serif" w:hAnsi="Calibri"/>
          <w:sz w:val="24"/>
          <w:szCs w:val="22"/>
        </w:rPr>
        <w:cr/>
        <w:t>610.489.4151 EXT. 2791 (MS. CONNOR-COUNSEL, COUNSELOR)</w:t>
      </w: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CHRISTINE OWENS (ADMINISTRATIVE ASSISTANT)</w:t>
      </w: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484.961.7907 GRATERFORD FAX</w:t>
      </w:r>
    </w:p>
    <w:p w:rsidR="00DD2DE8" w:rsidRPr="00DD2DE8" w:rsidRDefault="00DD2DE8" w:rsidP="00DD2DE8">
      <w:pPr>
        <w:contextualSpacing/>
        <w:rPr>
          <w:rFonts w:ascii="Microsoft Sans Serif" w:hAnsi="Calibri"/>
          <w:sz w:val="24"/>
          <w:szCs w:val="22"/>
        </w:rPr>
      </w:pP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EDWARD G. LANZA ESQUIRE</w:t>
      </w:r>
      <w:r w:rsidRPr="00DD2DE8">
        <w:rPr>
          <w:rFonts w:ascii="Microsoft Sans Serif" w:hAnsi="Calibri"/>
          <w:sz w:val="24"/>
          <w:szCs w:val="22"/>
        </w:rPr>
        <w:cr/>
        <w:t>PO BOX 61336</w:t>
      </w: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HARRISBURG PA 17106</w:t>
      </w: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717.576.2696</w:t>
      </w:r>
    </w:p>
    <w:p w:rsidR="00DD2DE8" w:rsidRPr="00DD2DE8" w:rsidRDefault="00DD2DE8" w:rsidP="00DD2DE8">
      <w:pPr>
        <w:contextualSpacing/>
        <w:rPr>
          <w:rFonts w:ascii="Microsoft Sans Serif" w:hAnsi="Calibri"/>
          <w:b/>
          <w:i/>
          <w:sz w:val="24"/>
          <w:szCs w:val="22"/>
          <w:u w:val="single"/>
        </w:rPr>
      </w:pPr>
      <w:r w:rsidRPr="00DD2DE8">
        <w:rPr>
          <w:rFonts w:ascii="Microsoft Sans Serif" w:hAnsi="Calibri"/>
          <w:b/>
          <w:i/>
          <w:sz w:val="24"/>
          <w:szCs w:val="22"/>
          <w:u w:val="single"/>
        </w:rPr>
        <w:t>E-Serve</w:t>
      </w:r>
    </w:p>
    <w:p w:rsidR="00DD2DE8" w:rsidRPr="00DD2DE8" w:rsidRDefault="00DD2DE8" w:rsidP="00DD2DE8">
      <w:pPr>
        <w:contextualSpacing/>
        <w:rPr>
          <w:rFonts w:ascii="Microsoft Sans Serif" w:hAnsi="Calibri"/>
          <w:sz w:val="24"/>
          <w:szCs w:val="22"/>
        </w:rPr>
      </w:pPr>
    </w:p>
    <w:p w:rsidR="00DD2DE8" w:rsidRPr="00DD2DE8" w:rsidRDefault="00DD2DE8" w:rsidP="00DD2DE8">
      <w:pPr>
        <w:contextualSpacing/>
        <w:rPr>
          <w:rFonts w:ascii="Microsoft Sans Serif" w:hAnsi="Calibri"/>
          <w:sz w:val="24"/>
          <w:szCs w:val="22"/>
        </w:rPr>
      </w:pPr>
      <w:bookmarkStart w:id="0" w:name="_GoBack"/>
      <w:r w:rsidRPr="00DD2DE8">
        <w:rPr>
          <w:rFonts w:ascii="Microsoft Sans Serif" w:hAnsi="Calibri"/>
          <w:sz w:val="24"/>
          <w:szCs w:val="22"/>
        </w:rPr>
        <w:t>KEVIN B. LEFTON ESQUIRE</w:t>
      </w: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SENIOR COUNSEL</w:t>
      </w: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GLOBAL TEL*LINK CORPORATION</w:t>
      </w: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12021 SUNSET HILLS ROAD</w:t>
      </w: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SUITE 100</w:t>
      </w:r>
    </w:p>
    <w:p w:rsidR="00DD2DE8" w:rsidRPr="00DD2DE8" w:rsidRDefault="00DD2DE8" w:rsidP="00DD2DE8">
      <w:pPr>
        <w:contextualSpacing/>
        <w:rPr>
          <w:rFonts w:ascii="Microsoft Sans Serif" w:hAnsi="Calibri"/>
          <w:sz w:val="24"/>
          <w:szCs w:val="22"/>
        </w:rPr>
      </w:pPr>
      <w:r w:rsidRPr="00DD2DE8">
        <w:rPr>
          <w:rFonts w:ascii="Microsoft Sans Serif" w:hAnsi="Calibri"/>
          <w:sz w:val="24"/>
          <w:szCs w:val="22"/>
        </w:rPr>
        <w:t>RESTON VA  20190</w:t>
      </w:r>
      <w:bookmarkEnd w:id="0"/>
      <w:r w:rsidRPr="00DD2DE8">
        <w:rPr>
          <w:rFonts w:ascii="Microsoft Sans Serif" w:hAnsi="Calibri"/>
          <w:sz w:val="24"/>
          <w:szCs w:val="22"/>
        </w:rPr>
        <w:cr/>
      </w:r>
      <w:r w:rsidRPr="00DD2DE8">
        <w:rPr>
          <w:rFonts w:ascii="Microsoft Sans Serif" w:hAnsi="Calibri"/>
          <w:sz w:val="24"/>
          <w:szCs w:val="22"/>
        </w:rPr>
        <w:cr/>
        <w:t xml:space="preserve"> </w:t>
      </w:r>
    </w:p>
    <w:p w:rsidR="00DD2DE8" w:rsidRPr="00DD2DE8" w:rsidRDefault="00DD2DE8" w:rsidP="00DD2DE8">
      <w:pPr>
        <w:contextualSpacing/>
        <w:rPr>
          <w:rFonts w:ascii="Calibri" w:hAnsi="Calibri"/>
          <w:sz w:val="22"/>
          <w:szCs w:val="22"/>
        </w:rPr>
      </w:pPr>
      <w:r w:rsidRPr="00DD2DE8">
        <w:rPr>
          <w:rFonts w:ascii="Microsoft Sans Serif" w:hAnsi="Calibri"/>
          <w:sz w:val="24"/>
          <w:szCs w:val="22"/>
        </w:rPr>
        <w:cr/>
      </w:r>
    </w:p>
    <w:p w:rsidR="00DD2DE8" w:rsidRPr="00DD2DE8" w:rsidRDefault="00DD2DE8" w:rsidP="00DD2DE8">
      <w:pPr>
        <w:contextualSpacing/>
        <w:rPr>
          <w:rFonts w:ascii="Calibri" w:hAnsi="Calibri"/>
          <w:sz w:val="22"/>
          <w:szCs w:val="22"/>
        </w:rPr>
      </w:pPr>
    </w:p>
    <w:p w:rsidR="00861F7A" w:rsidRPr="00292086" w:rsidRDefault="00861F7A" w:rsidP="00550627">
      <w:pPr>
        <w:rPr>
          <w:sz w:val="24"/>
          <w:szCs w:val="24"/>
        </w:rPr>
      </w:pPr>
    </w:p>
    <w:sectPr w:rsidR="00861F7A" w:rsidRPr="002920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E92" w:rsidRDefault="00C30E92">
      <w:r>
        <w:separator/>
      </w:r>
    </w:p>
  </w:endnote>
  <w:endnote w:type="continuationSeparator" w:id="0">
    <w:p w:rsidR="00C30E92" w:rsidRDefault="00C3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E92" w:rsidRDefault="00C30E92">
      <w:r>
        <w:separator/>
      </w:r>
    </w:p>
  </w:footnote>
  <w:footnote w:type="continuationSeparator" w:id="0">
    <w:p w:rsidR="00C30E92" w:rsidRDefault="00C30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1209F1"/>
    <w:rsid w:val="001F3832"/>
    <w:rsid w:val="002229C3"/>
    <w:rsid w:val="0025417D"/>
    <w:rsid w:val="00292086"/>
    <w:rsid w:val="0029471C"/>
    <w:rsid w:val="00352FFC"/>
    <w:rsid w:val="00361624"/>
    <w:rsid w:val="00403C3D"/>
    <w:rsid w:val="00421594"/>
    <w:rsid w:val="00550627"/>
    <w:rsid w:val="005D3646"/>
    <w:rsid w:val="005E25C5"/>
    <w:rsid w:val="006755C0"/>
    <w:rsid w:val="006774A6"/>
    <w:rsid w:val="00747405"/>
    <w:rsid w:val="00861F7A"/>
    <w:rsid w:val="009F5F66"/>
    <w:rsid w:val="00BE5119"/>
    <w:rsid w:val="00C263C3"/>
    <w:rsid w:val="00C30E92"/>
    <w:rsid w:val="00C74A51"/>
    <w:rsid w:val="00CB5738"/>
    <w:rsid w:val="00DD2DE8"/>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Leonard, Allyson</cp:lastModifiedBy>
  <cp:revision>3</cp:revision>
  <cp:lastPrinted>2014-05-27T13:18:00Z</cp:lastPrinted>
  <dcterms:created xsi:type="dcterms:W3CDTF">2014-05-27T13:16:00Z</dcterms:created>
  <dcterms:modified xsi:type="dcterms:W3CDTF">2014-05-27T13:22:00Z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1812675587</vt:i4>
  </property>
  <property fmtid="{D5CDD505-2E9C-101B-9397-08002B2CF9AE}" pid="3" name="_EmailSubject">
    <vt:lpwstr>#421629 v1 - New OALJ Letterhead</vt:lpwstr>
  </property>
  <property fmtid="{D5CDD505-2E9C-101B-9397-08002B2CF9AE}" pid="4" name="_AuthorEmail">
    <vt:lpwstr>shoffner@state.pa.us</vt:lpwstr>
  </property>
  <property fmtid="{D5CDD505-2E9C-101B-9397-08002B2CF9AE}" pid="5" name="_AuthorEmailDisplayName">
    <vt:lpwstr>Hoffner, Susan</vt:lpwstr>
  </property>
  <property fmtid="{D5CDD505-2E9C-101B-9397-08002B2CF9AE}" pid="6" name="_ReviewingToolsShownOnce">
    <vt:lpwstr/>
  </property>
</Properties>
</file>