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F7CA8" w:rsidRDefault="0066241C" w:rsidP="00E3608B">
      <w:pPr>
        <w:jc w:val="center"/>
        <w:rPr>
          <w:rFonts w:ascii="Times New Roman" w:hAnsi="Times New Roman" w:cs="Times New Roman"/>
          <w:b/>
        </w:rPr>
      </w:pPr>
      <w:r w:rsidRPr="00EF7CA8">
        <w:rPr>
          <w:rFonts w:ascii="Times New Roman" w:hAnsi="Times New Roman" w:cs="Times New Roman"/>
          <w:b/>
        </w:rPr>
        <w:t>BEFORE THE</w:t>
      </w:r>
    </w:p>
    <w:p w:rsidR="0066241C" w:rsidRPr="00EF7CA8" w:rsidRDefault="0066241C" w:rsidP="00E3608B">
      <w:pPr>
        <w:tabs>
          <w:tab w:val="center" w:pos="4680"/>
        </w:tabs>
        <w:suppressAutoHyphens/>
        <w:jc w:val="center"/>
        <w:rPr>
          <w:rFonts w:ascii="Times New Roman" w:hAnsi="Times New Roman" w:cs="Times New Roman"/>
          <w:b/>
          <w:bCs/>
          <w:spacing w:val="-3"/>
        </w:rPr>
      </w:pPr>
      <w:r w:rsidRPr="00EF7CA8">
        <w:rPr>
          <w:rFonts w:ascii="Times New Roman" w:hAnsi="Times New Roman" w:cs="Times New Roman"/>
          <w:b/>
          <w:bCs/>
          <w:spacing w:val="-3"/>
        </w:rPr>
        <w:t>PENNSYLVANIA PUBLIC UTILITY COMMISSION</w:t>
      </w:r>
    </w:p>
    <w:p w:rsidR="00ED2E14" w:rsidRDefault="00ED2E14" w:rsidP="00E3608B">
      <w:pPr>
        <w:tabs>
          <w:tab w:val="left" w:pos="-720"/>
        </w:tabs>
        <w:suppressAutoHyphens/>
        <w:ind w:firstLine="1440"/>
        <w:rPr>
          <w:rFonts w:ascii="Times New Roman" w:hAnsi="Times New Roman" w:cs="Times New Roman"/>
          <w:spacing w:val="-3"/>
        </w:rPr>
      </w:pPr>
    </w:p>
    <w:p w:rsidR="00DC73D2" w:rsidRDefault="00DC73D2" w:rsidP="00E3608B">
      <w:pPr>
        <w:tabs>
          <w:tab w:val="left" w:pos="-720"/>
        </w:tabs>
        <w:suppressAutoHyphens/>
        <w:ind w:firstLine="1440"/>
        <w:rPr>
          <w:rFonts w:ascii="Times New Roman" w:hAnsi="Times New Roman" w:cs="Times New Roman"/>
          <w:spacing w:val="-3"/>
        </w:rPr>
      </w:pPr>
    </w:p>
    <w:p w:rsidR="00DC73D2" w:rsidRPr="00EF7CA8" w:rsidRDefault="00DC73D2" w:rsidP="00E3608B">
      <w:pPr>
        <w:tabs>
          <w:tab w:val="left" w:pos="-720"/>
        </w:tabs>
        <w:suppressAutoHyphens/>
        <w:ind w:firstLine="1440"/>
        <w:rPr>
          <w:rFonts w:ascii="Times New Roman" w:hAnsi="Times New Roman" w:cs="Times New Roman"/>
          <w:spacing w:val="-3"/>
        </w:rPr>
      </w:pPr>
    </w:p>
    <w:p w:rsidR="00A85DA8" w:rsidRPr="00EF7CA8" w:rsidRDefault="006C027F" w:rsidP="00E3608B">
      <w:pPr>
        <w:tabs>
          <w:tab w:val="left" w:pos="-720"/>
        </w:tabs>
        <w:suppressAutoHyphens/>
        <w:jc w:val="both"/>
        <w:rPr>
          <w:rFonts w:ascii="Times New Roman" w:hAnsi="Times New Roman" w:cs="Times New Roman"/>
          <w:spacing w:val="-3"/>
        </w:rPr>
      </w:pPr>
      <w:r>
        <w:rPr>
          <w:rFonts w:ascii="Times New Roman" w:hAnsi="Times New Roman" w:cs="Times New Roman"/>
          <w:spacing w:val="-3"/>
        </w:rPr>
        <w:t>Joann Brower</w:t>
      </w:r>
      <w:r>
        <w:rPr>
          <w:rFonts w:ascii="Times New Roman" w:hAnsi="Times New Roman" w:cs="Times New Roman"/>
          <w:spacing w:val="-3"/>
        </w:rPr>
        <w:tab/>
      </w:r>
      <w:r w:rsidR="002917D2">
        <w:rPr>
          <w:rFonts w:ascii="Times New Roman" w:hAnsi="Times New Roman" w:cs="Times New Roman"/>
          <w:spacing w:val="-3"/>
        </w:rPr>
        <w:tab/>
      </w:r>
      <w:r w:rsidR="00A85DA8" w:rsidRPr="00EF7CA8">
        <w:rPr>
          <w:rFonts w:ascii="Times New Roman" w:hAnsi="Times New Roman" w:cs="Times New Roman"/>
          <w:spacing w:val="-3"/>
        </w:rPr>
        <w:tab/>
      </w:r>
      <w:r w:rsidR="00A85DA8" w:rsidRPr="00EF7CA8">
        <w:rPr>
          <w:rFonts w:ascii="Times New Roman" w:hAnsi="Times New Roman" w:cs="Times New Roman"/>
          <w:spacing w:val="-3"/>
        </w:rPr>
        <w:tab/>
      </w:r>
      <w:r w:rsidR="00A85DA8" w:rsidRPr="00EF7CA8">
        <w:rPr>
          <w:rFonts w:ascii="Times New Roman" w:hAnsi="Times New Roman" w:cs="Times New Roman"/>
          <w:spacing w:val="-3"/>
        </w:rPr>
        <w:tab/>
      </w:r>
      <w:r w:rsidR="00ED2E14" w:rsidRPr="00EF7CA8">
        <w:rPr>
          <w:rFonts w:ascii="Times New Roman" w:hAnsi="Times New Roman" w:cs="Times New Roman"/>
          <w:spacing w:val="-3"/>
        </w:rPr>
        <w:tab/>
      </w:r>
      <w:r w:rsidR="00A85DA8" w:rsidRPr="00EF7CA8">
        <w:rPr>
          <w:rFonts w:ascii="Times New Roman" w:hAnsi="Times New Roman" w:cs="Times New Roman"/>
          <w:spacing w:val="-3"/>
        </w:rPr>
        <w:fldChar w:fldCharType="begin"/>
      </w:r>
      <w:r w:rsidR="00A85DA8" w:rsidRPr="00EF7CA8">
        <w:rPr>
          <w:rFonts w:ascii="Times New Roman" w:hAnsi="Times New Roman" w:cs="Times New Roman"/>
          <w:spacing w:val="-3"/>
        </w:rPr>
        <w:instrText>fillin "Complainant's name" \d ""</w:instrText>
      </w:r>
      <w:r w:rsidR="00A85DA8" w:rsidRPr="00EF7CA8">
        <w:rPr>
          <w:rFonts w:ascii="Times New Roman" w:hAnsi="Times New Roman" w:cs="Times New Roman"/>
          <w:spacing w:val="-3"/>
        </w:rPr>
        <w:fldChar w:fldCharType="end"/>
      </w:r>
      <w:r w:rsidR="00A85DA8" w:rsidRPr="00EF7CA8">
        <w:rPr>
          <w:rFonts w:ascii="Times New Roman" w:hAnsi="Times New Roman" w:cs="Times New Roman"/>
          <w:spacing w:val="-3"/>
        </w:rPr>
        <w:t>:</w:t>
      </w:r>
    </w:p>
    <w:p w:rsidR="00A85DA8" w:rsidRPr="00EF7CA8" w:rsidRDefault="00A85DA8" w:rsidP="00E3608B">
      <w:pPr>
        <w:tabs>
          <w:tab w:val="left" w:pos="-720"/>
        </w:tabs>
        <w:suppressAutoHyphens/>
        <w:jc w:val="both"/>
        <w:rPr>
          <w:rFonts w:ascii="Times New Roman" w:hAnsi="Times New Roman" w:cs="Times New Roman"/>
          <w:spacing w:val="-3"/>
        </w:rPr>
      </w:pP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002917D2">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00ED2E14" w:rsidRPr="00EF7CA8">
        <w:rPr>
          <w:rFonts w:ascii="Times New Roman" w:hAnsi="Times New Roman" w:cs="Times New Roman"/>
          <w:spacing w:val="-3"/>
        </w:rPr>
        <w:tab/>
      </w:r>
      <w:r w:rsidR="002917D2">
        <w:rPr>
          <w:rFonts w:ascii="Times New Roman" w:hAnsi="Times New Roman" w:cs="Times New Roman"/>
          <w:spacing w:val="-3"/>
        </w:rPr>
        <w:t>:</w:t>
      </w:r>
    </w:p>
    <w:p w:rsidR="00A85DA8" w:rsidRPr="00EF7CA8" w:rsidRDefault="00A85DA8" w:rsidP="00E3608B">
      <w:pPr>
        <w:tabs>
          <w:tab w:val="left" w:pos="-720"/>
        </w:tabs>
        <w:suppressAutoHyphens/>
        <w:jc w:val="both"/>
        <w:rPr>
          <w:rFonts w:ascii="Times New Roman" w:hAnsi="Times New Roman" w:cs="Times New Roman"/>
          <w:spacing w:val="-3"/>
        </w:rPr>
      </w:pPr>
      <w:r w:rsidRPr="00EF7CA8">
        <w:rPr>
          <w:rFonts w:ascii="Times New Roman" w:hAnsi="Times New Roman" w:cs="Times New Roman"/>
          <w:spacing w:val="-3"/>
        </w:rPr>
        <w:tab/>
        <w:t>v.</w:t>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002917D2">
        <w:rPr>
          <w:rFonts w:ascii="Times New Roman" w:hAnsi="Times New Roman" w:cs="Times New Roman"/>
          <w:spacing w:val="-3"/>
        </w:rPr>
        <w:tab/>
      </w:r>
      <w:r w:rsidRPr="00EF7CA8">
        <w:rPr>
          <w:rFonts w:ascii="Times New Roman" w:hAnsi="Times New Roman" w:cs="Times New Roman"/>
          <w:spacing w:val="-3"/>
        </w:rPr>
        <w:tab/>
      </w:r>
      <w:r w:rsidR="00ED2E14" w:rsidRPr="00EF7CA8">
        <w:rPr>
          <w:rFonts w:ascii="Times New Roman" w:hAnsi="Times New Roman" w:cs="Times New Roman"/>
          <w:spacing w:val="-3"/>
        </w:rPr>
        <w:tab/>
      </w:r>
      <w:r w:rsidRPr="00EF7CA8">
        <w:rPr>
          <w:rFonts w:ascii="Times New Roman" w:hAnsi="Times New Roman" w:cs="Times New Roman"/>
          <w:spacing w:val="-3"/>
        </w:rPr>
        <w:t>:</w:t>
      </w:r>
      <w:r w:rsidRPr="00EF7CA8">
        <w:rPr>
          <w:rFonts w:ascii="Times New Roman" w:hAnsi="Times New Roman" w:cs="Times New Roman"/>
          <w:spacing w:val="-3"/>
        </w:rPr>
        <w:tab/>
      </w:r>
      <w:r w:rsidRPr="00EF7CA8">
        <w:rPr>
          <w:rFonts w:ascii="Times New Roman" w:hAnsi="Times New Roman" w:cs="Times New Roman"/>
          <w:spacing w:val="-3"/>
        </w:rPr>
        <w:tab/>
        <w:t>C-201</w:t>
      </w:r>
      <w:r w:rsidR="006C027F">
        <w:rPr>
          <w:rFonts w:ascii="Times New Roman" w:hAnsi="Times New Roman" w:cs="Times New Roman"/>
          <w:spacing w:val="-3"/>
        </w:rPr>
        <w:t>4</w:t>
      </w:r>
      <w:r w:rsidR="005307A3" w:rsidRPr="00EF7CA8">
        <w:rPr>
          <w:rFonts w:ascii="Times New Roman" w:hAnsi="Times New Roman" w:cs="Times New Roman"/>
          <w:spacing w:val="-3"/>
        </w:rPr>
        <w:t>-</w:t>
      </w:r>
      <w:r w:rsidR="002B518E" w:rsidRPr="00EF7CA8">
        <w:rPr>
          <w:rFonts w:ascii="Times New Roman" w:hAnsi="Times New Roman" w:cs="Times New Roman"/>
          <w:spacing w:val="-3"/>
        </w:rPr>
        <w:t>2</w:t>
      </w:r>
      <w:r w:rsidR="006C027F">
        <w:rPr>
          <w:rFonts w:ascii="Times New Roman" w:hAnsi="Times New Roman" w:cs="Times New Roman"/>
          <w:spacing w:val="-3"/>
        </w:rPr>
        <w:t>400862</w:t>
      </w:r>
    </w:p>
    <w:p w:rsidR="00A85DA8" w:rsidRPr="00EF7CA8" w:rsidRDefault="00BC15E5" w:rsidP="00E3608B">
      <w:pPr>
        <w:tabs>
          <w:tab w:val="left" w:pos="-720"/>
        </w:tabs>
        <w:suppressAutoHyphens/>
        <w:jc w:val="both"/>
        <w:rPr>
          <w:rFonts w:ascii="Times New Roman" w:hAnsi="Times New Roman" w:cs="Times New Roman"/>
          <w:spacing w:val="-3"/>
        </w:rPr>
      </w:pP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Pr="00EF7CA8">
        <w:rPr>
          <w:rFonts w:ascii="Times New Roman" w:hAnsi="Times New Roman" w:cs="Times New Roman"/>
          <w:spacing w:val="-3"/>
        </w:rPr>
        <w:tab/>
      </w:r>
      <w:r w:rsidR="002917D2">
        <w:rPr>
          <w:rFonts w:ascii="Times New Roman" w:hAnsi="Times New Roman" w:cs="Times New Roman"/>
          <w:spacing w:val="-3"/>
        </w:rPr>
        <w:tab/>
      </w:r>
      <w:r w:rsidRPr="00EF7CA8">
        <w:rPr>
          <w:rFonts w:ascii="Times New Roman" w:hAnsi="Times New Roman" w:cs="Times New Roman"/>
          <w:spacing w:val="-3"/>
        </w:rPr>
        <w:tab/>
      </w:r>
      <w:r w:rsidR="00A85DA8" w:rsidRPr="00EF7CA8">
        <w:rPr>
          <w:rFonts w:ascii="Times New Roman" w:hAnsi="Times New Roman" w:cs="Times New Roman"/>
          <w:spacing w:val="-3"/>
        </w:rPr>
        <w:t>:</w:t>
      </w:r>
    </w:p>
    <w:p w:rsidR="00A85DA8" w:rsidRPr="00EF7CA8" w:rsidRDefault="006C027F" w:rsidP="00E3608B">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r>
      <w:r w:rsidR="005307A3" w:rsidRPr="00EF7CA8">
        <w:rPr>
          <w:rFonts w:ascii="Times New Roman" w:hAnsi="Times New Roman" w:cs="Times New Roman"/>
          <w:spacing w:val="-3"/>
        </w:rPr>
        <w:tab/>
      </w:r>
      <w:r w:rsidR="00ED2E14" w:rsidRPr="00EF7CA8">
        <w:rPr>
          <w:rFonts w:ascii="Times New Roman" w:hAnsi="Times New Roman" w:cs="Times New Roman"/>
          <w:spacing w:val="-3"/>
        </w:rPr>
        <w:tab/>
      </w:r>
      <w:r w:rsidR="002917D2">
        <w:rPr>
          <w:rFonts w:ascii="Times New Roman" w:hAnsi="Times New Roman" w:cs="Times New Roman"/>
          <w:spacing w:val="-3"/>
        </w:rPr>
        <w:tab/>
      </w:r>
      <w:r w:rsidR="00A85DA8" w:rsidRPr="00EF7CA8">
        <w:rPr>
          <w:rFonts w:ascii="Times New Roman" w:hAnsi="Times New Roman" w:cs="Times New Roman"/>
          <w:spacing w:val="-3"/>
        </w:rPr>
        <w:t>:</w:t>
      </w:r>
    </w:p>
    <w:p w:rsidR="00ED2E14" w:rsidRDefault="00ED2E14" w:rsidP="00E3608B">
      <w:pPr>
        <w:tabs>
          <w:tab w:val="left" w:pos="-720"/>
          <w:tab w:val="left" w:pos="5040"/>
        </w:tabs>
        <w:suppressAutoHyphens/>
        <w:jc w:val="both"/>
        <w:rPr>
          <w:rFonts w:ascii="Times New Roman" w:hAnsi="Times New Roman" w:cs="Times New Roman"/>
          <w:spacing w:val="-3"/>
        </w:rPr>
      </w:pPr>
    </w:p>
    <w:p w:rsidR="00DC73D2" w:rsidRDefault="00DC73D2" w:rsidP="00E3608B">
      <w:pPr>
        <w:tabs>
          <w:tab w:val="left" w:pos="-720"/>
          <w:tab w:val="left" w:pos="5040"/>
        </w:tabs>
        <w:suppressAutoHyphens/>
        <w:jc w:val="both"/>
        <w:rPr>
          <w:rFonts w:ascii="Times New Roman" w:hAnsi="Times New Roman" w:cs="Times New Roman"/>
          <w:spacing w:val="-3"/>
        </w:rPr>
      </w:pPr>
    </w:p>
    <w:p w:rsidR="00DC73D2" w:rsidRPr="00EF7CA8" w:rsidRDefault="00DC73D2" w:rsidP="00E3608B">
      <w:pPr>
        <w:tabs>
          <w:tab w:val="left" w:pos="-720"/>
          <w:tab w:val="left" w:pos="5040"/>
        </w:tabs>
        <w:suppressAutoHyphens/>
        <w:jc w:val="both"/>
        <w:rPr>
          <w:rFonts w:ascii="Times New Roman" w:hAnsi="Times New Roman" w:cs="Times New Roman"/>
          <w:spacing w:val="-3"/>
        </w:rPr>
      </w:pPr>
    </w:p>
    <w:p w:rsidR="00E43B9C" w:rsidRPr="00EF7CA8" w:rsidRDefault="00E43B9C" w:rsidP="00E3608B">
      <w:pPr>
        <w:tabs>
          <w:tab w:val="center" w:pos="4680"/>
        </w:tabs>
        <w:suppressAutoHyphens/>
        <w:jc w:val="center"/>
        <w:rPr>
          <w:rFonts w:ascii="Times New Roman" w:hAnsi="Times New Roman" w:cs="Times New Roman"/>
          <w:b/>
          <w:bCs/>
          <w:spacing w:val="-3"/>
          <w:u w:val="single"/>
        </w:rPr>
      </w:pPr>
      <w:r w:rsidRPr="00EF7CA8">
        <w:rPr>
          <w:rFonts w:ascii="Times New Roman" w:hAnsi="Times New Roman" w:cs="Times New Roman"/>
          <w:b/>
          <w:bCs/>
          <w:spacing w:val="-3"/>
          <w:u w:val="single"/>
        </w:rPr>
        <w:t xml:space="preserve">INITIAL DECISION </w:t>
      </w:r>
    </w:p>
    <w:p w:rsidR="00E43B9C" w:rsidRDefault="00E43B9C" w:rsidP="00E3608B">
      <w:pPr>
        <w:tabs>
          <w:tab w:val="center" w:pos="4680"/>
        </w:tabs>
        <w:suppressAutoHyphens/>
        <w:jc w:val="center"/>
        <w:rPr>
          <w:rFonts w:ascii="Times New Roman" w:hAnsi="Times New Roman" w:cs="Times New Roman"/>
          <w:b/>
          <w:bCs/>
          <w:spacing w:val="-3"/>
          <w:u w:val="single"/>
        </w:rPr>
      </w:pPr>
    </w:p>
    <w:p w:rsidR="00DC73D2" w:rsidRPr="00EF7CA8" w:rsidRDefault="00DC73D2" w:rsidP="00E3608B">
      <w:pPr>
        <w:tabs>
          <w:tab w:val="center" w:pos="4680"/>
        </w:tabs>
        <w:suppressAutoHyphens/>
        <w:jc w:val="center"/>
        <w:rPr>
          <w:rFonts w:ascii="Times New Roman" w:hAnsi="Times New Roman" w:cs="Times New Roman"/>
          <w:b/>
          <w:bCs/>
          <w:spacing w:val="-3"/>
          <w:u w:val="single"/>
        </w:rPr>
      </w:pPr>
    </w:p>
    <w:p w:rsidR="00E43B9C" w:rsidRPr="00EF7CA8" w:rsidRDefault="00E43B9C" w:rsidP="00E3608B">
      <w:pPr>
        <w:tabs>
          <w:tab w:val="center" w:pos="4680"/>
        </w:tabs>
        <w:suppressAutoHyphens/>
        <w:jc w:val="center"/>
        <w:rPr>
          <w:rFonts w:ascii="Times New Roman" w:hAnsi="Times New Roman" w:cs="Times New Roman"/>
          <w:bCs/>
          <w:spacing w:val="-3"/>
        </w:rPr>
      </w:pPr>
      <w:r w:rsidRPr="00EF7CA8">
        <w:rPr>
          <w:rFonts w:ascii="Times New Roman" w:hAnsi="Times New Roman" w:cs="Times New Roman"/>
          <w:bCs/>
          <w:spacing w:val="-3"/>
        </w:rPr>
        <w:t xml:space="preserve">Before </w:t>
      </w:r>
    </w:p>
    <w:p w:rsidR="00E43B9C" w:rsidRPr="00EF7CA8" w:rsidRDefault="006C027F" w:rsidP="00E3608B">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Jeffrey A. Watson</w:t>
      </w:r>
    </w:p>
    <w:p w:rsidR="00E43B9C" w:rsidRDefault="00E43B9C" w:rsidP="00E3608B">
      <w:pPr>
        <w:tabs>
          <w:tab w:val="center" w:pos="4680"/>
        </w:tabs>
        <w:suppressAutoHyphens/>
        <w:jc w:val="center"/>
        <w:rPr>
          <w:rFonts w:ascii="Times New Roman" w:hAnsi="Times New Roman" w:cs="Times New Roman"/>
          <w:bCs/>
          <w:spacing w:val="-3"/>
        </w:rPr>
      </w:pPr>
      <w:r w:rsidRPr="00EF7CA8">
        <w:rPr>
          <w:rFonts w:ascii="Times New Roman" w:hAnsi="Times New Roman" w:cs="Times New Roman"/>
          <w:bCs/>
          <w:spacing w:val="-3"/>
        </w:rPr>
        <w:t>Administrative Law Judge</w:t>
      </w:r>
    </w:p>
    <w:p w:rsidR="00087BBD" w:rsidRPr="00EF7CA8" w:rsidRDefault="00087BBD" w:rsidP="00E3608B">
      <w:pPr>
        <w:tabs>
          <w:tab w:val="center" w:pos="4680"/>
        </w:tabs>
        <w:suppressAutoHyphens/>
        <w:jc w:val="center"/>
        <w:rPr>
          <w:rFonts w:ascii="Times New Roman" w:hAnsi="Times New Roman" w:cs="Times New Roman"/>
          <w:bCs/>
          <w:spacing w:val="-3"/>
        </w:rPr>
      </w:pPr>
    </w:p>
    <w:p w:rsidR="00E43B9C" w:rsidRDefault="00E43B9C" w:rsidP="00E3608B">
      <w:pPr>
        <w:tabs>
          <w:tab w:val="center" w:pos="4680"/>
        </w:tabs>
        <w:suppressAutoHyphens/>
        <w:jc w:val="center"/>
        <w:rPr>
          <w:rFonts w:ascii="Times New Roman" w:hAnsi="Times New Roman" w:cs="Times New Roman"/>
          <w:bCs/>
          <w:spacing w:val="-3"/>
        </w:rPr>
      </w:pPr>
    </w:p>
    <w:p w:rsidR="003A0B68" w:rsidRPr="003A0B68" w:rsidRDefault="003A0B68" w:rsidP="003A0B68">
      <w:pPr>
        <w:spacing w:line="360" w:lineRule="auto"/>
        <w:rPr>
          <w:rFonts w:ascii="Times New Roman" w:hAnsi="Times New Roman" w:cs="Times New Roman"/>
        </w:rPr>
      </w:pPr>
      <w:r>
        <w:t xml:space="preserve">                      </w:t>
      </w:r>
      <w:r w:rsidRPr="003A0B68">
        <w:rPr>
          <w:rFonts w:ascii="Times New Roman" w:hAnsi="Times New Roman" w:cs="Times New Roman"/>
        </w:rPr>
        <w:t xml:space="preserve">Joann Brower (Complainant or Ms. Brower) filed a formal complaint before the Pennsylvania Public Utility Commission (Commission) against PECO Energy Company (PECO, Company or Respondent) alleging </w:t>
      </w:r>
      <w:r w:rsidR="00C90C94">
        <w:rPr>
          <w:rFonts w:ascii="Times New Roman" w:hAnsi="Times New Roman" w:cs="Times New Roman"/>
        </w:rPr>
        <w:t>her</w:t>
      </w:r>
      <w:r w:rsidRPr="003A0B68">
        <w:rPr>
          <w:rFonts w:ascii="Times New Roman" w:hAnsi="Times New Roman" w:cs="Times New Roman"/>
        </w:rPr>
        <w:t xml:space="preserve"> bills for electric service </w:t>
      </w:r>
      <w:r w:rsidR="00C90C94">
        <w:rPr>
          <w:rFonts w:ascii="Times New Roman" w:hAnsi="Times New Roman" w:cs="Times New Roman"/>
        </w:rPr>
        <w:t xml:space="preserve">provided by </w:t>
      </w:r>
      <w:r w:rsidRPr="003A0B68">
        <w:rPr>
          <w:rFonts w:ascii="Times New Roman" w:hAnsi="Times New Roman" w:cs="Times New Roman"/>
        </w:rPr>
        <w:t xml:space="preserve">Respondent are incorrect and that she is being billed for electricity that she did not use.  </w:t>
      </w:r>
      <w:r>
        <w:rPr>
          <w:rFonts w:ascii="Times New Roman" w:hAnsi="Times New Roman" w:cs="Times New Roman"/>
        </w:rPr>
        <w:t xml:space="preserve">In its answer, </w:t>
      </w:r>
      <w:r w:rsidRPr="003A0B68">
        <w:rPr>
          <w:rFonts w:ascii="Times New Roman" w:hAnsi="Times New Roman" w:cs="Times New Roman"/>
        </w:rPr>
        <w:t>Respondent denied the material allegations set forth in the formal complaint</w:t>
      </w:r>
      <w:r>
        <w:rPr>
          <w:rFonts w:ascii="Times New Roman" w:hAnsi="Times New Roman" w:cs="Times New Roman"/>
        </w:rPr>
        <w:t>.  This decision d</w:t>
      </w:r>
      <w:r w:rsidR="00C90C94">
        <w:rPr>
          <w:rFonts w:ascii="Times New Roman" w:hAnsi="Times New Roman" w:cs="Times New Roman"/>
        </w:rPr>
        <w:t>enies</w:t>
      </w:r>
      <w:r>
        <w:rPr>
          <w:rFonts w:ascii="Times New Roman" w:hAnsi="Times New Roman" w:cs="Times New Roman"/>
        </w:rPr>
        <w:t xml:space="preserve"> the formal complaint for failure of </w:t>
      </w:r>
      <w:r w:rsidRPr="003A0B68">
        <w:rPr>
          <w:rFonts w:ascii="Times New Roman" w:hAnsi="Times New Roman" w:cs="Times New Roman"/>
        </w:rPr>
        <w:t xml:space="preserve">Complainant </w:t>
      </w:r>
      <w:r>
        <w:rPr>
          <w:rFonts w:ascii="Times New Roman" w:hAnsi="Times New Roman" w:cs="Times New Roman"/>
        </w:rPr>
        <w:t>to meet her burden of proof.</w:t>
      </w:r>
      <w:r w:rsidRPr="003A0B68">
        <w:rPr>
          <w:rFonts w:ascii="Times New Roman" w:hAnsi="Times New Roman" w:cs="Times New Roman"/>
        </w:rPr>
        <w:t xml:space="preserve"> </w:t>
      </w:r>
    </w:p>
    <w:p w:rsidR="003A0B68" w:rsidRDefault="003A0B68" w:rsidP="00E3608B">
      <w:pPr>
        <w:tabs>
          <w:tab w:val="center" w:pos="4680"/>
        </w:tabs>
        <w:suppressAutoHyphens/>
        <w:jc w:val="center"/>
        <w:rPr>
          <w:rFonts w:ascii="Times New Roman" w:hAnsi="Times New Roman" w:cs="Times New Roman"/>
          <w:bCs/>
          <w:spacing w:val="-3"/>
        </w:rPr>
      </w:pPr>
    </w:p>
    <w:p w:rsidR="00DC73D2" w:rsidRPr="00EF7CA8" w:rsidRDefault="00DC73D2" w:rsidP="00E3608B">
      <w:pPr>
        <w:tabs>
          <w:tab w:val="center" w:pos="4680"/>
        </w:tabs>
        <w:suppressAutoHyphens/>
        <w:jc w:val="center"/>
        <w:rPr>
          <w:rFonts w:ascii="Times New Roman" w:hAnsi="Times New Roman" w:cs="Times New Roman"/>
          <w:bCs/>
          <w:spacing w:val="-3"/>
        </w:rPr>
      </w:pPr>
    </w:p>
    <w:p w:rsidR="00E43B9C" w:rsidRPr="00EF7CA8" w:rsidRDefault="00E43B9C" w:rsidP="00E3608B">
      <w:pPr>
        <w:tabs>
          <w:tab w:val="center" w:pos="4680"/>
        </w:tabs>
        <w:suppressAutoHyphens/>
        <w:jc w:val="center"/>
        <w:rPr>
          <w:rFonts w:ascii="Times New Roman" w:hAnsi="Times New Roman" w:cs="Times New Roman"/>
          <w:bCs/>
          <w:spacing w:val="-3"/>
          <w:u w:val="single"/>
        </w:rPr>
      </w:pPr>
      <w:r w:rsidRPr="00EF7CA8">
        <w:rPr>
          <w:rFonts w:ascii="Times New Roman" w:hAnsi="Times New Roman" w:cs="Times New Roman"/>
          <w:bCs/>
          <w:spacing w:val="-3"/>
          <w:u w:val="single"/>
        </w:rPr>
        <w:t>HISTORY OF THE PROCEEDING</w:t>
      </w:r>
    </w:p>
    <w:p w:rsidR="00E43B9C" w:rsidRDefault="00E43B9C" w:rsidP="00E3608B">
      <w:pPr>
        <w:pStyle w:val="ParaTab1"/>
        <w:tabs>
          <w:tab w:val="left" w:pos="2070"/>
        </w:tabs>
        <w:ind w:firstLine="0"/>
        <w:rPr>
          <w:rFonts w:ascii="Times New Roman" w:hAnsi="Times New Roman" w:cs="Times New Roman"/>
        </w:rPr>
      </w:pPr>
    </w:p>
    <w:p w:rsidR="00DC73D2" w:rsidRPr="00EF7CA8" w:rsidRDefault="00DC73D2" w:rsidP="00E3608B">
      <w:pPr>
        <w:pStyle w:val="ParaTab1"/>
        <w:tabs>
          <w:tab w:val="left" w:pos="2070"/>
        </w:tabs>
        <w:ind w:firstLine="0"/>
        <w:rPr>
          <w:rFonts w:ascii="Times New Roman" w:hAnsi="Times New Roman" w:cs="Times New Roman"/>
        </w:rPr>
      </w:pPr>
    </w:p>
    <w:p w:rsidR="00F83BF0" w:rsidRPr="003A0B68" w:rsidRDefault="00F83BF0" w:rsidP="003A0B68">
      <w:pPr>
        <w:spacing w:line="360" w:lineRule="auto"/>
        <w:rPr>
          <w:rFonts w:ascii="Times New Roman" w:hAnsi="Times New Roman" w:cs="Times New Roman"/>
        </w:rPr>
      </w:pPr>
      <w:r>
        <w:t xml:space="preserve">                      </w:t>
      </w:r>
      <w:r w:rsidRPr="003A0B68">
        <w:rPr>
          <w:rFonts w:ascii="Times New Roman" w:hAnsi="Times New Roman" w:cs="Times New Roman"/>
        </w:rPr>
        <w:t xml:space="preserve">On January 10, 2014, Joann Brower filed a formal complaint before the </w:t>
      </w:r>
      <w:r w:rsidR="003A0B68">
        <w:rPr>
          <w:rFonts w:ascii="Times New Roman" w:hAnsi="Times New Roman" w:cs="Times New Roman"/>
        </w:rPr>
        <w:t>C</w:t>
      </w:r>
      <w:r w:rsidRPr="003A0B68">
        <w:rPr>
          <w:rFonts w:ascii="Times New Roman" w:hAnsi="Times New Roman" w:cs="Times New Roman"/>
        </w:rPr>
        <w:t>ommission against PECO</w:t>
      </w:r>
      <w:r w:rsidR="004B1367">
        <w:rPr>
          <w:rFonts w:ascii="Times New Roman" w:hAnsi="Times New Roman" w:cs="Times New Roman"/>
        </w:rPr>
        <w:t xml:space="preserve"> </w:t>
      </w:r>
      <w:r w:rsidRPr="003A0B68">
        <w:rPr>
          <w:rFonts w:ascii="Times New Roman" w:hAnsi="Times New Roman" w:cs="Times New Roman"/>
        </w:rPr>
        <w:t xml:space="preserve">alleging </w:t>
      </w:r>
      <w:r w:rsidR="004B1367">
        <w:rPr>
          <w:rFonts w:ascii="Times New Roman" w:hAnsi="Times New Roman" w:cs="Times New Roman"/>
        </w:rPr>
        <w:t>her</w:t>
      </w:r>
      <w:r w:rsidRPr="003A0B68">
        <w:rPr>
          <w:rFonts w:ascii="Times New Roman" w:hAnsi="Times New Roman" w:cs="Times New Roman"/>
        </w:rPr>
        <w:t xml:space="preserve"> bills for electric service </w:t>
      </w:r>
      <w:r w:rsidR="004B1367">
        <w:rPr>
          <w:rFonts w:ascii="Times New Roman" w:hAnsi="Times New Roman" w:cs="Times New Roman"/>
        </w:rPr>
        <w:t xml:space="preserve">provided by </w:t>
      </w:r>
      <w:r w:rsidRPr="003A0B68">
        <w:rPr>
          <w:rFonts w:ascii="Times New Roman" w:hAnsi="Times New Roman" w:cs="Times New Roman"/>
        </w:rPr>
        <w:t xml:space="preserve">Respondent are incorrect and that she is being billed for electricity that she did not use.  No specific relief was requested in the formal complaint.  </w:t>
      </w:r>
    </w:p>
    <w:p w:rsidR="00F83BF0" w:rsidRPr="003A0B68" w:rsidRDefault="00F83BF0" w:rsidP="003A0B68">
      <w:pPr>
        <w:spacing w:line="360" w:lineRule="auto"/>
        <w:rPr>
          <w:rFonts w:ascii="Times New Roman" w:hAnsi="Times New Roman" w:cs="Times New Roman"/>
        </w:rPr>
      </w:pPr>
    </w:p>
    <w:p w:rsidR="00F84FE9" w:rsidRDefault="00F83BF0" w:rsidP="003A0B68">
      <w:pPr>
        <w:spacing w:line="360" w:lineRule="auto"/>
        <w:rPr>
          <w:rFonts w:ascii="Times New Roman" w:hAnsi="Times New Roman" w:cs="Times New Roman"/>
        </w:rPr>
      </w:pPr>
      <w:r w:rsidRPr="003A0B68">
        <w:rPr>
          <w:rFonts w:ascii="Times New Roman" w:hAnsi="Times New Roman" w:cs="Times New Roman"/>
        </w:rPr>
        <w:tab/>
      </w:r>
      <w:r w:rsidRPr="003A0B68">
        <w:rPr>
          <w:rFonts w:ascii="Times New Roman" w:hAnsi="Times New Roman" w:cs="Times New Roman"/>
        </w:rPr>
        <w:tab/>
        <w:t>Respondent filed its answer on January 23, 2014</w:t>
      </w:r>
      <w:r w:rsidR="00F84FE9">
        <w:rPr>
          <w:rFonts w:ascii="Times New Roman" w:hAnsi="Times New Roman" w:cs="Times New Roman"/>
        </w:rPr>
        <w:t xml:space="preserve"> and </w:t>
      </w:r>
      <w:r w:rsidRPr="003A0B68">
        <w:rPr>
          <w:rFonts w:ascii="Times New Roman" w:hAnsi="Times New Roman" w:cs="Times New Roman"/>
        </w:rPr>
        <w:t xml:space="preserve">denied the material allegations set forth in the </w:t>
      </w:r>
      <w:r w:rsidR="00485744" w:rsidRPr="003A0B68">
        <w:rPr>
          <w:rFonts w:ascii="Times New Roman" w:hAnsi="Times New Roman" w:cs="Times New Roman"/>
        </w:rPr>
        <w:t xml:space="preserve">formal </w:t>
      </w:r>
      <w:r w:rsidRPr="003A0B68">
        <w:rPr>
          <w:rFonts w:ascii="Times New Roman" w:hAnsi="Times New Roman" w:cs="Times New Roman"/>
        </w:rPr>
        <w:t>complaint</w:t>
      </w:r>
      <w:r w:rsidR="00F84FE9">
        <w:rPr>
          <w:rFonts w:ascii="Times New Roman" w:hAnsi="Times New Roman" w:cs="Times New Roman"/>
        </w:rPr>
        <w:t xml:space="preserve">.  </w:t>
      </w:r>
    </w:p>
    <w:p w:rsidR="00F83BF0" w:rsidRPr="003A0B68" w:rsidRDefault="00F83BF0" w:rsidP="003A0B68">
      <w:pPr>
        <w:spacing w:line="360" w:lineRule="auto"/>
        <w:rPr>
          <w:rFonts w:ascii="Times New Roman" w:hAnsi="Times New Roman" w:cs="Times New Roman"/>
        </w:rPr>
      </w:pPr>
      <w:r w:rsidRPr="003A0B68">
        <w:rPr>
          <w:rFonts w:ascii="Times New Roman" w:hAnsi="Times New Roman" w:cs="Times New Roman"/>
        </w:rPr>
        <w:t xml:space="preserve"> </w:t>
      </w:r>
    </w:p>
    <w:p w:rsidR="00F83BF0" w:rsidRPr="003A0B68" w:rsidRDefault="00F83BF0" w:rsidP="003A0B68">
      <w:pPr>
        <w:spacing w:line="360" w:lineRule="auto"/>
        <w:rPr>
          <w:rFonts w:ascii="Times New Roman" w:hAnsi="Times New Roman" w:cs="Times New Roman"/>
        </w:rPr>
      </w:pPr>
      <w:r w:rsidRPr="003A0B68">
        <w:rPr>
          <w:rFonts w:ascii="Times New Roman" w:hAnsi="Times New Roman" w:cs="Times New Roman"/>
        </w:rPr>
        <w:lastRenderedPageBreak/>
        <w:tab/>
        <w:t xml:space="preserve">            On February 19, 2014 a hearing notice was issued which scheduled the initial telephonic hearing for March 12, 2014 at 10:00 a.m.  On February 20, 2014, the undersigned presiding officer issued a prehearing order, which set forth the procedural requirements for a formal hearing before the Commission. </w:t>
      </w:r>
    </w:p>
    <w:p w:rsidR="00F83BF0" w:rsidRPr="003A0B68" w:rsidRDefault="00F83BF0" w:rsidP="003A0B68">
      <w:pPr>
        <w:spacing w:line="360" w:lineRule="auto"/>
        <w:rPr>
          <w:rFonts w:ascii="Times New Roman" w:hAnsi="Times New Roman" w:cs="Times New Roman"/>
        </w:rPr>
      </w:pPr>
      <w:r w:rsidRPr="003A0B68">
        <w:rPr>
          <w:rFonts w:ascii="Times New Roman" w:hAnsi="Times New Roman" w:cs="Times New Roman"/>
        </w:rPr>
        <w:t xml:space="preserve"> </w:t>
      </w:r>
      <w:r w:rsidRPr="003A0B68">
        <w:rPr>
          <w:rFonts w:ascii="Times New Roman" w:hAnsi="Times New Roman" w:cs="Times New Roman"/>
        </w:rPr>
        <w:tab/>
      </w:r>
      <w:r w:rsidRPr="003A0B68">
        <w:rPr>
          <w:rFonts w:ascii="Times New Roman" w:hAnsi="Times New Roman" w:cs="Times New Roman"/>
        </w:rPr>
        <w:tab/>
      </w:r>
    </w:p>
    <w:p w:rsidR="00F83BF0" w:rsidRPr="003A0B68" w:rsidRDefault="00F83BF0" w:rsidP="003A0B68">
      <w:pPr>
        <w:tabs>
          <w:tab w:val="left" w:pos="2160"/>
        </w:tabs>
        <w:spacing w:line="360" w:lineRule="auto"/>
        <w:ind w:firstLine="1440"/>
        <w:rPr>
          <w:rFonts w:ascii="Times New Roman" w:hAnsi="Times New Roman" w:cs="Times New Roman"/>
          <w:bCs/>
          <w:spacing w:val="-3"/>
        </w:rPr>
      </w:pPr>
      <w:r w:rsidRPr="003A0B68">
        <w:rPr>
          <w:rFonts w:ascii="Times New Roman" w:hAnsi="Times New Roman" w:cs="Times New Roman"/>
        </w:rPr>
        <w:t xml:space="preserve">On March 12, 2014 the undersigned presiding officer convened the initial telephonic hearing as scheduled.  Complainant appeared </w:t>
      </w:r>
      <w:r w:rsidRPr="003A0B68">
        <w:rPr>
          <w:rFonts w:ascii="Times New Roman" w:hAnsi="Times New Roman" w:cs="Times New Roman"/>
          <w:i/>
        </w:rPr>
        <w:t>pro se</w:t>
      </w:r>
      <w:r w:rsidRPr="003A0B68">
        <w:rPr>
          <w:rFonts w:ascii="Times New Roman" w:hAnsi="Times New Roman" w:cs="Times New Roman"/>
        </w:rPr>
        <w:t xml:space="preserve"> and testified on her own behalf.  Complainant presented the testimony of one additional witness.  She offered no exhibits.  Respondent was represented by Shawane L. Lee, Esquire.  Attorney Lee presented the testimony of three witnesses and offered ten exhibits which were marked as PECO Exhibits 1 through 10, and which were admitted into evidence, without objection.  </w:t>
      </w:r>
      <w:r w:rsidRPr="003A0B68">
        <w:rPr>
          <w:rFonts w:ascii="Times New Roman" w:hAnsi="Times New Roman" w:cs="Times New Roman"/>
          <w:bCs/>
          <w:spacing w:val="-3"/>
        </w:rPr>
        <w:t xml:space="preserve">  </w:t>
      </w:r>
    </w:p>
    <w:p w:rsidR="00F83BF0" w:rsidRPr="003A0B68" w:rsidRDefault="00F83BF0" w:rsidP="003A0B68">
      <w:pPr>
        <w:tabs>
          <w:tab w:val="left" w:pos="2160"/>
        </w:tabs>
        <w:spacing w:line="360" w:lineRule="auto"/>
        <w:ind w:firstLine="1440"/>
        <w:rPr>
          <w:rFonts w:ascii="Times New Roman" w:hAnsi="Times New Roman" w:cs="Times New Roman"/>
          <w:bCs/>
          <w:spacing w:val="-3"/>
        </w:rPr>
      </w:pPr>
    </w:p>
    <w:p w:rsidR="00F83BF0" w:rsidRPr="003A0B68" w:rsidRDefault="00F83BF0" w:rsidP="003A0B68">
      <w:pPr>
        <w:tabs>
          <w:tab w:val="left" w:pos="2160"/>
        </w:tabs>
        <w:spacing w:line="360" w:lineRule="auto"/>
        <w:ind w:firstLine="1440"/>
        <w:rPr>
          <w:rFonts w:ascii="Times New Roman" w:hAnsi="Times New Roman" w:cs="Times New Roman"/>
          <w:bCs/>
          <w:spacing w:val="-3"/>
        </w:rPr>
      </w:pPr>
      <w:r w:rsidRPr="003A0B68">
        <w:rPr>
          <w:rFonts w:ascii="Times New Roman" w:hAnsi="Times New Roman" w:cs="Times New Roman"/>
          <w:bCs/>
          <w:spacing w:val="-3"/>
        </w:rPr>
        <w:t>A transcript of the hearing was generated, consisting of 121 pages.  The record closed by the issuance of an interim order dated May 2, 2014.</w:t>
      </w:r>
    </w:p>
    <w:p w:rsidR="00F83BF0" w:rsidRPr="003A0B68" w:rsidRDefault="00F83BF0" w:rsidP="003A0B68">
      <w:pPr>
        <w:tabs>
          <w:tab w:val="left" w:pos="2160"/>
        </w:tabs>
        <w:spacing w:line="360" w:lineRule="auto"/>
        <w:ind w:firstLine="1440"/>
        <w:rPr>
          <w:rFonts w:ascii="Times New Roman" w:hAnsi="Times New Roman" w:cs="Times New Roman"/>
          <w:bCs/>
          <w:spacing w:val="-3"/>
        </w:rPr>
      </w:pPr>
    </w:p>
    <w:p w:rsidR="00E43B9C" w:rsidRPr="003A0B68" w:rsidRDefault="00F83BF0" w:rsidP="003A0B68">
      <w:pPr>
        <w:tabs>
          <w:tab w:val="left" w:pos="1440"/>
          <w:tab w:val="center" w:pos="4680"/>
        </w:tabs>
        <w:suppressAutoHyphens/>
        <w:spacing w:line="360" w:lineRule="auto"/>
        <w:rPr>
          <w:rFonts w:ascii="Times New Roman" w:hAnsi="Times New Roman" w:cs="Times New Roman"/>
        </w:rPr>
      </w:pPr>
      <w:r w:rsidRPr="003A0B68">
        <w:rPr>
          <w:rFonts w:ascii="Times New Roman" w:hAnsi="Times New Roman" w:cs="Times New Roman"/>
          <w:b/>
        </w:rPr>
        <w:tab/>
      </w:r>
      <w:r w:rsidRPr="003A0B68">
        <w:rPr>
          <w:rFonts w:ascii="Times New Roman" w:hAnsi="Times New Roman" w:cs="Times New Roman"/>
        </w:rPr>
        <w:t>F</w:t>
      </w:r>
      <w:r w:rsidR="0036516C" w:rsidRPr="003A0B68">
        <w:rPr>
          <w:rFonts w:ascii="Times New Roman" w:hAnsi="Times New Roman" w:cs="Times New Roman"/>
        </w:rPr>
        <w:t xml:space="preserve">or the reasons set forth below, </w:t>
      </w:r>
      <w:r w:rsidR="00485744" w:rsidRPr="003A0B68">
        <w:rPr>
          <w:rFonts w:ascii="Times New Roman" w:hAnsi="Times New Roman" w:cs="Times New Roman"/>
        </w:rPr>
        <w:t xml:space="preserve">the formal </w:t>
      </w:r>
      <w:r w:rsidR="0036516C" w:rsidRPr="003A0B68">
        <w:rPr>
          <w:rFonts w:ascii="Times New Roman" w:hAnsi="Times New Roman" w:cs="Times New Roman"/>
        </w:rPr>
        <w:t>complaint</w:t>
      </w:r>
      <w:r w:rsidR="00485744" w:rsidRPr="003A0B68">
        <w:rPr>
          <w:rFonts w:ascii="Times New Roman" w:hAnsi="Times New Roman" w:cs="Times New Roman"/>
        </w:rPr>
        <w:t xml:space="preserve"> will be denied</w:t>
      </w:r>
      <w:r w:rsidR="0036516C" w:rsidRPr="003A0B68">
        <w:rPr>
          <w:rFonts w:ascii="Times New Roman" w:hAnsi="Times New Roman" w:cs="Times New Roman"/>
        </w:rPr>
        <w:t>.</w:t>
      </w:r>
    </w:p>
    <w:p w:rsidR="00F83BF0" w:rsidRPr="003A0B68" w:rsidRDefault="00F83BF0" w:rsidP="003A0B68">
      <w:pPr>
        <w:tabs>
          <w:tab w:val="left" w:pos="1440"/>
          <w:tab w:val="center" w:pos="4680"/>
        </w:tabs>
        <w:suppressAutoHyphens/>
        <w:spacing w:line="360" w:lineRule="auto"/>
        <w:rPr>
          <w:rFonts w:ascii="Times New Roman" w:hAnsi="Times New Roman" w:cs="Times New Roman"/>
        </w:rPr>
      </w:pPr>
    </w:p>
    <w:p w:rsidR="00E43B9C" w:rsidRPr="00EF7CA8" w:rsidRDefault="00E43B9C" w:rsidP="00E3608B">
      <w:pPr>
        <w:spacing w:line="360" w:lineRule="auto"/>
        <w:jc w:val="center"/>
        <w:rPr>
          <w:rFonts w:ascii="Times New Roman" w:hAnsi="Times New Roman" w:cs="Times New Roman"/>
          <w:u w:val="single"/>
        </w:rPr>
      </w:pPr>
      <w:r w:rsidRPr="00EF7CA8">
        <w:rPr>
          <w:rFonts w:ascii="Times New Roman" w:hAnsi="Times New Roman" w:cs="Times New Roman"/>
          <w:u w:val="single"/>
        </w:rPr>
        <w:t>FINDINGS OF FACT</w:t>
      </w:r>
    </w:p>
    <w:p w:rsidR="00E43B9C" w:rsidRPr="00EF7CA8" w:rsidRDefault="00E43B9C" w:rsidP="00E3608B">
      <w:pPr>
        <w:spacing w:line="360" w:lineRule="auto"/>
        <w:rPr>
          <w:rFonts w:ascii="Times New Roman" w:hAnsi="Times New Roman" w:cs="Times New Roman"/>
        </w:rPr>
      </w:pPr>
    </w:p>
    <w:p w:rsidR="00E43B9C" w:rsidRPr="00EF7CA8" w:rsidRDefault="00E43B9C" w:rsidP="00E3608B">
      <w:pPr>
        <w:spacing w:line="360" w:lineRule="auto"/>
        <w:rPr>
          <w:rFonts w:ascii="Times New Roman" w:hAnsi="Times New Roman" w:cs="Times New Roman"/>
        </w:rPr>
      </w:pPr>
      <w:r w:rsidRPr="00EF7CA8">
        <w:rPr>
          <w:rFonts w:ascii="Times New Roman" w:hAnsi="Times New Roman" w:cs="Times New Roman"/>
        </w:rPr>
        <w:tab/>
      </w:r>
      <w:r w:rsidRPr="00EF7CA8">
        <w:rPr>
          <w:rFonts w:ascii="Times New Roman" w:hAnsi="Times New Roman" w:cs="Times New Roman"/>
        </w:rPr>
        <w:tab/>
        <w:t>1.</w:t>
      </w:r>
      <w:r w:rsidRPr="00EF7CA8">
        <w:rPr>
          <w:rFonts w:ascii="Times New Roman" w:hAnsi="Times New Roman" w:cs="Times New Roman"/>
        </w:rPr>
        <w:tab/>
        <w:t xml:space="preserve">The Complainant in this case </w:t>
      </w:r>
      <w:r w:rsidR="0088426D" w:rsidRPr="00EF7CA8">
        <w:rPr>
          <w:rFonts w:ascii="Times New Roman" w:hAnsi="Times New Roman" w:cs="Times New Roman"/>
        </w:rPr>
        <w:t xml:space="preserve">is </w:t>
      </w:r>
      <w:r w:rsidR="00D23081">
        <w:rPr>
          <w:rFonts w:ascii="Times New Roman" w:hAnsi="Times New Roman" w:cs="Times New Roman"/>
        </w:rPr>
        <w:t>Joann Brower</w:t>
      </w:r>
      <w:r w:rsidR="00BB1553">
        <w:rPr>
          <w:rFonts w:ascii="Times New Roman" w:hAnsi="Times New Roman" w:cs="Times New Roman"/>
        </w:rPr>
        <w:t xml:space="preserve"> who resides at </w:t>
      </w:r>
      <w:r w:rsidR="00D23081">
        <w:rPr>
          <w:rFonts w:ascii="Times New Roman" w:hAnsi="Times New Roman" w:cs="Times New Roman"/>
        </w:rPr>
        <w:t>200</w:t>
      </w:r>
      <w:r w:rsidR="00FF3A6F">
        <w:rPr>
          <w:rFonts w:ascii="Times New Roman" w:hAnsi="Times New Roman" w:cs="Times New Roman"/>
        </w:rPr>
        <w:t> </w:t>
      </w:r>
      <w:r w:rsidR="00D23081">
        <w:rPr>
          <w:rFonts w:ascii="Times New Roman" w:hAnsi="Times New Roman" w:cs="Times New Roman"/>
        </w:rPr>
        <w:t>W.</w:t>
      </w:r>
      <w:r w:rsidR="00FF3A6F">
        <w:rPr>
          <w:rFonts w:ascii="Times New Roman" w:hAnsi="Times New Roman" w:cs="Times New Roman"/>
        </w:rPr>
        <w:t> </w:t>
      </w:r>
      <w:r w:rsidR="00D23081">
        <w:rPr>
          <w:rFonts w:ascii="Times New Roman" w:hAnsi="Times New Roman" w:cs="Times New Roman"/>
        </w:rPr>
        <w:t>22</w:t>
      </w:r>
      <w:r w:rsidR="00FF3A6F">
        <w:rPr>
          <w:rFonts w:ascii="Times New Roman" w:hAnsi="Times New Roman" w:cs="Times New Roman"/>
        </w:rPr>
        <w:t> </w:t>
      </w:r>
      <w:r w:rsidR="00D23081">
        <w:rPr>
          <w:rFonts w:ascii="Times New Roman" w:hAnsi="Times New Roman" w:cs="Times New Roman"/>
        </w:rPr>
        <w:t>Street, Chester</w:t>
      </w:r>
      <w:r w:rsidR="00BB1553">
        <w:rPr>
          <w:rFonts w:ascii="Times New Roman" w:hAnsi="Times New Roman" w:cs="Times New Roman"/>
        </w:rPr>
        <w:t>, P</w:t>
      </w:r>
      <w:r w:rsidR="00D23081">
        <w:rPr>
          <w:rFonts w:ascii="Times New Roman" w:hAnsi="Times New Roman" w:cs="Times New Roman"/>
        </w:rPr>
        <w:t>ennsylvania</w:t>
      </w:r>
      <w:r w:rsidR="00485744">
        <w:rPr>
          <w:rFonts w:ascii="Times New Roman" w:hAnsi="Times New Roman" w:cs="Times New Roman"/>
        </w:rPr>
        <w:t xml:space="preserve"> (service address or service location)</w:t>
      </w:r>
      <w:r w:rsidR="00CE0E15" w:rsidRPr="00EF7CA8">
        <w:rPr>
          <w:rFonts w:ascii="Times New Roman" w:hAnsi="Times New Roman" w:cs="Times New Roman"/>
        </w:rPr>
        <w:t>.</w:t>
      </w:r>
      <w:r w:rsidRPr="00EF7CA8">
        <w:rPr>
          <w:rFonts w:ascii="Times New Roman" w:hAnsi="Times New Roman" w:cs="Times New Roman"/>
        </w:rPr>
        <w:t xml:space="preserve">  </w:t>
      </w:r>
      <w:r w:rsidR="0088426D" w:rsidRPr="00EF7CA8">
        <w:rPr>
          <w:rFonts w:ascii="Times New Roman" w:hAnsi="Times New Roman" w:cs="Times New Roman"/>
        </w:rPr>
        <w:t>N.</w:t>
      </w:r>
      <w:r w:rsidRPr="00EF7CA8">
        <w:rPr>
          <w:rFonts w:ascii="Times New Roman" w:hAnsi="Times New Roman" w:cs="Times New Roman"/>
        </w:rPr>
        <w:t xml:space="preserve">T. </w:t>
      </w:r>
      <w:r w:rsidR="00D23081">
        <w:rPr>
          <w:rFonts w:ascii="Times New Roman" w:hAnsi="Times New Roman" w:cs="Times New Roman"/>
        </w:rPr>
        <w:t>9</w:t>
      </w:r>
    </w:p>
    <w:p w:rsidR="00E43B9C" w:rsidRPr="00EF7CA8" w:rsidRDefault="00E43B9C" w:rsidP="00E3608B">
      <w:pPr>
        <w:spacing w:line="360" w:lineRule="auto"/>
        <w:rPr>
          <w:rFonts w:ascii="Times New Roman" w:hAnsi="Times New Roman" w:cs="Times New Roman"/>
        </w:rPr>
      </w:pPr>
    </w:p>
    <w:p w:rsidR="0088426D" w:rsidRDefault="00E43B9C" w:rsidP="00E3608B">
      <w:pPr>
        <w:spacing w:line="360" w:lineRule="auto"/>
        <w:rPr>
          <w:rFonts w:ascii="Times New Roman" w:hAnsi="Times New Roman" w:cs="Times New Roman"/>
        </w:rPr>
      </w:pPr>
      <w:r w:rsidRPr="00EF7CA8">
        <w:rPr>
          <w:rFonts w:ascii="Times New Roman" w:hAnsi="Times New Roman" w:cs="Times New Roman"/>
        </w:rPr>
        <w:tab/>
      </w:r>
      <w:r w:rsidRPr="00EF7CA8">
        <w:rPr>
          <w:rFonts w:ascii="Times New Roman" w:hAnsi="Times New Roman" w:cs="Times New Roman"/>
        </w:rPr>
        <w:tab/>
      </w:r>
      <w:r w:rsidR="009763F4" w:rsidRPr="00EF7CA8">
        <w:rPr>
          <w:rFonts w:ascii="Times New Roman" w:hAnsi="Times New Roman" w:cs="Times New Roman"/>
        </w:rPr>
        <w:t>2.</w:t>
      </w:r>
      <w:r w:rsidR="009763F4" w:rsidRPr="00EF7CA8">
        <w:rPr>
          <w:rFonts w:ascii="Times New Roman" w:hAnsi="Times New Roman" w:cs="Times New Roman"/>
        </w:rPr>
        <w:tab/>
        <w:t xml:space="preserve">The Respondent in this case is </w:t>
      </w:r>
      <w:r w:rsidR="00D23081">
        <w:rPr>
          <w:rFonts w:ascii="Times New Roman" w:hAnsi="Times New Roman" w:cs="Times New Roman"/>
        </w:rPr>
        <w:t>PECO Energy Company</w:t>
      </w:r>
      <w:r w:rsidR="009763F4" w:rsidRPr="00EF7CA8">
        <w:rPr>
          <w:rFonts w:ascii="Times New Roman" w:hAnsi="Times New Roman" w:cs="Times New Roman"/>
        </w:rPr>
        <w:t>.</w:t>
      </w:r>
      <w:r w:rsidR="005E25E3" w:rsidRPr="00EF7CA8">
        <w:rPr>
          <w:rFonts w:ascii="Times New Roman" w:hAnsi="Times New Roman" w:cs="Times New Roman"/>
        </w:rPr>
        <w:t xml:space="preserve"> </w:t>
      </w:r>
      <w:r w:rsidR="0088426D" w:rsidRPr="00EF7CA8">
        <w:rPr>
          <w:rFonts w:ascii="Times New Roman" w:hAnsi="Times New Roman" w:cs="Times New Roman"/>
        </w:rPr>
        <w:t xml:space="preserve"> </w:t>
      </w:r>
      <w:r w:rsidR="005E25E3" w:rsidRPr="00EF7CA8">
        <w:rPr>
          <w:rFonts w:ascii="Times New Roman" w:hAnsi="Times New Roman" w:cs="Times New Roman"/>
        </w:rPr>
        <w:t xml:space="preserve">N.T. </w:t>
      </w:r>
      <w:r w:rsidR="00D23081">
        <w:rPr>
          <w:rFonts w:ascii="Times New Roman" w:hAnsi="Times New Roman" w:cs="Times New Roman"/>
        </w:rPr>
        <w:t>12</w:t>
      </w:r>
    </w:p>
    <w:p w:rsidR="00485744" w:rsidRDefault="00485744" w:rsidP="00E3608B">
      <w:pPr>
        <w:spacing w:line="360" w:lineRule="auto"/>
        <w:rPr>
          <w:rFonts w:ascii="Times New Roman" w:hAnsi="Times New Roman" w:cs="Times New Roman"/>
        </w:rPr>
      </w:pPr>
    </w:p>
    <w:p w:rsidR="00485744" w:rsidRPr="005F768D" w:rsidRDefault="00485744" w:rsidP="00485744">
      <w:pPr>
        <w:spacing w:line="360" w:lineRule="auto"/>
        <w:ind w:firstLine="144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5F768D">
        <w:rPr>
          <w:rFonts w:ascii="Times New Roman" w:hAnsi="Times New Roman" w:cs="Times New Roman"/>
        </w:rPr>
        <w:t>Complainant has an outstanding balance of $1</w:t>
      </w:r>
      <w:r w:rsidR="001C5BE0">
        <w:rPr>
          <w:rFonts w:ascii="Times New Roman" w:hAnsi="Times New Roman" w:cs="Times New Roman"/>
        </w:rPr>
        <w:t>,</w:t>
      </w:r>
      <w:r w:rsidRPr="005F768D">
        <w:rPr>
          <w:rFonts w:ascii="Times New Roman" w:hAnsi="Times New Roman" w:cs="Times New Roman"/>
        </w:rPr>
        <w:t xml:space="preserve">569.21 with Respondent, which is entirely comprised of CAP arrears.  N.T. 51-52  </w:t>
      </w:r>
    </w:p>
    <w:p w:rsidR="00485744" w:rsidRPr="005F768D" w:rsidRDefault="00485744" w:rsidP="00485744">
      <w:pPr>
        <w:spacing w:line="360" w:lineRule="auto"/>
        <w:ind w:firstLine="1440"/>
        <w:rPr>
          <w:rFonts w:ascii="Times New Roman" w:hAnsi="Times New Roman" w:cs="Times New Roman"/>
        </w:rPr>
      </w:pPr>
    </w:p>
    <w:p w:rsidR="00B4049B" w:rsidRPr="002F5E2A" w:rsidRDefault="00485744" w:rsidP="00E3608B">
      <w:pPr>
        <w:spacing w:line="360" w:lineRule="auto"/>
        <w:ind w:firstLine="1440"/>
        <w:rPr>
          <w:rFonts w:ascii="Times New Roman" w:hAnsi="Times New Roman" w:cs="Times New Roman"/>
        </w:rPr>
      </w:pPr>
      <w:r>
        <w:rPr>
          <w:rFonts w:ascii="Times New Roman" w:hAnsi="Times New Roman" w:cs="Times New Roman"/>
        </w:rPr>
        <w:t>4</w:t>
      </w:r>
      <w:r w:rsidR="00B4049B" w:rsidRPr="00EF7CA8">
        <w:rPr>
          <w:rFonts w:ascii="Times New Roman" w:hAnsi="Times New Roman" w:cs="Times New Roman"/>
        </w:rPr>
        <w:t>.</w:t>
      </w:r>
      <w:r w:rsidR="00B4049B" w:rsidRPr="00EF7CA8">
        <w:rPr>
          <w:rFonts w:ascii="Times New Roman" w:hAnsi="Times New Roman" w:cs="Times New Roman"/>
        </w:rPr>
        <w:tab/>
      </w:r>
      <w:r w:rsidR="00B4049B" w:rsidRPr="002F5E2A">
        <w:rPr>
          <w:rFonts w:ascii="Times New Roman" w:hAnsi="Times New Roman" w:cs="Times New Roman"/>
        </w:rPr>
        <w:t xml:space="preserve">Complainant’s home </w:t>
      </w:r>
      <w:r w:rsidR="002F5E2A" w:rsidRPr="002F5E2A">
        <w:rPr>
          <w:rFonts w:ascii="Times New Roman" w:hAnsi="Times New Roman" w:cs="Times New Roman"/>
        </w:rPr>
        <w:t xml:space="preserve">is a two story brick dwelling with a full basement, consisting of </w:t>
      </w:r>
      <w:r w:rsidR="00B4049B" w:rsidRPr="002F5E2A">
        <w:rPr>
          <w:rFonts w:ascii="Times New Roman" w:hAnsi="Times New Roman" w:cs="Times New Roman"/>
        </w:rPr>
        <w:t>three bedrooms, a living room, a kitchen</w:t>
      </w:r>
      <w:r w:rsidR="002F5E2A" w:rsidRPr="002F5E2A">
        <w:rPr>
          <w:rFonts w:ascii="Times New Roman" w:hAnsi="Times New Roman" w:cs="Times New Roman"/>
        </w:rPr>
        <w:t xml:space="preserve">, a dining room, </w:t>
      </w:r>
      <w:r w:rsidR="00B4049B" w:rsidRPr="002F5E2A">
        <w:rPr>
          <w:rFonts w:ascii="Times New Roman" w:hAnsi="Times New Roman" w:cs="Times New Roman"/>
        </w:rPr>
        <w:t xml:space="preserve"> and </w:t>
      </w:r>
      <w:r w:rsidR="002F5E2A" w:rsidRPr="002F5E2A">
        <w:rPr>
          <w:rFonts w:ascii="Times New Roman" w:hAnsi="Times New Roman" w:cs="Times New Roman"/>
        </w:rPr>
        <w:t xml:space="preserve">one </w:t>
      </w:r>
      <w:r w:rsidR="00B4049B" w:rsidRPr="002F5E2A">
        <w:rPr>
          <w:rFonts w:ascii="Times New Roman" w:hAnsi="Times New Roman" w:cs="Times New Roman"/>
        </w:rPr>
        <w:t>bath</w:t>
      </w:r>
      <w:r w:rsidR="002F5E2A" w:rsidRPr="002F5E2A">
        <w:rPr>
          <w:rFonts w:ascii="Times New Roman" w:hAnsi="Times New Roman" w:cs="Times New Roman"/>
        </w:rPr>
        <w:t>room.</w:t>
      </w:r>
      <w:r w:rsidR="00B4049B" w:rsidRPr="002F5E2A">
        <w:rPr>
          <w:rFonts w:ascii="Times New Roman" w:hAnsi="Times New Roman" w:cs="Times New Roman"/>
        </w:rPr>
        <w:t xml:space="preserve">  N.T.</w:t>
      </w:r>
      <w:r w:rsidR="00A96035">
        <w:rPr>
          <w:rFonts w:ascii="Times New Roman" w:hAnsi="Times New Roman" w:cs="Times New Roman"/>
        </w:rPr>
        <w:t> </w:t>
      </w:r>
      <w:r w:rsidR="002F5E2A" w:rsidRPr="002F5E2A">
        <w:rPr>
          <w:rFonts w:ascii="Times New Roman" w:hAnsi="Times New Roman" w:cs="Times New Roman"/>
        </w:rPr>
        <w:t>41-43</w:t>
      </w:r>
      <w:r w:rsidR="00B4049B" w:rsidRPr="002F5E2A">
        <w:rPr>
          <w:rFonts w:ascii="Times New Roman" w:hAnsi="Times New Roman" w:cs="Times New Roman"/>
        </w:rPr>
        <w:t xml:space="preserve">  </w:t>
      </w:r>
    </w:p>
    <w:p w:rsidR="00B4049B" w:rsidRPr="00E54DA3" w:rsidRDefault="00B4049B" w:rsidP="00E3608B">
      <w:pPr>
        <w:spacing w:line="360" w:lineRule="auto"/>
        <w:ind w:firstLine="1440"/>
        <w:rPr>
          <w:rFonts w:ascii="Times New Roman" w:hAnsi="Times New Roman" w:cs="Times New Roman"/>
          <w:b/>
        </w:rPr>
      </w:pPr>
    </w:p>
    <w:p w:rsidR="00B4049B" w:rsidRPr="002F5E2A" w:rsidRDefault="00485744" w:rsidP="00E3608B">
      <w:pPr>
        <w:spacing w:line="360" w:lineRule="auto"/>
        <w:ind w:firstLine="1440"/>
        <w:rPr>
          <w:rFonts w:ascii="Times New Roman" w:hAnsi="Times New Roman" w:cs="Times New Roman"/>
        </w:rPr>
      </w:pPr>
      <w:r>
        <w:rPr>
          <w:rFonts w:ascii="Times New Roman" w:hAnsi="Times New Roman" w:cs="Times New Roman"/>
        </w:rPr>
        <w:lastRenderedPageBreak/>
        <w:t>5</w:t>
      </w:r>
      <w:r w:rsidR="00B4049B" w:rsidRPr="002F5E2A">
        <w:rPr>
          <w:rFonts w:ascii="Times New Roman" w:hAnsi="Times New Roman" w:cs="Times New Roman"/>
        </w:rPr>
        <w:t>.</w:t>
      </w:r>
      <w:r w:rsidR="00B4049B" w:rsidRPr="002F5E2A">
        <w:rPr>
          <w:rFonts w:ascii="Times New Roman" w:hAnsi="Times New Roman" w:cs="Times New Roman"/>
        </w:rPr>
        <w:tab/>
        <w:t>Complainant lives</w:t>
      </w:r>
      <w:r w:rsidR="00F84FE9">
        <w:rPr>
          <w:rFonts w:ascii="Times New Roman" w:hAnsi="Times New Roman" w:cs="Times New Roman"/>
        </w:rPr>
        <w:t xml:space="preserve"> at the service address</w:t>
      </w:r>
      <w:r w:rsidR="00B4049B" w:rsidRPr="002F5E2A">
        <w:rPr>
          <w:rFonts w:ascii="Times New Roman" w:hAnsi="Times New Roman" w:cs="Times New Roman"/>
        </w:rPr>
        <w:t xml:space="preserve"> with her </w:t>
      </w:r>
      <w:r w:rsidR="002F5E2A" w:rsidRPr="002F5E2A">
        <w:rPr>
          <w:rFonts w:ascii="Times New Roman" w:hAnsi="Times New Roman" w:cs="Times New Roman"/>
        </w:rPr>
        <w:t xml:space="preserve">daughter, and her brother frequents the home almost every day for approximately </w:t>
      </w:r>
      <w:r w:rsidR="00F41A1C">
        <w:rPr>
          <w:rFonts w:ascii="Times New Roman" w:hAnsi="Times New Roman" w:cs="Times New Roman"/>
        </w:rPr>
        <w:t xml:space="preserve">12 to </w:t>
      </w:r>
      <w:r w:rsidR="002F5E2A" w:rsidRPr="002F5E2A">
        <w:rPr>
          <w:rFonts w:ascii="Times New Roman" w:hAnsi="Times New Roman" w:cs="Times New Roman"/>
        </w:rPr>
        <w:t>13 hours a day.</w:t>
      </w:r>
      <w:r w:rsidR="00B4049B" w:rsidRPr="002F5E2A">
        <w:rPr>
          <w:rFonts w:ascii="Times New Roman" w:hAnsi="Times New Roman" w:cs="Times New Roman"/>
        </w:rPr>
        <w:t xml:space="preserve">  N.T. </w:t>
      </w:r>
      <w:r w:rsidR="00F41A1C">
        <w:rPr>
          <w:rFonts w:ascii="Times New Roman" w:hAnsi="Times New Roman" w:cs="Times New Roman"/>
        </w:rPr>
        <w:t xml:space="preserve">17, </w:t>
      </w:r>
      <w:r w:rsidR="00B4049B" w:rsidRPr="002F5E2A">
        <w:rPr>
          <w:rFonts w:ascii="Times New Roman" w:hAnsi="Times New Roman" w:cs="Times New Roman"/>
        </w:rPr>
        <w:t>4</w:t>
      </w:r>
      <w:r w:rsidR="002F5E2A" w:rsidRPr="002F5E2A">
        <w:rPr>
          <w:rFonts w:ascii="Times New Roman" w:hAnsi="Times New Roman" w:cs="Times New Roman"/>
        </w:rPr>
        <w:t>4, 47</w:t>
      </w:r>
      <w:r w:rsidR="00B4049B" w:rsidRPr="002F5E2A">
        <w:rPr>
          <w:rFonts w:ascii="Times New Roman" w:hAnsi="Times New Roman" w:cs="Times New Roman"/>
        </w:rPr>
        <w:t xml:space="preserve">  </w:t>
      </w:r>
    </w:p>
    <w:p w:rsidR="00B4049B" w:rsidRPr="002F5E2A" w:rsidRDefault="00B4049B" w:rsidP="00E3608B">
      <w:pPr>
        <w:spacing w:line="360" w:lineRule="auto"/>
        <w:ind w:firstLine="1440"/>
        <w:rPr>
          <w:rFonts w:ascii="Times New Roman" w:hAnsi="Times New Roman" w:cs="Times New Roman"/>
        </w:rPr>
      </w:pPr>
    </w:p>
    <w:p w:rsidR="00B4049B" w:rsidRPr="002F5E2A" w:rsidRDefault="00485744" w:rsidP="00E3608B">
      <w:pPr>
        <w:spacing w:line="360" w:lineRule="auto"/>
        <w:ind w:firstLine="1440"/>
        <w:rPr>
          <w:rFonts w:ascii="Times New Roman" w:hAnsi="Times New Roman" w:cs="Times New Roman"/>
        </w:rPr>
      </w:pPr>
      <w:r w:rsidRPr="00485744">
        <w:rPr>
          <w:rFonts w:ascii="Times New Roman" w:hAnsi="Times New Roman" w:cs="Times New Roman"/>
        </w:rPr>
        <w:t>6</w:t>
      </w:r>
      <w:r w:rsidR="00B4049B" w:rsidRPr="00485744">
        <w:rPr>
          <w:rFonts w:ascii="Times New Roman" w:hAnsi="Times New Roman" w:cs="Times New Roman"/>
        </w:rPr>
        <w:t>.</w:t>
      </w:r>
      <w:r w:rsidR="00B4049B" w:rsidRPr="00E54DA3">
        <w:rPr>
          <w:rFonts w:ascii="Times New Roman" w:hAnsi="Times New Roman" w:cs="Times New Roman"/>
          <w:b/>
        </w:rPr>
        <w:tab/>
      </w:r>
      <w:r w:rsidR="00B4049B" w:rsidRPr="002F5E2A">
        <w:rPr>
          <w:rFonts w:ascii="Times New Roman" w:hAnsi="Times New Roman" w:cs="Times New Roman"/>
        </w:rPr>
        <w:t xml:space="preserve">The house </w:t>
      </w:r>
      <w:r w:rsidR="002F5E2A" w:rsidRPr="002F5E2A">
        <w:rPr>
          <w:rFonts w:ascii="Times New Roman" w:hAnsi="Times New Roman" w:cs="Times New Roman"/>
        </w:rPr>
        <w:t xml:space="preserve">is heated with oil, and electricity is used for lighting, </w:t>
      </w:r>
      <w:r>
        <w:rPr>
          <w:rFonts w:ascii="Times New Roman" w:hAnsi="Times New Roman" w:cs="Times New Roman"/>
        </w:rPr>
        <w:t>as well as for a te</w:t>
      </w:r>
      <w:r w:rsidR="002F5E2A" w:rsidRPr="002F5E2A">
        <w:rPr>
          <w:rFonts w:ascii="Times New Roman" w:hAnsi="Times New Roman" w:cs="Times New Roman"/>
        </w:rPr>
        <w:t xml:space="preserve">levision, electric stove, microwave oven, vacuum cleaner, and </w:t>
      </w:r>
      <w:r w:rsidR="00065ACC">
        <w:rPr>
          <w:rFonts w:ascii="Times New Roman" w:hAnsi="Times New Roman" w:cs="Times New Roman"/>
        </w:rPr>
        <w:t xml:space="preserve">a </w:t>
      </w:r>
      <w:r w:rsidR="002F5E2A" w:rsidRPr="002F5E2A">
        <w:rPr>
          <w:rFonts w:ascii="Times New Roman" w:hAnsi="Times New Roman" w:cs="Times New Roman"/>
        </w:rPr>
        <w:t>hot water heater</w:t>
      </w:r>
      <w:r w:rsidR="00B4049B" w:rsidRPr="002F5E2A">
        <w:rPr>
          <w:rFonts w:ascii="Times New Roman" w:hAnsi="Times New Roman" w:cs="Times New Roman"/>
        </w:rPr>
        <w:t>.  N.T.</w:t>
      </w:r>
      <w:r w:rsidR="00CC4B9A">
        <w:rPr>
          <w:rFonts w:ascii="Times New Roman" w:hAnsi="Times New Roman" w:cs="Times New Roman"/>
        </w:rPr>
        <w:t> </w:t>
      </w:r>
      <w:r w:rsidR="00B4049B" w:rsidRPr="002F5E2A">
        <w:rPr>
          <w:rFonts w:ascii="Times New Roman" w:hAnsi="Times New Roman" w:cs="Times New Roman"/>
        </w:rPr>
        <w:t>4</w:t>
      </w:r>
      <w:r w:rsidR="002F5E2A" w:rsidRPr="002F5E2A">
        <w:rPr>
          <w:rFonts w:ascii="Times New Roman" w:hAnsi="Times New Roman" w:cs="Times New Roman"/>
        </w:rPr>
        <w:t>1</w:t>
      </w:r>
      <w:r w:rsidR="00CC4B9A">
        <w:rPr>
          <w:rFonts w:ascii="Times New Roman" w:hAnsi="Times New Roman" w:cs="Times New Roman"/>
        </w:rPr>
        <w:noBreakHyphen/>
      </w:r>
      <w:r w:rsidR="002F5E2A" w:rsidRPr="002F5E2A">
        <w:rPr>
          <w:rFonts w:ascii="Times New Roman" w:hAnsi="Times New Roman" w:cs="Times New Roman"/>
        </w:rPr>
        <w:t>43</w:t>
      </w:r>
      <w:r w:rsidR="00B4049B" w:rsidRPr="002F5E2A">
        <w:rPr>
          <w:rFonts w:ascii="Times New Roman" w:hAnsi="Times New Roman" w:cs="Times New Roman"/>
        </w:rPr>
        <w:t xml:space="preserve">  </w:t>
      </w:r>
    </w:p>
    <w:p w:rsidR="00B4049B" w:rsidRPr="00E54DA3" w:rsidRDefault="00B4049B" w:rsidP="00E3608B">
      <w:pPr>
        <w:spacing w:line="360" w:lineRule="auto"/>
        <w:ind w:firstLine="1440"/>
        <w:rPr>
          <w:rFonts w:ascii="Times New Roman" w:hAnsi="Times New Roman" w:cs="Times New Roman"/>
          <w:b/>
        </w:rPr>
      </w:pPr>
    </w:p>
    <w:p w:rsidR="00B4049B" w:rsidRPr="00F41A1C" w:rsidRDefault="00485744" w:rsidP="00E3608B">
      <w:pPr>
        <w:spacing w:line="360" w:lineRule="auto"/>
        <w:ind w:firstLine="1440"/>
        <w:rPr>
          <w:rFonts w:ascii="Times New Roman" w:hAnsi="Times New Roman" w:cs="Times New Roman"/>
        </w:rPr>
      </w:pPr>
      <w:r>
        <w:rPr>
          <w:rFonts w:ascii="Times New Roman" w:hAnsi="Times New Roman" w:cs="Times New Roman"/>
        </w:rPr>
        <w:t>7</w:t>
      </w:r>
      <w:r w:rsidR="00B4049B" w:rsidRPr="00F41A1C">
        <w:rPr>
          <w:rFonts w:ascii="Times New Roman" w:hAnsi="Times New Roman" w:cs="Times New Roman"/>
        </w:rPr>
        <w:t>.</w:t>
      </w:r>
      <w:r w:rsidR="00B4049B" w:rsidRPr="00F41A1C">
        <w:rPr>
          <w:rFonts w:ascii="Times New Roman" w:hAnsi="Times New Roman" w:cs="Times New Roman"/>
        </w:rPr>
        <w:tab/>
        <w:t>Complainant</w:t>
      </w:r>
      <w:r w:rsidR="00F41A1C" w:rsidRPr="00F41A1C">
        <w:rPr>
          <w:rFonts w:ascii="Times New Roman" w:hAnsi="Times New Roman" w:cs="Times New Roman"/>
        </w:rPr>
        <w:t>’s brother called Respondent in approximately December of 2012 and complained about the hi</w:t>
      </w:r>
      <w:r>
        <w:rPr>
          <w:rFonts w:ascii="Times New Roman" w:hAnsi="Times New Roman" w:cs="Times New Roman"/>
        </w:rPr>
        <w:t>gh</w:t>
      </w:r>
      <w:r w:rsidR="00F41A1C" w:rsidRPr="00F41A1C">
        <w:rPr>
          <w:rFonts w:ascii="Times New Roman" w:hAnsi="Times New Roman" w:cs="Times New Roman"/>
        </w:rPr>
        <w:t xml:space="preserve"> bills Complainant was receiving from Respondent.  N.T. 22</w:t>
      </w:r>
      <w:r w:rsidR="00B4049B" w:rsidRPr="00F41A1C">
        <w:rPr>
          <w:rFonts w:ascii="Times New Roman" w:hAnsi="Times New Roman" w:cs="Times New Roman"/>
        </w:rPr>
        <w:t xml:space="preserve">  </w:t>
      </w:r>
    </w:p>
    <w:p w:rsidR="00B4049B" w:rsidRPr="00E54DA3" w:rsidRDefault="00B4049B" w:rsidP="00E3608B">
      <w:pPr>
        <w:spacing w:line="360" w:lineRule="auto"/>
        <w:ind w:firstLine="1440"/>
        <w:rPr>
          <w:rFonts w:ascii="Times New Roman" w:hAnsi="Times New Roman" w:cs="Times New Roman"/>
          <w:b/>
        </w:rPr>
      </w:pPr>
    </w:p>
    <w:p w:rsidR="00B4049B" w:rsidRPr="005F768D" w:rsidRDefault="00485744" w:rsidP="00E3608B">
      <w:pPr>
        <w:spacing w:line="360" w:lineRule="auto"/>
        <w:ind w:firstLine="1440"/>
        <w:rPr>
          <w:rFonts w:ascii="Times New Roman" w:hAnsi="Times New Roman" w:cs="Times New Roman"/>
        </w:rPr>
      </w:pPr>
      <w:r>
        <w:rPr>
          <w:rFonts w:ascii="Times New Roman" w:hAnsi="Times New Roman" w:cs="Times New Roman"/>
        </w:rPr>
        <w:t>8</w:t>
      </w:r>
      <w:r w:rsidR="00B4049B" w:rsidRPr="005F768D">
        <w:rPr>
          <w:rFonts w:ascii="Times New Roman" w:hAnsi="Times New Roman" w:cs="Times New Roman"/>
        </w:rPr>
        <w:t>.</w:t>
      </w:r>
      <w:r w:rsidR="00B4049B" w:rsidRPr="005F768D">
        <w:rPr>
          <w:rFonts w:ascii="Times New Roman" w:hAnsi="Times New Roman" w:cs="Times New Roman"/>
        </w:rPr>
        <w:tab/>
        <w:t>The</w:t>
      </w:r>
      <w:r w:rsidR="005F768D" w:rsidRPr="005F768D">
        <w:rPr>
          <w:rFonts w:ascii="Times New Roman" w:hAnsi="Times New Roman" w:cs="Times New Roman"/>
        </w:rPr>
        <w:t xml:space="preserve">re are two electric meters used </w:t>
      </w:r>
      <w:r w:rsidR="00AE5A32">
        <w:rPr>
          <w:rFonts w:ascii="Times New Roman" w:hAnsi="Times New Roman" w:cs="Times New Roman"/>
        </w:rPr>
        <w:t>at</w:t>
      </w:r>
      <w:r w:rsidR="005F768D" w:rsidRPr="005F768D">
        <w:rPr>
          <w:rFonts w:ascii="Times New Roman" w:hAnsi="Times New Roman" w:cs="Times New Roman"/>
        </w:rPr>
        <w:t xml:space="preserve"> the service address.  One meter measures peak usage and the other meter measures off peak usage.  </w:t>
      </w:r>
      <w:r w:rsidR="00B4049B" w:rsidRPr="005F768D">
        <w:rPr>
          <w:rFonts w:ascii="Times New Roman" w:hAnsi="Times New Roman" w:cs="Times New Roman"/>
        </w:rPr>
        <w:t xml:space="preserve">N.T. </w:t>
      </w:r>
      <w:r w:rsidR="005F768D" w:rsidRPr="005F768D">
        <w:rPr>
          <w:rFonts w:ascii="Times New Roman" w:hAnsi="Times New Roman" w:cs="Times New Roman"/>
        </w:rPr>
        <w:t>50-51</w:t>
      </w:r>
      <w:r w:rsidR="00B4049B" w:rsidRPr="005F768D">
        <w:rPr>
          <w:rFonts w:ascii="Times New Roman" w:hAnsi="Times New Roman" w:cs="Times New Roman"/>
        </w:rPr>
        <w:t xml:space="preserve"> </w:t>
      </w:r>
    </w:p>
    <w:p w:rsidR="00B4049B" w:rsidRPr="005F768D" w:rsidRDefault="00B4049B" w:rsidP="00E3608B">
      <w:pPr>
        <w:spacing w:line="360" w:lineRule="auto"/>
        <w:ind w:firstLine="1440"/>
        <w:rPr>
          <w:rFonts w:ascii="Times New Roman" w:hAnsi="Times New Roman" w:cs="Times New Roman"/>
        </w:rPr>
      </w:pPr>
    </w:p>
    <w:p w:rsidR="00B4049B" w:rsidRPr="005F768D" w:rsidRDefault="00485744" w:rsidP="00E3608B">
      <w:pPr>
        <w:spacing w:line="360" w:lineRule="auto"/>
        <w:ind w:firstLine="1440"/>
        <w:rPr>
          <w:rFonts w:ascii="Times New Roman" w:hAnsi="Times New Roman" w:cs="Times New Roman"/>
        </w:rPr>
      </w:pPr>
      <w:r>
        <w:rPr>
          <w:rFonts w:ascii="Times New Roman" w:hAnsi="Times New Roman" w:cs="Times New Roman"/>
        </w:rPr>
        <w:t>9</w:t>
      </w:r>
      <w:r w:rsidR="00B4049B" w:rsidRPr="005F768D">
        <w:rPr>
          <w:rFonts w:ascii="Times New Roman" w:hAnsi="Times New Roman" w:cs="Times New Roman"/>
        </w:rPr>
        <w:t>.</w:t>
      </w:r>
      <w:r w:rsidR="00B4049B" w:rsidRPr="005F768D">
        <w:rPr>
          <w:rFonts w:ascii="Times New Roman" w:hAnsi="Times New Roman" w:cs="Times New Roman"/>
        </w:rPr>
        <w:tab/>
      </w:r>
      <w:r w:rsidR="005F768D" w:rsidRPr="005F768D">
        <w:rPr>
          <w:rFonts w:ascii="Times New Roman" w:hAnsi="Times New Roman" w:cs="Times New Roman"/>
        </w:rPr>
        <w:t xml:space="preserve">In approximately December of 2012, the meter which measures peak usage was changed to an AMI meter.  </w:t>
      </w:r>
      <w:r w:rsidR="00B4049B" w:rsidRPr="005F768D">
        <w:rPr>
          <w:rFonts w:ascii="Times New Roman" w:hAnsi="Times New Roman" w:cs="Times New Roman"/>
        </w:rPr>
        <w:t>N.T.</w:t>
      </w:r>
      <w:r w:rsidR="00E3608B" w:rsidRPr="005F768D">
        <w:rPr>
          <w:rFonts w:ascii="Times New Roman" w:hAnsi="Times New Roman" w:cs="Times New Roman"/>
        </w:rPr>
        <w:t> </w:t>
      </w:r>
      <w:r w:rsidR="005F768D" w:rsidRPr="005F768D">
        <w:rPr>
          <w:rFonts w:ascii="Times New Roman" w:hAnsi="Times New Roman" w:cs="Times New Roman"/>
        </w:rPr>
        <w:t>51-52</w:t>
      </w:r>
      <w:r w:rsidR="00B4049B" w:rsidRPr="005F768D">
        <w:rPr>
          <w:rFonts w:ascii="Times New Roman" w:hAnsi="Times New Roman" w:cs="Times New Roman"/>
        </w:rPr>
        <w:t xml:space="preserve">  </w:t>
      </w:r>
    </w:p>
    <w:p w:rsidR="00B4049B" w:rsidRPr="005F768D" w:rsidRDefault="00B4049B" w:rsidP="00E3608B">
      <w:pPr>
        <w:spacing w:line="360" w:lineRule="auto"/>
        <w:ind w:firstLine="1440"/>
        <w:rPr>
          <w:rFonts w:ascii="Times New Roman" w:hAnsi="Times New Roman" w:cs="Times New Roman"/>
        </w:rPr>
      </w:pPr>
    </w:p>
    <w:p w:rsidR="00B4049B" w:rsidRPr="00996194" w:rsidRDefault="00B4049B" w:rsidP="00E3608B">
      <w:pPr>
        <w:spacing w:line="360" w:lineRule="auto"/>
        <w:ind w:firstLine="1440"/>
        <w:rPr>
          <w:rFonts w:ascii="Times New Roman" w:hAnsi="Times New Roman" w:cs="Times New Roman"/>
        </w:rPr>
      </w:pPr>
      <w:r w:rsidRPr="00996194">
        <w:rPr>
          <w:rFonts w:ascii="Times New Roman" w:hAnsi="Times New Roman" w:cs="Times New Roman"/>
        </w:rPr>
        <w:t>10.</w:t>
      </w:r>
      <w:r w:rsidRPr="00996194">
        <w:rPr>
          <w:rFonts w:ascii="Times New Roman" w:hAnsi="Times New Roman" w:cs="Times New Roman"/>
        </w:rPr>
        <w:tab/>
      </w:r>
      <w:r w:rsidR="00996194" w:rsidRPr="00996194">
        <w:rPr>
          <w:rFonts w:ascii="Times New Roman" w:hAnsi="Times New Roman" w:cs="Times New Roman"/>
        </w:rPr>
        <w:t>Respondent investigated Ms. Brower’s complaint of high bills and determined that Complainant</w:t>
      </w:r>
      <w:r w:rsidR="0061273F">
        <w:rPr>
          <w:rFonts w:ascii="Times New Roman" w:hAnsi="Times New Roman" w:cs="Times New Roman"/>
        </w:rPr>
        <w:t>’</w:t>
      </w:r>
      <w:r w:rsidR="00461759">
        <w:rPr>
          <w:rFonts w:ascii="Times New Roman" w:hAnsi="Times New Roman" w:cs="Times New Roman"/>
        </w:rPr>
        <w:t xml:space="preserve">s </w:t>
      </w:r>
      <w:r w:rsidR="00996194" w:rsidRPr="00996194">
        <w:rPr>
          <w:rFonts w:ascii="Times New Roman" w:hAnsi="Times New Roman" w:cs="Times New Roman"/>
        </w:rPr>
        <w:t>usage increased during the winter period and decreased during the summer time.  N.T. 54-55, 57</w:t>
      </w:r>
      <w:r w:rsidRPr="00996194">
        <w:rPr>
          <w:rFonts w:ascii="Times New Roman" w:hAnsi="Times New Roman" w:cs="Times New Roman"/>
        </w:rPr>
        <w:t xml:space="preserve">  </w:t>
      </w:r>
    </w:p>
    <w:p w:rsidR="00B4049B" w:rsidRPr="00996194" w:rsidRDefault="00B4049B" w:rsidP="00E3608B">
      <w:pPr>
        <w:spacing w:line="360" w:lineRule="auto"/>
        <w:ind w:firstLine="1440"/>
        <w:rPr>
          <w:rFonts w:ascii="Times New Roman" w:hAnsi="Times New Roman" w:cs="Times New Roman"/>
        </w:rPr>
      </w:pPr>
    </w:p>
    <w:p w:rsidR="00B4049B" w:rsidRPr="001F6C01" w:rsidRDefault="00B4049B" w:rsidP="00E3608B">
      <w:pPr>
        <w:spacing w:line="360" w:lineRule="auto"/>
        <w:ind w:firstLine="1440"/>
        <w:rPr>
          <w:rFonts w:ascii="Times New Roman" w:hAnsi="Times New Roman" w:cs="Times New Roman"/>
        </w:rPr>
      </w:pPr>
      <w:r w:rsidRPr="001F6C01">
        <w:rPr>
          <w:rFonts w:ascii="Times New Roman" w:hAnsi="Times New Roman" w:cs="Times New Roman"/>
        </w:rPr>
        <w:t>11.</w:t>
      </w:r>
      <w:r w:rsidRPr="001F6C01">
        <w:rPr>
          <w:rFonts w:ascii="Times New Roman" w:hAnsi="Times New Roman" w:cs="Times New Roman"/>
        </w:rPr>
        <w:tab/>
      </w:r>
      <w:r w:rsidR="00996194" w:rsidRPr="001F6C01">
        <w:rPr>
          <w:rFonts w:ascii="Times New Roman" w:hAnsi="Times New Roman" w:cs="Times New Roman"/>
        </w:rPr>
        <w:t xml:space="preserve">After Ms. Brower began complaining that her bills were excessive, Respondent completed two high-bill visits and found no problem with the </w:t>
      </w:r>
      <w:r w:rsidR="001F6C01" w:rsidRPr="001F6C01">
        <w:rPr>
          <w:rFonts w:ascii="Times New Roman" w:hAnsi="Times New Roman" w:cs="Times New Roman"/>
        </w:rPr>
        <w:t xml:space="preserve">service or billing rendered to </w:t>
      </w:r>
      <w:r w:rsidR="00485744">
        <w:rPr>
          <w:rFonts w:ascii="Times New Roman" w:hAnsi="Times New Roman" w:cs="Times New Roman"/>
        </w:rPr>
        <w:t>C</w:t>
      </w:r>
      <w:r w:rsidR="001F6C01" w:rsidRPr="001F6C01">
        <w:rPr>
          <w:rFonts w:ascii="Times New Roman" w:hAnsi="Times New Roman" w:cs="Times New Roman"/>
        </w:rPr>
        <w:t>omplainant.  N.T. 57, 59</w:t>
      </w:r>
      <w:r w:rsidRPr="001F6C01">
        <w:rPr>
          <w:rFonts w:ascii="Times New Roman" w:hAnsi="Times New Roman" w:cs="Times New Roman"/>
        </w:rPr>
        <w:t xml:space="preserve">  </w:t>
      </w:r>
    </w:p>
    <w:p w:rsidR="00B4049B" w:rsidRPr="00E54DA3" w:rsidRDefault="00B4049B" w:rsidP="00E3608B">
      <w:pPr>
        <w:spacing w:line="360" w:lineRule="auto"/>
        <w:ind w:firstLine="1440"/>
        <w:rPr>
          <w:rFonts w:ascii="Times New Roman" w:hAnsi="Times New Roman" w:cs="Times New Roman"/>
          <w:b/>
        </w:rPr>
      </w:pPr>
    </w:p>
    <w:p w:rsidR="00B4049B" w:rsidRPr="001F6C01" w:rsidRDefault="00B4049B" w:rsidP="00E3608B">
      <w:pPr>
        <w:spacing w:line="360" w:lineRule="auto"/>
        <w:ind w:firstLine="1440"/>
        <w:rPr>
          <w:rFonts w:ascii="Times New Roman" w:hAnsi="Times New Roman" w:cs="Times New Roman"/>
        </w:rPr>
      </w:pPr>
      <w:r w:rsidRPr="001F6C01">
        <w:rPr>
          <w:rFonts w:ascii="Times New Roman" w:hAnsi="Times New Roman" w:cs="Times New Roman"/>
        </w:rPr>
        <w:t>12.</w:t>
      </w:r>
      <w:r w:rsidRPr="001F6C01">
        <w:rPr>
          <w:rFonts w:ascii="Times New Roman" w:hAnsi="Times New Roman" w:cs="Times New Roman"/>
        </w:rPr>
        <w:tab/>
      </w:r>
      <w:r w:rsidR="001F6C01" w:rsidRPr="001F6C01">
        <w:rPr>
          <w:rFonts w:ascii="Times New Roman" w:hAnsi="Times New Roman" w:cs="Times New Roman"/>
        </w:rPr>
        <w:t xml:space="preserve">On or about January 21, 2013, Respondent caused an independent firm to perform a meter test on meter number 105152230, </w:t>
      </w:r>
      <w:r w:rsidR="00485744">
        <w:rPr>
          <w:rFonts w:ascii="Times New Roman" w:hAnsi="Times New Roman" w:cs="Times New Roman"/>
        </w:rPr>
        <w:t xml:space="preserve">which measured peak usage and </w:t>
      </w:r>
      <w:r w:rsidR="001F6C01" w:rsidRPr="001F6C01">
        <w:rPr>
          <w:rFonts w:ascii="Times New Roman" w:hAnsi="Times New Roman" w:cs="Times New Roman"/>
        </w:rPr>
        <w:t xml:space="preserve">which was removed on December 3, 2012, prior to the meter being replaced by a new AMI meter.  </w:t>
      </w:r>
      <w:r w:rsidRPr="001F6C01">
        <w:rPr>
          <w:rFonts w:ascii="Times New Roman" w:hAnsi="Times New Roman" w:cs="Times New Roman"/>
        </w:rPr>
        <w:t>The</w:t>
      </w:r>
      <w:r w:rsidR="001F6C01" w:rsidRPr="001F6C01">
        <w:rPr>
          <w:rFonts w:ascii="Times New Roman" w:hAnsi="Times New Roman" w:cs="Times New Roman"/>
        </w:rPr>
        <w:t xml:space="preserve"> heavy load test indicated the meter was 99.83 percent accurate and the light load test indicated the meter was 99.75 percent, with an average load accuracy of 99.47 percent.  N.T. 63-64</w:t>
      </w:r>
      <w:r w:rsidRPr="001F6C01">
        <w:rPr>
          <w:rFonts w:ascii="Times New Roman" w:hAnsi="Times New Roman" w:cs="Times New Roman"/>
        </w:rPr>
        <w:t xml:space="preserve">  </w:t>
      </w:r>
    </w:p>
    <w:p w:rsidR="00B4049B" w:rsidRPr="00E54DA3" w:rsidRDefault="00B4049B" w:rsidP="00E3608B">
      <w:pPr>
        <w:spacing w:line="360" w:lineRule="auto"/>
        <w:ind w:firstLine="1440"/>
        <w:rPr>
          <w:rFonts w:ascii="Times New Roman" w:hAnsi="Times New Roman" w:cs="Times New Roman"/>
          <w:b/>
        </w:rPr>
      </w:pPr>
    </w:p>
    <w:p w:rsidR="00B4049B" w:rsidRPr="00B9440A" w:rsidRDefault="00BE4CDA" w:rsidP="00E3608B">
      <w:pPr>
        <w:spacing w:line="360" w:lineRule="auto"/>
        <w:ind w:firstLine="1440"/>
        <w:rPr>
          <w:rFonts w:ascii="Times New Roman" w:hAnsi="Times New Roman" w:cs="Times New Roman"/>
        </w:rPr>
      </w:pPr>
      <w:r>
        <w:rPr>
          <w:rFonts w:ascii="Times New Roman" w:hAnsi="Times New Roman" w:cs="Times New Roman"/>
        </w:rPr>
        <w:lastRenderedPageBreak/>
        <w:t>13</w:t>
      </w:r>
      <w:r w:rsidR="00B4049B" w:rsidRPr="00B9440A">
        <w:rPr>
          <w:rFonts w:ascii="Times New Roman" w:hAnsi="Times New Roman" w:cs="Times New Roman"/>
        </w:rPr>
        <w:t>.</w:t>
      </w:r>
      <w:r w:rsidR="00B4049B" w:rsidRPr="00B9440A">
        <w:rPr>
          <w:rFonts w:ascii="Times New Roman" w:hAnsi="Times New Roman" w:cs="Times New Roman"/>
        </w:rPr>
        <w:tab/>
      </w:r>
      <w:r w:rsidR="003C507E" w:rsidRPr="00B9440A">
        <w:rPr>
          <w:rFonts w:ascii="Times New Roman" w:hAnsi="Times New Roman" w:cs="Times New Roman"/>
        </w:rPr>
        <w:t>On June 4, 2013</w:t>
      </w:r>
      <w:r w:rsidR="00F84FE9">
        <w:rPr>
          <w:rFonts w:ascii="Times New Roman" w:hAnsi="Times New Roman" w:cs="Times New Roman"/>
        </w:rPr>
        <w:t xml:space="preserve">, </w:t>
      </w:r>
      <w:r w:rsidR="003C507E" w:rsidRPr="00B9440A">
        <w:rPr>
          <w:rFonts w:ascii="Times New Roman" w:hAnsi="Times New Roman" w:cs="Times New Roman"/>
        </w:rPr>
        <w:t xml:space="preserve">Respondent conducted a high-bill investigation at the service location </w:t>
      </w:r>
      <w:r w:rsidR="00F84FE9">
        <w:rPr>
          <w:rFonts w:ascii="Times New Roman" w:hAnsi="Times New Roman" w:cs="Times New Roman"/>
        </w:rPr>
        <w:t xml:space="preserve">which </w:t>
      </w:r>
      <w:r w:rsidR="003C507E" w:rsidRPr="00B9440A">
        <w:rPr>
          <w:rFonts w:ascii="Times New Roman" w:hAnsi="Times New Roman" w:cs="Times New Roman"/>
        </w:rPr>
        <w:t xml:space="preserve">verified the meter readings </w:t>
      </w:r>
      <w:r w:rsidR="00B9440A" w:rsidRPr="00B9440A">
        <w:rPr>
          <w:rFonts w:ascii="Times New Roman" w:hAnsi="Times New Roman" w:cs="Times New Roman"/>
        </w:rPr>
        <w:t xml:space="preserve">provided by meter number 117903156, the new AMI meter </w:t>
      </w:r>
      <w:r w:rsidR="00F84FE9">
        <w:rPr>
          <w:rFonts w:ascii="Times New Roman" w:hAnsi="Times New Roman" w:cs="Times New Roman"/>
        </w:rPr>
        <w:t xml:space="preserve">that </w:t>
      </w:r>
      <w:r w:rsidR="00B9440A">
        <w:rPr>
          <w:rFonts w:ascii="Times New Roman" w:hAnsi="Times New Roman" w:cs="Times New Roman"/>
        </w:rPr>
        <w:t>measured peak usage</w:t>
      </w:r>
      <w:r w:rsidR="00B9440A" w:rsidRPr="00B9440A">
        <w:rPr>
          <w:rFonts w:ascii="Times New Roman" w:hAnsi="Times New Roman" w:cs="Times New Roman"/>
        </w:rPr>
        <w:t>.  N.T. 64-65</w:t>
      </w:r>
      <w:r w:rsidR="00B4049B" w:rsidRPr="00B9440A">
        <w:rPr>
          <w:rFonts w:ascii="Times New Roman" w:hAnsi="Times New Roman" w:cs="Times New Roman"/>
        </w:rPr>
        <w:t xml:space="preserve">  </w:t>
      </w:r>
    </w:p>
    <w:p w:rsidR="00B4049B" w:rsidRPr="00E54DA3" w:rsidRDefault="00B4049B" w:rsidP="00E3608B">
      <w:pPr>
        <w:spacing w:line="360" w:lineRule="auto"/>
        <w:ind w:firstLine="1440"/>
        <w:rPr>
          <w:rFonts w:ascii="Times New Roman" w:hAnsi="Times New Roman" w:cs="Times New Roman"/>
          <w:b/>
        </w:rPr>
      </w:pPr>
    </w:p>
    <w:p w:rsidR="00B4049B" w:rsidRPr="000D7C90" w:rsidRDefault="00B4049B" w:rsidP="00E3608B">
      <w:pPr>
        <w:spacing w:line="360" w:lineRule="auto"/>
        <w:ind w:firstLine="1440"/>
        <w:rPr>
          <w:rFonts w:ascii="Times New Roman" w:hAnsi="Times New Roman" w:cs="Times New Roman"/>
        </w:rPr>
      </w:pPr>
      <w:r w:rsidRPr="000D7C90">
        <w:rPr>
          <w:rFonts w:ascii="Times New Roman" w:hAnsi="Times New Roman" w:cs="Times New Roman"/>
        </w:rPr>
        <w:t>1</w:t>
      </w:r>
      <w:r w:rsidR="00BE4CDA">
        <w:rPr>
          <w:rFonts w:ascii="Times New Roman" w:hAnsi="Times New Roman" w:cs="Times New Roman"/>
        </w:rPr>
        <w:t>4</w:t>
      </w:r>
      <w:r w:rsidRPr="000D7C90">
        <w:rPr>
          <w:rFonts w:ascii="Times New Roman" w:hAnsi="Times New Roman" w:cs="Times New Roman"/>
        </w:rPr>
        <w:t>.</w:t>
      </w:r>
      <w:r w:rsidRPr="000D7C90">
        <w:rPr>
          <w:rFonts w:ascii="Times New Roman" w:hAnsi="Times New Roman" w:cs="Times New Roman"/>
        </w:rPr>
        <w:tab/>
      </w:r>
      <w:r w:rsidR="000D7C90" w:rsidRPr="000D7C90">
        <w:rPr>
          <w:rFonts w:ascii="Times New Roman" w:hAnsi="Times New Roman" w:cs="Times New Roman"/>
        </w:rPr>
        <w:t xml:space="preserve">On June 4, 2013, Complainant declined the request by Respondent to test the </w:t>
      </w:r>
      <w:r w:rsidR="00F84FE9">
        <w:rPr>
          <w:rFonts w:ascii="Times New Roman" w:hAnsi="Times New Roman" w:cs="Times New Roman"/>
        </w:rPr>
        <w:t xml:space="preserve">meter that measured </w:t>
      </w:r>
      <w:r w:rsidR="000D7C90" w:rsidRPr="000D7C90">
        <w:rPr>
          <w:rFonts w:ascii="Times New Roman" w:hAnsi="Times New Roman" w:cs="Times New Roman"/>
        </w:rPr>
        <w:t xml:space="preserve">off peak </w:t>
      </w:r>
      <w:r w:rsidR="00F84FE9">
        <w:rPr>
          <w:rFonts w:ascii="Times New Roman" w:hAnsi="Times New Roman" w:cs="Times New Roman"/>
        </w:rPr>
        <w:t>usage.</w:t>
      </w:r>
      <w:r w:rsidR="000D7C90" w:rsidRPr="000D7C90">
        <w:rPr>
          <w:rFonts w:ascii="Times New Roman" w:hAnsi="Times New Roman" w:cs="Times New Roman"/>
        </w:rPr>
        <w:t xml:space="preserve">  N.T. 66</w:t>
      </w:r>
    </w:p>
    <w:p w:rsidR="00B4049B" w:rsidRPr="00E54DA3" w:rsidRDefault="00B4049B" w:rsidP="00E3608B">
      <w:pPr>
        <w:spacing w:line="360" w:lineRule="auto"/>
        <w:ind w:firstLine="1440"/>
        <w:rPr>
          <w:rFonts w:ascii="Times New Roman" w:hAnsi="Times New Roman" w:cs="Times New Roman"/>
          <w:b/>
        </w:rPr>
      </w:pPr>
    </w:p>
    <w:p w:rsidR="00B4049B" w:rsidRPr="000D7C90" w:rsidRDefault="00B4049B" w:rsidP="00E3608B">
      <w:pPr>
        <w:spacing w:line="360" w:lineRule="auto"/>
        <w:ind w:firstLine="1440"/>
        <w:rPr>
          <w:rFonts w:ascii="Times New Roman" w:hAnsi="Times New Roman" w:cs="Times New Roman"/>
        </w:rPr>
      </w:pPr>
      <w:r w:rsidRPr="000D7C90">
        <w:rPr>
          <w:rFonts w:ascii="Times New Roman" w:hAnsi="Times New Roman" w:cs="Times New Roman"/>
        </w:rPr>
        <w:t>1</w:t>
      </w:r>
      <w:r w:rsidR="00BE4CDA">
        <w:rPr>
          <w:rFonts w:ascii="Times New Roman" w:hAnsi="Times New Roman" w:cs="Times New Roman"/>
        </w:rPr>
        <w:t>5</w:t>
      </w:r>
      <w:r w:rsidRPr="000D7C90">
        <w:rPr>
          <w:rFonts w:ascii="Times New Roman" w:hAnsi="Times New Roman" w:cs="Times New Roman"/>
        </w:rPr>
        <w:t>.</w:t>
      </w:r>
      <w:r w:rsidRPr="000D7C90">
        <w:rPr>
          <w:rFonts w:ascii="Times New Roman" w:hAnsi="Times New Roman" w:cs="Times New Roman"/>
        </w:rPr>
        <w:tab/>
      </w:r>
      <w:r w:rsidR="000D7C90" w:rsidRPr="000D7C90">
        <w:rPr>
          <w:rFonts w:ascii="Times New Roman" w:hAnsi="Times New Roman" w:cs="Times New Roman"/>
        </w:rPr>
        <w:t>Respondent performed a cost estimate or appliance analysis at the service address on June 4, 2013</w:t>
      </w:r>
      <w:r w:rsidR="00485744">
        <w:rPr>
          <w:rFonts w:ascii="Times New Roman" w:hAnsi="Times New Roman" w:cs="Times New Roman"/>
        </w:rPr>
        <w:t>,</w:t>
      </w:r>
      <w:r w:rsidR="000D7C90" w:rsidRPr="000D7C90">
        <w:rPr>
          <w:rFonts w:ascii="Times New Roman" w:hAnsi="Times New Roman" w:cs="Times New Roman"/>
        </w:rPr>
        <w:t xml:space="preserve"> which indicated the existence of </w:t>
      </w:r>
      <w:r w:rsidR="00485744">
        <w:rPr>
          <w:rFonts w:ascii="Times New Roman" w:hAnsi="Times New Roman" w:cs="Times New Roman"/>
        </w:rPr>
        <w:t xml:space="preserve">various appliances including </w:t>
      </w:r>
      <w:r w:rsidR="000D7C90" w:rsidRPr="000D7C90">
        <w:rPr>
          <w:rFonts w:ascii="Times New Roman" w:hAnsi="Times New Roman" w:cs="Times New Roman"/>
        </w:rPr>
        <w:t xml:space="preserve">a refrigerator, upright freezer, electric range, microwave oven, coffee maker, toaster, fan, vacuum cleaner, electric washer, electric dryer, </w:t>
      </w:r>
      <w:r w:rsidR="009A6721">
        <w:rPr>
          <w:rFonts w:ascii="Times New Roman" w:hAnsi="Times New Roman" w:cs="Times New Roman"/>
        </w:rPr>
        <w:t xml:space="preserve">two electric space heaters </w:t>
      </w:r>
      <w:r w:rsidR="000D7C90" w:rsidRPr="000D7C90">
        <w:rPr>
          <w:rFonts w:ascii="Times New Roman" w:hAnsi="Times New Roman" w:cs="Times New Roman"/>
        </w:rPr>
        <w:t>and a 1000-watt air conditioning unit.  N.T. 67</w:t>
      </w:r>
      <w:r w:rsidR="005321A3">
        <w:rPr>
          <w:rFonts w:ascii="Times New Roman" w:hAnsi="Times New Roman" w:cs="Times New Roman"/>
        </w:rPr>
        <w:t>, 69</w:t>
      </w:r>
      <w:r w:rsidRPr="000D7C90">
        <w:rPr>
          <w:rFonts w:ascii="Times New Roman" w:hAnsi="Times New Roman" w:cs="Times New Roman"/>
        </w:rPr>
        <w:t xml:space="preserve">  </w:t>
      </w:r>
    </w:p>
    <w:p w:rsidR="00B4049B" w:rsidRPr="000D7C90" w:rsidRDefault="00B4049B" w:rsidP="00E3608B">
      <w:pPr>
        <w:spacing w:line="360" w:lineRule="auto"/>
        <w:ind w:firstLine="1440"/>
        <w:rPr>
          <w:rFonts w:ascii="Times New Roman" w:hAnsi="Times New Roman" w:cs="Times New Roman"/>
        </w:rPr>
      </w:pPr>
    </w:p>
    <w:p w:rsidR="00B4049B" w:rsidRPr="00E54DA3" w:rsidRDefault="00B4049B" w:rsidP="00E3608B">
      <w:pPr>
        <w:spacing w:line="360" w:lineRule="auto"/>
        <w:ind w:firstLine="1440"/>
        <w:rPr>
          <w:rFonts w:ascii="Times New Roman" w:hAnsi="Times New Roman" w:cs="Times New Roman"/>
          <w:b/>
        </w:rPr>
      </w:pPr>
      <w:r w:rsidRPr="005321A3">
        <w:rPr>
          <w:rFonts w:ascii="Times New Roman" w:hAnsi="Times New Roman" w:cs="Times New Roman"/>
        </w:rPr>
        <w:t>1</w:t>
      </w:r>
      <w:r w:rsidR="00BE4CDA">
        <w:rPr>
          <w:rFonts w:ascii="Times New Roman" w:hAnsi="Times New Roman" w:cs="Times New Roman"/>
        </w:rPr>
        <w:t>6</w:t>
      </w:r>
      <w:r w:rsidRPr="005321A3">
        <w:rPr>
          <w:rFonts w:ascii="Times New Roman" w:hAnsi="Times New Roman" w:cs="Times New Roman"/>
        </w:rPr>
        <w:t>.</w:t>
      </w:r>
      <w:r w:rsidRPr="005321A3">
        <w:rPr>
          <w:rFonts w:ascii="Times New Roman" w:hAnsi="Times New Roman" w:cs="Times New Roman"/>
        </w:rPr>
        <w:tab/>
      </w:r>
      <w:r w:rsidR="005321A3" w:rsidRPr="005321A3">
        <w:rPr>
          <w:rFonts w:ascii="Times New Roman" w:hAnsi="Times New Roman" w:cs="Times New Roman"/>
        </w:rPr>
        <w:t>The</w:t>
      </w:r>
      <w:r w:rsidR="005321A3">
        <w:rPr>
          <w:rFonts w:ascii="Times New Roman" w:hAnsi="Times New Roman" w:cs="Times New Roman"/>
          <w:b/>
        </w:rPr>
        <w:t xml:space="preserve"> </w:t>
      </w:r>
      <w:r w:rsidR="005321A3" w:rsidRPr="000D7C90">
        <w:rPr>
          <w:rFonts w:ascii="Times New Roman" w:hAnsi="Times New Roman" w:cs="Times New Roman"/>
        </w:rPr>
        <w:t xml:space="preserve">cost estimate or appliance analysis </w:t>
      </w:r>
      <w:r w:rsidR="005321A3">
        <w:rPr>
          <w:rFonts w:ascii="Times New Roman" w:hAnsi="Times New Roman" w:cs="Times New Roman"/>
        </w:rPr>
        <w:t>indicated a potential usage in the summer months of 1,242 kilowatt hours and 3,707 in the winter months</w:t>
      </w:r>
      <w:r w:rsidR="00485744">
        <w:rPr>
          <w:rFonts w:ascii="Times New Roman" w:hAnsi="Times New Roman" w:cs="Times New Roman"/>
        </w:rPr>
        <w:t xml:space="preserve">.  </w:t>
      </w:r>
      <w:r w:rsidR="005321A3">
        <w:rPr>
          <w:rFonts w:ascii="Times New Roman" w:hAnsi="Times New Roman" w:cs="Times New Roman"/>
        </w:rPr>
        <w:t>Complainant was billed for</w:t>
      </w:r>
      <w:r w:rsidR="00F84FE9">
        <w:rPr>
          <w:rFonts w:ascii="Times New Roman" w:hAnsi="Times New Roman" w:cs="Times New Roman"/>
        </w:rPr>
        <w:t xml:space="preserve"> </w:t>
      </w:r>
      <w:r w:rsidR="005321A3">
        <w:rPr>
          <w:rFonts w:ascii="Times New Roman" w:hAnsi="Times New Roman" w:cs="Times New Roman"/>
        </w:rPr>
        <w:t>755 kilowatt hours for the billing period from December 18, 2013 through January 22, 2014, indicating that the kilowatt hours billed were lower than the cost analysis</w:t>
      </w:r>
      <w:r w:rsidRPr="00E54DA3">
        <w:rPr>
          <w:rFonts w:ascii="Times New Roman" w:hAnsi="Times New Roman" w:cs="Times New Roman"/>
          <w:b/>
        </w:rPr>
        <w:t xml:space="preserve">.  </w:t>
      </w:r>
      <w:r w:rsidRPr="005321A3">
        <w:rPr>
          <w:rFonts w:ascii="Times New Roman" w:hAnsi="Times New Roman" w:cs="Times New Roman"/>
        </w:rPr>
        <w:t xml:space="preserve">N.T. </w:t>
      </w:r>
      <w:r w:rsidR="005321A3" w:rsidRPr="005321A3">
        <w:rPr>
          <w:rFonts w:ascii="Times New Roman" w:hAnsi="Times New Roman" w:cs="Times New Roman"/>
        </w:rPr>
        <w:t>70-71</w:t>
      </w:r>
      <w:r w:rsidR="005321A3">
        <w:rPr>
          <w:rFonts w:ascii="Times New Roman" w:hAnsi="Times New Roman" w:cs="Times New Roman"/>
          <w:b/>
        </w:rPr>
        <w:t xml:space="preserve"> </w:t>
      </w:r>
      <w:r w:rsidRPr="00E54DA3">
        <w:rPr>
          <w:rFonts w:ascii="Times New Roman" w:hAnsi="Times New Roman" w:cs="Times New Roman"/>
          <w:b/>
        </w:rPr>
        <w:t xml:space="preserve">  </w:t>
      </w:r>
    </w:p>
    <w:p w:rsidR="00B4049B" w:rsidRPr="00E54DA3" w:rsidRDefault="00B4049B" w:rsidP="00E3608B">
      <w:pPr>
        <w:spacing w:line="360" w:lineRule="auto"/>
        <w:ind w:firstLine="1440"/>
        <w:rPr>
          <w:rFonts w:ascii="Times New Roman" w:hAnsi="Times New Roman" w:cs="Times New Roman"/>
          <w:b/>
        </w:rPr>
      </w:pPr>
    </w:p>
    <w:p w:rsidR="00B4049B" w:rsidRPr="004D6D78" w:rsidRDefault="00B4049B" w:rsidP="00E3608B">
      <w:pPr>
        <w:spacing w:line="360" w:lineRule="auto"/>
        <w:ind w:firstLine="1440"/>
        <w:rPr>
          <w:rFonts w:ascii="Times New Roman" w:hAnsi="Times New Roman" w:cs="Times New Roman"/>
        </w:rPr>
      </w:pPr>
      <w:r w:rsidRPr="004D6D78">
        <w:rPr>
          <w:rFonts w:ascii="Times New Roman" w:hAnsi="Times New Roman" w:cs="Times New Roman"/>
        </w:rPr>
        <w:t>1</w:t>
      </w:r>
      <w:r w:rsidR="00BE4CDA">
        <w:rPr>
          <w:rFonts w:ascii="Times New Roman" w:hAnsi="Times New Roman" w:cs="Times New Roman"/>
        </w:rPr>
        <w:t>7</w:t>
      </w:r>
      <w:r w:rsidRPr="004D6D78">
        <w:rPr>
          <w:rFonts w:ascii="Times New Roman" w:hAnsi="Times New Roman" w:cs="Times New Roman"/>
        </w:rPr>
        <w:t>.</w:t>
      </w:r>
      <w:r w:rsidRPr="004D6D78">
        <w:rPr>
          <w:rFonts w:ascii="Times New Roman" w:hAnsi="Times New Roman" w:cs="Times New Roman"/>
        </w:rPr>
        <w:tab/>
      </w:r>
      <w:r w:rsidR="005321A3" w:rsidRPr="004D6D78">
        <w:rPr>
          <w:rFonts w:ascii="Times New Roman" w:hAnsi="Times New Roman" w:cs="Times New Roman"/>
        </w:rPr>
        <w:t xml:space="preserve">Respondent visited the service address on July 17, 2013 and performed a physical instrument test on the </w:t>
      </w:r>
      <w:r w:rsidR="00775387" w:rsidRPr="004D6D78">
        <w:rPr>
          <w:rFonts w:ascii="Times New Roman" w:hAnsi="Times New Roman" w:cs="Times New Roman"/>
        </w:rPr>
        <w:t>meter</w:t>
      </w:r>
      <w:r w:rsidR="00485744">
        <w:rPr>
          <w:rFonts w:ascii="Times New Roman" w:hAnsi="Times New Roman" w:cs="Times New Roman"/>
        </w:rPr>
        <w:t xml:space="preserve"> measuring peak usage</w:t>
      </w:r>
      <w:r w:rsidR="00775387" w:rsidRPr="004D6D78">
        <w:rPr>
          <w:rFonts w:ascii="Times New Roman" w:hAnsi="Times New Roman" w:cs="Times New Roman"/>
        </w:rPr>
        <w:t>.  On a full load, the meter tested at 99.9 percent and the light load tested at 99.0 percent and 100 percent, for an average of 99.9</w:t>
      </w:r>
      <w:r w:rsidR="00F94ABE">
        <w:rPr>
          <w:rFonts w:ascii="Times New Roman" w:hAnsi="Times New Roman" w:cs="Times New Roman"/>
        </w:rPr>
        <w:t> </w:t>
      </w:r>
      <w:r w:rsidR="00775387" w:rsidRPr="004D6D78">
        <w:rPr>
          <w:rFonts w:ascii="Times New Roman" w:hAnsi="Times New Roman" w:cs="Times New Roman"/>
        </w:rPr>
        <w:t>percent</w:t>
      </w:r>
      <w:r w:rsidR="00BE4CDA">
        <w:rPr>
          <w:rFonts w:ascii="Times New Roman" w:hAnsi="Times New Roman" w:cs="Times New Roman"/>
        </w:rPr>
        <w:t>.</w:t>
      </w:r>
      <w:r w:rsidR="00775387" w:rsidRPr="004D6D78">
        <w:rPr>
          <w:rFonts w:ascii="Times New Roman" w:hAnsi="Times New Roman" w:cs="Times New Roman"/>
        </w:rPr>
        <w:t xml:space="preserve"> </w:t>
      </w:r>
      <w:r w:rsidRPr="004D6D78">
        <w:rPr>
          <w:rFonts w:ascii="Times New Roman" w:hAnsi="Times New Roman" w:cs="Times New Roman"/>
        </w:rPr>
        <w:t xml:space="preserve"> N.T. </w:t>
      </w:r>
      <w:r w:rsidR="00775387" w:rsidRPr="004D6D78">
        <w:rPr>
          <w:rFonts w:ascii="Times New Roman" w:hAnsi="Times New Roman" w:cs="Times New Roman"/>
        </w:rPr>
        <w:t>72-7</w:t>
      </w:r>
      <w:r w:rsidR="000C6A52" w:rsidRPr="004D6D78">
        <w:rPr>
          <w:rFonts w:ascii="Times New Roman" w:hAnsi="Times New Roman" w:cs="Times New Roman"/>
        </w:rPr>
        <w:t>5</w:t>
      </w:r>
      <w:r w:rsidR="004D6D78" w:rsidRPr="004D6D78">
        <w:rPr>
          <w:rFonts w:ascii="Times New Roman" w:hAnsi="Times New Roman" w:cs="Times New Roman"/>
        </w:rPr>
        <w:t>, PECO Exhibit 6</w:t>
      </w:r>
      <w:r w:rsidRPr="004D6D78">
        <w:rPr>
          <w:rFonts w:ascii="Times New Roman" w:hAnsi="Times New Roman" w:cs="Times New Roman"/>
        </w:rPr>
        <w:t xml:space="preserve">  </w:t>
      </w:r>
    </w:p>
    <w:p w:rsidR="00B4049B" w:rsidRPr="004D6D78" w:rsidRDefault="00B4049B" w:rsidP="00E3608B">
      <w:pPr>
        <w:spacing w:line="360" w:lineRule="auto"/>
        <w:ind w:firstLine="1440"/>
        <w:rPr>
          <w:rFonts w:ascii="Times New Roman" w:hAnsi="Times New Roman" w:cs="Times New Roman"/>
        </w:rPr>
      </w:pPr>
    </w:p>
    <w:p w:rsidR="00EC525D" w:rsidRDefault="00485744" w:rsidP="00EC525D">
      <w:pPr>
        <w:spacing w:line="360" w:lineRule="auto"/>
        <w:ind w:firstLine="1440"/>
        <w:rPr>
          <w:rFonts w:ascii="Times New Roman" w:hAnsi="Times New Roman" w:cs="Times New Roman"/>
        </w:rPr>
      </w:pPr>
      <w:r>
        <w:rPr>
          <w:rFonts w:ascii="Times New Roman" w:hAnsi="Times New Roman" w:cs="Times New Roman"/>
        </w:rPr>
        <w:t>1</w:t>
      </w:r>
      <w:r w:rsidR="00BE4CDA">
        <w:rPr>
          <w:rFonts w:ascii="Times New Roman" w:hAnsi="Times New Roman" w:cs="Times New Roman"/>
        </w:rPr>
        <w:t>8</w:t>
      </w:r>
      <w:r w:rsidR="00B4049B" w:rsidRPr="00EC525D">
        <w:rPr>
          <w:rFonts w:ascii="Times New Roman" w:hAnsi="Times New Roman" w:cs="Times New Roman"/>
        </w:rPr>
        <w:t>.</w:t>
      </w:r>
      <w:r w:rsidR="00B4049B" w:rsidRPr="00E54DA3">
        <w:rPr>
          <w:rFonts w:ascii="Times New Roman" w:hAnsi="Times New Roman" w:cs="Times New Roman"/>
          <w:b/>
        </w:rPr>
        <w:tab/>
      </w:r>
      <w:r w:rsidR="00EC525D" w:rsidRPr="004D6D78">
        <w:rPr>
          <w:rFonts w:ascii="Times New Roman" w:hAnsi="Times New Roman" w:cs="Times New Roman"/>
        </w:rPr>
        <w:t>Respondent</w:t>
      </w:r>
      <w:r w:rsidR="00461759">
        <w:rPr>
          <w:rFonts w:ascii="Times New Roman" w:hAnsi="Times New Roman" w:cs="Times New Roman"/>
        </w:rPr>
        <w:t xml:space="preserve"> conducted a field visit at </w:t>
      </w:r>
      <w:r w:rsidR="00EC525D" w:rsidRPr="004D6D78">
        <w:rPr>
          <w:rFonts w:ascii="Times New Roman" w:hAnsi="Times New Roman" w:cs="Times New Roman"/>
        </w:rPr>
        <w:t xml:space="preserve">the service address on </w:t>
      </w:r>
      <w:r w:rsidR="00EC525D">
        <w:rPr>
          <w:rFonts w:ascii="Times New Roman" w:hAnsi="Times New Roman" w:cs="Times New Roman"/>
        </w:rPr>
        <w:t>December 2, 2013</w:t>
      </w:r>
      <w:r w:rsidR="00461759">
        <w:rPr>
          <w:rFonts w:ascii="Times New Roman" w:hAnsi="Times New Roman" w:cs="Times New Roman"/>
        </w:rPr>
        <w:t>.</w:t>
      </w:r>
      <w:r w:rsidR="00EC525D">
        <w:rPr>
          <w:rFonts w:ascii="Times New Roman" w:hAnsi="Times New Roman" w:cs="Times New Roman"/>
        </w:rPr>
        <w:t xml:space="preserve">  A passing load test was performed on the off-peak </w:t>
      </w:r>
      <w:r>
        <w:rPr>
          <w:rFonts w:ascii="Times New Roman" w:hAnsi="Times New Roman" w:cs="Times New Roman"/>
        </w:rPr>
        <w:t xml:space="preserve">usage </w:t>
      </w:r>
      <w:r w:rsidR="00EC525D">
        <w:rPr>
          <w:rFonts w:ascii="Times New Roman" w:hAnsi="Times New Roman" w:cs="Times New Roman"/>
        </w:rPr>
        <w:t>meter while the hot water heater was running, showing a potential usage of 4,500 watts and actual usage of 4,320 watts, well within the acceptable range.  In addition, the peak meter was tested, testing the electric dryer potential usage of 6,240 watts and actual usage of 5,919, within acceptable limits.  A cost analysis or appliance analysis was also conducted, showing there were no issues with the meters.  N.T. 80-83</w:t>
      </w:r>
      <w:r w:rsidR="00EC525D" w:rsidRPr="004D6D78">
        <w:rPr>
          <w:rFonts w:ascii="Times New Roman" w:hAnsi="Times New Roman" w:cs="Times New Roman"/>
        </w:rPr>
        <w:t xml:space="preserve">, PECO Exhibit </w:t>
      </w:r>
      <w:r w:rsidR="00EC525D">
        <w:rPr>
          <w:rFonts w:ascii="Times New Roman" w:hAnsi="Times New Roman" w:cs="Times New Roman"/>
        </w:rPr>
        <w:t>9</w:t>
      </w:r>
      <w:r w:rsidR="00EC525D" w:rsidRPr="004D6D78">
        <w:rPr>
          <w:rFonts w:ascii="Times New Roman" w:hAnsi="Times New Roman" w:cs="Times New Roman"/>
        </w:rPr>
        <w:t xml:space="preserve">  </w:t>
      </w:r>
    </w:p>
    <w:p w:rsidR="009A6721" w:rsidRDefault="009A6721" w:rsidP="00EC525D">
      <w:pPr>
        <w:spacing w:line="360" w:lineRule="auto"/>
        <w:ind w:firstLine="1440"/>
        <w:rPr>
          <w:rFonts w:ascii="Times New Roman" w:hAnsi="Times New Roman" w:cs="Times New Roman"/>
        </w:rPr>
      </w:pPr>
    </w:p>
    <w:p w:rsidR="009A6721" w:rsidRPr="009A6721" w:rsidRDefault="009A6721" w:rsidP="009A6721">
      <w:pPr>
        <w:spacing w:line="360" w:lineRule="auto"/>
        <w:ind w:firstLine="1440"/>
        <w:rPr>
          <w:rFonts w:ascii="Times New Roman" w:hAnsi="Times New Roman" w:cs="Times New Roman"/>
        </w:rPr>
      </w:pPr>
      <w:r w:rsidRPr="009A6721">
        <w:rPr>
          <w:rFonts w:ascii="Times New Roman" w:hAnsi="Times New Roman" w:cs="Times New Roman"/>
        </w:rPr>
        <w:lastRenderedPageBreak/>
        <w:t>19.</w:t>
      </w:r>
      <w:r w:rsidRPr="009A6721">
        <w:rPr>
          <w:rFonts w:ascii="Times New Roman" w:hAnsi="Times New Roman" w:cs="Times New Roman"/>
        </w:rPr>
        <w:tab/>
        <w:t>The operation of electric space heaters can use 1,000 to 3,000 kilowatt hours per month.  N.T. 71</w:t>
      </w:r>
    </w:p>
    <w:p w:rsidR="009A6721" w:rsidRPr="009A6721" w:rsidRDefault="009A6721" w:rsidP="009A6721">
      <w:pPr>
        <w:spacing w:line="360" w:lineRule="auto"/>
        <w:ind w:firstLine="1440"/>
        <w:rPr>
          <w:rFonts w:ascii="Times New Roman" w:hAnsi="Times New Roman" w:cs="Times New Roman"/>
        </w:rPr>
      </w:pPr>
    </w:p>
    <w:p w:rsidR="009A6721" w:rsidRPr="009A6721" w:rsidRDefault="009A6721" w:rsidP="009A6721">
      <w:pPr>
        <w:spacing w:line="360" w:lineRule="auto"/>
        <w:ind w:firstLine="1440"/>
        <w:rPr>
          <w:rFonts w:ascii="Times New Roman" w:hAnsi="Times New Roman" w:cs="Times New Roman"/>
        </w:rPr>
      </w:pPr>
      <w:r w:rsidRPr="009A6721">
        <w:rPr>
          <w:rFonts w:ascii="Times New Roman" w:hAnsi="Times New Roman" w:cs="Times New Roman"/>
        </w:rPr>
        <w:t>20.</w:t>
      </w:r>
      <w:r w:rsidRPr="009A6721">
        <w:rPr>
          <w:rFonts w:ascii="Times New Roman" w:hAnsi="Times New Roman" w:cs="Times New Roman"/>
        </w:rPr>
        <w:tab/>
        <w:t xml:space="preserve">Respondent Exhibit 1, an account activity statement </w:t>
      </w:r>
      <w:r w:rsidR="00A529CA">
        <w:rPr>
          <w:rFonts w:ascii="Times New Roman" w:hAnsi="Times New Roman" w:cs="Times New Roman"/>
        </w:rPr>
        <w:t xml:space="preserve">for the service address </w:t>
      </w:r>
      <w:r w:rsidRPr="009A6721">
        <w:rPr>
          <w:rFonts w:ascii="Times New Roman" w:hAnsi="Times New Roman" w:cs="Times New Roman"/>
        </w:rPr>
        <w:t>indicated the following electric consumption at the service address during the winter months:</w:t>
      </w:r>
    </w:p>
    <w:p w:rsidR="009A6721" w:rsidRPr="009A6721" w:rsidRDefault="009A6721" w:rsidP="009A6721">
      <w:pPr>
        <w:rPr>
          <w:rFonts w:ascii="Times New Roman" w:hAnsi="Times New Roman" w:cs="Times New Roman"/>
        </w:rPr>
      </w:pPr>
    </w:p>
    <w:p w:rsidR="009A6721" w:rsidRPr="009A6721" w:rsidRDefault="009A6721" w:rsidP="009A6721">
      <w:pPr>
        <w:ind w:firstLine="1440"/>
        <w:rPr>
          <w:rFonts w:ascii="Times New Roman" w:hAnsi="Times New Roman" w:cs="Times New Roman"/>
        </w:rPr>
      </w:pPr>
      <w:r w:rsidRPr="009A6721">
        <w:rPr>
          <w:rFonts w:ascii="Times New Roman" w:hAnsi="Times New Roman" w:cs="Times New Roman"/>
          <w:u w:val="single"/>
        </w:rPr>
        <w:t>Month</w:t>
      </w:r>
      <w:r w:rsidRPr="009A6721">
        <w:rPr>
          <w:rFonts w:ascii="Times New Roman" w:hAnsi="Times New Roman" w:cs="Times New Roman"/>
        </w:rPr>
        <w:tab/>
      </w:r>
      <w:r w:rsidRPr="009A6721">
        <w:rPr>
          <w:rFonts w:ascii="Times New Roman" w:hAnsi="Times New Roman" w:cs="Times New Roman"/>
        </w:rPr>
        <w:tab/>
      </w:r>
      <w:r w:rsidRPr="009A6721">
        <w:rPr>
          <w:rFonts w:ascii="Times New Roman" w:hAnsi="Times New Roman" w:cs="Times New Roman"/>
        </w:rPr>
        <w:tab/>
      </w:r>
      <w:r w:rsidRPr="009A6721">
        <w:rPr>
          <w:rFonts w:ascii="Times New Roman" w:hAnsi="Times New Roman" w:cs="Times New Roman"/>
        </w:rPr>
        <w:tab/>
      </w:r>
      <w:r>
        <w:rPr>
          <w:rFonts w:ascii="Times New Roman" w:hAnsi="Times New Roman" w:cs="Times New Roman"/>
        </w:rPr>
        <w:tab/>
      </w:r>
      <w:r w:rsidRPr="009A6721">
        <w:rPr>
          <w:rFonts w:ascii="Times New Roman" w:hAnsi="Times New Roman" w:cs="Times New Roman"/>
          <w:u w:val="single"/>
        </w:rPr>
        <w:t>K</w:t>
      </w:r>
      <w:r w:rsidR="00A529CA">
        <w:rPr>
          <w:rFonts w:ascii="Times New Roman" w:hAnsi="Times New Roman" w:cs="Times New Roman"/>
          <w:u w:val="single"/>
        </w:rPr>
        <w:t>WH</w:t>
      </w:r>
      <w:r w:rsidRPr="009A6721">
        <w:rPr>
          <w:rFonts w:ascii="Times New Roman" w:hAnsi="Times New Roman" w:cs="Times New Roman"/>
          <w:u w:val="single"/>
        </w:rPr>
        <w:t xml:space="preserve"> Used</w:t>
      </w:r>
    </w:p>
    <w:p w:rsidR="009A6721" w:rsidRPr="009A6721" w:rsidRDefault="009A6721" w:rsidP="009A6721">
      <w:pPr>
        <w:ind w:firstLine="1440"/>
        <w:rPr>
          <w:rFonts w:ascii="Times New Roman" w:hAnsi="Times New Roman" w:cs="Times New Roman"/>
        </w:rPr>
      </w:pPr>
    </w:p>
    <w:p w:rsidR="009A6721" w:rsidRPr="009A6721" w:rsidRDefault="009A6721" w:rsidP="009A6721">
      <w:pPr>
        <w:ind w:firstLine="1440"/>
        <w:rPr>
          <w:rFonts w:ascii="Times New Roman" w:hAnsi="Times New Roman" w:cs="Times New Roman"/>
        </w:rPr>
      </w:pPr>
      <w:r>
        <w:rPr>
          <w:rFonts w:ascii="Times New Roman" w:hAnsi="Times New Roman" w:cs="Times New Roman"/>
        </w:rPr>
        <w:t>January 25, 2010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3340</w:t>
      </w:r>
    </w:p>
    <w:p w:rsidR="009A6721" w:rsidRPr="009A6721" w:rsidRDefault="009A6721" w:rsidP="009A6721">
      <w:pPr>
        <w:ind w:firstLine="1440"/>
        <w:rPr>
          <w:rFonts w:ascii="Times New Roman" w:hAnsi="Times New Roman" w:cs="Times New Roman"/>
        </w:rPr>
      </w:pPr>
      <w:r w:rsidRPr="009A6721">
        <w:rPr>
          <w:rFonts w:ascii="Times New Roman" w:hAnsi="Times New Roman" w:cs="Times New Roman"/>
        </w:rPr>
        <w:t xml:space="preserve">February 23, 2010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2742</w:t>
      </w:r>
    </w:p>
    <w:p w:rsidR="009A6721" w:rsidRPr="009A6721" w:rsidRDefault="009A6721" w:rsidP="009A6721">
      <w:pPr>
        <w:ind w:firstLine="1440"/>
        <w:rPr>
          <w:rFonts w:ascii="Times New Roman" w:hAnsi="Times New Roman" w:cs="Times New Roman"/>
        </w:rPr>
      </w:pPr>
      <w:r w:rsidRPr="009A6721">
        <w:rPr>
          <w:rFonts w:ascii="Times New Roman" w:hAnsi="Times New Roman" w:cs="Times New Roman"/>
        </w:rPr>
        <w:t>March 24, 201</w:t>
      </w:r>
      <w:r w:rsidR="00A529CA">
        <w:rPr>
          <w:rFonts w:ascii="Times New Roman" w:hAnsi="Times New Roman" w:cs="Times New Roman"/>
        </w:rPr>
        <w:t>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1867</w:t>
      </w:r>
    </w:p>
    <w:p w:rsidR="009A6721" w:rsidRPr="009A6721" w:rsidRDefault="009A6721" w:rsidP="009A6721">
      <w:pPr>
        <w:ind w:firstLine="1440"/>
        <w:rPr>
          <w:rFonts w:ascii="Times New Roman" w:hAnsi="Times New Roman" w:cs="Times New Roman"/>
        </w:rPr>
      </w:pPr>
    </w:p>
    <w:p w:rsidR="009A6721" w:rsidRPr="009A6721" w:rsidRDefault="009A6721" w:rsidP="009A6721">
      <w:pPr>
        <w:ind w:firstLine="1440"/>
        <w:rPr>
          <w:rFonts w:ascii="Times New Roman" w:hAnsi="Times New Roman" w:cs="Times New Roman"/>
        </w:rPr>
      </w:pPr>
      <w:r>
        <w:rPr>
          <w:rFonts w:ascii="Times New Roman" w:hAnsi="Times New Roman" w:cs="Times New Roman"/>
        </w:rPr>
        <w:t>December 21, 2010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721">
        <w:rPr>
          <w:rFonts w:ascii="Times New Roman" w:hAnsi="Times New Roman" w:cs="Times New Roman"/>
        </w:rPr>
        <w:t>1990</w:t>
      </w:r>
    </w:p>
    <w:p w:rsidR="009A6721" w:rsidRPr="009A6721" w:rsidRDefault="009A6721" w:rsidP="009A6721">
      <w:pPr>
        <w:ind w:firstLine="1440"/>
        <w:rPr>
          <w:rFonts w:ascii="Times New Roman" w:hAnsi="Times New Roman" w:cs="Times New Roman"/>
        </w:rPr>
      </w:pPr>
      <w:r w:rsidRPr="009A6721">
        <w:rPr>
          <w:rFonts w:ascii="Times New Roman" w:hAnsi="Times New Roman" w:cs="Times New Roman"/>
        </w:rPr>
        <w:t>January 26, 2011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721">
        <w:rPr>
          <w:rFonts w:ascii="Times New Roman" w:hAnsi="Times New Roman" w:cs="Times New Roman"/>
        </w:rPr>
        <w:t xml:space="preserve">3037 </w:t>
      </w:r>
    </w:p>
    <w:p w:rsidR="009A6721" w:rsidRPr="009A6721" w:rsidRDefault="009A6721" w:rsidP="009A6721">
      <w:pPr>
        <w:ind w:firstLine="1440"/>
        <w:rPr>
          <w:rFonts w:ascii="Times New Roman" w:hAnsi="Times New Roman" w:cs="Times New Roman"/>
        </w:rPr>
      </w:pPr>
      <w:r w:rsidRPr="009A6721">
        <w:rPr>
          <w:rFonts w:ascii="Times New Roman" w:hAnsi="Times New Roman" w:cs="Times New Roman"/>
        </w:rPr>
        <w:t>February 23, 2011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721">
        <w:rPr>
          <w:rFonts w:ascii="Times New Roman" w:hAnsi="Times New Roman" w:cs="Times New Roman"/>
        </w:rPr>
        <w:t>2235</w:t>
      </w:r>
    </w:p>
    <w:p w:rsidR="009A6721" w:rsidRPr="009A6721" w:rsidRDefault="009A6721" w:rsidP="009A6721">
      <w:pPr>
        <w:ind w:firstLine="1440"/>
        <w:rPr>
          <w:rFonts w:ascii="Times New Roman" w:hAnsi="Times New Roman" w:cs="Times New Roman"/>
        </w:rPr>
      </w:pPr>
      <w:r w:rsidRPr="009A6721">
        <w:rPr>
          <w:rFonts w:ascii="Times New Roman" w:hAnsi="Times New Roman" w:cs="Times New Roman"/>
        </w:rPr>
        <w:t>March 24, 2011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721">
        <w:rPr>
          <w:rFonts w:ascii="Times New Roman" w:hAnsi="Times New Roman" w:cs="Times New Roman"/>
        </w:rPr>
        <w:t>1485</w:t>
      </w:r>
    </w:p>
    <w:p w:rsidR="009A6721" w:rsidRPr="009A6721" w:rsidRDefault="009A6721" w:rsidP="009A6721">
      <w:pPr>
        <w:ind w:firstLine="1440"/>
        <w:rPr>
          <w:rFonts w:ascii="Times New Roman" w:hAnsi="Times New Roman" w:cs="Times New Roman"/>
        </w:rPr>
      </w:pPr>
    </w:p>
    <w:p w:rsidR="009A6721" w:rsidRPr="009A6721" w:rsidRDefault="009A6721" w:rsidP="009A6721">
      <w:pPr>
        <w:ind w:firstLine="1440"/>
        <w:rPr>
          <w:rFonts w:ascii="Times New Roman" w:hAnsi="Times New Roman" w:cs="Times New Roman"/>
        </w:rPr>
      </w:pPr>
      <w:r w:rsidRPr="009A6721">
        <w:rPr>
          <w:rFonts w:ascii="Times New Roman" w:hAnsi="Times New Roman" w:cs="Times New Roman"/>
        </w:rPr>
        <w:t>December 21, 2011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721">
        <w:rPr>
          <w:rFonts w:ascii="Times New Roman" w:hAnsi="Times New Roman" w:cs="Times New Roman"/>
        </w:rPr>
        <w:t>1763</w:t>
      </w:r>
    </w:p>
    <w:p w:rsidR="009A6721" w:rsidRPr="009A6721" w:rsidRDefault="009A6721" w:rsidP="009A6721">
      <w:pPr>
        <w:ind w:firstLine="1440"/>
        <w:rPr>
          <w:rFonts w:ascii="Times New Roman" w:hAnsi="Times New Roman" w:cs="Times New Roman"/>
        </w:rPr>
      </w:pPr>
      <w:r>
        <w:rPr>
          <w:rFonts w:ascii="Times New Roman" w:hAnsi="Times New Roman" w:cs="Times New Roman"/>
        </w:rPr>
        <w:t>January 25, 2012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721">
        <w:rPr>
          <w:rFonts w:ascii="Times New Roman" w:hAnsi="Times New Roman" w:cs="Times New Roman"/>
        </w:rPr>
        <w:t>2667</w:t>
      </w:r>
    </w:p>
    <w:p w:rsidR="009A6721" w:rsidRPr="009A6721" w:rsidRDefault="009A6721" w:rsidP="009A6721">
      <w:pPr>
        <w:ind w:firstLine="1440"/>
        <w:rPr>
          <w:rFonts w:ascii="Times New Roman" w:hAnsi="Times New Roman" w:cs="Times New Roman"/>
        </w:rPr>
      </w:pPr>
      <w:r w:rsidRPr="009A6721">
        <w:rPr>
          <w:rFonts w:ascii="Times New Roman" w:hAnsi="Times New Roman" w:cs="Times New Roman"/>
        </w:rPr>
        <w:t>February 23, 2012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721">
        <w:rPr>
          <w:rFonts w:ascii="Times New Roman" w:hAnsi="Times New Roman" w:cs="Times New Roman"/>
        </w:rPr>
        <w:t>2371</w:t>
      </w:r>
    </w:p>
    <w:p w:rsidR="009A6721" w:rsidRPr="009A6721" w:rsidRDefault="009A6721" w:rsidP="009A6721">
      <w:pPr>
        <w:ind w:firstLine="1440"/>
        <w:rPr>
          <w:rFonts w:ascii="Times New Roman" w:hAnsi="Times New Roman" w:cs="Times New Roman"/>
        </w:rPr>
      </w:pPr>
      <w:r w:rsidRPr="009A6721">
        <w:rPr>
          <w:rFonts w:ascii="Times New Roman" w:hAnsi="Times New Roman" w:cs="Times New Roman"/>
        </w:rPr>
        <w:t>March 20, 2012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721">
        <w:rPr>
          <w:rFonts w:ascii="Times New Roman" w:hAnsi="Times New Roman" w:cs="Times New Roman"/>
        </w:rPr>
        <w:t>1941</w:t>
      </w:r>
    </w:p>
    <w:p w:rsidR="009A6721" w:rsidRPr="009A6721" w:rsidRDefault="009A6721" w:rsidP="009A6721">
      <w:pPr>
        <w:ind w:firstLine="1440"/>
        <w:rPr>
          <w:rFonts w:ascii="Times New Roman" w:hAnsi="Times New Roman" w:cs="Times New Roman"/>
          <w:b/>
          <w:bCs/>
        </w:rPr>
      </w:pPr>
    </w:p>
    <w:p w:rsidR="009A6721" w:rsidRPr="009A6721" w:rsidRDefault="009A6721" w:rsidP="009A6721">
      <w:pPr>
        <w:ind w:firstLine="1440"/>
        <w:rPr>
          <w:rFonts w:ascii="Times New Roman" w:hAnsi="Times New Roman" w:cs="Times New Roman"/>
          <w:bCs/>
        </w:rPr>
      </w:pPr>
      <w:r w:rsidRPr="009A6721">
        <w:rPr>
          <w:rFonts w:ascii="Times New Roman" w:hAnsi="Times New Roman" w:cs="Times New Roman"/>
          <w:bCs/>
        </w:rPr>
        <w:t>December 20, 2012</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9A6721">
        <w:rPr>
          <w:rFonts w:ascii="Times New Roman" w:hAnsi="Times New Roman" w:cs="Times New Roman"/>
          <w:bCs/>
        </w:rPr>
        <w:t>2936</w:t>
      </w:r>
    </w:p>
    <w:p w:rsidR="009A6721" w:rsidRPr="009A6721" w:rsidRDefault="009A6721" w:rsidP="009A6721">
      <w:pPr>
        <w:ind w:firstLine="1440"/>
        <w:rPr>
          <w:rFonts w:ascii="Times New Roman" w:hAnsi="Times New Roman" w:cs="Times New Roman"/>
          <w:bCs/>
        </w:rPr>
      </w:pPr>
      <w:r w:rsidRPr="009A6721">
        <w:rPr>
          <w:rFonts w:ascii="Times New Roman" w:hAnsi="Times New Roman" w:cs="Times New Roman"/>
          <w:bCs/>
        </w:rPr>
        <w:t xml:space="preserve">January 24, </w:t>
      </w:r>
      <w:r>
        <w:rPr>
          <w:rFonts w:ascii="Times New Roman" w:hAnsi="Times New Roman" w:cs="Times New Roman"/>
          <w:bCs/>
        </w:rPr>
        <w:t>2013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9A6721">
        <w:rPr>
          <w:rFonts w:ascii="Times New Roman" w:hAnsi="Times New Roman" w:cs="Times New Roman"/>
          <w:bCs/>
        </w:rPr>
        <w:t>3780</w:t>
      </w:r>
    </w:p>
    <w:p w:rsidR="009A6721" w:rsidRPr="009A6721" w:rsidRDefault="009A6721" w:rsidP="009A6721">
      <w:pPr>
        <w:ind w:firstLine="1440"/>
        <w:rPr>
          <w:rFonts w:ascii="Times New Roman" w:hAnsi="Times New Roman" w:cs="Times New Roman"/>
          <w:bCs/>
        </w:rPr>
      </w:pPr>
      <w:r w:rsidRPr="009A6721">
        <w:rPr>
          <w:rFonts w:ascii="Times New Roman" w:hAnsi="Times New Roman" w:cs="Times New Roman"/>
          <w:bCs/>
        </w:rPr>
        <w:t>February 22, 2013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9A6721">
        <w:rPr>
          <w:rFonts w:ascii="Times New Roman" w:hAnsi="Times New Roman" w:cs="Times New Roman"/>
          <w:bCs/>
        </w:rPr>
        <w:t>3222</w:t>
      </w:r>
    </w:p>
    <w:p w:rsidR="009A6721" w:rsidRPr="009A6721" w:rsidRDefault="009A6721" w:rsidP="009A6721">
      <w:pPr>
        <w:ind w:firstLine="1440"/>
        <w:rPr>
          <w:rFonts w:ascii="Times New Roman" w:hAnsi="Times New Roman" w:cs="Times New Roman"/>
          <w:bCs/>
        </w:rPr>
      </w:pPr>
      <w:r w:rsidRPr="009A6721">
        <w:rPr>
          <w:rFonts w:ascii="Times New Roman" w:hAnsi="Times New Roman" w:cs="Times New Roman"/>
          <w:bCs/>
        </w:rPr>
        <w:t>March 25, 2013</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9A6721">
        <w:rPr>
          <w:rFonts w:ascii="Times New Roman" w:hAnsi="Times New Roman" w:cs="Times New Roman"/>
          <w:bCs/>
        </w:rPr>
        <w:t>3280</w:t>
      </w:r>
    </w:p>
    <w:p w:rsidR="009A6721" w:rsidRPr="009A6721" w:rsidRDefault="009A6721" w:rsidP="009A6721">
      <w:pPr>
        <w:ind w:firstLine="1440"/>
        <w:rPr>
          <w:rFonts w:ascii="Times New Roman" w:hAnsi="Times New Roman" w:cs="Times New Roman"/>
          <w:b/>
          <w:bCs/>
        </w:rPr>
      </w:pPr>
    </w:p>
    <w:p w:rsidR="009A6721" w:rsidRPr="009A6721" w:rsidRDefault="009A6721" w:rsidP="009A6721">
      <w:pPr>
        <w:ind w:firstLine="1440"/>
        <w:rPr>
          <w:rFonts w:ascii="Times New Roman" w:hAnsi="Times New Roman" w:cs="Times New Roman"/>
        </w:rPr>
      </w:pPr>
      <w:r w:rsidRPr="009A6721">
        <w:rPr>
          <w:rFonts w:ascii="Times New Roman" w:hAnsi="Times New Roman" w:cs="Times New Roman"/>
        </w:rPr>
        <w:t>December 18, 2013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9A6721">
        <w:rPr>
          <w:rFonts w:ascii="Times New Roman" w:hAnsi="Times New Roman" w:cs="Times New Roman"/>
        </w:rPr>
        <w:t>755</w:t>
      </w:r>
    </w:p>
    <w:p w:rsidR="009A6721" w:rsidRPr="009A6721" w:rsidRDefault="009A6721" w:rsidP="009A6721">
      <w:pPr>
        <w:ind w:firstLine="1440"/>
        <w:rPr>
          <w:rFonts w:ascii="Times New Roman" w:hAnsi="Times New Roman" w:cs="Times New Roman"/>
        </w:rPr>
      </w:pPr>
      <w:r w:rsidRPr="009A6721">
        <w:rPr>
          <w:rFonts w:ascii="Times New Roman" w:hAnsi="Times New Roman" w:cs="Times New Roman"/>
        </w:rPr>
        <w:t>January 22, 2014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721">
        <w:rPr>
          <w:rFonts w:ascii="Times New Roman" w:hAnsi="Times New Roman" w:cs="Times New Roman"/>
        </w:rPr>
        <w:t>1645</w:t>
      </w:r>
    </w:p>
    <w:p w:rsidR="009A6721" w:rsidRPr="009A6721" w:rsidRDefault="009A6721" w:rsidP="009A6721">
      <w:pPr>
        <w:ind w:firstLine="1440"/>
        <w:rPr>
          <w:rFonts w:ascii="Times New Roman" w:hAnsi="Times New Roman" w:cs="Times New Roman"/>
        </w:rPr>
      </w:pPr>
      <w:r w:rsidRPr="009A6721">
        <w:rPr>
          <w:rFonts w:ascii="Times New Roman" w:hAnsi="Times New Roman" w:cs="Times New Roman"/>
        </w:rPr>
        <w:t>February 20, 2014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A6721">
        <w:rPr>
          <w:rFonts w:ascii="Times New Roman" w:hAnsi="Times New Roman" w:cs="Times New Roman"/>
        </w:rPr>
        <w:t>1610</w:t>
      </w:r>
    </w:p>
    <w:p w:rsidR="009A6721" w:rsidRPr="009A6721" w:rsidRDefault="009A6721" w:rsidP="0002316C">
      <w:pPr>
        <w:spacing w:line="360" w:lineRule="auto"/>
        <w:rPr>
          <w:rFonts w:ascii="Times New Roman" w:hAnsi="Times New Roman" w:cs="Times New Roman"/>
        </w:rPr>
      </w:pPr>
    </w:p>
    <w:p w:rsidR="009A6721" w:rsidRPr="009A6721" w:rsidRDefault="009A6721" w:rsidP="0002316C">
      <w:pPr>
        <w:spacing w:line="360" w:lineRule="auto"/>
        <w:ind w:firstLine="1530"/>
        <w:rPr>
          <w:rFonts w:ascii="Times New Roman" w:hAnsi="Times New Roman" w:cs="Times New Roman"/>
        </w:rPr>
      </w:pPr>
      <w:r w:rsidRPr="009A6721">
        <w:rPr>
          <w:rFonts w:ascii="Times New Roman" w:hAnsi="Times New Roman" w:cs="Times New Roman"/>
        </w:rPr>
        <w:t>2</w:t>
      </w:r>
      <w:r w:rsidR="00EB068D">
        <w:rPr>
          <w:rFonts w:ascii="Times New Roman" w:hAnsi="Times New Roman" w:cs="Times New Roman"/>
        </w:rPr>
        <w:t>1</w:t>
      </w:r>
      <w:r w:rsidRPr="009A6721">
        <w:rPr>
          <w:rFonts w:ascii="Times New Roman" w:hAnsi="Times New Roman" w:cs="Times New Roman"/>
        </w:rPr>
        <w:t>.</w:t>
      </w:r>
      <w:r w:rsidRPr="009A6721">
        <w:rPr>
          <w:rFonts w:ascii="Times New Roman" w:hAnsi="Times New Roman" w:cs="Times New Roman"/>
        </w:rPr>
        <w:tab/>
        <w:t>The cost analysis performed by Respondent</w:t>
      </w:r>
      <w:r w:rsidRPr="009A6721">
        <w:rPr>
          <w:rStyle w:val="FootnoteReference"/>
          <w:rFonts w:ascii="Times New Roman" w:hAnsi="Times New Roman" w:cs="Times New Roman"/>
        </w:rPr>
        <w:footnoteReference w:id="1"/>
      </w:r>
      <w:r w:rsidRPr="009A6721">
        <w:rPr>
          <w:rFonts w:ascii="Times New Roman" w:hAnsi="Times New Roman" w:cs="Times New Roman"/>
        </w:rPr>
        <w:t xml:space="preserve"> indicates a potential usage of 3707 K</w:t>
      </w:r>
      <w:r w:rsidR="00A529CA">
        <w:rPr>
          <w:rFonts w:ascii="Times New Roman" w:hAnsi="Times New Roman" w:cs="Times New Roman"/>
        </w:rPr>
        <w:t>WH</w:t>
      </w:r>
      <w:r w:rsidRPr="009A6721">
        <w:rPr>
          <w:rFonts w:ascii="Times New Roman" w:hAnsi="Times New Roman" w:cs="Times New Roman"/>
        </w:rPr>
        <w:t xml:space="preserve"> in the winter months.  The only month, during the months being questioned by Complainant, where usage exceeded potential usage was January 24, 2013 when there </w:t>
      </w:r>
      <w:proofErr w:type="gramStart"/>
      <w:r w:rsidRPr="009A6721">
        <w:rPr>
          <w:rFonts w:ascii="Times New Roman" w:hAnsi="Times New Roman" w:cs="Times New Roman"/>
        </w:rPr>
        <w:t>were</w:t>
      </w:r>
      <w:proofErr w:type="gramEnd"/>
      <w:r w:rsidRPr="009A6721">
        <w:rPr>
          <w:rFonts w:ascii="Times New Roman" w:hAnsi="Times New Roman" w:cs="Times New Roman"/>
        </w:rPr>
        <w:t xml:space="preserve"> 3780 K</w:t>
      </w:r>
      <w:r w:rsidR="00A529CA">
        <w:rPr>
          <w:rFonts w:ascii="Times New Roman" w:hAnsi="Times New Roman" w:cs="Times New Roman"/>
        </w:rPr>
        <w:t>W</w:t>
      </w:r>
      <w:r w:rsidRPr="009A6721">
        <w:rPr>
          <w:rFonts w:ascii="Times New Roman" w:hAnsi="Times New Roman" w:cs="Times New Roman"/>
        </w:rPr>
        <w:t xml:space="preserve">H used, slightly above the potential usage.  The higher bills during the winter months </w:t>
      </w:r>
      <w:r w:rsidR="0065285C">
        <w:rPr>
          <w:rFonts w:ascii="Times New Roman" w:hAnsi="Times New Roman" w:cs="Times New Roman"/>
        </w:rPr>
        <w:t>are</w:t>
      </w:r>
      <w:r w:rsidRPr="009A6721">
        <w:rPr>
          <w:rFonts w:ascii="Times New Roman" w:hAnsi="Times New Roman" w:cs="Times New Roman"/>
        </w:rPr>
        <w:t xml:space="preserve"> </w:t>
      </w:r>
      <w:proofErr w:type="gramStart"/>
      <w:r w:rsidRPr="009A6721">
        <w:rPr>
          <w:rFonts w:ascii="Times New Roman" w:hAnsi="Times New Roman" w:cs="Times New Roman"/>
        </w:rPr>
        <w:lastRenderedPageBreak/>
        <w:t>consistent</w:t>
      </w:r>
      <w:proofErr w:type="gramEnd"/>
      <w:r w:rsidRPr="009A6721">
        <w:rPr>
          <w:rFonts w:ascii="Times New Roman" w:hAnsi="Times New Roman" w:cs="Times New Roman"/>
        </w:rPr>
        <w:t xml:space="preserve"> with the use of electric space heaters, and the subsequent lower bills to terminating the use of space heaters.  N.T. 68, 70-72, Respondent Exhibit 1</w:t>
      </w:r>
    </w:p>
    <w:p w:rsidR="009A6721" w:rsidRPr="009A6721" w:rsidRDefault="009A6721" w:rsidP="009A6721">
      <w:pPr>
        <w:spacing w:line="360" w:lineRule="auto"/>
        <w:rPr>
          <w:rFonts w:ascii="Times New Roman" w:hAnsi="Times New Roman" w:cs="Times New Roman"/>
        </w:rPr>
      </w:pPr>
    </w:p>
    <w:p w:rsidR="009A6721" w:rsidRPr="009A6721" w:rsidRDefault="009A6721" w:rsidP="001509DC">
      <w:pPr>
        <w:spacing w:line="360" w:lineRule="auto"/>
        <w:ind w:firstLine="1440"/>
        <w:rPr>
          <w:rFonts w:ascii="Times New Roman" w:hAnsi="Times New Roman" w:cs="Times New Roman"/>
        </w:rPr>
      </w:pPr>
      <w:r w:rsidRPr="009A6721">
        <w:rPr>
          <w:rFonts w:ascii="Times New Roman" w:hAnsi="Times New Roman" w:cs="Times New Roman"/>
        </w:rPr>
        <w:t>2</w:t>
      </w:r>
      <w:r w:rsidR="00EB068D">
        <w:rPr>
          <w:rFonts w:ascii="Times New Roman" w:hAnsi="Times New Roman" w:cs="Times New Roman"/>
        </w:rPr>
        <w:t>2</w:t>
      </w:r>
      <w:r w:rsidRPr="009A6721">
        <w:rPr>
          <w:rFonts w:ascii="Times New Roman" w:hAnsi="Times New Roman" w:cs="Times New Roman"/>
        </w:rPr>
        <w:t>.</w:t>
      </w:r>
      <w:r w:rsidRPr="009A6721">
        <w:rPr>
          <w:rFonts w:ascii="Times New Roman" w:hAnsi="Times New Roman" w:cs="Times New Roman"/>
        </w:rPr>
        <w:tab/>
        <w:t xml:space="preserve">Complainant stopped utilizing space heaters at the service address during the 2013 to 2014 winter months, thereby resulting in a significant decrease in electric consumption.  N.T. 71-72  </w:t>
      </w:r>
    </w:p>
    <w:p w:rsidR="009A6721" w:rsidRPr="009A6721" w:rsidRDefault="009A6721" w:rsidP="001509DC">
      <w:pPr>
        <w:spacing w:line="360" w:lineRule="auto"/>
        <w:rPr>
          <w:rFonts w:ascii="Times New Roman" w:hAnsi="Times New Roman" w:cs="Times New Roman"/>
        </w:rPr>
      </w:pPr>
    </w:p>
    <w:p w:rsidR="00E43B9C" w:rsidRDefault="00E43B9C" w:rsidP="001509DC">
      <w:pPr>
        <w:pStyle w:val="ParaTab1"/>
        <w:tabs>
          <w:tab w:val="left" w:pos="2070"/>
        </w:tabs>
        <w:spacing w:line="360" w:lineRule="auto"/>
        <w:ind w:firstLine="0"/>
        <w:jc w:val="center"/>
        <w:rPr>
          <w:rFonts w:ascii="Times New Roman" w:hAnsi="Times New Roman" w:cs="Times New Roman"/>
          <w:u w:val="single"/>
        </w:rPr>
      </w:pPr>
      <w:r w:rsidRPr="00EF7CA8">
        <w:rPr>
          <w:rFonts w:ascii="Times New Roman" w:hAnsi="Times New Roman" w:cs="Times New Roman"/>
          <w:u w:val="single"/>
        </w:rPr>
        <w:t>DISCUSSION</w:t>
      </w:r>
    </w:p>
    <w:p w:rsidR="006D7F2E" w:rsidRDefault="006D7F2E" w:rsidP="001509DC">
      <w:pPr>
        <w:pStyle w:val="ParaTab1"/>
        <w:tabs>
          <w:tab w:val="left" w:pos="2070"/>
        </w:tabs>
        <w:spacing w:line="360" w:lineRule="auto"/>
        <w:ind w:firstLine="0"/>
        <w:rPr>
          <w:rFonts w:ascii="Times New Roman" w:hAnsi="Times New Roman" w:cs="Times New Roman"/>
          <w:u w:val="single"/>
        </w:rPr>
      </w:pPr>
    </w:p>
    <w:p w:rsidR="006D7F2E" w:rsidRPr="00461759" w:rsidRDefault="006D7F2E" w:rsidP="001509DC">
      <w:pPr>
        <w:tabs>
          <w:tab w:val="left" w:pos="-1440"/>
          <w:tab w:val="left" w:pos="-720"/>
        </w:tabs>
        <w:suppressAutoHyphens/>
        <w:spacing w:line="360" w:lineRule="auto"/>
        <w:rPr>
          <w:rFonts w:ascii="Times New Roman" w:hAnsi="Times New Roman" w:cs="Times New Roman"/>
          <w:spacing w:val="-3"/>
        </w:rPr>
      </w:pPr>
      <w:r>
        <w:tab/>
      </w:r>
      <w:r w:rsidRPr="00461759">
        <w:rPr>
          <w:rFonts w:ascii="Times New Roman" w:hAnsi="Times New Roman" w:cs="Times New Roman"/>
        </w:rPr>
        <w:t xml:space="preserve">            Complainant alleges that she </w:t>
      </w:r>
      <w:r w:rsidRPr="00461759">
        <w:rPr>
          <w:rFonts w:ascii="Times New Roman" w:hAnsi="Times New Roman" w:cs="Times New Roman"/>
          <w:spacing w:val="-3"/>
        </w:rPr>
        <w:t xml:space="preserve">was overcharged for electricity </w:t>
      </w:r>
      <w:r w:rsidR="00F27F6F" w:rsidRPr="00461759">
        <w:rPr>
          <w:rFonts w:ascii="Times New Roman" w:hAnsi="Times New Roman" w:cs="Times New Roman"/>
          <w:spacing w:val="-3"/>
        </w:rPr>
        <w:t>s</w:t>
      </w:r>
      <w:r w:rsidRPr="00461759">
        <w:rPr>
          <w:rFonts w:ascii="Times New Roman" w:hAnsi="Times New Roman" w:cs="Times New Roman"/>
          <w:spacing w:val="-3"/>
        </w:rPr>
        <w:t>he did not use.  No specific request for relief is set forth in the formal complaint.</w:t>
      </w:r>
    </w:p>
    <w:p w:rsidR="006D7F2E" w:rsidRPr="00461759" w:rsidRDefault="006D7F2E" w:rsidP="001509DC">
      <w:pPr>
        <w:spacing w:line="360" w:lineRule="auto"/>
        <w:ind w:firstLine="1440"/>
        <w:rPr>
          <w:rFonts w:ascii="Times New Roman" w:hAnsi="Times New Roman" w:cs="Times New Roman"/>
        </w:rPr>
      </w:pPr>
    </w:p>
    <w:p w:rsidR="0095388B" w:rsidRPr="00461759" w:rsidRDefault="006D7F2E" w:rsidP="001509DC">
      <w:pPr>
        <w:tabs>
          <w:tab w:val="left" w:pos="2160"/>
        </w:tabs>
        <w:spacing w:line="360" w:lineRule="auto"/>
        <w:ind w:firstLine="1440"/>
        <w:rPr>
          <w:rFonts w:ascii="Times New Roman" w:hAnsi="Times New Roman" w:cs="Times New Roman"/>
        </w:rPr>
      </w:pPr>
      <w:r w:rsidRPr="00461759">
        <w:rPr>
          <w:rFonts w:ascii="Times New Roman" w:hAnsi="Times New Roman" w:cs="Times New Roman"/>
          <w:spacing w:val="-3"/>
        </w:rPr>
        <w:t>Ms. Brower</w:t>
      </w:r>
      <w:r w:rsidRPr="00461759">
        <w:rPr>
          <w:rFonts w:ascii="Times New Roman" w:hAnsi="Times New Roman" w:cs="Times New Roman"/>
        </w:rPr>
        <w:t xml:space="preserve"> </w:t>
      </w:r>
      <w:r w:rsidR="0095388B" w:rsidRPr="00461759">
        <w:rPr>
          <w:rFonts w:ascii="Times New Roman" w:hAnsi="Times New Roman" w:cs="Times New Roman"/>
        </w:rPr>
        <w:t>presented</w:t>
      </w:r>
      <w:r w:rsidR="00F84FE9">
        <w:rPr>
          <w:rFonts w:ascii="Times New Roman" w:hAnsi="Times New Roman" w:cs="Times New Roman"/>
        </w:rPr>
        <w:t xml:space="preserve"> evidence</w:t>
      </w:r>
      <w:r w:rsidR="0095388B" w:rsidRPr="00461759">
        <w:rPr>
          <w:rFonts w:ascii="Times New Roman" w:hAnsi="Times New Roman" w:cs="Times New Roman"/>
        </w:rPr>
        <w:t xml:space="preserve"> that her brother initially contacted </w:t>
      </w:r>
      <w:r w:rsidR="00F27F6F" w:rsidRPr="00461759">
        <w:rPr>
          <w:rFonts w:ascii="Times New Roman" w:hAnsi="Times New Roman" w:cs="Times New Roman"/>
        </w:rPr>
        <w:t>Respondent</w:t>
      </w:r>
      <w:r w:rsidR="0095388B" w:rsidRPr="00461759">
        <w:rPr>
          <w:rFonts w:ascii="Times New Roman" w:hAnsi="Times New Roman" w:cs="Times New Roman"/>
        </w:rPr>
        <w:t xml:space="preserve"> in December of 2012</w:t>
      </w:r>
      <w:r w:rsidR="00F27F6F" w:rsidRPr="00461759">
        <w:rPr>
          <w:rFonts w:ascii="Times New Roman" w:hAnsi="Times New Roman" w:cs="Times New Roman"/>
        </w:rPr>
        <w:t>,</w:t>
      </w:r>
      <w:r w:rsidR="0095388B" w:rsidRPr="00461759">
        <w:rPr>
          <w:rFonts w:ascii="Times New Roman" w:hAnsi="Times New Roman" w:cs="Times New Roman"/>
        </w:rPr>
        <w:t xml:space="preserve"> complaining that her electric bill was too high.  She alleged that from December of 2012 through March of 2013 her usage was alleged to be between 2,</w:t>
      </w:r>
      <w:r w:rsidR="00590985" w:rsidRPr="00461759">
        <w:rPr>
          <w:rFonts w:ascii="Times New Roman" w:hAnsi="Times New Roman" w:cs="Times New Roman"/>
        </w:rPr>
        <w:t>000</w:t>
      </w:r>
      <w:r w:rsidR="0095388B" w:rsidRPr="00461759">
        <w:rPr>
          <w:rFonts w:ascii="Times New Roman" w:hAnsi="Times New Roman" w:cs="Times New Roman"/>
        </w:rPr>
        <w:t xml:space="preserve"> and 4,000</w:t>
      </w:r>
      <w:r w:rsidR="001D5369">
        <w:rPr>
          <w:rFonts w:ascii="Times New Roman" w:hAnsi="Times New Roman" w:cs="Times New Roman"/>
        </w:rPr>
        <w:t> </w:t>
      </w:r>
      <w:r w:rsidR="0095388B" w:rsidRPr="00461759">
        <w:rPr>
          <w:rFonts w:ascii="Times New Roman" w:hAnsi="Times New Roman" w:cs="Times New Roman"/>
        </w:rPr>
        <w:t>kilowatts each month and that she did not believe she was using that amount of electricity.</w:t>
      </w:r>
    </w:p>
    <w:p w:rsidR="0095388B" w:rsidRPr="00461759" w:rsidRDefault="0095388B" w:rsidP="00461759">
      <w:pPr>
        <w:tabs>
          <w:tab w:val="left" w:pos="2160"/>
        </w:tabs>
        <w:spacing w:line="360" w:lineRule="auto"/>
        <w:ind w:firstLine="1440"/>
        <w:rPr>
          <w:rFonts w:ascii="Times New Roman" w:hAnsi="Times New Roman" w:cs="Times New Roman"/>
        </w:rPr>
      </w:pPr>
    </w:p>
    <w:p w:rsidR="00590985" w:rsidRPr="00461759" w:rsidRDefault="0095388B" w:rsidP="00461759">
      <w:pPr>
        <w:spacing w:line="360" w:lineRule="auto"/>
        <w:ind w:firstLine="1440"/>
        <w:rPr>
          <w:rFonts w:ascii="Times New Roman" w:hAnsi="Times New Roman" w:cs="Times New Roman"/>
        </w:rPr>
      </w:pPr>
      <w:r w:rsidRPr="00461759">
        <w:rPr>
          <w:rFonts w:ascii="Times New Roman" w:hAnsi="Times New Roman" w:cs="Times New Roman"/>
        </w:rPr>
        <w:t xml:space="preserve">  Complainant’s home is a two story brick dwelling with a full basement, consisting of three bedrooms, a living room, a kitchen, a dining room, and one bathroom.  </w:t>
      </w:r>
      <w:r w:rsidR="00590985" w:rsidRPr="00461759">
        <w:rPr>
          <w:rFonts w:ascii="Times New Roman" w:hAnsi="Times New Roman" w:cs="Times New Roman"/>
        </w:rPr>
        <w:t>C</w:t>
      </w:r>
      <w:r w:rsidRPr="00461759">
        <w:rPr>
          <w:rFonts w:ascii="Times New Roman" w:hAnsi="Times New Roman" w:cs="Times New Roman"/>
        </w:rPr>
        <w:t>omplainant lives in the home with her daughter, and her brother frequents the home almost every day for approximately 12 to 13 hours a day.  The house is heated with oil</w:t>
      </w:r>
      <w:r w:rsidR="00461759">
        <w:rPr>
          <w:rFonts w:ascii="Times New Roman" w:hAnsi="Times New Roman" w:cs="Times New Roman"/>
        </w:rPr>
        <w:t>.  E</w:t>
      </w:r>
      <w:r w:rsidRPr="00461759">
        <w:rPr>
          <w:rFonts w:ascii="Times New Roman" w:hAnsi="Times New Roman" w:cs="Times New Roman"/>
        </w:rPr>
        <w:t>lectricity is used for lighting,</w:t>
      </w:r>
      <w:r w:rsidR="00F27F6F" w:rsidRPr="00461759">
        <w:rPr>
          <w:rFonts w:ascii="Times New Roman" w:hAnsi="Times New Roman" w:cs="Times New Roman"/>
        </w:rPr>
        <w:t xml:space="preserve"> as well as appliances including a</w:t>
      </w:r>
      <w:r w:rsidRPr="00461759">
        <w:rPr>
          <w:rFonts w:ascii="Times New Roman" w:hAnsi="Times New Roman" w:cs="Times New Roman"/>
        </w:rPr>
        <w:t xml:space="preserve"> television, electric stove, microwave oven, vacuum cleaner, and </w:t>
      </w:r>
      <w:r w:rsidR="00153CA8">
        <w:rPr>
          <w:rFonts w:ascii="Times New Roman" w:hAnsi="Times New Roman" w:cs="Times New Roman"/>
        </w:rPr>
        <w:t xml:space="preserve">a </w:t>
      </w:r>
      <w:r w:rsidRPr="00461759">
        <w:rPr>
          <w:rFonts w:ascii="Times New Roman" w:hAnsi="Times New Roman" w:cs="Times New Roman"/>
        </w:rPr>
        <w:t xml:space="preserve">hot water heater. </w:t>
      </w:r>
    </w:p>
    <w:p w:rsidR="00590985" w:rsidRPr="00461759" w:rsidRDefault="00590985" w:rsidP="00461759">
      <w:pPr>
        <w:spacing w:line="360" w:lineRule="auto"/>
        <w:ind w:firstLine="1440"/>
        <w:rPr>
          <w:rFonts w:ascii="Times New Roman" w:hAnsi="Times New Roman" w:cs="Times New Roman"/>
        </w:rPr>
      </w:pPr>
    </w:p>
    <w:p w:rsidR="0095388B" w:rsidRPr="005F768D" w:rsidRDefault="0095388B" w:rsidP="0095388B">
      <w:pPr>
        <w:spacing w:line="360" w:lineRule="auto"/>
        <w:ind w:firstLine="1440"/>
        <w:rPr>
          <w:rFonts w:ascii="Times New Roman" w:hAnsi="Times New Roman" w:cs="Times New Roman"/>
        </w:rPr>
      </w:pPr>
      <w:r w:rsidRPr="005F768D">
        <w:rPr>
          <w:rFonts w:ascii="Times New Roman" w:hAnsi="Times New Roman" w:cs="Times New Roman"/>
        </w:rPr>
        <w:t xml:space="preserve">There are two electric meters used </w:t>
      </w:r>
      <w:r w:rsidR="00F27F6F">
        <w:rPr>
          <w:rFonts w:ascii="Times New Roman" w:hAnsi="Times New Roman" w:cs="Times New Roman"/>
        </w:rPr>
        <w:t xml:space="preserve">at </w:t>
      </w:r>
      <w:r w:rsidRPr="005F768D">
        <w:rPr>
          <w:rFonts w:ascii="Times New Roman" w:hAnsi="Times New Roman" w:cs="Times New Roman"/>
        </w:rPr>
        <w:t xml:space="preserve">the service address.  One meter measures peak usage and the other meter measures off peak usage.      </w:t>
      </w:r>
    </w:p>
    <w:p w:rsidR="0095388B" w:rsidRPr="005F768D" w:rsidRDefault="0095388B" w:rsidP="0095388B">
      <w:pPr>
        <w:spacing w:line="360" w:lineRule="auto"/>
        <w:ind w:firstLine="1440"/>
        <w:rPr>
          <w:rFonts w:ascii="Times New Roman" w:hAnsi="Times New Roman" w:cs="Times New Roman"/>
        </w:rPr>
      </w:pPr>
    </w:p>
    <w:p w:rsidR="0095388B" w:rsidRPr="001F6C01" w:rsidRDefault="0095388B" w:rsidP="0095388B">
      <w:pPr>
        <w:spacing w:line="360" w:lineRule="auto"/>
        <w:ind w:firstLine="1440"/>
        <w:rPr>
          <w:rFonts w:ascii="Times New Roman" w:hAnsi="Times New Roman" w:cs="Times New Roman"/>
        </w:rPr>
      </w:pPr>
      <w:r w:rsidRPr="00996194">
        <w:rPr>
          <w:rFonts w:ascii="Times New Roman" w:hAnsi="Times New Roman" w:cs="Times New Roman"/>
        </w:rPr>
        <w:t>Respondent investigated Ms. Brower’s complaint of high bills and determined that Complainant</w:t>
      </w:r>
      <w:r w:rsidR="00F27F6F">
        <w:rPr>
          <w:rFonts w:ascii="Times New Roman" w:hAnsi="Times New Roman" w:cs="Times New Roman"/>
        </w:rPr>
        <w:t xml:space="preserve">’s </w:t>
      </w:r>
      <w:r w:rsidRPr="00996194">
        <w:rPr>
          <w:rFonts w:ascii="Times New Roman" w:hAnsi="Times New Roman" w:cs="Times New Roman"/>
        </w:rPr>
        <w:t>usage increased during the winter period and decreased during the summer time.</w:t>
      </w:r>
      <w:r w:rsidR="002D2B08">
        <w:rPr>
          <w:rFonts w:ascii="Times New Roman" w:hAnsi="Times New Roman" w:cs="Times New Roman"/>
        </w:rPr>
        <w:t xml:space="preserve"> </w:t>
      </w:r>
      <w:r w:rsidR="00885BFE">
        <w:rPr>
          <w:rFonts w:ascii="Times New Roman" w:hAnsi="Times New Roman" w:cs="Times New Roman"/>
        </w:rPr>
        <w:t xml:space="preserve"> </w:t>
      </w:r>
      <w:r w:rsidRPr="001F6C01">
        <w:rPr>
          <w:rFonts w:ascii="Times New Roman" w:hAnsi="Times New Roman" w:cs="Times New Roman"/>
        </w:rPr>
        <w:t xml:space="preserve">Respondent completed two high-bill visits and found no problem with the service or billing rendered to </w:t>
      </w:r>
      <w:r w:rsidR="00F27F6F">
        <w:rPr>
          <w:rFonts w:ascii="Times New Roman" w:hAnsi="Times New Roman" w:cs="Times New Roman"/>
        </w:rPr>
        <w:t>C</w:t>
      </w:r>
      <w:r w:rsidRPr="001F6C01">
        <w:rPr>
          <w:rFonts w:ascii="Times New Roman" w:hAnsi="Times New Roman" w:cs="Times New Roman"/>
        </w:rPr>
        <w:t xml:space="preserve">omplainant.    </w:t>
      </w:r>
    </w:p>
    <w:p w:rsidR="0095388B" w:rsidRPr="00E54DA3" w:rsidRDefault="0095388B" w:rsidP="0095388B">
      <w:pPr>
        <w:spacing w:line="360" w:lineRule="auto"/>
        <w:ind w:firstLine="1440"/>
        <w:rPr>
          <w:rFonts w:ascii="Times New Roman" w:hAnsi="Times New Roman" w:cs="Times New Roman"/>
          <w:b/>
        </w:rPr>
      </w:pPr>
    </w:p>
    <w:p w:rsidR="0095388B" w:rsidRPr="000D7C90" w:rsidRDefault="0095388B" w:rsidP="0095388B">
      <w:pPr>
        <w:spacing w:line="360" w:lineRule="auto"/>
        <w:ind w:firstLine="1440"/>
        <w:rPr>
          <w:rFonts w:ascii="Times New Roman" w:hAnsi="Times New Roman" w:cs="Times New Roman"/>
        </w:rPr>
      </w:pPr>
      <w:r w:rsidRPr="00B9440A">
        <w:rPr>
          <w:rFonts w:ascii="Times New Roman" w:hAnsi="Times New Roman" w:cs="Times New Roman"/>
        </w:rPr>
        <w:t>On June 4, 2013</w:t>
      </w:r>
      <w:r w:rsidR="00F84FE9">
        <w:rPr>
          <w:rFonts w:ascii="Times New Roman" w:hAnsi="Times New Roman" w:cs="Times New Roman"/>
        </w:rPr>
        <w:t>,</w:t>
      </w:r>
      <w:r w:rsidRPr="00B9440A">
        <w:rPr>
          <w:rFonts w:ascii="Times New Roman" w:hAnsi="Times New Roman" w:cs="Times New Roman"/>
        </w:rPr>
        <w:t xml:space="preserve"> Respondent conducted a high-bill investigation at the service location which verified the</w:t>
      </w:r>
      <w:r w:rsidR="00F27F6F">
        <w:rPr>
          <w:rFonts w:ascii="Times New Roman" w:hAnsi="Times New Roman" w:cs="Times New Roman"/>
        </w:rPr>
        <w:t xml:space="preserve"> accuracy of the </w:t>
      </w:r>
      <w:r w:rsidRPr="00B9440A">
        <w:rPr>
          <w:rFonts w:ascii="Times New Roman" w:hAnsi="Times New Roman" w:cs="Times New Roman"/>
        </w:rPr>
        <w:t>meter readings provided by meter number 117903156, the new AMI meter.</w:t>
      </w:r>
      <w:r w:rsidR="00F27F6F">
        <w:rPr>
          <w:rFonts w:ascii="Times New Roman" w:hAnsi="Times New Roman" w:cs="Times New Roman"/>
        </w:rPr>
        <w:t xml:space="preserve">  </w:t>
      </w:r>
      <w:r w:rsidRPr="000D7C90">
        <w:rPr>
          <w:rFonts w:ascii="Times New Roman" w:hAnsi="Times New Roman" w:cs="Times New Roman"/>
        </w:rPr>
        <w:t xml:space="preserve">On June 4, 2013, Complainant declined the request by Respondent to test the off peak meter.  </w:t>
      </w:r>
    </w:p>
    <w:p w:rsidR="0095388B" w:rsidRPr="00E54DA3" w:rsidRDefault="0095388B" w:rsidP="0095388B">
      <w:pPr>
        <w:spacing w:line="360" w:lineRule="auto"/>
        <w:ind w:firstLine="1440"/>
        <w:rPr>
          <w:rFonts w:ascii="Times New Roman" w:hAnsi="Times New Roman" w:cs="Times New Roman"/>
          <w:b/>
        </w:rPr>
      </w:pPr>
    </w:p>
    <w:p w:rsidR="0095388B" w:rsidRPr="000D7C90" w:rsidRDefault="0095388B" w:rsidP="0095388B">
      <w:pPr>
        <w:spacing w:line="360" w:lineRule="auto"/>
        <w:ind w:firstLine="1440"/>
        <w:rPr>
          <w:rFonts w:ascii="Times New Roman" w:hAnsi="Times New Roman" w:cs="Times New Roman"/>
        </w:rPr>
      </w:pPr>
      <w:r w:rsidRPr="000D7C90">
        <w:rPr>
          <w:rFonts w:ascii="Times New Roman" w:hAnsi="Times New Roman" w:cs="Times New Roman"/>
        </w:rPr>
        <w:t>Respondent also performed a cost estimate or appliance analysis at the service address on June 4, 2013 which indicated the existence of a</w:t>
      </w:r>
      <w:r w:rsidR="00F27F6F">
        <w:rPr>
          <w:rFonts w:ascii="Times New Roman" w:hAnsi="Times New Roman" w:cs="Times New Roman"/>
        </w:rPr>
        <w:t>ppliances, including a</w:t>
      </w:r>
      <w:r w:rsidRPr="000D7C90">
        <w:rPr>
          <w:rFonts w:ascii="Times New Roman" w:hAnsi="Times New Roman" w:cs="Times New Roman"/>
        </w:rPr>
        <w:t xml:space="preserve"> refrigerator, upright freezer, electric range, microwave oven, coffee maker, toaster, fan, vacuum cleaner, electric washer, electric dryer, and a 1000-watt air conditioning unit.    </w:t>
      </w:r>
    </w:p>
    <w:p w:rsidR="0095388B" w:rsidRPr="000D7C90" w:rsidRDefault="0095388B" w:rsidP="0095388B">
      <w:pPr>
        <w:spacing w:line="360" w:lineRule="auto"/>
        <w:ind w:firstLine="1440"/>
        <w:rPr>
          <w:rFonts w:ascii="Times New Roman" w:hAnsi="Times New Roman" w:cs="Times New Roman"/>
        </w:rPr>
      </w:pPr>
    </w:p>
    <w:p w:rsidR="0095388B" w:rsidRPr="005321A3" w:rsidRDefault="0095388B" w:rsidP="0095388B">
      <w:pPr>
        <w:spacing w:line="360" w:lineRule="auto"/>
        <w:ind w:firstLine="1440"/>
        <w:rPr>
          <w:rFonts w:ascii="Times New Roman" w:hAnsi="Times New Roman" w:cs="Times New Roman"/>
        </w:rPr>
      </w:pPr>
      <w:r w:rsidRPr="005321A3">
        <w:rPr>
          <w:rFonts w:ascii="Times New Roman" w:hAnsi="Times New Roman" w:cs="Times New Roman"/>
        </w:rPr>
        <w:t>The</w:t>
      </w:r>
      <w:r>
        <w:rPr>
          <w:rFonts w:ascii="Times New Roman" w:hAnsi="Times New Roman" w:cs="Times New Roman"/>
          <w:b/>
        </w:rPr>
        <w:t xml:space="preserve"> </w:t>
      </w:r>
      <w:r w:rsidRPr="000D7C90">
        <w:rPr>
          <w:rFonts w:ascii="Times New Roman" w:hAnsi="Times New Roman" w:cs="Times New Roman"/>
        </w:rPr>
        <w:t xml:space="preserve">cost estimate or appliance analysis </w:t>
      </w:r>
      <w:r>
        <w:rPr>
          <w:rFonts w:ascii="Times New Roman" w:hAnsi="Times New Roman" w:cs="Times New Roman"/>
        </w:rPr>
        <w:t>indicated a potential usage in the summer months of 1,242 kilowatt hours and 3,707 in the winter months</w:t>
      </w:r>
      <w:r w:rsidR="00F27F6F">
        <w:rPr>
          <w:rFonts w:ascii="Times New Roman" w:hAnsi="Times New Roman" w:cs="Times New Roman"/>
        </w:rPr>
        <w:t xml:space="preserve">.  </w:t>
      </w:r>
      <w:r>
        <w:rPr>
          <w:rFonts w:ascii="Times New Roman" w:hAnsi="Times New Roman" w:cs="Times New Roman"/>
        </w:rPr>
        <w:t>Complainant was billed for</w:t>
      </w:r>
      <w:r w:rsidR="00F27F6F">
        <w:rPr>
          <w:rFonts w:ascii="Times New Roman" w:hAnsi="Times New Roman" w:cs="Times New Roman"/>
        </w:rPr>
        <w:t xml:space="preserve"> </w:t>
      </w:r>
      <w:r>
        <w:rPr>
          <w:rFonts w:ascii="Times New Roman" w:hAnsi="Times New Roman" w:cs="Times New Roman"/>
        </w:rPr>
        <w:t>755</w:t>
      </w:r>
      <w:r w:rsidR="00767254">
        <w:rPr>
          <w:rFonts w:ascii="Times New Roman" w:hAnsi="Times New Roman" w:cs="Times New Roman"/>
        </w:rPr>
        <w:t> </w:t>
      </w:r>
      <w:r>
        <w:rPr>
          <w:rFonts w:ascii="Times New Roman" w:hAnsi="Times New Roman" w:cs="Times New Roman"/>
        </w:rPr>
        <w:t>kilowatt hours for the billing period from December 18, 2013 through January 22, 2014, indicating that the kilowatt hours billed were lower than the cost analysis</w:t>
      </w:r>
      <w:r w:rsidRPr="00E54DA3">
        <w:rPr>
          <w:rFonts w:ascii="Times New Roman" w:hAnsi="Times New Roman" w:cs="Times New Roman"/>
          <w:b/>
        </w:rPr>
        <w:t xml:space="preserve">.  </w:t>
      </w:r>
      <w:r w:rsidRPr="005321A3">
        <w:rPr>
          <w:rFonts w:ascii="Times New Roman" w:hAnsi="Times New Roman" w:cs="Times New Roman"/>
        </w:rPr>
        <w:t xml:space="preserve">  </w:t>
      </w:r>
    </w:p>
    <w:p w:rsidR="001F7A00" w:rsidRDefault="001F7A00" w:rsidP="001F7A00">
      <w:pPr>
        <w:pStyle w:val="NormalWeb"/>
        <w:spacing w:before="0" w:beforeAutospacing="0" w:after="0" w:afterAutospacing="0"/>
        <w:ind w:firstLine="720"/>
      </w:pPr>
      <w:r>
        <w:tab/>
      </w:r>
    </w:p>
    <w:p w:rsidR="000351BB" w:rsidRDefault="001F7A00" w:rsidP="000351BB">
      <w:pPr>
        <w:pStyle w:val="NormalWeb"/>
        <w:spacing w:line="360" w:lineRule="auto"/>
        <w:ind w:firstLine="720"/>
      </w:pPr>
      <w:r>
        <w:tab/>
      </w:r>
      <w:r w:rsidR="0095388B" w:rsidRPr="004D6D78">
        <w:t xml:space="preserve">Respondent visited the service address again on July 17, 2013 and performed a physical instrument test on the </w:t>
      </w:r>
      <w:r w:rsidR="00F27F6F">
        <w:t>meter measuring peak usage</w:t>
      </w:r>
      <w:r w:rsidR="0095388B" w:rsidRPr="004D6D78">
        <w:t>.  On a full load, the meter tested at 99.9</w:t>
      </w:r>
      <w:r w:rsidR="00767254">
        <w:t> </w:t>
      </w:r>
      <w:r w:rsidR="0095388B" w:rsidRPr="004D6D78">
        <w:t>percent and the light load tested at 99.0 percent and 100 percent, for an average of 99.9 percent</w:t>
      </w:r>
      <w:r w:rsidR="000351BB">
        <w:t xml:space="preserve">.  </w:t>
      </w:r>
      <w:r w:rsidR="000351BB" w:rsidRPr="000705C1">
        <w:t xml:space="preserve">The Public Utility Code provides that </w:t>
      </w:r>
      <w:r w:rsidR="000351BB">
        <w:t xml:space="preserve">no </w:t>
      </w:r>
      <w:proofErr w:type="spellStart"/>
      <w:r w:rsidR="000351BB">
        <w:t>watthour</w:t>
      </w:r>
      <w:proofErr w:type="spellEnd"/>
      <w:r w:rsidR="000351BB">
        <w:t xml:space="preserve"> meter which has an error in registration of more than 2.0% at light load or heavy load may be placed in service or allowed to remain in service without adjustment. </w:t>
      </w:r>
      <w:r w:rsidR="00C40A9C">
        <w:t xml:space="preserve"> </w:t>
      </w:r>
      <w:r w:rsidR="000351BB">
        <w:t xml:space="preserve">If, upon installation, periodic or other tests, a </w:t>
      </w:r>
      <w:proofErr w:type="spellStart"/>
      <w:r w:rsidR="000351BB">
        <w:t>watthour</w:t>
      </w:r>
      <w:proofErr w:type="spellEnd"/>
      <w:r w:rsidR="000351BB">
        <w:t xml:space="preserve"> meter is found to exceed these limits, it shall be adjusted or removed from service. </w:t>
      </w:r>
      <w:r w:rsidR="00C40A9C">
        <w:t xml:space="preserve"> </w:t>
      </w:r>
      <w:proofErr w:type="gramStart"/>
      <w:r w:rsidR="000351BB">
        <w:t xml:space="preserve">52 </w:t>
      </w:r>
      <w:proofErr w:type="spellStart"/>
      <w:r w:rsidR="000351BB">
        <w:t>Pa.Code</w:t>
      </w:r>
      <w:proofErr w:type="spellEnd"/>
      <w:r w:rsidR="000351BB">
        <w:t xml:space="preserve"> </w:t>
      </w:r>
      <w:r w:rsidR="000351BB" w:rsidRPr="00EC0D25">
        <w:t>§</w:t>
      </w:r>
      <w:r w:rsidR="00767254">
        <w:t> </w:t>
      </w:r>
      <w:r w:rsidR="000351BB">
        <w:t>57.20</w:t>
      </w:r>
      <w:r w:rsidR="00C40A9C">
        <w:t>(c).</w:t>
      </w:r>
      <w:proofErr w:type="gramEnd"/>
      <w:r w:rsidR="000351BB">
        <w:t xml:space="preserve">  The meter tests indicated the meter was recording correctly and</w:t>
      </w:r>
      <w:r w:rsidR="000351BB" w:rsidRPr="004D6D78">
        <w:t xml:space="preserve"> within the Commission guidelines.</w:t>
      </w:r>
    </w:p>
    <w:p w:rsidR="0095388B" w:rsidRPr="004D6D78" w:rsidRDefault="0095388B" w:rsidP="001F7A00">
      <w:pPr>
        <w:ind w:firstLine="1440"/>
        <w:rPr>
          <w:rFonts w:ascii="Times New Roman" w:hAnsi="Times New Roman" w:cs="Times New Roman"/>
        </w:rPr>
      </w:pPr>
    </w:p>
    <w:p w:rsidR="0095388B" w:rsidRDefault="0095388B" w:rsidP="0095388B">
      <w:pPr>
        <w:spacing w:line="360" w:lineRule="auto"/>
        <w:ind w:firstLine="1440"/>
        <w:rPr>
          <w:rFonts w:ascii="Times New Roman" w:hAnsi="Times New Roman" w:cs="Times New Roman"/>
        </w:rPr>
      </w:pPr>
      <w:r w:rsidRPr="004D6D78">
        <w:rPr>
          <w:rFonts w:ascii="Times New Roman" w:hAnsi="Times New Roman" w:cs="Times New Roman"/>
        </w:rPr>
        <w:t xml:space="preserve">Respondent </w:t>
      </w:r>
      <w:r w:rsidR="002D2B08">
        <w:rPr>
          <w:rFonts w:ascii="Times New Roman" w:hAnsi="Times New Roman" w:cs="Times New Roman"/>
        </w:rPr>
        <w:t xml:space="preserve">conducted a field visit at </w:t>
      </w:r>
      <w:r w:rsidRPr="004D6D78">
        <w:rPr>
          <w:rFonts w:ascii="Times New Roman" w:hAnsi="Times New Roman" w:cs="Times New Roman"/>
        </w:rPr>
        <w:t xml:space="preserve">the service address on </w:t>
      </w:r>
      <w:r>
        <w:rPr>
          <w:rFonts w:ascii="Times New Roman" w:hAnsi="Times New Roman" w:cs="Times New Roman"/>
        </w:rPr>
        <w:t>December 2, 2013</w:t>
      </w:r>
      <w:r w:rsidR="002D2B08">
        <w:rPr>
          <w:rFonts w:ascii="Times New Roman" w:hAnsi="Times New Roman" w:cs="Times New Roman"/>
        </w:rPr>
        <w:t xml:space="preserve">.  </w:t>
      </w:r>
      <w:r>
        <w:rPr>
          <w:rFonts w:ascii="Times New Roman" w:hAnsi="Times New Roman" w:cs="Times New Roman"/>
        </w:rPr>
        <w:t>A test was performed on the off-peak meter while the hot water heater was running, showing a potential usage of 4,500 watts and actual usage of 4,320 watts, well within the acceptable range.  In addition, the peak meter was tested</w:t>
      </w:r>
      <w:r w:rsidR="002D2B08">
        <w:rPr>
          <w:rFonts w:ascii="Times New Roman" w:hAnsi="Times New Roman" w:cs="Times New Roman"/>
        </w:rPr>
        <w:t xml:space="preserve"> and was found to perform </w:t>
      </w:r>
      <w:r>
        <w:rPr>
          <w:rFonts w:ascii="Times New Roman" w:hAnsi="Times New Roman" w:cs="Times New Roman"/>
        </w:rPr>
        <w:t xml:space="preserve">within acceptable limits.  A cost </w:t>
      </w:r>
      <w:r>
        <w:rPr>
          <w:rFonts w:ascii="Times New Roman" w:hAnsi="Times New Roman" w:cs="Times New Roman"/>
        </w:rPr>
        <w:lastRenderedPageBreak/>
        <w:t>analysis or appliance analysis was also conducted, showing there were no issues with the</w:t>
      </w:r>
      <w:r w:rsidR="00F27F6F">
        <w:rPr>
          <w:rFonts w:ascii="Times New Roman" w:hAnsi="Times New Roman" w:cs="Times New Roman"/>
        </w:rPr>
        <w:t xml:space="preserve"> accuracy of the</w:t>
      </w:r>
      <w:r>
        <w:rPr>
          <w:rFonts w:ascii="Times New Roman" w:hAnsi="Times New Roman" w:cs="Times New Roman"/>
        </w:rPr>
        <w:t xml:space="preserve"> meters.  </w:t>
      </w:r>
      <w:r w:rsidRPr="004D6D78">
        <w:rPr>
          <w:rFonts w:ascii="Times New Roman" w:hAnsi="Times New Roman" w:cs="Times New Roman"/>
        </w:rPr>
        <w:t xml:space="preserve">  </w:t>
      </w:r>
    </w:p>
    <w:p w:rsidR="00E558A0" w:rsidRDefault="00E558A0" w:rsidP="0095388B">
      <w:pPr>
        <w:spacing w:line="360" w:lineRule="auto"/>
        <w:ind w:firstLine="1440"/>
        <w:rPr>
          <w:rFonts w:ascii="Times New Roman" w:hAnsi="Times New Roman" w:cs="Times New Roman"/>
        </w:rPr>
      </w:pPr>
    </w:p>
    <w:p w:rsidR="006D7F2E" w:rsidRDefault="000705C1" w:rsidP="00003383">
      <w:pPr>
        <w:pStyle w:val="NormalWeb"/>
        <w:spacing w:before="0" w:beforeAutospacing="0" w:after="0" w:afterAutospacing="0" w:line="360" w:lineRule="auto"/>
        <w:ind w:firstLine="720"/>
        <w:rPr>
          <w:spacing w:val="-3"/>
        </w:rPr>
      </w:pPr>
      <w:bookmarkStart w:id="0" w:name="57.20."/>
      <w:r>
        <w:t xml:space="preserve">            </w:t>
      </w:r>
      <w:bookmarkEnd w:id="0"/>
      <w:proofErr w:type="gramStart"/>
      <w:r w:rsidR="006D7F2E" w:rsidRPr="00FB448C">
        <w:t xml:space="preserve">As the party seeking </w:t>
      </w:r>
      <w:r w:rsidR="002D2B08">
        <w:t xml:space="preserve">relief </w:t>
      </w:r>
      <w:r w:rsidR="006D7F2E" w:rsidRPr="00FB448C">
        <w:t>fr</w:t>
      </w:r>
      <w:r w:rsidR="006D7F2E">
        <w:t>om th</w:t>
      </w:r>
      <w:r w:rsidR="00F27F6F">
        <w:t>e</w:t>
      </w:r>
      <w:r w:rsidR="006D7F2E">
        <w:t xml:space="preserve"> Commission, Complainant</w:t>
      </w:r>
      <w:r w:rsidR="006D7F2E" w:rsidRPr="00FB448C">
        <w:t xml:space="preserve"> bear</w:t>
      </w:r>
      <w:r w:rsidR="006D7F2E">
        <w:t>s</w:t>
      </w:r>
      <w:r w:rsidR="006D7F2E" w:rsidRPr="00FB448C">
        <w:t xml:space="preserve"> the burden of proving Respondent violated provisions of the Code or the Commission’s regulations in some fashion.</w:t>
      </w:r>
      <w:proofErr w:type="gramEnd"/>
      <w:r w:rsidR="006D7F2E" w:rsidRPr="00FB448C">
        <w:rPr>
          <w:rStyle w:val="FootnoteReference"/>
        </w:rPr>
        <w:footnoteReference w:id="2"/>
      </w:r>
      <w:r w:rsidR="006D7F2E" w:rsidRPr="00FB448C">
        <w:t xml:space="preserve">  </w:t>
      </w:r>
      <w:r w:rsidR="006D7F2E" w:rsidRPr="00FB448C">
        <w:rPr>
          <w:spacing w:val="-3"/>
        </w:rPr>
        <w:t xml:space="preserve">To establish a sufficient case and satisfy the </w:t>
      </w:r>
      <w:r w:rsidR="006D7F2E">
        <w:rPr>
          <w:spacing w:val="-3"/>
        </w:rPr>
        <w:t>burden of proof, Complainant</w:t>
      </w:r>
      <w:r w:rsidR="006D7F2E" w:rsidRPr="00FB448C">
        <w:rPr>
          <w:spacing w:val="-3"/>
        </w:rPr>
        <w:t xml:space="preserve"> must show the public utility is responsible or accountable for the problem described in the Complaint.</w:t>
      </w:r>
      <w:r w:rsidR="006D7F2E" w:rsidRPr="00FB448C">
        <w:rPr>
          <w:rStyle w:val="FootnoteReference"/>
          <w:spacing w:val="-3"/>
        </w:rPr>
        <w:footnoteReference w:id="3"/>
      </w:r>
      <w:r w:rsidR="006D7F2E" w:rsidRPr="00FB448C">
        <w:rPr>
          <w:spacing w:val="-3"/>
        </w:rPr>
        <w:t xml:space="preserve">  Such a showing must be by a preponderance of the evidence</w:t>
      </w:r>
      <w:r w:rsidR="006D7F2E">
        <w:rPr>
          <w:spacing w:val="-3"/>
        </w:rPr>
        <w:t>.</w:t>
      </w:r>
      <w:r w:rsidR="006D7F2E" w:rsidRPr="00FB448C">
        <w:rPr>
          <w:rStyle w:val="FootnoteReference"/>
          <w:spacing w:val="-3"/>
        </w:rPr>
        <w:footnoteReference w:id="4"/>
      </w:r>
      <w:r w:rsidR="006D7F2E">
        <w:rPr>
          <w:spacing w:val="-3"/>
        </w:rPr>
        <w:t xml:space="preserve">  Complainant</w:t>
      </w:r>
      <w:r w:rsidR="006D7F2E" w:rsidRPr="00FB448C">
        <w:rPr>
          <w:spacing w:val="-3"/>
        </w:rPr>
        <w:t xml:space="preserve"> can meet that burden if </w:t>
      </w:r>
      <w:r w:rsidR="00914C17">
        <w:rPr>
          <w:spacing w:val="-3"/>
        </w:rPr>
        <w:t>s</w:t>
      </w:r>
      <w:r w:rsidR="006D7F2E">
        <w:rPr>
          <w:spacing w:val="-3"/>
        </w:rPr>
        <w:t>he</w:t>
      </w:r>
      <w:r w:rsidR="006D7F2E" w:rsidRPr="00FB448C">
        <w:rPr>
          <w:spacing w:val="-3"/>
        </w:rPr>
        <w:t xml:space="preserve"> present</w:t>
      </w:r>
      <w:r w:rsidR="006D7F2E">
        <w:rPr>
          <w:spacing w:val="-3"/>
        </w:rPr>
        <w:t>s</w:t>
      </w:r>
      <w:r w:rsidR="006D7F2E" w:rsidRPr="00FB448C">
        <w:rPr>
          <w:spacing w:val="-3"/>
        </w:rPr>
        <w:t xml:space="preserve"> evidence more convincing, by even the smallest amount, than that evidence presented by Respondent.</w:t>
      </w:r>
      <w:r w:rsidR="006D7F2E" w:rsidRPr="00FB448C">
        <w:rPr>
          <w:rStyle w:val="FootnoteReference"/>
          <w:spacing w:val="-3"/>
        </w:rPr>
        <w:footnoteReference w:id="5"/>
      </w:r>
      <w:r w:rsidR="006D7F2E" w:rsidRPr="00FB448C">
        <w:rPr>
          <w:spacing w:val="-3"/>
        </w:rPr>
        <w:t xml:space="preserve">  </w:t>
      </w:r>
    </w:p>
    <w:p w:rsidR="00003383" w:rsidRDefault="00003383" w:rsidP="00003383">
      <w:pPr>
        <w:pStyle w:val="NormalWeb"/>
        <w:spacing w:before="0" w:beforeAutospacing="0" w:after="0" w:afterAutospacing="0" w:line="360" w:lineRule="auto"/>
        <w:ind w:firstLine="720"/>
        <w:rPr>
          <w:spacing w:val="-3"/>
        </w:rPr>
      </w:pPr>
    </w:p>
    <w:p w:rsidR="006D7F2E" w:rsidRPr="00AC0C72" w:rsidRDefault="006D7F2E" w:rsidP="00F27F6F">
      <w:pPr>
        <w:tabs>
          <w:tab w:val="left" w:pos="-1440"/>
          <w:tab w:val="left" w:pos="-720"/>
        </w:tabs>
        <w:suppressAutoHyphens/>
        <w:spacing w:line="360" w:lineRule="auto"/>
      </w:pPr>
      <w:r>
        <w:tab/>
      </w:r>
      <w:r>
        <w:tab/>
      </w:r>
      <w:r w:rsidRPr="00AC0C72">
        <w:t xml:space="preserve">Complainant’s burden of proof regarding the alleged billing dispute is governed by </w:t>
      </w:r>
      <w:r w:rsidRPr="00F84FE9">
        <w:rPr>
          <w:i/>
        </w:rPr>
        <w:t>Waldron v. Philadelphia Electric Co.,</w:t>
      </w:r>
      <w:r w:rsidRPr="00AC0C72">
        <w:t xml:space="preserve"> 54 Pa. PUC 98 (</w:t>
      </w:r>
      <w:r w:rsidR="00F84FE9">
        <w:t>Opinion and Order entered March</w:t>
      </w:r>
      <w:r w:rsidR="009F38BB">
        <w:t> </w:t>
      </w:r>
      <w:r w:rsidR="00F84FE9">
        <w:t xml:space="preserve">14, </w:t>
      </w:r>
      <w:r w:rsidRPr="00AC0C72">
        <w:t>1980)</w:t>
      </w:r>
      <w:r>
        <w:t>.</w:t>
      </w:r>
      <w:r w:rsidRPr="00AC0C72">
        <w:t xml:space="preserve">  In </w:t>
      </w:r>
      <w:r w:rsidRPr="00F84FE9">
        <w:rPr>
          <w:i/>
        </w:rPr>
        <w:t>Waldron,</w:t>
      </w:r>
      <w:r w:rsidRPr="00AC0C72">
        <w:t xml:space="preserve"> the Commission concluded that a complainant may establish a </w:t>
      </w:r>
      <w:r w:rsidRPr="00AC0C72">
        <w:rPr>
          <w:i/>
        </w:rPr>
        <w:t>prima facie</w:t>
      </w:r>
      <w:r w:rsidRPr="00AC0C72">
        <w:t xml:space="preserve"> case by showing that:  (1) the number of occupants of the household has not changed; (2) the potential for energy utilization is low; and (3) the prior billing history shows no </w:t>
      </w:r>
      <w:r>
        <w:t xml:space="preserve">previous abnormalities.  If </w:t>
      </w:r>
      <w:r w:rsidRPr="00AC0C72">
        <w:t xml:space="preserve">Complainant has submitted such evidence, the burden of going forward with evidence shifts to Respondent.  If </w:t>
      </w:r>
      <w:r>
        <w:t xml:space="preserve">Respondent fails to rebut </w:t>
      </w:r>
      <w:r w:rsidRPr="00AC0C72">
        <w:t>C</w:t>
      </w:r>
      <w:r>
        <w:t xml:space="preserve">omplainant’s evidence, then </w:t>
      </w:r>
      <w:r w:rsidRPr="00AC0C72">
        <w:t>Complainant would prevail.  If Respondent places into t</w:t>
      </w:r>
      <w:r>
        <w:t xml:space="preserve">he record evidence to rebut </w:t>
      </w:r>
      <w:r w:rsidRPr="00AC0C72">
        <w:t xml:space="preserve">Complainant’s </w:t>
      </w:r>
      <w:r w:rsidRPr="00AC0C72">
        <w:rPr>
          <w:i/>
        </w:rPr>
        <w:t xml:space="preserve">prima facie </w:t>
      </w:r>
      <w:r w:rsidRPr="00AC0C72">
        <w:t xml:space="preserve">case, the burden of going forward with </w:t>
      </w:r>
      <w:r>
        <w:t xml:space="preserve">the evidence shifts back to </w:t>
      </w:r>
      <w:r w:rsidRPr="00AC0C72">
        <w:t>Complainant.  In order to s</w:t>
      </w:r>
      <w:r>
        <w:t>atisfy the burden of proof, Complainant must rebut</w:t>
      </w:r>
      <w:r w:rsidRPr="00AC0C72">
        <w:t xml:space="preserve"> Respondent’s evidence by a preponderance of the evidence.  Although the burden of going forward with the evidence may shift from one party to another during a proceeding, the </w:t>
      </w:r>
      <w:r w:rsidR="00257730">
        <w:lastRenderedPageBreak/>
        <w:t>“</w:t>
      </w:r>
      <w:r w:rsidRPr="00AC0C72">
        <w:t>burden of proof</w:t>
      </w:r>
      <w:r w:rsidR="00257730">
        <w:t>”</w:t>
      </w:r>
      <w:r w:rsidRPr="00AC0C72">
        <w:t xml:space="preserve"> never sh</w:t>
      </w:r>
      <w:r>
        <w:t xml:space="preserve">ifts.  It always remains on </w:t>
      </w:r>
      <w:r w:rsidRPr="00AC0C72">
        <w:t xml:space="preserve">Complainant.  </w:t>
      </w:r>
      <w:proofErr w:type="spellStart"/>
      <w:proofErr w:type="gramStart"/>
      <w:r w:rsidRPr="00F84FE9">
        <w:rPr>
          <w:i/>
        </w:rPr>
        <w:t>Replogle</w:t>
      </w:r>
      <w:proofErr w:type="spellEnd"/>
      <w:r w:rsidRPr="00F84FE9">
        <w:rPr>
          <w:i/>
        </w:rPr>
        <w:t xml:space="preserve"> v. Pennsylvania Electric Co.,</w:t>
      </w:r>
      <w:r w:rsidRPr="00AC0C72">
        <w:t xml:space="preserve"> 54 Pa. PUC 528 (1980)</w:t>
      </w:r>
      <w:r>
        <w:t>.</w:t>
      </w:r>
      <w:proofErr w:type="gramEnd"/>
    </w:p>
    <w:p w:rsidR="00E91D2A" w:rsidRDefault="00E91D2A" w:rsidP="00F27F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pPr>
    </w:p>
    <w:p w:rsidR="006D7F2E" w:rsidRPr="00AC0C72" w:rsidRDefault="006D7F2E" w:rsidP="00F27F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pPr>
      <w:r w:rsidRPr="00AC0C72">
        <w:t xml:space="preserve">The Commonwealth Court broadened the Commission’s ruling in </w:t>
      </w:r>
      <w:r w:rsidRPr="00F84FE9">
        <w:rPr>
          <w:i/>
        </w:rPr>
        <w:t>Waldron</w:t>
      </w:r>
      <w:r w:rsidRPr="00AC0C72">
        <w:t xml:space="preserve"> in </w:t>
      </w:r>
      <w:proofErr w:type="spellStart"/>
      <w:r w:rsidRPr="00F84FE9">
        <w:rPr>
          <w:i/>
        </w:rPr>
        <w:t>Milkie</w:t>
      </w:r>
      <w:proofErr w:type="spellEnd"/>
      <w:r w:rsidRPr="00F84FE9">
        <w:rPr>
          <w:i/>
        </w:rPr>
        <w:t xml:space="preserve"> v. Pa. Pub. </w:t>
      </w:r>
      <w:proofErr w:type="gramStart"/>
      <w:r w:rsidRPr="00F84FE9">
        <w:rPr>
          <w:i/>
        </w:rPr>
        <w:t xml:space="preserve">Util. </w:t>
      </w:r>
      <w:proofErr w:type="spellStart"/>
      <w:r w:rsidRPr="00F84FE9">
        <w:rPr>
          <w:i/>
        </w:rPr>
        <w:t>Comm’n</w:t>
      </w:r>
      <w:proofErr w:type="spellEnd"/>
      <w:r w:rsidRPr="00F84FE9">
        <w:rPr>
          <w:i/>
        </w:rPr>
        <w:t>,</w:t>
      </w:r>
      <w:r>
        <w:t xml:space="preserve"> 768 A.2d 1217 (</w:t>
      </w:r>
      <w:proofErr w:type="spellStart"/>
      <w:r>
        <w:t>Pa.</w:t>
      </w:r>
      <w:r w:rsidRPr="00AC0C72">
        <w:t>Cmwlth</w:t>
      </w:r>
      <w:proofErr w:type="spellEnd"/>
      <w:r w:rsidRPr="00AC0C72">
        <w:t>. 2001) (</w:t>
      </w:r>
      <w:proofErr w:type="spellStart"/>
      <w:r w:rsidRPr="00AC0C72">
        <w:rPr>
          <w:u w:val="single"/>
        </w:rPr>
        <w:t>Milkie</w:t>
      </w:r>
      <w:proofErr w:type="spellEnd"/>
      <w:r w:rsidRPr="00AC0C72">
        <w:t>).</w:t>
      </w:r>
      <w:proofErr w:type="gramEnd"/>
      <w:r w:rsidRPr="00AC0C72">
        <w:t xml:space="preserve">  The Commonwealth Court held that the Co</w:t>
      </w:r>
      <w:r>
        <w:t xml:space="preserve">mmission’s requirement that </w:t>
      </w:r>
      <w:r w:rsidRPr="00AC0C72">
        <w:t xml:space="preserve">Complainant must establish certain specific elements in order to make out a </w:t>
      </w:r>
      <w:r w:rsidRPr="00AC0C72">
        <w:rPr>
          <w:i/>
        </w:rPr>
        <w:t>prima facie</w:t>
      </w:r>
      <w:r w:rsidRPr="00AC0C72">
        <w:t xml:space="preserve"> case was too restrictive.  The Commonwealth Court ruled that even where the utility has presented evidence that it has tested the customer’s meter and found it to be </w:t>
      </w:r>
      <w:proofErr w:type="gramStart"/>
      <w:r w:rsidRPr="00AC0C72">
        <w:t>accurate</w:t>
      </w:r>
      <w:r>
        <w:t>,</w:t>
      </w:r>
      <w:proofErr w:type="gramEnd"/>
      <w:r w:rsidRPr="00AC0C72">
        <w:t xml:space="preserve"> the customer may prove his or her case by circumstantial evidence that the metered usage exceeded actual usage.  The Commission may consider the billing history of the account, any change in usage pattern or any other relevant facts or circumstances that come to light during the proceeding.  </w:t>
      </w:r>
      <w:proofErr w:type="gramStart"/>
      <w:r w:rsidRPr="00F84FE9">
        <w:rPr>
          <w:i/>
        </w:rPr>
        <w:t>Bennett v.</w:t>
      </w:r>
      <w:proofErr w:type="gramEnd"/>
      <w:r w:rsidRPr="00F84FE9">
        <w:rPr>
          <w:i/>
        </w:rPr>
        <w:t xml:space="preserve"> The Peoples Natural Gas Company, LLC,</w:t>
      </w:r>
      <w:r w:rsidRPr="00AC0C72">
        <w:t xml:space="preserve"> Docket No. C-2009-2122979 (</w:t>
      </w:r>
      <w:r>
        <w:t xml:space="preserve">Opinion and </w:t>
      </w:r>
      <w:r w:rsidRPr="00AC0C72">
        <w:t>Order entered</w:t>
      </w:r>
      <w:r w:rsidR="00E91D2A">
        <w:t xml:space="preserve"> </w:t>
      </w:r>
      <w:r w:rsidRPr="00AC0C72">
        <w:t xml:space="preserve">October 13, 2010); </w:t>
      </w:r>
      <w:r w:rsidRPr="00F84FE9">
        <w:rPr>
          <w:i/>
        </w:rPr>
        <w:t>Thomas v</w:t>
      </w:r>
      <w:r w:rsidR="001F493A">
        <w:rPr>
          <w:i/>
        </w:rPr>
        <w:t>.</w:t>
      </w:r>
      <w:r w:rsidRPr="00F84FE9">
        <w:rPr>
          <w:i/>
        </w:rPr>
        <w:t xml:space="preserve"> PECO Energy Company</w:t>
      </w:r>
      <w:r w:rsidRPr="00AC0C72">
        <w:t>, Docket No. C-2010-2187197 (</w:t>
      </w:r>
      <w:r>
        <w:t xml:space="preserve">Opinion and </w:t>
      </w:r>
      <w:r w:rsidRPr="00AC0C72">
        <w:t>Order entered November 15, 2011)</w:t>
      </w:r>
      <w:r>
        <w:t xml:space="preserve">.  This rule protects </w:t>
      </w:r>
      <w:r w:rsidRPr="00AC0C72">
        <w:t xml:space="preserve">Complainant from dismissal because of </w:t>
      </w:r>
      <w:r>
        <w:t xml:space="preserve">an </w:t>
      </w:r>
      <w:r w:rsidRPr="00AC0C72">
        <w:t xml:space="preserve">inability to produce direct proof that the meter malfunctioned.  </w:t>
      </w:r>
    </w:p>
    <w:p w:rsidR="006D7F2E" w:rsidRPr="00AC0C72" w:rsidRDefault="006D7F2E" w:rsidP="00F27F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pPr>
    </w:p>
    <w:p w:rsidR="006D7F2E" w:rsidRPr="00F84FE9" w:rsidRDefault="006D7F2E" w:rsidP="00F27F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1440"/>
        <w:rPr>
          <w:i/>
        </w:rPr>
      </w:pPr>
      <w:r w:rsidRPr="00AC0C72">
        <w:t xml:space="preserve">As noted </w:t>
      </w:r>
      <w:r w:rsidRPr="004605D5">
        <w:rPr>
          <w:rFonts w:ascii="Times New Roman" w:hAnsi="Times New Roman" w:cs="Times New Roman"/>
        </w:rPr>
        <w:t>above</w:t>
      </w:r>
      <w:r w:rsidRPr="00AC0C72">
        <w:t xml:space="preserve">, the burden of proof </w:t>
      </w:r>
      <w:r>
        <w:t xml:space="preserve">always remains with </w:t>
      </w:r>
      <w:r w:rsidRPr="00AC0C72">
        <w:t>Complainant and if the utility presents evidence that is co-equa</w:t>
      </w:r>
      <w:r>
        <w:t xml:space="preserve">l or greater in weight than </w:t>
      </w:r>
      <w:r w:rsidRPr="00AC0C72">
        <w:t>Complainant’s, Complainant will not have met h</w:t>
      </w:r>
      <w:r w:rsidR="00914C17">
        <w:t>er</w:t>
      </w:r>
      <w:r w:rsidRPr="00AC0C72">
        <w:t xml:space="preserve"> burden of proof.  The Commonwealth Court in </w:t>
      </w:r>
      <w:proofErr w:type="spellStart"/>
      <w:r w:rsidRPr="00F84FE9">
        <w:rPr>
          <w:i/>
        </w:rPr>
        <w:t>Milkie</w:t>
      </w:r>
      <w:proofErr w:type="spellEnd"/>
      <w:r w:rsidRPr="00AC0C72">
        <w:t xml:space="preserve"> emphasized that the mere proof by the utility that its measuring devices are accurate is no longer the sole determinant of whether there is</w:t>
      </w:r>
      <w:r>
        <w:t xml:space="preserve"> a basis to a complaint of over</w:t>
      </w:r>
      <w:r w:rsidRPr="00AC0C72">
        <w:t xml:space="preserve">billing.  </w:t>
      </w:r>
      <w:proofErr w:type="gramStart"/>
      <w:r w:rsidRPr="00F84FE9">
        <w:rPr>
          <w:i/>
        </w:rPr>
        <w:t>Burleson v. Pa. Pub.</w:t>
      </w:r>
      <w:proofErr w:type="gramEnd"/>
      <w:r w:rsidRPr="00F84FE9">
        <w:rPr>
          <w:i/>
        </w:rPr>
        <w:t xml:space="preserve"> </w:t>
      </w:r>
      <w:proofErr w:type="gramStart"/>
      <w:r w:rsidRPr="00F84FE9">
        <w:rPr>
          <w:i/>
        </w:rPr>
        <w:t xml:space="preserve">Util. </w:t>
      </w:r>
      <w:proofErr w:type="spellStart"/>
      <w:r w:rsidRPr="00F84FE9">
        <w:rPr>
          <w:i/>
        </w:rPr>
        <w:t>Comm’n</w:t>
      </w:r>
      <w:proofErr w:type="spellEnd"/>
      <w:r w:rsidRPr="00F84FE9">
        <w:rPr>
          <w:i/>
        </w:rPr>
        <w:t xml:space="preserve">, </w:t>
      </w:r>
      <w:r w:rsidRPr="001F493A">
        <w:t>461 A.2d 1234 (Pa. 1983)</w:t>
      </w:r>
      <w:r w:rsidR="00F84FE9" w:rsidRPr="001F493A">
        <w:t>.</w:t>
      </w:r>
      <w:proofErr w:type="gramEnd"/>
      <w:r w:rsidRPr="00F84FE9">
        <w:rPr>
          <w:i/>
        </w:rPr>
        <w:t xml:space="preserve">  </w:t>
      </w:r>
    </w:p>
    <w:p w:rsidR="006D7F2E" w:rsidRPr="00F84FE9" w:rsidRDefault="006D7F2E" w:rsidP="00F27F6F">
      <w:pPr>
        <w:spacing w:line="360" w:lineRule="auto"/>
        <w:rPr>
          <w:i/>
        </w:rPr>
      </w:pPr>
      <w:r w:rsidRPr="00F84FE9">
        <w:rPr>
          <w:i/>
        </w:rPr>
        <w:tab/>
      </w:r>
      <w:r w:rsidRPr="00F84FE9">
        <w:rPr>
          <w:i/>
        </w:rPr>
        <w:tab/>
      </w:r>
    </w:p>
    <w:p w:rsidR="006D7F2E" w:rsidRPr="00B73D10" w:rsidRDefault="006D7F2E" w:rsidP="00F27F6F">
      <w:pPr>
        <w:tabs>
          <w:tab w:val="left" w:pos="-1440"/>
          <w:tab w:val="left" w:pos="-720"/>
        </w:tabs>
        <w:suppressAutoHyphens/>
        <w:spacing w:line="360" w:lineRule="auto"/>
      </w:pPr>
      <w:r>
        <w:tab/>
      </w:r>
      <w:r>
        <w:tab/>
        <w:t>T</w:t>
      </w:r>
      <w:r w:rsidRPr="00B73D10">
        <w:t xml:space="preserve">he Commission restated its position for the purpose of clarifying the </w:t>
      </w:r>
      <w:r w:rsidRPr="00F84FE9">
        <w:rPr>
          <w:i/>
        </w:rPr>
        <w:t>Waldron</w:t>
      </w:r>
      <w:r w:rsidRPr="00B73D10">
        <w:t xml:space="preserve"> test</w:t>
      </w:r>
      <w:r>
        <w:t xml:space="preserve"> in </w:t>
      </w:r>
      <w:r w:rsidRPr="00F84FE9">
        <w:rPr>
          <w:i/>
        </w:rPr>
        <w:t>Bennett v. The Peoples Natural Gas Company, LLC</w:t>
      </w:r>
      <w:r w:rsidRPr="00B73D10">
        <w:t>, Docket No. C-2009-2122979 (Opinion and Order entered October 13, 2010)</w:t>
      </w:r>
      <w:r>
        <w:t xml:space="preserve"> (</w:t>
      </w:r>
      <w:r w:rsidRPr="00C7180D">
        <w:rPr>
          <w:i/>
        </w:rPr>
        <w:t>Bennett</w:t>
      </w:r>
      <w:r>
        <w:t xml:space="preserve">).  </w:t>
      </w:r>
      <w:r w:rsidRPr="00B73D10">
        <w:t xml:space="preserve">In </w:t>
      </w:r>
      <w:r w:rsidRPr="00C7180D">
        <w:rPr>
          <w:i/>
        </w:rPr>
        <w:t>Bennett</w:t>
      </w:r>
      <w:r w:rsidRPr="00B73D10">
        <w:t>, the Commission stated:</w:t>
      </w:r>
    </w:p>
    <w:p w:rsidR="006D7F2E" w:rsidRDefault="006D7F2E" w:rsidP="006D7F2E">
      <w:pPr>
        <w:ind w:left="1440" w:right="1440"/>
      </w:pPr>
    </w:p>
    <w:p w:rsidR="006D7F2E" w:rsidRPr="00B73D10" w:rsidRDefault="006D7F2E" w:rsidP="006D7F2E">
      <w:pPr>
        <w:ind w:left="1440" w:right="1440"/>
      </w:pPr>
      <w:r w:rsidRPr="00B73D10">
        <w:t xml:space="preserve">While a comparison of the disputed monthly bill to the Complainant’s billing history and the consistency of her usage pattern are important criteria to consider, they alone do not </w:t>
      </w:r>
      <w:r w:rsidRPr="00B73D10">
        <w:lastRenderedPageBreak/>
        <w:t xml:space="preserve">resolve the issue of the Complainant’s disputed high bill….  Also, this interpretation does not allow for other relevant facts or circumstances with probative value to be considered as evidence supportive of a high bill complaint.  </w:t>
      </w:r>
      <w:r w:rsidRPr="00C7180D">
        <w:rPr>
          <w:i/>
        </w:rPr>
        <w:t xml:space="preserve">Waldron </w:t>
      </w:r>
      <w:r w:rsidRPr="00B73D10">
        <w:t xml:space="preserve">does not limit the establishment of a </w:t>
      </w:r>
      <w:r w:rsidRPr="00B73D10">
        <w:rPr>
          <w:i/>
        </w:rPr>
        <w:t>prima facie</w:t>
      </w:r>
      <w:r w:rsidRPr="00B73D10">
        <w:t xml:space="preserve"> case to the above two elements alone.  Rather, the Commission may consider the billing history of the account, any change in usage patterns (such as a change in the number of occupants residing in the household or potential energy utilization), </w:t>
      </w:r>
      <w:r w:rsidRPr="00B73D10">
        <w:rPr>
          <w:i/>
        </w:rPr>
        <w:t>and</w:t>
      </w:r>
      <w:r w:rsidRPr="00B73D10">
        <w:rPr>
          <w:b/>
        </w:rPr>
        <w:t xml:space="preserve"> </w:t>
      </w:r>
      <w:r w:rsidRPr="00B73D10">
        <w:t>any other relevant facts or circumstances that come to light during the proceeding.</w:t>
      </w:r>
    </w:p>
    <w:p w:rsidR="006D7F2E" w:rsidRDefault="006D7F2E" w:rsidP="006D7F2E">
      <w:pPr>
        <w:tabs>
          <w:tab w:val="left" w:pos="-1440"/>
          <w:tab w:val="left" w:pos="-720"/>
        </w:tabs>
        <w:suppressAutoHyphens/>
        <w:rPr>
          <w:u w:val="single"/>
        </w:rPr>
      </w:pPr>
    </w:p>
    <w:p w:rsidR="006D7F2E" w:rsidRDefault="006D7F2E" w:rsidP="0065285C">
      <w:pPr>
        <w:tabs>
          <w:tab w:val="left" w:pos="-1440"/>
          <w:tab w:val="left" w:pos="-720"/>
        </w:tabs>
        <w:suppressAutoHyphens/>
        <w:spacing w:line="360" w:lineRule="auto"/>
      </w:pPr>
      <w:r w:rsidRPr="00C7180D">
        <w:rPr>
          <w:i/>
        </w:rPr>
        <w:t>Bennett</w:t>
      </w:r>
      <w:r w:rsidRPr="00B73D10">
        <w:t>, Opinion and Order entered October 13, 2010, p. 6 (emphasis in the original).</w:t>
      </w:r>
    </w:p>
    <w:p w:rsidR="0065285C" w:rsidRDefault="0065285C" w:rsidP="0065285C">
      <w:pPr>
        <w:tabs>
          <w:tab w:val="left" w:pos="-1440"/>
          <w:tab w:val="left" w:pos="-720"/>
        </w:tabs>
        <w:suppressAutoHyphens/>
        <w:spacing w:line="360" w:lineRule="auto"/>
      </w:pPr>
    </w:p>
    <w:p w:rsidR="006D7F2E" w:rsidRDefault="006D7F2E" w:rsidP="0065285C">
      <w:pPr>
        <w:tabs>
          <w:tab w:val="left" w:pos="-1440"/>
          <w:tab w:val="left" w:pos="-720"/>
        </w:tabs>
        <w:suppressAutoHyphens/>
        <w:spacing w:line="360" w:lineRule="auto"/>
      </w:pPr>
      <w:r>
        <w:tab/>
      </w:r>
      <w:r>
        <w:tab/>
      </w:r>
      <w:proofErr w:type="gramStart"/>
      <w:r>
        <w:t xml:space="preserve">More recently, in </w:t>
      </w:r>
      <w:r w:rsidRPr="00C7180D">
        <w:rPr>
          <w:i/>
        </w:rPr>
        <w:t>Thomas v. PECO Energy Company</w:t>
      </w:r>
      <w:r>
        <w:t xml:space="preserve">, </w:t>
      </w:r>
      <w:r w:rsidRPr="00B73D10">
        <w:t>Docket No.</w:t>
      </w:r>
      <w:proofErr w:type="gramEnd"/>
      <w:r w:rsidRPr="00B73D10">
        <w:t xml:space="preserve"> C-</w:t>
      </w:r>
      <w:r>
        <w:t>2010-2187197</w:t>
      </w:r>
      <w:r w:rsidRPr="00B73D10">
        <w:t xml:space="preserve"> (Opinion and Order entered </w:t>
      </w:r>
      <w:r>
        <w:t>November 15, 2011</w:t>
      </w:r>
      <w:r w:rsidRPr="00B73D10">
        <w:t>),</w:t>
      </w:r>
      <w:r>
        <w:t xml:space="preserve"> the Commission reaffirmed its position in </w:t>
      </w:r>
      <w:r w:rsidRPr="00C7180D">
        <w:rPr>
          <w:i/>
        </w:rPr>
        <w:t>Bennett,</w:t>
      </w:r>
      <w:r>
        <w:t xml:space="preserve"> supra, when it specified:</w:t>
      </w:r>
    </w:p>
    <w:p w:rsidR="006D7F2E" w:rsidRDefault="006D7F2E" w:rsidP="006D7F2E">
      <w:pPr>
        <w:tabs>
          <w:tab w:val="left" w:pos="-1440"/>
          <w:tab w:val="left" w:pos="-720"/>
        </w:tabs>
        <w:suppressAutoHyphens/>
        <w:ind w:left="1440" w:right="1440"/>
      </w:pPr>
    </w:p>
    <w:p w:rsidR="006D7F2E" w:rsidRPr="00174631" w:rsidRDefault="006D7F2E" w:rsidP="006D7F2E">
      <w:pPr>
        <w:tabs>
          <w:tab w:val="left" w:pos="-1440"/>
          <w:tab w:val="left" w:pos="-720"/>
        </w:tabs>
        <w:suppressAutoHyphens/>
        <w:ind w:left="1440" w:right="1440"/>
      </w:pPr>
      <w:r>
        <w:t xml:space="preserve">[T]he Waldron Rule allows a Complainant to establish a prima facie case in a “high bill” complaint by showing that the disputed bill is abnormally high when compared to prior usage patterns and his or her pattern of usage has not changed </w:t>
      </w:r>
      <w:r>
        <w:rPr>
          <w:i/>
        </w:rPr>
        <w:t>or by providing other relevant evidence showing that the disputed bill is unreasonably high</w:t>
      </w:r>
      <w:r>
        <w:t xml:space="preserve">.  In evaluating a “high bill” complaint, the Commission may consider such evidence as the billing history of the account, any change in usage patterns (such as a change in the number of occupants residing in the household or potential energy utilization), </w:t>
      </w:r>
      <w:r>
        <w:rPr>
          <w:i/>
        </w:rPr>
        <w:t>and any other relevant facts or circumstances that come to light during the proceeding</w:t>
      </w:r>
      <w:r>
        <w:t xml:space="preserve">.  </w:t>
      </w:r>
      <w:proofErr w:type="gramStart"/>
      <w:r>
        <w:t>(Emphasis in original).</w:t>
      </w:r>
      <w:proofErr w:type="gramEnd"/>
    </w:p>
    <w:p w:rsidR="006D7F2E" w:rsidRDefault="006D7F2E" w:rsidP="006D7F2E">
      <w:pPr>
        <w:tabs>
          <w:tab w:val="left" w:pos="2160"/>
        </w:tabs>
        <w:ind w:right="1440" w:firstLine="1440"/>
      </w:pPr>
    </w:p>
    <w:p w:rsidR="007D4D1D" w:rsidRDefault="007D4D1D" w:rsidP="006D7F2E">
      <w:pPr>
        <w:tabs>
          <w:tab w:val="left" w:pos="2160"/>
        </w:tabs>
        <w:ind w:right="1440" w:firstLine="1440"/>
      </w:pPr>
    </w:p>
    <w:p w:rsidR="009205A1" w:rsidRDefault="006D7F2E" w:rsidP="009205A1">
      <w:pPr>
        <w:spacing w:line="360" w:lineRule="auto"/>
        <w:ind w:firstLine="1440"/>
        <w:rPr>
          <w:rFonts w:ascii="Times New Roman" w:hAnsi="Times New Roman" w:cs="Times New Roman"/>
        </w:rPr>
      </w:pPr>
      <w:r>
        <w:t>Complainant alleged</w:t>
      </w:r>
      <w:r w:rsidR="00C7180D">
        <w:t xml:space="preserve"> that</w:t>
      </w:r>
      <w:r>
        <w:t xml:space="preserve"> h</w:t>
      </w:r>
      <w:r w:rsidR="00914C17">
        <w:t>er</w:t>
      </w:r>
      <w:r>
        <w:t xml:space="preserve"> bills from </w:t>
      </w:r>
      <w:r w:rsidR="00914C17">
        <w:t xml:space="preserve">and after December of 2012 were </w:t>
      </w:r>
      <w:r>
        <w:t>excessive</w:t>
      </w:r>
      <w:r w:rsidRPr="00C7180D">
        <w:t>.</w:t>
      </w:r>
      <w:r w:rsidR="009205A1" w:rsidRPr="00C7180D">
        <w:t xml:space="preserve"> </w:t>
      </w:r>
      <w:r w:rsidRPr="00C7180D">
        <w:t xml:space="preserve"> </w:t>
      </w:r>
      <w:r w:rsidR="009205A1" w:rsidRPr="00461759">
        <w:rPr>
          <w:rFonts w:ascii="Times New Roman" w:hAnsi="Times New Roman" w:cs="Times New Roman"/>
        </w:rPr>
        <w:t>She alleged that from December of 2012 through March of 2013 her usage was alleged to be between 2,000 and 4,000 kilowatts each month and that she did not believe she was using that amount of electricity.</w:t>
      </w:r>
      <w:r w:rsidR="009205A1">
        <w:rPr>
          <w:rFonts w:ascii="Times New Roman" w:hAnsi="Times New Roman" w:cs="Times New Roman"/>
        </w:rPr>
        <w:t xml:space="preserve">  </w:t>
      </w:r>
      <w:r w:rsidR="00AA5B87" w:rsidRPr="00AA5B87">
        <w:rPr>
          <w:rFonts w:ascii="Times New Roman" w:hAnsi="Times New Roman" w:cs="Times New Roman"/>
        </w:rPr>
        <w:t>Ms. Brower failed to provide any evidence that her bills after December of 2012 were</w:t>
      </w:r>
      <w:r w:rsidR="00AA5B87">
        <w:rPr>
          <w:rFonts w:ascii="Times New Roman" w:hAnsi="Times New Roman" w:cs="Times New Roman"/>
          <w:b/>
        </w:rPr>
        <w:t xml:space="preserve"> </w:t>
      </w:r>
      <w:r w:rsidR="00AA5B87">
        <w:t>abnormally high when compared to prior usage patterns</w:t>
      </w:r>
      <w:r w:rsidR="009205A1">
        <w:t xml:space="preserve">.  </w:t>
      </w:r>
      <w:r w:rsidR="009205A1" w:rsidRPr="00461759">
        <w:rPr>
          <w:rFonts w:ascii="Times New Roman" w:hAnsi="Times New Roman" w:cs="Times New Roman"/>
        </w:rPr>
        <w:t xml:space="preserve">Complainant </w:t>
      </w:r>
      <w:r w:rsidR="009205A1">
        <w:rPr>
          <w:rFonts w:ascii="Times New Roman" w:hAnsi="Times New Roman" w:cs="Times New Roman"/>
        </w:rPr>
        <w:t xml:space="preserve">has </w:t>
      </w:r>
      <w:r w:rsidR="009205A1" w:rsidRPr="00461759">
        <w:rPr>
          <w:rFonts w:ascii="Times New Roman" w:hAnsi="Times New Roman" w:cs="Times New Roman"/>
        </w:rPr>
        <w:t>live</w:t>
      </w:r>
      <w:r w:rsidR="009205A1">
        <w:rPr>
          <w:rFonts w:ascii="Times New Roman" w:hAnsi="Times New Roman" w:cs="Times New Roman"/>
        </w:rPr>
        <w:t>d</w:t>
      </w:r>
      <w:r w:rsidR="009205A1" w:rsidRPr="00461759">
        <w:rPr>
          <w:rFonts w:ascii="Times New Roman" w:hAnsi="Times New Roman" w:cs="Times New Roman"/>
        </w:rPr>
        <w:t xml:space="preserve"> in the home with her daughter, and her brother </w:t>
      </w:r>
      <w:r w:rsidR="009205A1">
        <w:rPr>
          <w:rFonts w:ascii="Times New Roman" w:hAnsi="Times New Roman" w:cs="Times New Roman"/>
        </w:rPr>
        <w:t xml:space="preserve">consistently </w:t>
      </w:r>
      <w:r w:rsidR="009205A1" w:rsidRPr="00461759">
        <w:rPr>
          <w:rFonts w:ascii="Times New Roman" w:hAnsi="Times New Roman" w:cs="Times New Roman"/>
        </w:rPr>
        <w:t>frequent</w:t>
      </w:r>
      <w:r w:rsidR="009205A1">
        <w:rPr>
          <w:rFonts w:ascii="Times New Roman" w:hAnsi="Times New Roman" w:cs="Times New Roman"/>
        </w:rPr>
        <w:t>ed</w:t>
      </w:r>
      <w:r w:rsidR="009205A1" w:rsidRPr="00461759">
        <w:rPr>
          <w:rFonts w:ascii="Times New Roman" w:hAnsi="Times New Roman" w:cs="Times New Roman"/>
        </w:rPr>
        <w:t xml:space="preserve"> the home almost every day for approximately 12 to 13 hours a day. </w:t>
      </w:r>
      <w:r w:rsidR="009205A1">
        <w:t xml:space="preserve"> </w:t>
      </w:r>
      <w:r w:rsidR="009205A1" w:rsidRPr="00996194">
        <w:rPr>
          <w:rFonts w:ascii="Times New Roman" w:hAnsi="Times New Roman" w:cs="Times New Roman"/>
        </w:rPr>
        <w:t>Respondent investigated Ms. Brower’s complaint of high bills and determined that Complainant</w:t>
      </w:r>
      <w:r w:rsidR="009205A1">
        <w:rPr>
          <w:rFonts w:ascii="Times New Roman" w:hAnsi="Times New Roman" w:cs="Times New Roman"/>
        </w:rPr>
        <w:t xml:space="preserve">’s </w:t>
      </w:r>
      <w:r w:rsidR="009205A1" w:rsidRPr="00996194">
        <w:rPr>
          <w:rFonts w:ascii="Times New Roman" w:hAnsi="Times New Roman" w:cs="Times New Roman"/>
        </w:rPr>
        <w:t xml:space="preserve">usage increased during the winter </w:t>
      </w:r>
      <w:r w:rsidR="009205A1" w:rsidRPr="00996194">
        <w:rPr>
          <w:rFonts w:ascii="Times New Roman" w:hAnsi="Times New Roman" w:cs="Times New Roman"/>
        </w:rPr>
        <w:lastRenderedPageBreak/>
        <w:t>period and decreased during the summer time.</w:t>
      </w:r>
      <w:r w:rsidR="00A75368">
        <w:rPr>
          <w:rFonts w:ascii="Times New Roman" w:hAnsi="Times New Roman" w:cs="Times New Roman"/>
        </w:rPr>
        <w:t xml:space="preserve"> </w:t>
      </w:r>
      <w:r w:rsidR="009205A1">
        <w:rPr>
          <w:rFonts w:ascii="Times New Roman" w:hAnsi="Times New Roman" w:cs="Times New Roman"/>
        </w:rPr>
        <w:t xml:space="preserve"> Further, </w:t>
      </w:r>
      <w:r w:rsidR="009205A1" w:rsidRPr="001F6C01">
        <w:rPr>
          <w:rFonts w:ascii="Times New Roman" w:hAnsi="Times New Roman" w:cs="Times New Roman"/>
        </w:rPr>
        <w:t xml:space="preserve">Respondent completed two high-bill visits and found no problem with the service or billing rendered to </w:t>
      </w:r>
      <w:r w:rsidR="009205A1">
        <w:rPr>
          <w:rFonts w:ascii="Times New Roman" w:hAnsi="Times New Roman" w:cs="Times New Roman"/>
        </w:rPr>
        <w:t>C</w:t>
      </w:r>
      <w:r w:rsidR="009205A1" w:rsidRPr="001F6C01">
        <w:rPr>
          <w:rFonts w:ascii="Times New Roman" w:hAnsi="Times New Roman" w:cs="Times New Roman"/>
        </w:rPr>
        <w:t xml:space="preserve">omplainant.    </w:t>
      </w:r>
    </w:p>
    <w:p w:rsidR="009205A1" w:rsidRDefault="009205A1" w:rsidP="009205A1">
      <w:pPr>
        <w:spacing w:line="360" w:lineRule="auto"/>
        <w:ind w:firstLine="1440"/>
        <w:rPr>
          <w:rFonts w:ascii="Times New Roman" w:hAnsi="Times New Roman" w:cs="Times New Roman"/>
        </w:rPr>
      </w:pPr>
    </w:p>
    <w:p w:rsidR="009205A1" w:rsidRDefault="0017279B" w:rsidP="00EB068D">
      <w:pPr>
        <w:spacing w:line="360" w:lineRule="auto"/>
        <w:ind w:firstLine="1440"/>
        <w:rPr>
          <w:rFonts w:ascii="Times New Roman" w:hAnsi="Times New Roman" w:cs="Times New Roman"/>
        </w:rPr>
      </w:pPr>
      <w:r>
        <w:rPr>
          <w:rFonts w:ascii="Times New Roman" w:hAnsi="Times New Roman" w:cs="Times New Roman"/>
        </w:rPr>
        <w:t>O</w:t>
      </w:r>
      <w:r w:rsidR="009205A1" w:rsidRPr="001F6C01">
        <w:rPr>
          <w:rFonts w:ascii="Times New Roman" w:hAnsi="Times New Roman" w:cs="Times New Roman"/>
        </w:rPr>
        <w:t xml:space="preserve">n or about January 21, 2013, </w:t>
      </w:r>
      <w:r>
        <w:rPr>
          <w:rFonts w:ascii="Times New Roman" w:hAnsi="Times New Roman" w:cs="Times New Roman"/>
        </w:rPr>
        <w:t>a</w:t>
      </w:r>
      <w:r w:rsidR="009205A1" w:rsidRPr="001F6C01">
        <w:rPr>
          <w:rFonts w:ascii="Times New Roman" w:hAnsi="Times New Roman" w:cs="Times New Roman"/>
        </w:rPr>
        <w:t xml:space="preserve"> meter test</w:t>
      </w:r>
      <w:r w:rsidR="00C7180D">
        <w:rPr>
          <w:rFonts w:ascii="Times New Roman" w:hAnsi="Times New Roman" w:cs="Times New Roman"/>
        </w:rPr>
        <w:t xml:space="preserve"> was performed</w:t>
      </w:r>
      <w:r w:rsidR="009205A1" w:rsidRPr="001F6C01">
        <w:rPr>
          <w:rFonts w:ascii="Times New Roman" w:hAnsi="Times New Roman" w:cs="Times New Roman"/>
        </w:rPr>
        <w:t xml:space="preserve"> on </w:t>
      </w:r>
      <w:r>
        <w:rPr>
          <w:rFonts w:ascii="Times New Roman" w:hAnsi="Times New Roman" w:cs="Times New Roman"/>
        </w:rPr>
        <w:t>the meter that</w:t>
      </w:r>
      <w:r w:rsidR="009205A1">
        <w:rPr>
          <w:rFonts w:ascii="Times New Roman" w:hAnsi="Times New Roman" w:cs="Times New Roman"/>
        </w:rPr>
        <w:t xml:space="preserve"> measured peak usage and </w:t>
      </w:r>
      <w:r w:rsidR="009205A1" w:rsidRPr="001F6C01">
        <w:rPr>
          <w:rFonts w:ascii="Times New Roman" w:hAnsi="Times New Roman" w:cs="Times New Roman"/>
        </w:rPr>
        <w:t>which was removed on December 3, 2012, prior to the meter being replaced by a new AMI meter.  The heavy load test</w:t>
      </w:r>
      <w:r w:rsidR="000705C1">
        <w:rPr>
          <w:rStyle w:val="FootnoteReference"/>
          <w:rFonts w:ascii="Times New Roman" w:hAnsi="Times New Roman" w:cs="Times New Roman"/>
        </w:rPr>
        <w:footnoteReference w:id="6"/>
      </w:r>
      <w:r w:rsidR="000705C1">
        <w:rPr>
          <w:rFonts w:ascii="Times New Roman" w:hAnsi="Times New Roman" w:cs="Times New Roman"/>
        </w:rPr>
        <w:t xml:space="preserve"> </w:t>
      </w:r>
      <w:r w:rsidR="009205A1" w:rsidRPr="001F6C01">
        <w:rPr>
          <w:rFonts w:ascii="Times New Roman" w:hAnsi="Times New Roman" w:cs="Times New Roman"/>
        </w:rPr>
        <w:t>indicated the meter was 99.83 percent accurate and the light load test</w:t>
      </w:r>
      <w:r w:rsidR="000705C1">
        <w:rPr>
          <w:rStyle w:val="FootnoteReference"/>
          <w:rFonts w:ascii="Times New Roman" w:hAnsi="Times New Roman" w:cs="Times New Roman"/>
        </w:rPr>
        <w:footnoteReference w:id="7"/>
      </w:r>
      <w:r w:rsidR="009205A1" w:rsidRPr="001F6C01">
        <w:rPr>
          <w:rFonts w:ascii="Times New Roman" w:hAnsi="Times New Roman" w:cs="Times New Roman"/>
        </w:rPr>
        <w:t xml:space="preserve"> indicated the meter was 99.75 percent, with an average load accuracy of 99.47 percent.  </w:t>
      </w:r>
      <w:r>
        <w:rPr>
          <w:rFonts w:ascii="Times New Roman" w:hAnsi="Times New Roman" w:cs="Times New Roman"/>
        </w:rPr>
        <w:t xml:space="preserve">In addition, </w:t>
      </w:r>
      <w:r w:rsidRPr="004D6D78">
        <w:rPr>
          <w:rFonts w:ascii="Times New Roman" w:hAnsi="Times New Roman" w:cs="Times New Roman"/>
        </w:rPr>
        <w:t>Respondent visited the service address on July 17, 2013 and performed a physical instrument test on the meter</w:t>
      </w:r>
      <w:r>
        <w:rPr>
          <w:rFonts w:ascii="Times New Roman" w:hAnsi="Times New Roman" w:cs="Times New Roman"/>
        </w:rPr>
        <w:t xml:space="preserve"> measuring peak usage</w:t>
      </w:r>
      <w:r w:rsidRPr="004D6D78">
        <w:rPr>
          <w:rFonts w:ascii="Times New Roman" w:hAnsi="Times New Roman" w:cs="Times New Roman"/>
        </w:rPr>
        <w:t xml:space="preserve">.  </w:t>
      </w:r>
      <w:r>
        <w:rPr>
          <w:rFonts w:ascii="Times New Roman" w:hAnsi="Times New Roman" w:cs="Times New Roman"/>
        </w:rPr>
        <w:t>These tests indicated the meter was recording correctly and</w:t>
      </w:r>
      <w:r w:rsidRPr="004D6D78">
        <w:rPr>
          <w:rFonts w:ascii="Times New Roman" w:hAnsi="Times New Roman" w:cs="Times New Roman"/>
        </w:rPr>
        <w:t xml:space="preserve"> within Commission guidelines.  </w:t>
      </w:r>
    </w:p>
    <w:p w:rsidR="00A51E29" w:rsidRPr="001F6C01" w:rsidRDefault="00A51E29" w:rsidP="00A51E29">
      <w:pPr>
        <w:ind w:firstLine="1440"/>
        <w:rPr>
          <w:rFonts w:ascii="Times New Roman" w:hAnsi="Times New Roman" w:cs="Times New Roman"/>
        </w:rPr>
      </w:pPr>
    </w:p>
    <w:p w:rsidR="009205A1" w:rsidRPr="007515AE" w:rsidRDefault="00274CAA" w:rsidP="00193E43">
      <w:pPr>
        <w:spacing w:line="360" w:lineRule="auto"/>
        <w:ind w:firstLine="1440"/>
        <w:rPr>
          <w:rFonts w:ascii="Times New Roman" w:hAnsi="Times New Roman" w:cs="Times New Roman"/>
          <w:b/>
        </w:rPr>
      </w:pPr>
      <w:r>
        <w:t xml:space="preserve">Although no change in usage patterns or change in the number of occupants residing in the household was established, </w:t>
      </w:r>
      <w:r w:rsidR="0017279B">
        <w:t xml:space="preserve">Complainant provided no credible evidence that </w:t>
      </w:r>
      <w:r w:rsidR="00AA5B87" w:rsidRPr="00274CAA">
        <w:t>the disputed bill</w:t>
      </w:r>
      <w:r>
        <w:t xml:space="preserve">s were </w:t>
      </w:r>
      <w:r w:rsidR="00AA5B87" w:rsidRPr="00274CAA">
        <w:t>unreasonably high.</w:t>
      </w:r>
      <w:r w:rsidR="00AA5B87">
        <w:t xml:space="preserve">  </w:t>
      </w:r>
      <w:r>
        <w:t xml:space="preserve">Furthermore, the </w:t>
      </w:r>
      <w:r w:rsidR="00AA5B87">
        <w:t>billing history of the account</w:t>
      </w:r>
      <w:r>
        <w:t xml:space="preserve"> does not support Ms. Brower’s claims.  The </w:t>
      </w:r>
      <w:r w:rsidR="007515AE" w:rsidRPr="00274CAA">
        <w:rPr>
          <w:rFonts w:ascii="Times New Roman" w:hAnsi="Times New Roman" w:cs="Times New Roman"/>
        </w:rPr>
        <w:t xml:space="preserve">June 4, 2013 high-bill investigation </w:t>
      </w:r>
      <w:r>
        <w:rPr>
          <w:rFonts w:ascii="Times New Roman" w:hAnsi="Times New Roman" w:cs="Times New Roman"/>
        </w:rPr>
        <w:t xml:space="preserve">also </w:t>
      </w:r>
      <w:r w:rsidR="007515AE" w:rsidRPr="00274CAA">
        <w:rPr>
          <w:rFonts w:ascii="Times New Roman" w:hAnsi="Times New Roman" w:cs="Times New Roman"/>
        </w:rPr>
        <w:t xml:space="preserve">verified the meter readings provided by the new AMI meter which measured peak usage.   </w:t>
      </w:r>
    </w:p>
    <w:p w:rsidR="007515AE" w:rsidRDefault="007515AE" w:rsidP="00193E43">
      <w:pPr>
        <w:pStyle w:val="BodyText"/>
        <w:spacing w:line="360" w:lineRule="auto"/>
        <w:ind w:firstLine="1440"/>
        <w:jc w:val="left"/>
        <w:rPr>
          <w:b/>
          <w:szCs w:val="24"/>
        </w:rPr>
      </w:pPr>
    </w:p>
    <w:p w:rsidR="009D1615" w:rsidRPr="009D54AD" w:rsidRDefault="006D7F2E" w:rsidP="00193E43">
      <w:pPr>
        <w:spacing w:line="360" w:lineRule="auto"/>
        <w:ind w:firstLine="720"/>
      </w:pPr>
      <w:r w:rsidRPr="008A4E22">
        <w:rPr>
          <w:b/>
        </w:rPr>
        <w:tab/>
      </w:r>
      <w:r w:rsidR="009D1615">
        <w:t xml:space="preserve">The evidence indicated that the </w:t>
      </w:r>
      <w:r w:rsidR="009D1615" w:rsidRPr="009D54AD">
        <w:t>operation of electric space heaters can use 1,000 to 3,000 kilowatt hours per month</w:t>
      </w:r>
      <w:r w:rsidR="009D1615">
        <w:t xml:space="preserve"> and two electric heaters were located at the service address at the time of the cost analysis on June 4, 2013.</w:t>
      </w:r>
      <w:r w:rsidR="009D1615" w:rsidRPr="009D54AD">
        <w:t xml:space="preserve">  </w:t>
      </w:r>
      <w:r w:rsidR="009D1615">
        <w:t>In addition, t</w:t>
      </w:r>
      <w:r w:rsidR="009D1615" w:rsidRPr="009D54AD">
        <w:t>he cost analysis indicate</w:t>
      </w:r>
      <w:r w:rsidR="009D1615">
        <w:t>d</w:t>
      </w:r>
      <w:r w:rsidR="009D1615" w:rsidRPr="009D54AD">
        <w:t xml:space="preserve"> a potential usage of 3707 K</w:t>
      </w:r>
      <w:r w:rsidR="00193E43">
        <w:t>WH</w:t>
      </w:r>
      <w:r w:rsidR="009D1615" w:rsidRPr="009D54AD">
        <w:t xml:space="preserve"> in the winter months</w:t>
      </w:r>
      <w:r w:rsidR="009D1615">
        <w:t xml:space="preserve">.  The only </w:t>
      </w:r>
      <w:r w:rsidR="009D1615" w:rsidRPr="009D54AD">
        <w:t>month</w:t>
      </w:r>
      <w:r w:rsidR="009D1615">
        <w:t xml:space="preserve"> </w:t>
      </w:r>
      <w:r w:rsidR="009D1615" w:rsidRPr="009D54AD">
        <w:t>where usage exceeded potential usage, during the months be</w:t>
      </w:r>
      <w:r w:rsidR="009D1615">
        <w:t xml:space="preserve">ing questioned by Complainant, </w:t>
      </w:r>
      <w:r w:rsidR="009D1615" w:rsidRPr="009D54AD">
        <w:t xml:space="preserve">was January 24, 2013 when there </w:t>
      </w:r>
      <w:r w:rsidR="00EB068D" w:rsidRPr="009D54AD">
        <w:t>w</w:t>
      </w:r>
      <w:r w:rsidR="00EB068D">
        <w:t>as</w:t>
      </w:r>
      <w:r w:rsidR="00193E43">
        <w:t xml:space="preserve"> </w:t>
      </w:r>
      <w:r w:rsidR="009D1615" w:rsidRPr="009D54AD">
        <w:t>3780 K</w:t>
      </w:r>
      <w:r w:rsidR="00193E43">
        <w:t>WH</w:t>
      </w:r>
      <w:r w:rsidR="009D1615" w:rsidRPr="009D54AD">
        <w:t xml:space="preserve"> used, slightly above the potential usage.  Respondent attributed the higher bills during the winter months to the use of electric space heaters, and the subsequent lower bills to terminating the use of space heaters.  </w:t>
      </w:r>
      <w:r w:rsidR="009D1615">
        <w:t xml:space="preserve">The evidence </w:t>
      </w:r>
      <w:bookmarkStart w:id="1" w:name="_GoBack"/>
      <w:bookmarkEnd w:id="1"/>
      <w:r w:rsidR="009D1615">
        <w:t xml:space="preserve">presented supports Respondent’s conclusion that </w:t>
      </w:r>
      <w:r w:rsidR="009D1615" w:rsidRPr="009D54AD">
        <w:t>Complainant stopped utilizing space heaters at the service address during the 2013 to 2014 winter months, thereby resulting in a significant dec</w:t>
      </w:r>
      <w:r w:rsidR="00193E43">
        <w:t xml:space="preserve">rease in electric consumption. </w:t>
      </w:r>
      <w:r w:rsidR="009D1615" w:rsidRPr="009D54AD">
        <w:t xml:space="preserve"> </w:t>
      </w:r>
    </w:p>
    <w:p w:rsidR="00193E43" w:rsidRDefault="00193E43" w:rsidP="009D1615">
      <w:pPr>
        <w:pStyle w:val="BodyText"/>
        <w:spacing w:line="360" w:lineRule="auto"/>
        <w:jc w:val="left"/>
        <w:rPr>
          <w:szCs w:val="24"/>
        </w:rPr>
      </w:pPr>
    </w:p>
    <w:p w:rsidR="006D7F2E" w:rsidRPr="002C2098" w:rsidRDefault="006D7F2E" w:rsidP="00193E43">
      <w:pPr>
        <w:pStyle w:val="BodyText"/>
        <w:spacing w:line="360" w:lineRule="auto"/>
        <w:ind w:firstLine="1440"/>
        <w:jc w:val="left"/>
        <w:rPr>
          <w:szCs w:val="24"/>
        </w:rPr>
      </w:pPr>
      <w:r w:rsidRPr="002C2098">
        <w:rPr>
          <w:szCs w:val="24"/>
        </w:rPr>
        <w:t>Complainant provided no evidence to support h</w:t>
      </w:r>
      <w:r w:rsidR="002C2098" w:rsidRPr="002C2098">
        <w:rPr>
          <w:szCs w:val="24"/>
        </w:rPr>
        <w:t>er</w:t>
      </w:r>
      <w:r w:rsidRPr="002C2098">
        <w:rPr>
          <w:szCs w:val="24"/>
        </w:rPr>
        <w:t xml:space="preserve"> conclusion that the metered and billed electric usage at the service location from</w:t>
      </w:r>
      <w:r w:rsidR="002C2098">
        <w:rPr>
          <w:b/>
          <w:szCs w:val="24"/>
        </w:rPr>
        <w:t xml:space="preserve"> </w:t>
      </w:r>
      <w:r w:rsidR="002C2098" w:rsidRPr="00461759">
        <w:t>December of 2012 through March of 2013</w:t>
      </w:r>
      <w:r w:rsidR="00C7180D">
        <w:t xml:space="preserve"> </w:t>
      </w:r>
      <w:r w:rsidR="002C2098">
        <w:t>was</w:t>
      </w:r>
      <w:r w:rsidRPr="008A4E22">
        <w:rPr>
          <w:b/>
          <w:szCs w:val="24"/>
        </w:rPr>
        <w:t xml:space="preserve"> </w:t>
      </w:r>
      <w:r w:rsidRPr="002C2098">
        <w:rPr>
          <w:szCs w:val="24"/>
        </w:rPr>
        <w:t xml:space="preserve">not correct as rendered. </w:t>
      </w:r>
      <w:r w:rsidRPr="008A4E22">
        <w:rPr>
          <w:b/>
          <w:szCs w:val="24"/>
        </w:rPr>
        <w:t xml:space="preserve"> </w:t>
      </w:r>
      <w:r w:rsidRPr="002C2098">
        <w:rPr>
          <w:szCs w:val="24"/>
        </w:rPr>
        <w:t xml:space="preserve">Similarly, Complainant did not present any evidence challenging the usage determined by Respondent or the results of its meter tests.  Complainant certainly was capable of using the amount of electricity calculated by Respondent.  Furthermore, the meters removed from the service location tested within the two percent margin of error allowed by the Commission’s regulations at 52 </w:t>
      </w:r>
      <w:proofErr w:type="spellStart"/>
      <w:r w:rsidRPr="002C2098">
        <w:rPr>
          <w:szCs w:val="24"/>
        </w:rPr>
        <w:t>Pa.Code</w:t>
      </w:r>
      <w:proofErr w:type="spellEnd"/>
      <w:r w:rsidRPr="002C2098">
        <w:rPr>
          <w:szCs w:val="24"/>
        </w:rPr>
        <w:t xml:space="preserve"> </w:t>
      </w:r>
      <w:r w:rsidRPr="002C2098">
        <w:t xml:space="preserve">§ </w:t>
      </w:r>
      <w:r w:rsidRPr="002C2098">
        <w:rPr>
          <w:szCs w:val="24"/>
        </w:rPr>
        <w:t>57.20.  M</w:t>
      </w:r>
      <w:r w:rsidR="002C2098">
        <w:rPr>
          <w:szCs w:val="24"/>
        </w:rPr>
        <w:t>s</w:t>
      </w:r>
      <w:r w:rsidRPr="002C2098">
        <w:rPr>
          <w:szCs w:val="24"/>
        </w:rPr>
        <w:t xml:space="preserve">. </w:t>
      </w:r>
      <w:r w:rsidR="002C2098">
        <w:rPr>
          <w:szCs w:val="24"/>
        </w:rPr>
        <w:t>Brower</w:t>
      </w:r>
      <w:r w:rsidRPr="002C2098">
        <w:rPr>
          <w:szCs w:val="24"/>
        </w:rPr>
        <w:t xml:space="preserve">’s complaint that </w:t>
      </w:r>
      <w:r w:rsidR="002C2098">
        <w:rPr>
          <w:szCs w:val="24"/>
        </w:rPr>
        <w:t>s</w:t>
      </w:r>
      <w:r w:rsidRPr="002C2098">
        <w:rPr>
          <w:szCs w:val="24"/>
        </w:rPr>
        <w:t>he was overcharged for electric service must fail as Complainant did not show that Respondent overcharged h</w:t>
      </w:r>
      <w:r w:rsidR="002C2098">
        <w:rPr>
          <w:szCs w:val="24"/>
        </w:rPr>
        <w:t>er</w:t>
      </w:r>
      <w:r w:rsidRPr="002C2098">
        <w:rPr>
          <w:szCs w:val="24"/>
        </w:rPr>
        <w:t xml:space="preserve">.  </w:t>
      </w:r>
    </w:p>
    <w:p w:rsidR="006D7F2E" w:rsidRPr="008A4E22" w:rsidRDefault="006D7F2E" w:rsidP="006D7F2E">
      <w:pPr>
        <w:pStyle w:val="BodyText"/>
        <w:jc w:val="left"/>
        <w:rPr>
          <w:b/>
          <w:szCs w:val="24"/>
        </w:rPr>
      </w:pPr>
    </w:p>
    <w:p w:rsidR="006D7F2E" w:rsidRDefault="006D7F2E" w:rsidP="00C7180D">
      <w:pPr>
        <w:pStyle w:val="BodyText"/>
        <w:spacing w:line="360" w:lineRule="auto"/>
        <w:jc w:val="left"/>
        <w:rPr>
          <w:szCs w:val="24"/>
        </w:rPr>
      </w:pPr>
      <w:r w:rsidRPr="008A4E22">
        <w:rPr>
          <w:b/>
          <w:szCs w:val="24"/>
        </w:rPr>
        <w:tab/>
      </w:r>
      <w:r w:rsidRPr="008A4E22">
        <w:rPr>
          <w:b/>
          <w:szCs w:val="24"/>
        </w:rPr>
        <w:tab/>
      </w:r>
      <w:r w:rsidRPr="002C2098">
        <w:rPr>
          <w:szCs w:val="24"/>
        </w:rPr>
        <w:t>Based on the evidence presented, Complainant did not meet the burden of proving Respondent has overcharged h</w:t>
      </w:r>
      <w:r w:rsidR="002C2098" w:rsidRPr="002C2098">
        <w:rPr>
          <w:szCs w:val="24"/>
        </w:rPr>
        <w:t>er</w:t>
      </w:r>
      <w:r w:rsidRPr="002C2098">
        <w:rPr>
          <w:szCs w:val="24"/>
        </w:rPr>
        <w:t xml:space="preserve"> for electric service.  </w:t>
      </w:r>
    </w:p>
    <w:p w:rsidR="00F62A9A" w:rsidRDefault="00F62A9A" w:rsidP="006D7F2E">
      <w:pPr>
        <w:pStyle w:val="BodyText"/>
        <w:jc w:val="left"/>
        <w:rPr>
          <w:szCs w:val="24"/>
        </w:rPr>
      </w:pPr>
    </w:p>
    <w:p w:rsidR="006D7F2E" w:rsidRDefault="006D7F2E" w:rsidP="006D7F2E">
      <w:pPr>
        <w:ind w:left="2880" w:firstLine="720"/>
        <w:rPr>
          <w:u w:val="single"/>
        </w:rPr>
      </w:pPr>
      <w:r w:rsidRPr="00262BD8">
        <w:rPr>
          <w:u w:val="single"/>
        </w:rPr>
        <w:t>CONCLUSIONS OF LAW</w:t>
      </w:r>
    </w:p>
    <w:p w:rsidR="00A51E29" w:rsidRPr="00262BD8" w:rsidRDefault="00A51E29" w:rsidP="006D7F2E">
      <w:pPr>
        <w:ind w:left="2880" w:firstLine="720"/>
        <w:rPr>
          <w:u w:val="single"/>
        </w:rPr>
      </w:pPr>
    </w:p>
    <w:p w:rsidR="006D7F2E" w:rsidRPr="00B73D10" w:rsidRDefault="006D7F2E" w:rsidP="006D7F2E"/>
    <w:p w:rsidR="006D7F2E" w:rsidRDefault="006D7F2E" w:rsidP="006D7F2E">
      <w:pPr>
        <w:numPr>
          <w:ilvl w:val="0"/>
          <w:numId w:val="6"/>
        </w:numPr>
        <w:tabs>
          <w:tab w:val="clear" w:pos="1440"/>
          <w:tab w:val="num" w:pos="2160"/>
        </w:tabs>
        <w:autoSpaceDE/>
        <w:autoSpaceDN/>
        <w:spacing w:line="360" w:lineRule="auto"/>
        <w:ind w:left="0" w:firstLine="1440"/>
      </w:pPr>
      <w:r w:rsidRPr="00B73D10">
        <w:t xml:space="preserve">This Commission has jurisdiction over the parties to and subject matter of this case.  </w:t>
      </w:r>
      <w:proofErr w:type="gramStart"/>
      <w:r w:rsidRPr="00B73D10">
        <w:t xml:space="preserve">66 </w:t>
      </w:r>
      <w:proofErr w:type="spellStart"/>
      <w:r w:rsidRPr="00B73D10">
        <w:t>Pa.C.S</w:t>
      </w:r>
      <w:proofErr w:type="spellEnd"/>
      <w:r w:rsidRPr="00B73D10">
        <w:t>.</w:t>
      </w:r>
      <w:proofErr w:type="gramEnd"/>
      <w:r w:rsidRPr="00B73D10">
        <w:t xml:space="preserve"> §</w:t>
      </w:r>
      <w:r>
        <w:t xml:space="preserve"> </w:t>
      </w:r>
      <w:r w:rsidRPr="00B73D10">
        <w:t>701.</w:t>
      </w:r>
    </w:p>
    <w:p w:rsidR="006D7F2E" w:rsidRPr="00B73D10" w:rsidRDefault="006D7F2E" w:rsidP="00A51E29">
      <w:pPr>
        <w:spacing w:line="360" w:lineRule="auto"/>
      </w:pPr>
    </w:p>
    <w:p w:rsidR="006D7F2E" w:rsidRDefault="006D7F2E" w:rsidP="006D7F2E">
      <w:pPr>
        <w:numPr>
          <w:ilvl w:val="0"/>
          <w:numId w:val="6"/>
        </w:numPr>
        <w:tabs>
          <w:tab w:val="clear" w:pos="1440"/>
          <w:tab w:val="left" w:pos="0"/>
        </w:tabs>
        <w:autoSpaceDE/>
        <w:autoSpaceDN/>
        <w:spacing w:line="360" w:lineRule="auto"/>
        <w:ind w:left="0" w:firstLine="1440"/>
      </w:pPr>
      <w:r w:rsidRPr="00B73D10">
        <w:t>Complainant has the burden of pro</w:t>
      </w:r>
      <w:r>
        <w:t>of in this proceeding.</w:t>
      </w:r>
      <w:r w:rsidRPr="00B73D10">
        <w:t xml:space="preserve">  </w:t>
      </w:r>
      <w:proofErr w:type="gramStart"/>
      <w:r w:rsidRPr="00B73D10">
        <w:t xml:space="preserve">66 </w:t>
      </w:r>
      <w:proofErr w:type="spellStart"/>
      <w:r w:rsidRPr="00B73D10">
        <w:t>Pa.C.S</w:t>
      </w:r>
      <w:proofErr w:type="spellEnd"/>
      <w:r w:rsidRPr="00B73D10">
        <w:t>.</w:t>
      </w:r>
      <w:proofErr w:type="gramEnd"/>
      <w:r w:rsidRPr="00B73D10">
        <w:t xml:space="preserve"> §</w:t>
      </w:r>
      <w:r>
        <w:t> </w:t>
      </w:r>
      <w:r w:rsidRPr="00B73D10">
        <w:t>332(a).</w:t>
      </w:r>
    </w:p>
    <w:p w:rsidR="006D7F2E" w:rsidRDefault="006D7F2E" w:rsidP="006D7F2E">
      <w:pPr>
        <w:pStyle w:val="ListParagraph"/>
        <w:rPr>
          <w:sz w:val="24"/>
          <w:szCs w:val="24"/>
        </w:rPr>
      </w:pPr>
    </w:p>
    <w:p w:rsidR="006D7F2E" w:rsidRDefault="006D7F2E" w:rsidP="006D7F2E">
      <w:pPr>
        <w:numPr>
          <w:ilvl w:val="0"/>
          <w:numId w:val="6"/>
        </w:numPr>
        <w:tabs>
          <w:tab w:val="clear" w:pos="1440"/>
          <w:tab w:val="num" w:pos="2160"/>
        </w:tabs>
        <w:autoSpaceDE/>
        <w:autoSpaceDN/>
        <w:spacing w:line="360" w:lineRule="auto"/>
        <w:ind w:left="0" w:firstLine="1440"/>
      </w:pPr>
      <w:r>
        <w:t>Complainant has not met h</w:t>
      </w:r>
      <w:r w:rsidR="002C2098">
        <w:t>er</w:t>
      </w:r>
      <w:r>
        <w:t xml:space="preserve"> burden of proving </w:t>
      </w:r>
      <w:r w:rsidR="002C2098">
        <w:t>s</w:t>
      </w:r>
      <w:r>
        <w:t xml:space="preserve">he is entitled to relief.  </w:t>
      </w:r>
      <w:proofErr w:type="gramStart"/>
      <w:r w:rsidRPr="00B73D10">
        <w:t>66</w:t>
      </w:r>
      <w:r w:rsidR="00A51E29">
        <w:t> </w:t>
      </w:r>
      <w:proofErr w:type="spellStart"/>
      <w:r w:rsidRPr="00B73D10">
        <w:t>Pa.C.</w:t>
      </w:r>
      <w:r>
        <w:t>S</w:t>
      </w:r>
      <w:proofErr w:type="spellEnd"/>
      <w:r>
        <w:t>.</w:t>
      </w:r>
      <w:proofErr w:type="gramEnd"/>
      <w:r w:rsidRPr="00B73D10">
        <w:t xml:space="preserve"> §</w:t>
      </w:r>
      <w:r>
        <w:t xml:space="preserve"> 332(a)</w:t>
      </w:r>
      <w:r w:rsidRPr="00B73D10">
        <w:t>.</w:t>
      </w:r>
    </w:p>
    <w:p w:rsidR="006D7F2E" w:rsidRDefault="006D7F2E" w:rsidP="006D7F2E">
      <w:pPr>
        <w:pStyle w:val="ListParagraph"/>
        <w:rPr>
          <w:sz w:val="24"/>
          <w:szCs w:val="24"/>
        </w:rPr>
      </w:pPr>
    </w:p>
    <w:p w:rsidR="006D7F2E" w:rsidRPr="00A51E29" w:rsidRDefault="006D7F2E" w:rsidP="006D7F2E">
      <w:pPr>
        <w:pStyle w:val="ListParagraph"/>
        <w:numPr>
          <w:ilvl w:val="0"/>
          <w:numId w:val="6"/>
        </w:numPr>
        <w:tabs>
          <w:tab w:val="clear" w:pos="1440"/>
        </w:tabs>
        <w:ind w:left="0" w:firstLine="1440"/>
        <w:rPr>
          <w:sz w:val="24"/>
          <w:szCs w:val="24"/>
        </w:rPr>
      </w:pPr>
      <w:r w:rsidRPr="00A51E29">
        <w:rPr>
          <w:sz w:val="24"/>
          <w:szCs w:val="24"/>
        </w:rPr>
        <w:t xml:space="preserve">Complainant’s burden of proof in this proceeding is governed by </w:t>
      </w:r>
      <w:r w:rsidRPr="00A51E29">
        <w:rPr>
          <w:i/>
          <w:sz w:val="24"/>
          <w:szCs w:val="24"/>
        </w:rPr>
        <w:t>Waldron</w:t>
      </w:r>
      <w:r w:rsidR="00A51E29" w:rsidRPr="00A51E29">
        <w:rPr>
          <w:i/>
          <w:sz w:val="24"/>
          <w:szCs w:val="24"/>
        </w:rPr>
        <w:t> </w:t>
      </w:r>
      <w:r w:rsidRPr="00A51E29">
        <w:rPr>
          <w:i/>
          <w:sz w:val="24"/>
          <w:szCs w:val="24"/>
        </w:rPr>
        <w:t>v. Philadelphia Electric Co.,</w:t>
      </w:r>
      <w:r w:rsidRPr="00A51E29">
        <w:rPr>
          <w:sz w:val="24"/>
          <w:szCs w:val="24"/>
        </w:rPr>
        <w:t xml:space="preserve"> 54 Pa. PUC 98 </w:t>
      </w:r>
      <w:r w:rsidR="000351BB" w:rsidRPr="00A51E29">
        <w:rPr>
          <w:sz w:val="24"/>
          <w:szCs w:val="24"/>
        </w:rPr>
        <w:t>(Opinion and Order entered March</w:t>
      </w:r>
      <w:r w:rsidR="00A51E29" w:rsidRPr="00A51E29">
        <w:rPr>
          <w:sz w:val="24"/>
          <w:szCs w:val="24"/>
        </w:rPr>
        <w:t> </w:t>
      </w:r>
      <w:r w:rsidR="000351BB" w:rsidRPr="00A51E29">
        <w:rPr>
          <w:sz w:val="24"/>
          <w:szCs w:val="24"/>
        </w:rPr>
        <w:t xml:space="preserve">14, 1980) </w:t>
      </w:r>
      <w:r w:rsidRPr="00A51E29">
        <w:rPr>
          <w:sz w:val="24"/>
          <w:szCs w:val="24"/>
        </w:rPr>
        <w:t xml:space="preserve">and </w:t>
      </w:r>
      <w:r w:rsidRPr="00A51E29">
        <w:rPr>
          <w:i/>
          <w:sz w:val="24"/>
          <w:szCs w:val="24"/>
        </w:rPr>
        <w:t>Bennett v. The Peoples Natural Gas Company LLC,</w:t>
      </w:r>
      <w:r w:rsidRPr="00A51E29">
        <w:rPr>
          <w:sz w:val="24"/>
          <w:szCs w:val="24"/>
        </w:rPr>
        <w:t xml:space="preserve"> Docket No. C-2009-2122979 (Opinion and Order entered October 13, 2010).</w:t>
      </w:r>
    </w:p>
    <w:p w:rsidR="006D7F2E" w:rsidRPr="00D1756C" w:rsidRDefault="006D7F2E" w:rsidP="00A51E29">
      <w:pPr>
        <w:tabs>
          <w:tab w:val="left" w:pos="0"/>
        </w:tabs>
        <w:spacing w:line="360" w:lineRule="auto"/>
      </w:pPr>
    </w:p>
    <w:p w:rsidR="006D7F2E" w:rsidRDefault="006D7F2E" w:rsidP="006D7F2E">
      <w:pPr>
        <w:numPr>
          <w:ilvl w:val="0"/>
          <w:numId w:val="6"/>
        </w:numPr>
        <w:tabs>
          <w:tab w:val="clear" w:pos="1440"/>
          <w:tab w:val="num" w:pos="2160"/>
        </w:tabs>
        <w:autoSpaceDE/>
        <w:autoSpaceDN/>
        <w:spacing w:line="360" w:lineRule="auto"/>
        <w:ind w:left="0" w:firstLine="1440"/>
      </w:pPr>
      <w:r>
        <w:lastRenderedPageBreak/>
        <w:t>The bills rendered by Respondent to Complainant are true and correct.</w:t>
      </w:r>
    </w:p>
    <w:p w:rsidR="006D7F2E" w:rsidRDefault="006D7F2E" w:rsidP="006D7F2E"/>
    <w:p w:rsidR="006D7F2E" w:rsidRPr="00D1756C" w:rsidRDefault="006D7F2E" w:rsidP="006D7F2E">
      <w:pPr>
        <w:tabs>
          <w:tab w:val="left" w:pos="0"/>
        </w:tabs>
      </w:pPr>
    </w:p>
    <w:p w:rsidR="006D7F2E" w:rsidRPr="00D1756C" w:rsidRDefault="006D7F2E" w:rsidP="00EB068D">
      <w:pPr>
        <w:autoSpaceDE/>
        <w:autoSpaceDN/>
        <w:jc w:val="center"/>
        <w:rPr>
          <w:u w:val="single"/>
        </w:rPr>
      </w:pPr>
      <w:r w:rsidRPr="00D1756C">
        <w:rPr>
          <w:u w:val="single"/>
        </w:rPr>
        <w:t>ORDER</w:t>
      </w:r>
    </w:p>
    <w:p w:rsidR="006D7F2E" w:rsidRDefault="006D7F2E" w:rsidP="006D7F2E">
      <w:pPr>
        <w:jc w:val="center"/>
      </w:pPr>
    </w:p>
    <w:p w:rsidR="00D21665" w:rsidRPr="00B73D10" w:rsidRDefault="00D21665" w:rsidP="006D7F2E">
      <w:pPr>
        <w:jc w:val="center"/>
      </w:pPr>
    </w:p>
    <w:p w:rsidR="006D7F2E" w:rsidRDefault="006D7F2E" w:rsidP="006D7F2E"/>
    <w:p w:rsidR="006D7F2E" w:rsidRDefault="006D7F2E" w:rsidP="006D7F2E">
      <w:r w:rsidRPr="00B73D10">
        <w:tab/>
      </w:r>
      <w:r w:rsidRPr="00B73D10">
        <w:tab/>
        <w:t>THEREFORE,</w:t>
      </w:r>
    </w:p>
    <w:p w:rsidR="00A51E29" w:rsidRPr="00B73D10" w:rsidRDefault="00A51E29" w:rsidP="006D7F2E"/>
    <w:p w:rsidR="006D7F2E" w:rsidRPr="00B73D10" w:rsidRDefault="006D7F2E" w:rsidP="006D7F2E"/>
    <w:p w:rsidR="006D7F2E" w:rsidRDefault="006D7F2E" w:rsidP="006D7F2E">
      <w:r w:rsidRPr="00B73D10">
        <w:tab/>
      </w:r>
      <w:r w:rsidRPr="00B73D10">
        <w:tab/>
        <w:t>IT IS ORDERED:</w:t>
      </w:r>
    </w:p>
    <w:p w:rsidR="00A51E29" w:rsidRPr="00B73D10" w:rsidRDefault="00A51E29" w:rsidP="006D7F2E"/>
    <w:p w:rsidR="006D7F2E" w:rsidRPr="004F2512" w:rsidRDefault="006D7F2E" w:rsidP="006D7F2E"/>
    <w:p w:rsidR="006D7F2E" w:rsidRPr="00A51E29" w:rsidRDefault="006D7F2E" w:rsidP="00A51E29">
      <w:pPr>
        <w:pStyle w:val="ListParagraph"/>
        <w:numPr>
          <w:ilvl w:val="0"/>
          <w:numId w:val="7"/>
        </w:numPr>
        <w:ind w:left="0" w:firstLine="1440"/>
        <w:rPr>
          <w:sz w:val="24"/>
          <w:szCs w:val="24"/>
        </w:rPr>
      </w:pPr>
      <w:r w:rsidRPr="00A51E29">
        <w:rPr>
          <w:sz w:val="24"/>
          <w:szCs w:val="24"/>
        </w:rPr>
        <w:t xml:space="preserve">That the complaint of </w:t>
      </w:r>
      <w:r w:rsidR="002C2098" w:rsidRPr="00A51E29">
        <w:rPr>
          <w:sz w:val="24"/>
          <w:szCs w:val="24"/>
        </w:rPr>
        <w:t xml:space="preserve">Joann Brower </w:t>
      </w:r>
      <w:r w:rsidRPr="00A51E29">
        <w:rPr>
          <w:sz w:val="24"/>
          <w:szCs w:val="24"/>
        </w:rPr>
        <w:t>against P</w:t>
      </w:r>
      <w:r w:rsidR="002C2098" w:rsidRPr="00A51E29">
        <w:rPr>
          <w:sz w:val="24"/>
          <w:szCs w:val="24"/>
        </w:rPr>
        <w:t xml:space="preserve">ECO Energy </w:t>
      </w:r>
      <w:r w:rsidRPr="00A51E29">
        <w:rPr>
          <w:sz w:val="24"/>
          <w:szCs w:val="24"/>
        </w:rPr>
        <w:t>Company at Docket No. C-201</w:t>
      </w:r>
      <w:r w:rsidR="002C2098" w:rsidRPr="00A51E29">
        <w:rPr>
          <w:sz w:val="24"/>
          <w:szCs w:val="24"/>
        </w:rPr>
        <w:t>4-2400862</w:t>
      </w:r>
      <w:r w:rsidRPr="00A51E29">
        <w:rPr>
          <w:sz w:val="24"/>
          <w:szCs w:val="24"/>
        </w:rPr>
        <w:t xml:space="preserve"> is hereby denied.</w:t>
      </w:r>
    </w:p>
    <w:p w:rsidR="00D21665" w:rsidRPr="004F2512" w:rsidRDefault="00D21665" w:rsidP="00A51E29">
      <w:pPr>
        <w:pStyle w:val="ListParagraph"/>
        <w:ind w:left="2160"/>
      </w:pPr>
    </w:p>
    <w:p w:rsidR="006D7F2E" w:rsidRPr="004F2512" w:rsidRDefault="006D7F2E" w:rsidP="006D7F2E">
      <w:pPr>
        <w:suppressAutoHyphens/>
        <w:ind w:firstLine="1440"/>
      </w:pPr>
      <w:r>
        <w:t>2</w:t>
      </w:r>
      <w:r w:rsidRPr="004F2512">
        <w:t>.</w:t>
      </w:r>
      <w:r w:rsidRPr="004F2512">
        <w:tab/>
        <w:t xml:space="preserve">That the </w:t>
      </w:r>
      <w:r>
        <w:t>Docket at No.</w:t>
      </w:r>
      <w:r w:rsidRPr="004F2512">
        <w:t xml:space="preserve"> </w:t>
      </w:r>
      <w:r w:rsidR="002C2098" w:rsidRPr="004F2512">
        <w:t>C-201</w:t>
      </w:r>
      <w:r w:rsidR="002C2098">
        <w:t>4-2400862</w:t>
      </w:r>
      <w:r w:rsidR="002C2098" w:rsidRPr="004F2512">
        <w:t xml:space="preserve"> </w:t>
      </w:r>
      <w:r>
        <w:t>shall be marked closed</w:t>
      </w:r>
      <w:r w:rsidRPr="004F2512">
        <w:t>.</w:t>
      </w:r>
    </w:p>
    <w:p w:rsidR="006D7F2E" w:rsidRPr="004F2512" w:rsidRDefault="006D7F2E" w:rsidP="006D7F2E">
      <w:pPr>
        <w:suppressAutoHyphens/>
      </w:pPr>
    </w:p>
    <w:p w:rsidR="006D7F2E" w:rsidRDefault="006D7F2E" w:rsidP="006D7F2E"/>
    <w:p w:rsidR="006D7F2E" w:rsidRDefault="006D7F2E" w:rsidP="006D7F2E">
      <w:pPr>
        <w:tabs>
          <w:tab w:val="left" w:pos="0"/>
        </w:tabs>
        <w:jc w:val="both"/>
      </w:pPr>
    </w:p>
    <w:p w:rsidR="00481F12" w:rsidRDefault="00481F12" w:rsidP="006D7F2E">
      <w:pPr>
        <w:tabs>
          <w:tab w:val="left" w:pos="0"/>
        </w:tabs>
        <w:jc w:val="both"/>
      </w:pPr>
    </w:p>
    <w:p w:rsidR="00481F12" w:rsidRDefault="00481F12" w:rsidP="006D7F2E">
      <w:pPr>
        <w:tabs>
          <w:tab w:val="left" w:pos="0"/>
        </w:tabs>
        <w:jc w:val="both"/>
      </w:pPr>
    </w:p>
    <w:p w:rsidR="006D7F2E" w:rsidRPr="009E6175" w:rsidRDefault="006D7F2E" w:rsidP="006D7F2E">
      <w:pPr>
        <w:tabs>
          <w:tab w:val="left" w:pos="0"/>
        </w:tabs>
        <w:jc w:val="both"/>
        <w:rPr>
          <w:u w:val="single"/>
        </w:rPr>
      </w:pPr>
      <w:r w:rsidRPr="009E6175">
        <w:t xml:space="preserve">Date:  </w:t>
      </w:r>
      <w:r w:rsidR="002C2098" w:rsidRPr="00481F12">
        <w:rPr>
          <w:u w:val="single"/>
        </w:rPr>
        <w:t>May 1</w:t>
      </w:r>
      <w:r w:rsidR="00481F12">
        <w:rPr>
          <w:u w:val="single"/>
        </w:rPr>
        <w:t>4</w:t>
      </w:r>
      <w:r w:rsidR="002C2098" w:rsidRPr="00481F12">
        <w:rPr>
          <w:u w:val="single"/>
        </w:rPr>
        <w:t>, 2014</w:t>
      </w:r>
      <w:r w:rsidRPr="009E6175">
        <w:tab/>
      </w:r>
      <w:r w:rsidRPr="009E6175">
        <w:tab/>
      </w:r>
      <w:r>
        <w:tab/>
      </w:r>
      <w:r>
        <w:tab/>
      </w:r>
      <w:r w:rsidR="002C2098">
        <w:tab/>
      </w:r>
      <w:r w:rsidR="00481F12">
        <w:tab/>
      </w:r>
      <w:r w:rsidRPr="009E6175">
        <w:rPr>
          <w:u w:val="single"/>
        </w:rPr>
        <w:tab/>
      </w:r>
      <w:r w:rsidRPr="009E6175">
        <w:rPr>
          <w:u w:val="single"/>
        </w:rPr>
        <w:tab/>
        <w:t>/s/</w:t>
      </w:r>
      <w:r w:rsidRPr="009E6175">
        <w:rPr>
          <w:u w:val="single"/>
        </w:rPr>
        <w:tab/>
      </w:r>
      <w:r w:rsidRPr="009E6175">
        <w:rPr>
          <w:u w:val="single"/>
        </w:rPr>
        <w:tab/>
      </w:r>
      <w:r w:rsidRPr="009E6175">
        <w:rPr>
          <w:u w:val="single"/>
        </w:rPr>
        <w:tab/>
      </w:r>
    </w:p>
    <w:p w:rsidR="006D7F2E" w:rsidRPr="009E6175" w:rsidRDefault="006D7F2E" w:rsidP="006D7F2E">
      <w:pPr>
        <w:tabs>
          <w:tab w:val="left" w:pos="0"/>
        </w:tabs>
        <w:jc w:val="both"/>
      </w:pPr>
      <w:r w:rsidRPr="009E6175">
        <w:tab/>
      </w:r>
      <w:r w:rsidRPr="009E6175">
        <w:tab/>
      </w:r>
      <w:r w:rsidRPr="009E6175">
        <w:tab/>
      </w:r>
      <w:r w:rsidRPr="009E6175">
        <w:tab/>
      </w:r>
      <w:r w:rsidRPr="009E6175">
        <w:tab/>
      </w:r>
      <w:r w:rsidRPr="009E6175">
        <w:tab/>
      </w:r>
      <w:r w:rsidRPr="009E6175">
        <w:tab/>
      </w:r>
      <w:r w:rsidR="00481F12">
        <w:tab/>
      </w:r>
      <w:r>
        <w:t>Jeffrey A. Watson</w:t>
      </w:r>
    </w:p>
    <w:p w:rsidR="006D7F2E" w:rsidRDefault="006D7F2E" w:rsidP="006D7F2E">
      <w:pPr>
        <w:tabs>
          <w:tab w:val="left" w:pos="0"/>
        </w:tabs>
        <w:jc w:val="both"/>
      </w:pPr>
      <w:r w:rsidRPr="009E6175">
        <w:tab/>
      </w:r>
      <w:r w:rsidRPr="009E6175">
        <w:tab/>
      </w:r>
      <w:r w:rsidRPr="009E6175">
        <w:tab/>
      </w:r>
      <w:r w:rsidRPr="009E6175">
        <w:tab/>
      </w:r>
      <w:r w:rsidRPr="009E6175">
        <w:tab/>
      </w:r>
      <w:r w:rsidRPr="009E6175">
        <w:tab/>
      </w:r>
      <w:r w:rsidRPr="009E6175">
        <w:tab/>
      </w:r>
      <w:r w:rsidR="00481F12">
        <w:tab/>
      </w:r>
      <w:r w:rsidRPr="009E6175">
        <w:t>Administrative Law Judge</w:t>
      </w:r>
    </w:p>
    <w:p w:rsidR="00A13403" w:rsidRDefault="00A13403">
      <w:pPr>
        <w:autoSpaceDE/>
        <w:autoSpaceDN/>
        <w:rPr>
          <w:rFonts w:ascii="Times New Roman" w:hAnsi="Times New Roman" w:cs="Times New Roman"/>
          <w:b/>
          <w:snapToGrid w:val="0"/>
          <w:kern w:val="1"/>
        </w:rPr>
      </w:pPr>
    </w:p>
    <w:sectPr w:rsidR="00A13403" w:rsidSect="001F5BAB">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70D" w:rsidRDefault="00E8170D">
      <w:pPr>
        <w:spacing w:line="20" w:lineRule="exact"/>
        <w:rPr>
          <w:sz w:val="20"/>
          <w:szCs w:val="20"/>
        </w:rPr>
      </w:pPr>
    </w:p>
  </w:endnote>
  <w:endnote w:type="continuationSeparator" w:id="0">
    <w:p w:rsidR="00E8170D" w:rsidRDefault="00E8170D">
      <w:pPr>
        <w:pStyle w:val="ParaTab1"/>
        <w:rPr>
          <w:sz w:val="20"/>
          <w:szCs w:val="20"/>
        </w:rPr>
      </w:pPr>
      <w:r>
        <w:rPr>
          <w:sz w:val="20"/>
          <w:szCs w:val="20"/>
        </w:rPr>
        <w:t xml:space="preserve"> </w:t>
      </w:r>
    </w:p>
  </w:endnote>
  <w:endnote w:type="continuationNotice" w:id="1">
    <w:p w:rsidR="00E8170D" w:rsidRDefault="00E8170D">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A1" w:rsidRDefault="009205A1"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05A1" w:rsidRDefault="009205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A1" w:rsidRPr="00ED2E14" w:rsidRDefault="009205A1" w:rsidP="00DC73D2">
    <w:pPr>
      <w:pStyle w:val="Footer"/>
      <w:framePr w:wrap="around" w:vAnchor="text" w:hAnchor="margin" w:xAlign="center" w:y="1"/>
      <w:jc w:val="center"/>
      <w:rPr>
        <w:rStyle w:val="PageNumber"/>
        <w:rFonts w:ascii="Times New Roman" w:hAnsi="Times New Roman" w:cs="Times New Roman"/>
        <w:sz w:val="20"/>
        <w:szCs w:val="20"/>
      </w:rPr>
    </w:pPr>
    <w:r w:rsidRPr="00ED2E14">
      <w:rPr>
        <w:rStyle w:val="PageNumber"/>
        <w:rFonts w:ascii="Times New Roman" w:hAnsi="Times New Roman" w:cs="Times New Roman"/>
        <w:sz w:val="20"/>
        <w:szCs w:val="20"/>
      </w:rPr>
      <w:fldChar w:fldCharType="begin"/>
    </w:r>
    <w:r w:rsidRPr="00ED2E14">
      <w:rPr>
        <w:rStyle w:val="PageNumber"/>
        <w:rFonts w:ascii="Times New Roman" w:hAnsi="Times New Roman" w:cs="Times New Roman"/>
        <w:sz w:val="20"/>
        <w:szCs w:val="20"/>
      </w:rPr>
      <w:instrText xml:space="preserve">PAGE  </w:instrText>
    </w:r>
    <w:r w:rsidRPr="00ED2E14">
      <w:rPr>
        <w:rStyle w:val="PageNumber"/>
        <w:rFonts w:ascii="Times New Roman" w:hAnsi="Times New Roman" w:cs="Times New Roman"/>
        <w:sz w:val="20"/>
        <w:szCs w:val="20"/>
      </w:rPr>
      <w:fldChar w:fldCharType="separate"/>
    </w:r>
    <w:r w:rsidR="00EB068D">
      <w:rPr>
        <w:rStyle w:val="PageNumber"/>
        <w:rFonts w:ascii="Times New Roman" w:hAnsi="Times New Roman" w:cs="Times New Roman"/>
        <w:noProof/>
        <w:sz w:val="20"/>
        <w:szCs w:val="20"/>
      </w:rPr>
      <w:t>13</w:t>
    </w:r>
    <w:r w:rsidRPr="00ED2E14">
      <w:rPr>
        <w:rStyle w:val="PageNumber"/>
        <w:rFonts w:ascii="Times New Roman" w:hAnsi="Times New Roman" w:cs="Times New Roman"/>
        <w:sz w:val="20"/>
        <w:szCs w:val="20"/>
      </w:rPr>
      <w:fldChar w:fldCharType="end"/>
    </w:r>
  </w:p>
  <w:p w:rsidR="009205A1" w:rsidRDefault="009205A1" w:rsidP="00DC73D2">
    <w:pPr>
      <w:pStyle w:val="ParaTab1"/>
      <w:spacing w:line="480" w:lineRule="auto"/>
      <w:ind w:firstLine="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70D" w:rsidRDefault="00E8170D" w:rsidP="00AC7960">
      <w:pPr>
        <w:pStyle w:val="ParaTab1"/>
        <w:ind w:firstLine="0"/>
        <w:jc w:val="both"/>
        <w:rPr>
          <w:sz w:val="20"/>
          <w:szCs w:val="20"/>
        </w:rPr>
      </w:pPr>
      <w:r>
        <w:rPr>
          <w:sz w:val="20"/>
          <w:szCs w:val="20"/>
        </w:rPr>
        <w:separator/>
      </w:r>
    </w:p>
  </w:footnote>
  <w:footnote w:type="continuationSeparator" w:id="0">
    <w:p w:rsidR="00E8170D" w:rsidRDefault="00E8170D">
      <w:pPr>
        <w:pStyle w:val="ParaTab1"/>
        <w:rPr>
          <w:sz w:val="20"/>
          <w:szCs w:val="20"/>
        </w:rPr>
      </w:pPr>
      <w:r>
        <w:rPr>
          <w:sz w:val="20"/>
          <w:szCs w:val="20"/>
        </w:rPr>
        <w:t>(..</w:t>
      </w:r>
    </w:p>
  </w:footnote>
  <w:footnote w:id="1">
    <w:p w:rsidR="009A6721" w:rsidRPr="009A6721" w:rsidRDefault="009A6721" w:rsidP="009A6721">
      <w:pPr>
        <w:pStyle w:val="FootnoteText"/>
        <w:ind w:firstLine="720"/>
        <w:rPr>
          <w:rFonts w:ascii="Times New Roman" w:hAnsi="Times New Roman" w:cs="Times New Roman"/>
          <w:sz w:val="20"/>
          <w:szCs w:val="20"/>
        </w:rPr>
      </w:pPr>
      <w:r w:rsidRPr="009A6721">
        <w:rPr>
          <w:rStyle w:val="FootnoteReference"/>
          <w:rFonts w:ascii="Times New Roman" w:hAnsi="Times New Roman" w:cs="Times New Roman"/>
          <w:sz w:val="20"/>
          <w:szCs w:val="20"/>
        </w:rPr>
        <w:footnoteRef/>
      </w:r>
      <w:r w:rsidRPr="009A6721">
        <w:rPr>
          <w:rFonts w:ascii="Times New Roman" w:hAnsi="Times New Roman" w:cs="Times New Roman"/>
          <w:sz w:val="20"/>
          <w:szCs w:val="20"/>
        </w:rPr>
        <w:t xml:space="preserve"> </w:t>
      </w:r>
      <w:r w:rsidRPr="009A6721">
        <w:rPr>
          <w:rFonts w:ascii="Times New Roman" w:hAnsi="Times New Roman" w:cs="Times New Roman"/>
          <w:sz w:val="20"/>
          <w:szCs w:val="20"/>
        </w:rPr>
        <w:tab/>
        <w:t xml:space="preserve">The cost analysis performed by </w:t>
      </w:r>
      <w:r>
        <w:rPr>
          <w:rFonts w:ascii="Times New Roman" w:hAnsi="Times New Roman" w:cs="Times New Roman"/>
          <w:sz w:val="20"/>
          <w:szCs w:val="20"/>
        </w:rPr>
        <w:t>R</w:t>
      </w:r>
      <w:r w:rsidRPr="009A6721">
        <w:rPr>
          <w:rFonts w:ascii="Times New Roman" w:hAnsi="Times New Roman" w:cs="Times New Roman"/>
          <w:sz w:val="20"/>
          <w:szCs w:val="20"/>
        </w:rPr>
        <w:t xml:space="preserve">espondent assumed that two people resided at the service </w:t>
      </w:r>
      <w:proofErr w:type="gramStart"/>
      <w:r w:rsidRPr="009A6721">
        <w:rPr>
          <w:rFonts w:ascii="Times New Roman" w:hAnsi="Times New Roman" w:cs="Times New Roman"/>
          <w:sz w:val="20"/>
          <w:szCs w:val="20"/>
        </w:rPr>
        <w:t>address,</w:t>
      </w:r>
      <w:proofErr w:type="gramEnd"/>
      <w:r w:rsidRPr="009A6721">
        <w:rPr>
          <w:rFonts w:ascii="Times New Roman" w:hAnsi="Times New Roman" w:cs="Times New Roman"/>
          <w:sz w:val="20"/>
          <w:szCs w:val="20"/>
        </w:rPr>
        <w:t xml:space="preserve"> however the testimony at the hearing indicated an additional adult stayed at the property 13 to 14 hours each day, which could have increased the potential usage calculation.  N.T. 82-83</w:t>
      </w:r>
    </w:p>
  </w:footnote>
  <w:footnote w:id="2">
    <w:p w:rsidR="009205A1" w:rsidRPr="005F5810" w:rsidRDefault="009205A1" w:rsidP="006D7F2E">
      <w:pPr>
        <w:pStyle w:val="FootnoteText"/>
        <w:ind w:firstLine="720"/>
        <w:rPr>
          <w:rFonts w:ascii="Times New Roman" w:hAnsi="Times New Roman" w:cs="Times New Roman"/>
          <w:sz w:val="20"/>
          <w:szCs w:val="20"/>
        </w:rPr>
      </w:pPr>
      <w:r w:rsidRPr="005F5810">
        <w:rPr>
          <w:rStyle w:val="FootnoteReference"/>
          <w:rFonts w:ascii="Times New Roman" w:hAnsi="Times New Roman" w:cs="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t xml:space="preserve">Section 332(a) of the Public Utility Code, </w:t>
      </w:r>
      <w:proofErr w:type="gramStart"/>
      <w:r w:rsidRPr="005F5810">
        <w:rPr>
          <w:rFonts w:ascii="Times New Roman" w:hAnsi="Times New Roman" w:cs="Times New Roman"/>
          <w:sz w:val="20"/>
          <w:szCs w:val="20"/>
        </w:rPr>
        <w:t xml:space="preserve">66 </w:t>
      </w:r>
      <w:proofErr w:type="spellStart"/>
      <w:r w:rsidRPr="005F5810">
        <w:rPr>
          <w:rFonts w:ascii="Times New Roman" w:hAnsi="Times New Roman" w:cs="Times New Roman"/>
          <w:sz w:val="20"/>
          <w:szCs w:val="20"/>
        </w:rPr>
        <w:t>Pa.C.S</w:t>
      </w:r>
      <w:proofErr w:type="spellEnd"/>
      <w:proofErr w:type="gramEnd"/>
      <w:r w:rsidRPr="005F5810">
        <w:rPr>
          <w:rFonts w:ascii="Times New Roman" w:hAnsi="Times New Roman" w:cs="Times New Roman"/>
          <w:sz w:val="20"/>
          <w:szCs w:val="20"/>
        </w:rPr>
        <w:t>. § 332(a).</w:t>
      </w:r>
    </w:p>
    <w:p w:rsidR="009205A1" w:rsidRPr="005F5810" w:rsidRDefault="009205A1" w:rsidP="006D7F2E">
      <w:pPr>
        <w:pStyle w:val="FootnoteText"/>
        <w:ind w:firstLine="720"/>
        <w:rPr>
          <w:rFonts w:ascii="Times New Roman" w:hAnsi="Times New Roman" w:cs="Times New Roman"/>
          <w:sz w:val="20"/>
          <w:szCs w:val="20"/>
        </w:rPr>
      </w:pPr>
    </w:p>
  </w:footnote>
  <w:footnote w:id="3">
    <w:p w:rsidR="009205A1" w:rsidRPr="005F5810" w:rsidRDefault="009205A1" w:rsidP="006D7F2E">
      <w:pPr>
        <w:pStyle w:val="FootnoteText"/>
        <w:ind w:firstLine="720"/>
        <w:rPr>
          <w:rFonts w:ascii="Times New Roman" w:hAnsi="Times New Roman" w:cs="Times New Roman"/>
          <w:spacing w:val="-3"/>
          <w:sz w:val="20"/>
          <w:szCs w:val="20"/>
        </w:rPr>
      </w:pPr>
      <w:r w:rsidRPr="005F5810">
        <w:rPr>
          <w:rStyle w:val="FootnoteReference"/>
          <w:rFonts w:ascii="Times New Roman" w:hAnsi="Times New Roman" w:cs="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r>
      <w:proofErr w:type="gramStart"/>
      <w:r w:rsidRPr="005F5810">
        <w:rPr>
          <w:rFonts w:ascii="Times New Roman" w:hAnsi="Times New Roman" w:cs="Times New Roman"/>
          <w:i/>
          <w:spacing w:val="-3"/>
          <w:sz w:val="20"/>
          <w:szCs w:val="20"/>
        </w:rPr>
        <w:t>Patterson v. Bell Telephone Company of Pennsylvania</w:t>
      </w:r>
      <w:r w:rsidRPr="005F5810">
        <w:rPr>
          <w:rFonts w:ascii="Times New Roman" w:hAnsi="Times New Roman" w:cs="Times New Roman"/>
          <w:spacing w:val="-3"/>
          <w:sz w:val="20"/>
          <w:szCs w:val="20"/>
        </w:rPr>
        <w:t>, 72 Pa. PUC 196 (</w:t>
      </w:r>
      <w:r w:rsidR="00C7180D" w:rsidRPr="005F5810">
        <w:rPr>
          <w:rFonts w:ascii="Times New Roman" w:hAnsi="Times New Roman" w:cs="Times New Roman"/>
          <w:spacing w:val="-3"/>
          <w:sz w:val="20"/>
          <w:szCs w:val="20"/>
        </w:rPr>
        <w:t xml:space="preserve">Opinion and Order entered February 8, </w:t>
      </w:r>
      <w:r w:rsidRPr="005F5810">
        <w:rPr>
          <w:rFonts w:ascii="Times New Roman" w:hAnsi="Times New Roman" w:cs="Times New Roman"/>
          <w:spacing w:val="-3"/>
          <w:sz w:val="20"/>
          <w:szCs w:val="20"/>
        </w:rPr>
        <w:t xml:space="preserve">1990); </w:t>
      </w:r>
      <w:r w:rsidRPr="005F5810">
        <w:rPr>
          <w:rFonts w:ascii="Times New Roman" w:hAnsi="Times New Roman" w:cs="Times New Roman"/>
          <w:i/>
          <w:spacing w:val="-3"/>
          <w:sz w:val="20"/>
          <w:szCs w:val="20"/>
        </w:rPr>
        <w:t>Feinstein v. Philadelphia Suburban Water Company</w:t>
      </w:r>
      <w:r w:rsidRPr="005F5810">
        <w:rPr>
          <w:rFonts w:ascii="Times New Roman" w:hAnsi="Times New Roman" w:cs="Times New Roman"/>
          <w:spacing w:val="-3"/>
          <w:sz w:val="20"/>
          <w:szCs w:val="20"/>
        </w:rPr>
        <w:t>, 50 Pa. PUC 300 (</w:t>
      </w:r>
      <w:r w:rsidR="00C7180D" w:rsidRPr="005F5810">
        <w:rPr>
          <w:rFonts w:ascii="Times New Roman" w:hAnsi="Times New Roman" w:cs="Times New Roman"/>
          <w:spacing w:val="-3"/>
          <w:sz w:val="20"/>
          <w:szCs w:val="20"/>
        </w:rPr>
        <w:t xml:space="preserve">Opinion and Order entered October 6, </w:t>
      </w:r>
      <w:r w:rsidRPr="005F5810">
        <w:rPr>
          <w:rFonts w:ascii="Times New Roman" w:hAnsi="Times New Roman" w:cs="Times New Roman"/>
          <w:spacing w:val="-3"/>
          <w:sz w:val="20"/>
          <w:szCs w:val="20"/>
        </w:rPr>
        <w:t>1976).</w:t>
      </w:r>
      <w:proofErr w:type="gramEnd"/>
      <w:r w:rsidRPr="005F5810">
        <w:rPr>
          <w:rFonts w:ascii="Times New Roman" w:hAnsi="Times New Roman" w:cs="Times New Roman"/>
          <w:spacing w:val="-3"/>
          <w:sz w:val="20"/>
          <w:szCs w:val="20"/>
        </w:rPr>
        <w:t xml:space="preserve">  </w:t>
      </w:r>
    </w:p>
    <w:p w:rsidR="009205A1" w:rsidRPr="005F5810" w:rsidRDefault="009205A1" w:rsidP="006D7F2E">
      <w:pPr>
        <w:pStyle w:val="FootnoteText"/>
        <w:ind w:firstLine="720"/>
        <w:rPr>
          <w:rFonts w:ascii="Times New Roman" w:hAnsi="Times New Roman" w:cs="Times New Roman"/>
          <w:sz w:val="20"/>
          <w:szCs w:val="20"/>
        </w:rPr>
      </w:pPr>
    </w:p>
  </w:footnote>
  <w:footnote w:id="4">
    <w:p w:rsidR="009205A1" w:rsidRPr="005F5810" w:rsidRDefault="009205A1" w:rsidP="006D7F2E">
      <w:pPr>
        <w:pStyle w:val="FootnoteText"/>
        <w:ind w:firstLine="720"/>
        <w:rPr>
          <w:rFonts w:ascii="Times New Roman" w:hAnsi="Times New Roman" w:cs="Times New Roman"/>
          <w:spacing w:val="-3"/>
          <w:sz w:val="20"/>
          <w:szCs w:val="20"/>
        </w:rPr>
      </w:pPr>
      <w:r w:rsidRPr="005F5810">
        <w:rPr>
          <w:rStyle w:val="FootnoteReference"/>
          <w:rFonts w:ascii="Times New Roman" w:hAnsi="Times New Roman" w:cs="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r>
      <w:proofErr w:type="gramStart"/>
      <w:r w:rsidRPr="005F5810">
        <w:rPr>
          <w:rFonts w:ascii="Times New Roman" w:hAnsi="Times New Roman" w:cs="Times New Roman"/>
          <w:i/>
          <w:spacing w:val="-3"/>
          <w:sz w:val="20"/>
          <w:szCs w:val="20"/>
        </w:rPr>
        <w:t xml:space="preserve">Samuel J. </w:t>
      </w:r>
      <w:proofErr w:type="spellStart"/>
      <w:r w:rsidRPr="005F5810">
        <w:rPr>
          <w:rFonts w:ascii="Times New Roman" w:hAnsi="Times New Roman" w:cs="Times New Roman"/>
          <w:i/>
          <w:spacing w:val="-3"/>
          <w:sz w:val="20"/>
          <w:szCs w:val="20"/>
        </w:rPr>
        <w:t>Lansberry</w:t>
      </w:r>
      <w:proofErr w:type="spellEnd"/>
      <w:r w:rsidRPr="005F5810">
        <w:rPr>
          <w:rFonts w:ascii="Times New Roman" w:hAnsi="Times New Roman" w:cs="Times New Roman"/>
          <w:i/>
          <w:spacing w:val="-3"/>
          <w:sz w:val="20"/>
          <w:szCs w:val="20"/>
        </w:rPr>
        <w:t>, Inc. v. Pa. Pub.</w:t>
      </w:r>
      <w:proofErr w:type="gramEnd"/>
      <w:r w:rsidRPr="005F5810">
        <w:rPr>
          <w:rFonts w:ascii="Times New Roman" w:hAnsi="Times New Roman" w:cs="Times New Roman"/>
          <w:i/>
          <w:spacing w:val="-3"/>
          <w:sz w:val="20"/>
          <w:szCs w:val="20"/>
        </w:rPr>
        <w:t xml:space="preserve"> Util. </w:t>
      </w:r>
      <w:proofErr w:type="spellStart"/>
      <w:r w:rsidRPr="005F5810">
        <w:rPr>
          <w:rFonts w:ascii="Times New Roman" w:hAnsi="Times New Roman" w:cs="Times New Roman"/>
          <w:i/>
          <w:spacing w:val="-3"/>
          <w:sz w:val="20"/>
          <w:szCs w:val="20"/>
        </w:rPr>
        <w:t>Comm’n</w:t>
      </w:r>
      <w:proofErr w:type="spellEnd"/>
      <w:r w:rsidRPr="005F5810">
        <w:rPr>
          <w:rFonts w:ascii="Times New Roman" w:hAnsi="Times New Roman" w:cs="Times New Roman"/>
          <w:spacing w:val="-3"/>
          <w:sz w:val="20"/>
          <w:szCs w:val="20"/>
        </w:rPr>
        <w:t xml:space="preserve">, </w:t>
      </w:r>
      <w:proofErr w:type="gramStart"/>
      <w:r w:rsidRPr="005F5810">
        <w:rPr>
          <w:rFonts w:ascii="Times New Roman" w:hAnsi="Times New Roman" w:cs="Times New Roman"/>
          <w:spacing w:val="-3"/>
          <w:sz w:val="20"/>
          <w:szCs w:val="20"/>
        </w:rPr>
        <w:t xml:space="preserve">134 </w:t>
      </w:r>
      <w:proofErr w:type="spellStart"/>
      <w:r w:rsidRPr="005F5810">
        <w:rPr>
          <w:rFonts w:ascii="Times New Roman" w:hAnsi="Times New Roman" w:cs="Times New Roman"/>
          <w:spacing w:val="-3"/>
          <w:sz w:val="20"/>
          <w:szCs w:val="20"/>
        </w:rPr>
        <w:t>Pa.Cmwlth</w:t>
      </w:r>
      <w:proofErr w:type="spellEnd"/>
      <w:proofErr w:type="gramEnd"/>
      <w:r w:rsidRPr="005F5810">
        <w:rPr>
          <w:rFonts w:ascii="Times New Roman" w:hAnsi="Times New Roman" w:cs="Times New Roman"/>
          <w:spacing w:val="-3"/>
          <w:sz w:val="20"/>
          <w:szCs w:val="20"/>
        </w:rPr>
        <w:t xml:space="preserve">. </w:t>
      </w:r>
      <w:proofErr w:type="gramStart"/>
      <w:r w:rsidRPr="005F5810">
        <w:rPr>
          <w:rFonts w:ascii="Times New Roman" w:hAnsi="Times New Roman" w:cs="Times New Roman"/>
          <w:spacing w:val="-3"/>
          <w:sz w:val="20"/>
          <w:szCs w:val="20"/>
        </w:rPr>
        <w:t xml:space="preserve">218; 221-222, 578 A.2d 600, 602 (1990), </w:t>
      </w:r>
      <w:proofErr w:type="spellStart"/>
      <w:r w:rsidRPr="005F5810">
        <w:rPr>
          <w:rFonts w:ascii="Times New Roman" w:hAnsi="Times New Roman" w:cs="Times New Roman"/>
          <w:i/>
          <w:iCs/>
          <w:spacing w:val="-3"/>
          <w:sz w:val="20"/>
          <w:szCs w:val="20"/>
        </w:rPr>
        <w:t>alloc</w:t>
      </w:r>
      <w:proofErr w:type="spellEnd"/>
      <w:r w:rsidRPr="005F5810">
        <w:rPr>
          <w:rFonts w:ascii="Times New Roman" w:hAnsi="Times New Roman" w:cs="Times New Roman"/>
          <w:i/>
          <w:iCs/>
          <w:spacing w:val="-3"/>
          <w:sz w:val="20"/>
          <w:szCs w:val="20"/>
        </w:rPr>
        <w:t>.</w:t>
      </w:r>
      <w:proofErr w:type="gramEnd"/>
      <w:r w:rsidRPr="005F5810">
        <w:rPr>
          <w:rFonts w:ascii="Times New Roman" w:hAnsi="Times New Roman" w:cs="Times New Roman"/>
          <w:i/>
          <w:iCs/>
          <w:spacing w:val="-3"/>
          <w:sz w:val="20"/>
          <w:szCs w:val="20"/>
        </w:rPr>
        <w:t xml:space="preserve"> </w:t>
      </w:r>
      <w:proofErr w:type="gramStart"/>
      <w:r w:rsidRPr="005F5810">
        <w:rPr>
          <w:rFonts w:ascii="Times New Roman" w:hAnsi="Times New Roman" w:cs="Times New Roman"/>
          <w:i/>
          <w:iCs/>
          <w:spacing w:val="-3"/>
          <w:sz w:val="20"/>
          <w:szCs w:val="20"/>
        </w:rPr>
        <w:t>den</w:t>
      </w:r>
      <w:r w:rsidRPr="005F5810">
        <w:rPr>
          <w:rFonts w:ascii="Times New Roman" w:hAnsi="Times New Roman" w:cs="Times New Roman"/>
          <w:spacing w:val="-3"/>
          <w:sz w:val="20"/>
          <w:szCs w:val="20"/>
        </w:rPr>
        <w:t>., 602 A.2d 863 (1992).</w:t>
      </w:r>
      <w:proofErr w:type="gramEnd"/>
    </w:p>
    <w:p w:rsidR="009205A1" w:rsidRPr="005F5810" w:rsidRDefault="009205A1" w:rsidP="006D7F2E">
      <w:pPr>
        <w:pStyle w:val="FootnoteText"/>
        <w:ind w:firstLine="720"/>
        <w:rPr>
          <w:rFonts w:ascii="Times New Roman" w:hAnsi="Times New Roman" w:cs="Times New Roman"/>
          <w:sz w:val="20"/>
          <w:szCs w:val="20"/>
        </w:rPr>
      </w:pPr>
    </w:p>
  </w:footnote>
  <w:footnote w:id="5">
    <w:p w:rsidR="009205A1" w:rsidRPr="005F5810" w:rsidRDefault="009205A1" w:rsidP="006D7F2E">
      <w:pPr>
        <w:tabs>
          <w:tab w:val="left" w:pos="-1440"/>
          <w:tab w:val="left" w:pos="-720"/>
        </w:tabs>
        <w:suppressAutoHyphens/>
        <w:rPr>
          <w:rFonts w:ascii="Times New Roman" w:hAnsi="Times New Roman" w:cs="Times New Roman"/>
        </w:rPr>
      </w:pPr>
      <w:r w:rsidRPr="005F5810">
        <w:rPr>
          <w:rFonts w:ascii="Times New Roman" w:hAnsi="Times New Roman" w:cs="Times New Roman"/>
          <w:sz w:val="20"/>
          <w:szCs w:val="20"/>
        </w:rPr>
        <w:tab/>
      </w:r>
      <w:r w:rsidRPr="005F5810">
        <w:rPr>
          <w:rStyle w:val="FootnoteReference"/>
          <w:rFonts w:ascii="Times New Roman" w:hAnsi="Times New Roman" w:cs="Times New Roman"/>
          <w:sz w:val="20"/>
          <w:szCs w:val="20"/>
        </w:rPr>
        <w:footnoteRef/>
      </w:r>
      <w:r w:rsidRPr="005F5810">
        <w:rPr>
          <w:rFonts w:ascii="Times New Roman" w:hAnsi="Times New Roman" w:cs="Times New Roman"/>
          <w:sz w:val="20"/>
          <w:szCs w:val="20"/>
        </w:rPr>
        <w:t xml:space="preserve"> </w:t>
      </w:r>
      <w:r w:rsidRPr="005F5810">
        <w:rPr>
          <w:rFonts w:ascii="Times New Roman" w:hAnsi="Times New Roman" w:cs="Times New Roman"/>
          <w:sz w:val="20"/>
          <w:szCs w:val="20"/>
        </w:rPr>
        <w:tab/>
      </w:r>
      <w:proofErr w:type="gramStart"/>
      <w:r w:rsidRPr="005F5810">
        <w:rPr>
          <w:rFonts w:ascii="Times New Roman" w:hAnsi="Times New Roman" w:cs="Times New Roman"/>
          <w:i/>
          <w:spacing w:val="-3"/>
          <w:sz w:val="20"/>
          <w:szCs w:val="20"/>
        </w:rPr>
        <w:t>Se-Ling Hosiery v. Margulies</w:t>
      </w:r>
      <w:r w:rsidRPr="005F5810">
        <w:rPr>
          <w:rFonts w:ascii="Times New Roman" w:hAnsi="Times New Roman" w:cs="Times New Roman"/>
          <w:spacing w:val="-3"/>
          <w:sz w:val="20"/>
          <w:szCs w:val="20"/>
        </w:rPr>
        <w:t>, 364 Pa. 45, 70 A.2d 854 (Pa. 1950).</w:t>
      </w:r>
      <w:proofErr w:type="gramEnd"/>
      <w:r w:rsidRPr="005F5810">
        <w:rPr>
          <w:rFonts w:ascii="Times New Roman" w:hAnsi="Times New Roman" w:cs="Times New Roman"/>
          <w:spacing w:val="-3"/>
        </w:rPr>
        <w:t xml:space="preserve">  </w:t>
      </w:r>
    </w:p>
  </w:footnote>
  <w:footnote w:id="6">
    <w:p w:rsidR="000351BB" w:rsidRPr="00AA1D3D" w:rsidRDefault="009604EB" w:rsidP="000351BB">
      <w:pPr>
        <w:pStyle w:val="FootnoteText"/>
        <w:rPr>
          <w:rFonts w:ascii="Times New Roman" w:hAnsi="Times New Roman" w:cs="Times New Roman"/>
          <w:sz w:val="20"/>
          <w:szCs w:val="20"/>
        </w:rPr>
      </w:pPr>
      <w:r>
        <w:rPr>
          <w:rFonts w:ascii="Times New Roman" w:hAnsi="Times New Roman" w:cs="Times New Roman"/>
          <w:sz w:val="20"/>
          <w:szCs w:val="20"/>
        </w:rPr>
        <w:tab/>
      </w:r>
      <w:r w:rsidR="000705C1" w:rsidRPr="00AA1D3D">
        <w:rPr>
          <w:rStyle w:val="FootnoteReference"/>
          <w:rFonts w:ascii="Times New Roman" w:hAnsi="Times New Roman" w:cs="Times New Roman"/>
          <w:sz w:val="20"/>
          <w:szCs w:val="20"/>
        </w:rPr>
        <w:footnoteRef/>
      </w:r>
      <w:r w:rsidR="000705C1" w:rsidRPr="00AA1D3D">
        <w:rPr>
          <w:rFonts w:ascii="Times New Roman" w:hAnsi="Times New Roman" w:cs="Times New Roman"/>
          <w:sz w:val="20"/>
          <w:szCs w:val="20"/>
        </w:rPr>
        <w:t xml:space="preserve"> </w:t>
      </w:r>
      <w:r w:rsidR="000705C1" w:rsidRPr="00AA1D3D">
        <w:rPr>
          <w:rFonts w:ascii="Times New Roman" w:hAnsi="Times New Roman" w:cs="Times New Roman"/>
          <w:sz w:val="20"/>
          <w:szCs w:val="20"/>
        </w:rPr>
        <w:tab/>
        <w:t xml:space="preserve">The term ‘‘heavy load’’ means not less than 75%, nor more than 100%, of the rated test current of the meter. </w:t>
      </w:r>
      <w:r w:rsidR="000351BB" w:rsidRPr="00AA1D3D">
        <w:rPr>
          <w:rFonts w:ascii="Times New Roman" w:hAnsi="Times New Roman" w:cs="Times New Roman"/>
          <w:sz w:val="20"/>
          <w:szCs w:val="20"/>
        </w:rPr>
        <w:t xml:space="preserve"> </w:t>
      </w:r>
      <w:proofErr w:type="gramStart"/>
      <w:r w:rsidR="000351BB" w:rsidRPr="00AA1D3D">
        <w:rPr>
          <w:rFonts w:ascii="Times New Roman" w:hAnsi="Times New Roman" w:cs="Times New Roman"/>
          <w:sz w:val="20"/>
          <w:szCs w:val="20"/>
        </w:rPr>
        <w:t xml:space="preserve">52 </w:t>
      </w:r>
      <w:proofErr w:type="spellStart"/>
      <w:r w:rsidR="000351BB" w:rsidRPr="00AA1D3D">
        <w:rPr>
          <w:rFonts w:ascii="Times New Roman" w:hAnsi="Times New Roman" w:cs="Times New Roman"/>
          <w:sz w:val="20"/>
          <w:szCs w:val="20"/>
        </w:rPr>
        <w:t>Pa.Code</w:t>
      </w:r>
      <w:proofErr w:type="spellEnd"/>
      <w:r w:rsidR="000351BB" w:rsidRPr="00AA1D3D">
        <w:rPr>
          <w:rFonts w:ascii="Times New Roman" w:hAnsi="Times New Roman" w:cs="Times New Roman"/>
          <w:sz w:val="20"/>
          <w:szCs w:val="20"/>
        </w:rPr>
        <w:t xml:space="preserve"> § 57.20 (b).</w:t>
      </w:r>
      <w:proofErr w:type="gramEnd"/>
    </w:p>
    <w:p w:rsidR="000705C1" w:rsidRPr="00AA1D3D" w:rsidRDefault="000705C1">
      <w:pPr>
        <w:pStyle w:val="FootnoteText"/>
        <w:rPr>
          <w:rFonts w:ascii="Times New Roman" w:hAnsi="Times New Roman" w:cs="Times New Roman"/>
          <w:sz w:val="20"/>
          <w:szCs w:val="20"/>
        </w:rPr>
      </w:pPr>
    </w:p>
  </w:footnote>
  <w:footnote w:id="7">
    <w:p w:rsidR="000705C1" w:rsidRPr="00AA1D3D" w:rsidRDefault="00FF2087">
      <w:pPr>
        <w:pStyle w:val="FootnoteText"/>
        <w:rPr>
          <w:rFonts w:ascii="Times New Roman" w:hAnsi="Times New Roman" w:cs="Times New Roman"/>
          <w:i/>
          <w:sz w:val="20"/>
          <w:szCs w:val="20"/>
        </w:rPr>
      </w:pPr>
      <w:r>
        <w:rPr>
          <w:rFonts w:ascii="Times New Roman" w:hAnsi="Times New Roman" w:cs="Times New Roman"/>
          <w:sz w:val="20"/>
          <w:szCs w:val="20"/>
        </w:rPr>
        <w:tab/>
      </w:r>
      <w:r w:rsidR="000705C1" w:rsidRPr="00AA1D3D">
        <w:rPr>
          <w:rStyle w:val="FootnoteReference"/>
          <w:rFonts w:ascii="Times New Roman" w:hAnsi="Times New Roman" w:cs="Times New Roman"/>
          <w:sz w:val="20"/>
          <w:szCs w:val="20"/>
        </w:rPr>
        <w:footnoteRef/>
      </w:r>
      <w:r w:rsidR="000705C1" w:rsidRPr="00AA1D3D">
        <w:rPr>
          <w:rFonts w:ascii="Times New Roman" w:hAnsi="Times New Roman" w:cs="Times New Roman"/>
          <w:sz w:val="20"/>
          <w:szCs w:val="20"/>
        </w:rPr>
        <w:t xml:space="preserve"> </w:t>
      </w:r>
      <w:r w:rsidR="000705C1" w:rsidRPr="00AA1D3D">
        <w:rPr>
          <w:rFonts w:ascii="Times New Roman" w:hAnsi="Times New Roman" w:cs="Times New Roman"/>
          <w:sz w:val="20"/>
          <w:szCs w:val="20"/>
        </w:rPr>
        <w:tab/>
      </w:r>
      <w:r w:rsidR="000351BB" w:rsidRPr="00AA1D3D">
        <w:rPr>
          <w:rFonts w:ascii="Times New Roman" w:hAnsi="Times New Roman" w:cs="Times New Roman"/>
          <w:i/>
          <w:sz w:val="20"/>
          <w:szCs w:val="20"/>
        </w:rPr>
        <w:t>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EC46C0"/>
    <w:multiLevelType w:val="hybridMultilevel"/>
    <w:tmpl w:val="306ACA10"/>
    <w:lvl w:ilvl="0" w:tplc="8076CF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num w:numId="1">
    <w:abstractNumId w:val="3"/>
  </w:num>
  <w:num w:numId="2">
    <w:abstractNumId w:val="2"/>
  </w:num>
  <w:num w:numId="3">
    <w:abstractNumId w:val="1"/>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424"/>
    <w:rsid w:val="00003383"/>
    <w:rsid w:val="00007BD3"/>
    <w:rsid w:val="00013CBE"/>
    <w:rsid w:val="0001437F"/>
    <w:rsid w:val="0001672D"/>
    <w:rsid w:val="0002273A"/>
    <w:rsid w:val="0002316C"/>
    <w:rsid w:val="0002580A"/>
    <w:rsid w:val="00033775"/>
    <w:rsid w:val="000351BB"/>
    <w:rsid w:val="0003733C"/>
    <w:rsid w:val="00044EB2"/>
    <w:rsid w:val="0004672F"/>
    <w:rsid w:val="00046ABE"/>
    <w:rsid w:val="0005019C"/>
    <w:rsid w:val="000507E9"/>
    <w:rsid w:val="00057ACC"/>
    <w:rsid w:val="00065ACC"/>
    <w:rsid w:val="0006648B"/>
    <w:rsid w:val="00066AF1"/>
    <w:rsid w:val="000705C1"/>
    <w:rsid w:val="00071C51"/>
    <w:rsid w:val="00072486"/>
    <w:rsid w:val="0007411C"/>
    <w:rsid w:val="00074FDA"/>
    <w:rsid w:val="00080E30"/>
    <w:rsid w:val="00082455"/>
    <w:rsid w:val="00082B0F"/>
    <w:rsid w:val="000872E1"/>
    <w:rsid w:val="000878AF"/>
    <w:rsid w:val="00087BBD"/>
    <w:rsid w:val="00092F70"/>
    <w:rsid w:val="00093D2E"/>
    <w:rsid w:val="000A421D"/>
    <w:rsid w:val="000A6966"/>
    <w:rsid w:val="000A7D36"/>
    <w:rsid w:val="000B1A3A"/>
    <w:rsid w:val="000B3723"/>
    <w:rsid w:val="000B3C86"/>
    <w:rsid w:val="000C1849"/>
    <w:rsid w:val="000C2645"/>
    <w:rsid w:val="000C696A"/>
    <w:rsid w:val="000C6A1D"/>
    <w:rsid w:val="000C6A52"/>
    <w:rsid w:val="000C76DF"/>
    <w:rsid w:val="000C779C"/>
    <w:rsid w:val="000D088E"/>
    <w:rsid w:val="000D2A74"/>
    <w:rsid w:val="000D2C74"/>
    <w:rsid w:val="000D7334"/>
    <w:rsid w:val="000D7C90"/>
    <w:rsid w:val="000E1C79"/>
    <w:rsid w:val="000E4193"/>
    <w:rsid w:val="000E4757"/>
    <w:rsid w:val="000E7B8F"/>
    <w:rsid w:val="000F0150"/>
    <w:rsid w:val="000F2A6C"/>
    <w:rsid w:val="000F5153"/>
    <w:rsid w:val="000F697B"/>
    <w:rsid w:val="00100771"/>
    <w:rsid w:val="0010345D"/>
    <w:rsid w:val="00110829"/>
    <w:rsid w:val="00112CF1"/>
    <w:rsid w:val="00115113"/>
    <w:rsid w:val="00117FE0"/>
    <w:rsid w:val="001231CA"/>
    <w:rsid w:val="0012372B"/>
    <w:rsid w:val="001239A7"/>
    <w:rsid w:val="00133E95"/>
    <w:rsid w:val="00137C44"/>
    <w:rsid w:val="00145617"/>
    <w:rsid w:val="001509DC"/>
    <w:rsid w:val="00150BDE"/>
    <w:rsid w:val="00153CA8"/>
    <w:rsid w:val="001545A6"/>
    <w:rsid w:val="001721DB"/>
    <w:rsid w:val="0017279B"/>
    <w:rsid w:val="00174F21"/>
    <w:rsid w:val="001758BC"/>
    <w:rsid w:val="001856E3"/>
    <w:rsid w:val="001905F1"/>
    <w:rsid w:val="00190CE1"/>
    <w:rsid w:val="001913E2"/>
    <w:rsid w:val="00193E43"/>
    <w:rsid w:val="00193F05"/>
    <w:rsid w:val="00196175"/>
    <w:rsid w:val="001972A4"/>
    <w:rsid w:val="001A20C7"/>
    <w:rsid w:val="001A230B"/>
    <w:rsid w:val="001A526C"/>
    <w:rsid w:val="001A5501"/>
    <w:rsid w:val="001A57B6"/>
    <w:rsid w:val="001B21E6"/>
    <w:rsid w:val="001B2325"/>
    <w:rsid w:val="001B496C"/>
    <w:rsid w:val="001B4F73"/>
    <w:rsid w:val="001C01AF"/>
    <w:rsid w:val="001C4491"/>
    <w:rsid w:val="001C5BE0"/>
    <w:rsid w:val="001D1AD1"/>
    <w:rsid w:val="001D2AD1"/>
    <w:rsid w:val="001D3C95"/>
    <w:rsid w:val="001D5369"/>
    <w:rsid w:val="001D7B3E"/>
    <w:rsid w:val="001E0D40"/>
    <w:rsid w:val="001E56A5"/>
    <w:rsid w:val="001E778B"/>
    <w:rsid w:val="001F170C"/>
    <w:rsid w:val="001F3234"/>
    <w:rsid w:val="001F493A"/>
    <w:rsid w:val="001F5BAB"/>
    <w:rsid w:val="001F6C01"/>
    <w:rsid w:val="001F7A00"/>
    <w:rsid w:val="00201F22"/>
    <w:rsid w:val="002107F9"/>
    <w:rsid w:val="00213880"/>
    <w:rsid w:val="0022061E"/>
    <w:rsid w:val="00220BB0"/>
    <w:rsid w:val="0022687E"/>
    <w:rsid w:val="00232D3F"/>
    <w:rsid w:val="00232DAC"/>
    <w:rsid w:val="00234024"/>
    <w:rsid w:val="0023722B"/>
    <w:rsid w:val="002404C5"/>
    <w:rsid w:val="00240F02"/>
    <w:rsid w:val="00244D8B"/>
    <w:rsid w:val="00254513"/>
    <w:rsid w:val="00255E38"/>
    <w:rsid w:val="00257730"/>
    <w:rsid w:val="0026178D"/>
    <w:rsid w:val="00261ABD"/>
    <w:rsid w:val="002624B6"/>
    <w:rsid w:val="00264812"/>
    <w:rsid w:val="00272AA7"/>
    <w:rsid w:val="00272C05"/>
    <w:rsid w:val="0027423F"/>
    <w:rsid w:val="00274791"/>
    <w:rsid w:val="00274CAA"/>
    <w:rsid w:val="00276EA1"/>
    <w:rsid w:val="00281054"/>
    <w:rsid w:val="00281D25"/>
    <w:rsid w:val="0028258E"/>
    <w:rsid w:val="002838AA"/>
    <w:rsid w:val="002842AC"/>
    <w:rsid w:val="00285650"/>
    <w:rsid w:val="0028579C"/>
    <w:rsid w:val="002917D2"/>
    <w:rsid w:val="00292C8C"/>
    <w:rsid w:val="002931C8"/>
    <w:rsid w:val="00293EF8"/>
    <w:rsid w:val="002958C4"/>
    <w:rsid w:val="00296137"/>
    <w:rsid w:val="00297751"/>
    <w:rsid w:val="002A07C8"/>
    <w:rsid w:val="002A35B0"/>
    <w:rsid w:val="002A4333"/>
    <w:rsid w:val="002B0AC5"/>
    <w:rsid w:val="002B142F"/>
    <w:rsid w:val="002B2008"/>
    <w:rsid w:val="002B518E"/>
    <w:rsid w:val="002B5E52"/>
    <w:rsid w:val="002B757C"/>
    <w:rsid w:val="002B78D7"/>
    <w:rsid w:val="002C0C04"/>
    <w:rsid w:val="002C2098"/>
    <w:rsid w:val="002D0730"/>
    <w:rsid w:val="002D2B08"/>
    <w:rsid w:val="002D4B8D"/>
    <w:rsid w:val="002D5418"/>
    <w:rsid w:val="002D6203"/>
    <w:rsid w:val="002E149C"/>
    <w:rsid w:val="002E35A1"/>
    <w:rsid w:val="002E3909"/>
    <w:rsid w:val="002E40C6"/>
    <w:rsid w:val="002E5C7F"/>
    <w:rsid w:val="002E78F1"/>
    <w:rsid w:val="002E7FA3"/>
    <w:rsid w:val="002F056C"/>
    <w:rsid w:val="002F48D3"/>
    <w:rsid w:val="002F5CD5"/>
    <w:rsid w:val="002F5E2A"/>
    <w:rsid w:val="002F77C7"/>
    <w:rsid w:val="00304B12"/>
    <w:rsid w:val="00304C50"/>
    <w:rsid w:val="00305550"/>
    <w:rsid w:val="00313480"/>
    <w:rsid w:val="0031518E"/>
    <w:rsid w:val="003163BB"/>
    <w:rsid w:val="00317FA2"/>
    <w:rsid w:val="00322D34"/>
    <w:rsid w:val="003246E4"/>
    <w:rsid w:val="003254C3"/>
    <w:rsid w:val="003255A1"/>
    <w:rsid w:val="00337CDB"/>
    <w:rsid w:val="00337CF1"/>
    <w:rsid w:val="003412FF"/>
    <w:rsid w:val="00344BB9"/>
    <w:rsid w:val="00345BE1"/>
    <w:rsid w:val="0034744D"/>
    <w:rsid w:val="00352570"/>
    <w:rsid w:val="003602B9"/>
    <w:rsid w:val="003613D7"/>
    <w:rsid w:val="00362634"/>
    <w:rsid w:val="00362B96"/>
    <w:rsid w:val="00362FFE"/>
    <w:rsid w:val="00363273"/>
    <w:rsid w:val="0036516C"/>
    <w:rsid w:val="00371787"/>
    <w:rsid w:val="00372D01"/>
    <w:rsid w:val="00373D26"/>
    <w:rsid w:val="00376195"/>
    <w:rsid w:val="00376D13"/>
    <w:rsid w:val="0037750F"/>
    <w:rsid w:val="00377F32"/>
    <w:rsid w:val="0038029E"/>
    <w:rsid w:val="003921FB"/>
    <w:rsid w:val="003933C8"/>
    <w:rsid w:val="00396AE4"/>
    <w:rsid w:val="00397008"/>
    <w:rsid w:val="003A0B68"/>
    <w:rsid w:val="003A28F8"/>
    <w:rsid w:val="003A3BD7"/>
    <w:rsid w:val="003A4F24"/>
    <w:rsid w:val="003A65C4"/>
    <w:rsid w:val="003A6A99"/>
    <w:rsid w:val="003B11BA"/>
    <w:rsid w:val="003B429E"/>
    <w:rsid w:val="003B4D2C"/>
    <w:rsid w:val="003C18AE"/>
    <w:rsid w:val="003C5005"/>
    <w:rsid w:val="003C507E"/>
    <w:rsid w:val="003C543A"/>
    <w:rsid w:val="003C5897"/>
    <w:rsid w:val="003C6EF3"/>
    <w:rsid w:val="003D0EB4"/>
    <w:rsid w:val="003D4029"/>
    <w:rsid w:val="003D408B"/>
    <w:rsid w:val="003D6062"/>
    <w:rsid w:val="003E01A1"/>
    <w:rsid w:val="003F35CF"/>
    <w:rsid w:val="003F4124"/>
    <w:rsid w:val="003F5E4D"/>
    <w:rsid w:val="0040168B"/>
    <w:rsid w:val="00403EE1"/>
    <w:rsid w:val="0040461A"/>
    <w:rsid w:val="00405CE9"/>
    <w:rsid w:val="0041397D"/>
    <w:rsid w:val="00420ED9"/>
    <w:rsid w:val="00421B2E"/>
    <w:rsid w:val="00424437"/>
    <w:rsid w:val="004245ED"/>
    <w:rsid w:val="004266A2"/>
    <w:rsid w:val="00431B9C"/>
    <w:rsid w:val="00432E78"/>
    <w:rsid w:val="00436AD3"/>
    <w:rsid w:val="00440B31"/>
    <w:rsid w:val="00440B5A"/>
    <w:rsid w:val="0045506F"/>
    <w:rsid w:val="004605D5"/>
    <w:rsid w:val="00461759"/>
    <w:rsid w:val="00461B36"/>
    <w:rsid w:val="00466A8F"/>
    <w:rsid w:val="00467EEF"/>
    <w:rsid w:val="00471358"/>
    <w:rsid w:val="00471371"/>
    <w:rsid w:val="0047159E"/>
    <w:rsid w:val="00474069"/>
    <w:rsid w:val="00481F12"/>
    <w:rsid w:val="00483815"/>
    <w:rsid w:val="00485744"/>
    <w:rsid w:val="004858D6"/>
    <w:rsid w:val="00486F8B"/>
    <w:rsid w:val="00487185"/>
    <w:rsid w:val="00491243"/>
    <w:rsid w:val="00493A84"/>
    <w:rsid w:val="004946F6"/>
    <w:rsid w:val="004955E6"/>
    <w:rsid w:val="00497F8C"/>
    <w:rsid w:val="004A1185"/>
    <w:rsid w:val="004A4E1D"/>
    <w:rsid w:val="004A6EC8"/>
    <w:rsid w:val="004A77F9"/>
    <w:rsid w:val="004B0990"/>
    <w:rsid w:val="004B1367"/>
    <w:rsid w:val="004B3362"/>
    <w:rsid w:val="004B6940"/>
    <w:rsid w:val="004C0C95"/>
    <w:rsid w:val="004C111A"/>
    <w:rsid w:val="004C26DF"/>
    <w:rsid w:val="004C4DE8"/>
    <w:rsid w:val="004D38BE"/>
    <w:rsid w:val="004D6D78"/>
    <w:rsid w:val="004E2DD6"/>
    <w:rsid w:val="004E7587"/>
    <w:rsid w:val="004E7962"/>
    <w:rsid w:val="004F4257"/>
    <w:rsid w:val="00503931"/>
    <w:rsid w:val="00504148"/>
    <w:rsid w:val="00511CD0"/>
    <w:rsid w:val="00511F84"/>
    <w:rsid w:val="00513E70"/>
    <w:rsid w:val="005142E6"/>
    <w:rsid w:val="00515BEF"/>
    <w:rsid w:val="005211C3"/>
    <w:rsid w:val="00522445"/>
    <w:rsid w:val="00525333"/>
    <w:rsid w:val="005307A3"/>
    <w:rsid w:val="00531329"/>
    <w:rsid w:val="005321A3"/>
    <w:rsid w:val="00532BF8"/>
    <w:rsid w:val="00534201"/>
    <w:rsid w:val="0053453C"/>
    <w:rsid w:val="00543959"/>
    <w:rsid w:val="00544C76"/>
    <w:rsid w:val="00546D04"/>
    <w:rsid w:val="0054748C"/>
    <w:rsid w:val="0055022D"/>
    <w:rsid w:val="005502B2"/>
    <w:rsid w:val="00551376"/>
    <w:rsid w:val="00552343"/>
    <w:rsid w:val="00553E5E"/>
    <w:rsid w:val="00554503"/>
    <w:rsid w:val="005554F3"/>
    <w:rsid w:val="00565F69"/>
    <w:rsid w:val="005670AC"/>
    <w:rsid w:val="00567106"/>
    <w:rsid w:val="00571307"/>
    <w:rsid w:val="005716E6"/>
    <w:rsid w:val="00573692"/>
    <w:rsid w:val="00573B26"/>
    <w:rsid w:val="0058113E"/>
    <w:rsid w:val="00582A08"/>
    <w:rsid w:val="0058419B"/>
    <w:rsid w:val="005861B4"/>
    <w:rsid w:val="00586C74"/>
    <w:rsid w:val="00590985"/>
    <w:rsid w:val="0059318A"/>
    <w:rsid w:val="005A2302"/>
    <w:rsid w:val="005A27D0"/>
    <w:rsid w:val="005A6248"/>
    <w:rsid w:val="005A6C09"/>
    <w:rsid w:val="005B01AD"/>
    <w:rsid w:val="005B29B8"/>
    <w:rsid w:val="005B4F80"/>
    <w:rsid w:val="005C172A"/>
    <w:rsid w:val="005C25A4"/>
    <w:rsid w:val="005C2F67"/>
    <w:rsid w:val="005C4537"/>
    <w:rsid w:val="005C4709"/>
    <w:rsid w:val="005D3658"/>
    <w:rsid w:val="005D6811"/>
    <w:rsid w:val="005E25E3"/>
    <w:rsid w:val="005E2ED7"/>
    <w:rsid w:val="005E4B0B"/>
    <w:rsid w:val="005E5B8A"/>
    <w:rsid w:val="005F5810"/>
    <w:rsid w:val="005F706C"/>
    <w:rsid w:val="005F768D"/>
    <w:rsid w:val="00600BCC"/>
    <w:rsid w:val="00604212"/>
    <w:rsid w:val="006078DF"/>
    <w:rsid w:val="00611DAB"/>
    <w:rsid w:val="0061273F"/>
    <w:rsid w:val="00615461"/>
    <w:rsid w:val="00615586"/>
    <w:rsid w:val="00615756"/>
    <w:rsid w:val="006171F9"/>
    <w:rsid w:val="00617F4A"/>
    <w:rsid w:val="0062042D"/>
    <w:rsid w:val="00622209"/>
    <w:rsid w:val="00624D31"/>
    <w:rsid w:val="006256AA"/>
    <w:rsid w:val="00625D5A"/>
    <w:rsid w:val="006271EB"/>
    <w:rsid w:val="00630848"/>
    <w:rsid w:val="00630BDF"/>
    <w:rsid w:val="0063148D"/>
    <w:rsid w:val="006349C0"/>
    <w:rsid w:val="006418C3"/>
    <w:rsid w:val="00643048"/>
    <w:rsid w:val="00646FCC"/>
    <w:rsid w:val="006479D7"/>
    <w:rsid w:val="0065285C"/>
    <w:rsid w:val="006542F0"/>
    <w:rsid w:val="006557AC"/>
    <w:rsid w:val="006573C5"/>
    <w:rsid w:val="00657DF9"/>
    <w:rsid w:val="006608FD"/>
    <w:rsid w:val="00661CC7"/>
    <w:rsid w:val="0066241C"/>
    <w:rsid w:val="00662491"/>
    <w:rsid w:val="00664278"/>
    <w:rsid w:val="006731F6"/>
    <w:rsid w:val="0067658B"/>
    <w:rsid w:val="006807F4"/>
    <w:rsid w:val="006817DF"/>
    <w:rsid w:val="00683B7A"/>
    <w:rsid w:val="0068420E"/>
    <w:rsid w:val="006842ED"/>
    <w:rsid w:val="00686575"/>
    <w:rsid w:val="00693D05"/>
    <w:rsid w:val="00696C96"/>
    <w:rsid w:val="006A4FFB"/>
    <w:rsid w:val="006A6645"/>
    <w:rsid w:val="006B097B"/>
    <w:rsid w:val="006B161B"/>
    <w:rsid w:val="006B258B"/>
    <w:rsid w:val="006B313F"/>
    <w:rsid w:val="006B4E52"/>
    <w:rsid w:val="006C027F"/>
    <w:rsid w:val="006C0FF0"/>
    <w:rsid w:val="006C3A45"/>
    <w:rsid w:val="006C5054"/>
    <w:rsid w:val="006C7D00"/>
    <w:rsid w:val="006D05A2"/>
    <w:rsid w:val="006D0AA2"/>
    <w:rsid w:val="006D2C47"/>
    <w:rsid w:val="006D4216"/>
    <w:rsid w:val="006D52C1"/>
    <w:rsid w:val="006D6C0B"/>
    <w:rsid w:val="006D7F2E"/>
    <w:rsid w:val="006E0A31"/>
    <w:rsid w:val="006E0E53"/>
    <w:rsid w:val="006E721C"/>
    <w:rsid w:val="006F1C9F"/>
    <w:rsid w:val="006F244B"/>
    <w:rsid w:val="006F2E0F"/>
    <w:rsid w:val="00702769"/>
    <w:rsid w:val="00702E1B"/>
    <w:rsid w:val="0070391C"/>
    <w:rsid w:val="00704BA8"/>
    <w:rsid w:val="00711F3E"/>
    <w:rsid w:val="0071211F"/>
    <w:rsid w:val="0071467B"/>
    <w:rsid w:val="00717DD4"/>
    <w:rsid w:val="00720E8E"/>
    <w:rsid w:val="00722965"/>
    <w:rsid w:val="00723808"/>
    <w:rsid w:val="007253FC"/>
    <w:rsid w:val="00725BA8"/>
    <w:rsid w:val="007264CB"/>
    <w:rsid w:val="00730595"/>
    <w:rsid w:val="00732B4C"/>
    <w:rsid w:val="007346D1"/>
    <w:rsid w:val="00737111"/>
    <w:rsid w:val="007379EF"/>
    <w:rsid w:val="00742E76"/>
    <w:rsid w:val="00746E0D"/>
    <w:rsid w:val="00746F17"/>
    <w:rsid w:val="0074710E"/>
    <w:rsid w:val="00747276"/>
    <w:rsid w:val="007515AE"/>
    <w:rsid w:val="007515E8"/>
    <w:rsid w:val="00751EB2"/>
    <w:rsid w:val="007546FC"/>
    <w:rsid w:val="007549F5"/>
    <w:rsid w:val="0075658E"/>
    <w:rsid w:val="0075670E"/>
    <w:rsid w:val="00756BB4"/>
    <w:rsid w:val="00756D04"/>
    <w:rsid w:val="007579F6"/>
    <w:rsid w:val="00767254"/>
    <w:rsid w:val="0076746D"/>
    <w:rsid w:val="007722DA"/>
    <w:rsid w:val="00775387"/>
    <w:rsid w:val="007810D0"/>
    <w:rsid w:val="00781B2D"/>
    <w:rsid w:val="00783B43"/>
    <w:rsid w:val="0078482F"/>
    <w:rsid w:val="0079257C"/>
    <w:rsid w:val="00792F0E"/>
    <w:rsid w:val="007966B2"/>
    <w:rsid w:val="007A2B0A"/>
    <w:rsid w:val="007A4EB2"/>
    <w:rsid w:val="007B0C70"/>
    <w:rsid w:val="007B13A2"/>
    <w:rsid w:val="007B2ACE"/>
    <w:rsid w:val="007B49D6"/>
    <w:rsid w:val="007B5973"/>
    <w:rsid w:val="007B7837"/>
    <w:rsid w:val="007C166F"/>
    <w:rsid w:val="007C2A8F"/>
    <w:rsid w:val="007C530A"/>
    <w:rsid w:val="007C6B7B"/>
    <w:rsid w:val="007D0C0D"/>
    <w:rsid w:val="007D47BE"/>
    <w:rsid w:val="007D4D1D"/>
    <w:rsid w:val="007E06A2"/>
    <w:rsid w:val="007E5599"/>
    <w:rsid w:val="007E7052"/>
    <w:rsid w:val="007F576B"/>
    <w:rsid w:val="007F5B4F"/>
    <w:rsid w:val="007F6B89"/>
    <w:rsid w:val="0080198C"/>
    <w:rsid w:val="00807F5F"/>
    <w:rsid w:val="00812A29"/>
    <w:rsid w:val="00815E6C"/>
    <w:rsid w:val="00816732"/>
    <w:rsid w:val="00821A6B"/>
    <w:rsid w:val="00822C6B"/>
    <w:rsid w:val="0082300F"/>
    <w:rsid w:val="00823E40"/>
    <w:rsid w:val="008246CA"/>
    <w:rsid w:val="008249D3"/>
    <w:rsid w:val="00826284"/>
    <w:rsid w:val="0083059E"/>
    <w:rsid w:val="00830B06"/>
    <w:rsid w:val="00832CEF"/>
    <w:rsid w:val="00833FB8"/>
    <w:rsid w:val="008421C9"/>
    <w:rsid w:val="0084333D"/>
    <w:rsid w:val="00843C2B"/>
    <w:rsid w:val="00844412"/>
    <w:rsid w:val="008453DF"/>
    <w:rsid w:val="00850B96"/>
    <w:rsid w:val="0085111B"/>
    <w:rsid w:val="00853C51"/>
    <w:rsid w:val="008551A6"/>
    <w:rsid w:val="00855BE7"/>
    <w:rsid w:val="00862B5F"/>
    <w:rsid w:val="00862B6A"/>
    <w:rsid w:val="00864FDA"/>
    <w:rsid w:val="008650B0"/>
    <w:rsid w:val="00866578"/>
    <w:rsid w:val="008706BE"/>
    <w:rsid w:val="0087150B"/>
    <w:rsid w:val="0087369B"/>
    <w:rsid w:val="00880EDA"/>
    <w:rsid w:val="0088426D"/>
    <w:rsid w:val="00885185"/>
    <w:rsid w:val="00885BFE"/>
    <w:rsid w:val="00886831"/>
    <w:rsid w:val="008878B6"/>
    <w:rsid w:val="008905E7"/>
    <w:rsid w:val="00895853"/>
    <w:rsid w:val="00897AE4"/>
    <w:rsid w:val="00897B60"/>
    <w:rsid w:val="00897C02"/>
    <w:rsid w:val="00897D6A"/>
    <w:rsid w:val="008A02A1"/>
    <w:rsid w:val="008A0E9A"/>
    <w:rsid w:val="008A141C"/>
    <w:rsid w:val="008A2E24"/>
    <w:rsid w:val="008A3733"/>
    <w:rsid w:val="008A4221"/>
    <w:rsid w:val="008A4E22"/>
    <w:rsid w:val="008B244B"/>
    <w:rsid w:val="008B2D08"/>
    <w:rsid w:val="008B34B9"/>
    <w:rsid w:val="008C1048"/>
    <w:rsid w:val="008C48C2"/>
    <w:rsid w:val="008C5902"/>
    <w:rsid w:val="008C5FC9"/>
    <w:rsid w:val="008D03E3"/>
    <w:rsid w:val="008D1001"/>
    <w:rsid w:val="008D157E"/>
    <w:rsid w:val="008D3243"/>
    <w:rsid w:val="008D341E"/>
    <w:rsid w:val="008D34C3"/>
    <w:rsid w:val="008D3827"/>
    <w:rsid w:val="008D645C"/>
    <w:rsid w:val="008E20A6"/>
    <w:rsid w:val="008E2FB6"/>
    <w:rsid w:val="008E6EDB"/>
    <w:rsid w:val="008F1052"/>
    <w:rsid w:val="008F18D2"/>
    <w:rsid w:val="008F1DE7"/>
    <w:rsid w:val="008F3A18"/>
    <w:rsid w:val="00914C17"/>
    <w:rsid w:val="009205A1"/>
    <w:rsid w:val="00922E51"/>
    <w:rsid w:val="009243A7"/>
    <w:rsid w:val="00926884"/>
    <w:rsid w:val="00926D97"/>
    <w:rsid w:val="0093032B"/>
    <w:rsid w:val="009336CE"/>
    <w:rsid w:val="00935843"/>
    <w:rsid w:val="00935864"/>
    <w:rsid w:val="00940725"/>
    <w:rsid w:val="0094423A"/>
    <w:rsid w:val="009473BF"/>
    <w:rsid w:val="0095388B"/>
    <w:rsid w:val="00954445"/>
    <w:rsid w:val="009568BE"/>
    <w:rsid w:val="00957417"/>
    <w:rsid w:val="009604EB"/>
    <w:rsid w:val="00960F3C"/>
    <w:rsid w:val="00963354"/>
    <w:rsid w:val="0096422B"/>
    <w:rsid w:val="00966E87"/>
    <w:rsid w:val="009728A5"/>
    <w:rsid w:val="009749D9"/>
    <w:rsid w:val="00974D94"/>
    <w:rsid w:val="009763F4"/>
    <w:rsid w:val="0098095E"/>
    <w:rsid w:val="0098215A"/>
    <w:rsid w:val="00984405"/>
    <w:rsid w:val="009860B5"/>
    <w:rsid w:val="0098732E"/>
    <w:rsid w:val="00990854"/>
    <w:rsid w:val="009959E2"/>
    <w:rsid w:val="00996194"/>
    <w:rsid w:val="009968A8"/>
    <w:rsid w:val="009A22E8"/>
    <w:rsid w:val="009A271D"/>
    <w:rsid w:val="009A4689"/>
    <w:rsid w:val="009A6721"/>
    <w:rsid w:val="009B1EDC"/>
    <w:rsid w:val="009B1EE7"/>
    <w:rsid w:val="009B4366"/>
    <w:rsid w:val="009B5789"/>
    <w:rsid w:val="009B5FD6"/>
    <w:rsid w:val="009B7615"/>
    <w:rsid w:val="009C1E4E"/>
    <w:rsid w:val="009C2BEA"/>
    <w:rsid w:val="009C4045"/>
    <w:rsid w:val="009D1615"/>
    <w:rsid w:val="009D33D1"/>
    <w:rsid w:val="009D655D"/>
    <w:rsid w:val="009D7B04"/>
    <w:rsid w:val="009D7B8C"/>
    <w:rsid w:val="009E01CA"/>
    <w:rsid w:val="009E337B"/>
    <w:rsid w:val="009E33DF"/>
    <w:rsid w:val="009E65BD"/>
    <w:rsid w:val="009F05D7"/>
    <w:rsid w:val="009F10AA"/>
    <w:rsid w:val="009F15F5"/>
    <w:rsid w:val="009F38BB"/>
    <w:rsid w:val="00A078F1"/>
    <w:rsid w:val="00A118DA"/>
    <w:rsid w:val="00A1283A"/>
    <w:rsid w:val="00A13403"/>
    <w:rsid w:val="00A20FA0"/>
    <w:rsid w:val="00A247B9"/>
    <w:rsid w:val="00A249E8"/>
    <w:rsid w:val="00A25402"/>
    <w:rsid w:val="00A259E4"/>
    <w:rsid w:val="00A2796F"/>
    <w:rsid w:val="00A32897"/>
    <w:rsid w:val="00A33A66"/>
    <w:rsid w:val="00A3571A"/>
    <w:rsid w:val="00A36FED"/>
    <w:rsid w:val="00A431D5"/>
    <w:rsid w:val="00A50ED3"/>
    <w:rsid w:val="00A51E29"/>
    <w:rsid w:val="00A529CA"/>
    <w:rsid w:val="00A54324"/>
    <w:rsid w:val="00A56F0E"/>
    <w:rsid w:val="00A61BB4"/>
    <w:rsid w:val="00A64966"/>
    <w:rsid w:val="00A6621F"/>
    <w:rsid w:val="00A701B7"/>
    <w:rsid w:val="00A70891"/>
    <w:rsid w:val="00A70893"/>
    <w:rsid w:val="00A75368"/>
    <w:rsid w:val="00A76E87"/>
    <w:rsid w:val="00A839FD"/>
    <w:rsid w:val="00A85DA8"/>
    <w:rsid w:val="00A862CE"/>
    <w:rsid w:val="00A9452C"/>
    <w:rsid w:val="00A96035"/>
    <w:rsid w:val="00AA0404"/>
    <w:rsid w:val="00AA1C7A"/>
    <w:rsid w:val="00AA1D3D"/>
    <w:rsid w:val="00AA5B87"/>
    <w:rsid w:val="00AB17F8"/>
    <w:rsid w:val="00AB2673"/>
    <w:rsid w:val="00AC0CAA"/>
    <w:rsid w:val="00AC216E"/>
    <w:rsid w:val="00AC36E7"/>
    <w:rsid w:val="00AC7429"/>
    <w:rsid w:val="00AC775A"/>
    <w:rsid w:val="00AC7960"/>
    <w:rsid w:val="00AD277F"/>
    <w:rsid w:val="00AD5550"/>
    <w:rsid w:val="00AD64AA"/>
    <w:rsid w:val="00AE0497"/>
    <w:rsid w:val="00AE3021"/>
    <w:rsid w:val="00AE4308"/>
    <w:rsid w:val="00AE5A32"/>
    <w:rsid w:val="00AF3C62"/>
    <w:rsid w:val="00AF3DE1"/>
    <w:rsid w:val="00AF3E72"/>
    <w:rsid w:val="00AF6FB4"/>
    <w:rsid w:val="00AF77D8"/>
    <w:rsid w:val="00B00B57"/>
    <w:rsid w:val="00B033A3"/>
    <w:rsid w:val="00B067EB"/>
    <w:rsid w:val="00B07ECF"/>
    <w:rsid w:val="00B101D2"/>
    <w:rsid w:val="00B10725"/>
    <w:rsid w:val="00B10A04"/>
    <w:rsid w:val="00B20E42"/>
    <w:rsid w:val="00B242E3"/>
    <w:rsid w:val="00B270F1"/>
    <w:rsid w:val="00B33991"/>
    <w:rsid w:val="00B33BA2"/>
    <w:rsid w:val="00B3758D"/>
    <w:rsid w:val="00B37763"/>
    <w:rsid w:val="00B4049B"/>
    <w:rsid w:val="00B4250A"/>
    <w:rsid w:val="00B42737"/>
    <w:rsid w:val="00B4433D"/>
    <w:rsid w:val="00B536A6"/>
    <w:rsid w:val="00B547D5"/>
    <w:rsid w:val="00B54EA8"/>
    <w:rsid w:val="00B5790A"/>
    <w:rsid w:val="00B57BC7"/>
    <w:rsid w:val="00B61D9E"/>
    <w:rsid w:val="00B62415"/>
    <w:rsid w:val="00B631A5"/>
    <w:rsid w:val="00B66E5C"/>
    <w:rsid w:val="00B708D5"/>
    <w:rsid w:val="00B70DED"/>
    <w:rsid w:val="00B715CE"/>
    <w:rsid w:val="00B72D65"/>
    <w:rsid w:val="00B73B79"/>
    <w:rsid w:val="00B838A8"/>
    <w:rsid w:val="00B860D6"/>
    <w:rsid w:val="00B901C2"/>
    <w:rsid w:val="00B9440A"/>
    <w:rsid w:val="00B97556"/>
    <w:rsid w:val="00BA2E94"/>
    <w:rsid w:val="00BA4173"/>
    <w:rsid w:val="00BA596D"/>
    <w:rsid w:val="00BA5DBD"/>
    <w:rsid w:val="00BB1553"/>
    <w:rsid w:val="00BB4BB0"/>
    <w:rsid w:val="00BB587E"/>
    <w:rsid w:val="00BB6A38"/>
    <w:rsid w:val="00BC15E5"/>
    <w:rsid w:val="00BC3DF8"/>
    <w:rsid w:val="00BC3FE5"/>
    <w:rsid w:val="00BC51C0"/>
    <w:rsid w:val="00BC7344"/>
    <w:rsid w:val="00BD44D3"/>
    <w:rsid w:val="00BD4BDF"/>
    <w:rsid w:val="00BD510A"/>
    <w:rsid w:val="00BD56B5"/>
    <w:rsid w:val="00BD5BAB"/>
    <w:rsid w:val="00BE2ACA"/>
    <w:rsid w:val="00BE4CDA"/>
    <w:rsid w:val="00BE5E17"/>
    <w:rsid w:val="00BE7141"/>
    <w:rsid w:val="00BF075A"/>
    <w:rsid w:val="00BF1A27"/>
    <w:rsid w:val="00BF1CFB"/>
    <w:rsid w:val="00C0443F"/>
    <w:rsid w:val="00C045AA"/>
    <w:rsid w:val="00C06FB5"/>
    <w:rsid w:val="00C07E84"/>
    <w:rsid w:val="00C17974"/>
    <w:rsid w:val="00C25060"/>
    <w:rsid w:val="00C26E94"/>
    <w:rsid w:val="00C26FD7"/>
    <w:rsid w:val="00C3078F"/>
    <w:rsid w:val="00C324B4"/>
    <w:rsid w:val="00C40A9C"/>
    <w:rsid w:val="00C42508"/>
    <w:rsid w:val="00C43B6A"/>
    <w:rsid w:val="00C46713"/>
    <w:rsid w:val="00C516FB"/>
    <w:rsid w:val="00C52F1D"/>
    <w:rsid w:val="00C52F27"/>
    <w:rsid w:val="00C562AF"/>
    <w:rsid w:val="00C6484A"/>
    <w:rsid w:val="00C6794F"/>
    <w:rsid w:val="00C710A5"/>
    <w:rsid w:val="00C71198"/>
    <w:rsid w:val="00C7180D"/>
    <w:rsid w:val="00C74B7E"/>
    <w:rsid w:val="00C81BD0"/>
    <w:rsid w:val="00C8247E"/>
    <w:rsid w:val="00C83D2F"/>
    <w:rsid w:val="00C8549C"/>
    <w:rsid w:val="00C85749"/>
    <w:rsid w:val="00C868F8"/>
    <w:rsid w:val="00C86A11"/>
    <w:rsid w:val="00C86B5C"/>
    <w:rsid w:val="00C870AF"/>
    <w:rsid w:val="00C879E5"/>
    <w:rsid w:val="00C87F4F"/>
    <w:rsid w:val="00C90186"/>
    <w:rsid w:val="00C90C94"/>
    <w:rsid w:val="00C93752"/>
    <w:rsid w:val="00C97578"/>
    <w:rsid w:val="00CA1E3B"/>
    <w:rsid w:val="00CA2AE7"/>
    <w:rsid w:val="00CA2FE0"/>
    <w:rsid w:val="00CA53D9"/>
    <w:rsid w:val="00CB2BF4"/>
    <w:rsid w:val="00CB34A2"/>
    <w:rsid w:val="00CB7ACD"/>
    <w:rsid w:val="00CB7F09"/>
    <w:rsid w:val="00CC2DDD"/>
    <w:rsid w:val="00CC4B9A"/>
    <w:rsid w:val="00CD285B"/>
    <w:rsid w:val="00CE0E15"/>
    <w:rsid w:val="00CF132D"/>
    <w:rsid w:val="00CF496B"/>
    <w:rsid w:val="00CF5F0E"/>
    <w:rsid w:val="00D02DA3"/>
    <w:rsid w:val="00D05A38"/>
    <w:rsid w:val="00D11602"/>
    <w:rsid w:val="00D126CD"/>
    <w:rsid w:val="00D158B6"/>
    <w:rsid w:val="00D177C4"/>
    <w:rsid w:val="00D17FBA"/>
    <w:rsid w:val="00D21665"/>
    <w:rsid w:val="00D23081"/>
    <w:rsid w:val="00D269D2"/>
    <w:rsid w:val="00D26FF3"/>
    <w:rsid w:val="00D31DD0"/>
    <w:rsid w:val="00D31FD1"/>
    <w:rsid w:val="00D3322D"/>
    <w:rsid w:val="00D37A50"/>
    <w:rsid w:val="00D4052A"/>
    <w:rsid w:val="00D408F3"/>
    <w:rsid w:val="00D4375D"/>
    <w:rsid w:val="00D470F5"/>
    <w:rsid w:val="00D4762D"/>
    <w:rsid w:val="00D51D27"/>
    <w:rsid w:val="00D61EF4"/>
    <w:rsid w:val="00D63669"/>
    <w:rsid w:val="00D638D3"/>
    <w:rsid w:val="00D64007"/>
    <w:rsid w:val="00D64C08"/>
    <w:rsid w:val="00D66467"/>
    <w:rsid w:val="00D678B4"/>
    <w:rsid w:val="00D67C10"/>
    <w:rsid w:val="00D70C6E"/>
    <w:rsid w:val="00D71D77"/>
    <w:rsid w:val="00D71EAF"/>
    <w:rsid w:val="00D754D1"/>
    <w:rsid w:val="00D77792"/>
    <w:rsid w:val="00D77954"/>
    <w:rsid w:val="00D8243B"/>
    <w:rsid w:val="00D83169"/>
    <w:rsid w:val="00D858D8"/>
    <w:rsid w:val="00D867C0"/>
    <w:rsid w:val="00D97604"/>
    <w:rsid w:val="00D97C37"/>
    <w:rsid w:val="00DA397B"/>
    <w:rsid w:val="00DA50DF"/>
    <w:rsid w:val="00DA55DD"/>
    <w:rsid w:val="00DA5A29"/>
    <w:rsid w:val="00DA798E"/>
    <w:rsid w:val="00DB3EC2"/>
    <w:rsid w:val="00DB5107"/>
    <w:rsid w:val="00DB5586"/>
    <w:rsid w:val="00DB5CB8"/>
    <w:rsid w:val="00DC3283"/>
    <w:rsid w:val="00DC73D2"/>
    <w:rsid w:val="00DC7645"/>
    <w:rsid w:val="00DD685A"/>
    <w:rsid w:val="00DE0129"/>
    <w:rsid w:val="00DE3E7D"/>
    <w:rsid w:val="00DE5ACE"/>
    <w:rsid w:val="00DF03E9"/>
    <w:rsid w:val="00DF22BC"/>
    <w:rsid w:val="00E0190C"/>
    <w:rsid w:val="00E01DD8"/>
    <w:rsid w:val="00E1039D"/>
    <w:rsid w:val="00E12835"/>
    <w:rsid w:val="00E13FCA"/>
    <w:rsid w:val="00E14C30"/>
    <w:rsid w:val="00E1535E"/>
    <w:rsid w:val="00E15DC7"/>
    <w:rsid w:val="00E16D45"/>
    <w:rsid w:val="00E16DAD"/>
    <w:rsid w:val="00E17CAD"/>
    <w:rsid w:val="00E214D9"/>
    <w:rsid w:val="00E21CC3"/>
    <w:rsid w:val="00E26BBB"/>
    <w:rsid w:val="00E31151"/>
    <w:rsid w:val="00E35A5C"/>
    <w:rsid w:val="00E3608B"/>
    <w:rsid w:val="00E369DB"/>
    <w:rsid w:val="00E400BE"/>
    <w:rsid w:val="00E4098F"/>
    <w:rsid w:val="00E43B23"/>
    <w:rsid w:val="00E43B9C"/>
    <w:rsid w:val="00E44E8B"/>
    <w:rsid w:val="00E465C0"/>
    <w:rsid w:val="00E47B6B"/>
    <w:rsid w:val="00E507BA"/>
    <w:rsid w:val="00E507BC"/>
    <w:rsid w:val="00E50E67"/>
    <w:rsid w:val="00E54DA3"/>
    <w:rsid w:val="00E558A0"/>
    <w:rsid w:val="00E56518"/>
    <w:rsid w:val="00E61522"/>
    <w:rsid w:val="00E62EC8"/>
    <w:rsid w:val="00E6379C"/>
    <w:rsid w:val="00E7161D"/>
    <w:rsid w:val="00E733DA"/>
    <w:rsid w:val="00E739A7"/>
    <w:rsid w:val="00E7480E"/>
    <w:rsid w:val="00E8170D"/>
    <w:rsid w:val="00E83947"/>
    <w:rsid w:val="00E849D5"/>
    <w:rsid w:val="00E86814"/>
    <w:rsid w:val="00E91D2A"/>
    <w:rsid w:val="00E92F24"/>
    <w:rsid w:val="00E93505"/>
    <w:rsid w:val="00E94046"/>
    <w:rsid w:val="00E95B19"/>
    <w:rsid w:val="00E96EB4"/>
    <w:rsid w:val="00EA3C79"/>
    <w:rsid w:val="00EB068D"/>
    <w:rsid w:val="00EB234F"/>
    <w:rsid w:val="00EC4681"/>
    <w:rsid w:val="00EC525D"/>
    <w:rsid w:val="00EC7184"/>
    <w:rsid w:val="00ED2E14"/>
    <w:rsid w:val="00ED4F75"/>
    <w:rsid w:val="00EE42D0"/>
    <w:rsid w:val="00EE49DB"/>
    <w:rsid w:val="00EE4F9F"/>
    <w:rsid w:val="00EE5A0F"/>
    <w:rsid w:val="00EE62AD"/>
    <w:rsid w:val="00EE7AC6"/>
    <w:rsid w:val="00EF7CA8"/>
    <w:rsid w:val="00F01D82"/>
    <w:rsid w:val="00F0391C"/>
    <w:rsid w:val="00F06708"/>
    <w:rsid w:val="00F109A9"/>
    <w:rsid w:val="00F11698"/>
    <w:rsid w:val="00F1278A"/>
    <w:rsid w:val="00F14268"/>
    <w:rsid w:val="00F15ED1"/>
    <w:rsid w:val="00F1656B"/>
    <w:rsid w:val="00F1760D"/>
    <w:rsid w:val="00F20F26"/>
    <w:rsid w:val="00F2498B"/>
    <w:rsid w:val="00F27F6F"/>
    <w:rsid w:val="00F30A4A"/>
    <w:rsid w:val="00F316B5"/>
    <w:rsid w:val="00F344FA"/>
    <w:rsid w:val="00F35BA9"/>
    <w:rsid w:val="00F41A1C"/>
    <w:rsid w:val="00F4516C"/>
    <w:rsid w:val="00F46CF4"/>
    <w:rsid w:val="00F51F67"/>
    <w:rsid w:val="00F55E97"/>
    <w:rsid w:val="00F607B4"/>
    <w:rsid w:val="00F625B5"/>
    <w:rsid w:val="00F62A9A"/>
    <w:rsid w:val="00F651AE"/>
    <w:rsid w:val="00F665E5"/>
    <w:rsid w:val="00F66D5C"/>
    <w:rsid w:val="00F71724"/>
    <w:rsid w:val="00F7325B"/>
    <w:rsid w:val="00F76E37"/>
    <w:rsid w:val="00F77131"/>
    <w:rsid w:val="00F777D0"/>
    <w:rsid w:val="00F80488"/>
    <w:rsid w:val="00F81B4C"/>
    <w:rsid w:val="00F820C3"/>
    <w:rsid w:val="00F82CFD"/>
    <w:rsid w:val="00F83BF0"/>
    <w:rsid w:val="00F84FE9"/>
    <w:rsid w:val="00F85A6E"/>
    <w:rsid w:val="00F90381"/>
    <w:rsid w:val="00F90C0F"/>
    <w:rsid w:val="00F91D7D"/>
    <w:rsid w:val="00F94ABE"/>
    <w:rsid w:val="00F960F5"/>
    <w:rsid w:val="00F9723F"/>
    <w:rsid w:val="00FB095A"/>
    <w:rsid w:val="00FB13C0"/>
    <w:rsid w:val="00FB170C"/>
    <w:rsid w:val="00FB49CE"/>
    <w:rsid w:val="00FB7A4F"/>
    <w:rsid w:val="00FC0540"/>
    <w:rsid w:val="00FC0BE8"/>
    <w:rsid w:val="00FC1F33"/>
    <w:rsid w:val="00FC23DE"/>
    <w:rsid w:val="00FC3954"/>
    <w:rsid w:val="00FC6624"/>
    <w:rsid w:val="00FC6802"/>
    <w:rsid w:val="00FC680A"/>
    <w:rsid w:val="00FD04E2"/>
    <w:rsid w:val="00FD1E6A"/>
    <w:rsid w:val="00FD2CA7"/>
    <w:rsid w:val="00FD2F17"/>
    <w:rsid w:val="00FD52EB"/>
    <w:rsid w:val="00FD5797"/>
    <w:rsid w:val="00FE2711"/>
    <w:rsid w:val="00FE503F"/>
    <w:rsid w:val="00FE63B9"/>
    <w:rsid w:val="00FE6A4D"/>
    <w:rsid w:val="00FE785B"/>
    <w:rsid w:val="00FF079E"/>
    <w:rsid w:val="00FF1631"/>
    <w:rsid w:val="00FF2087"/>
    <w:rsid w:val="00FF3A6F"/>
    <w:rsid w:val="00FF3C84"/>
    <w:rsid w:val="00FF58C9"/>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aliases w:val="Car"/>
    <w:basedOn w:val="Normal"/>
    <w:link w:val="FootnoteTextChar"/>
    <w:uiPriority w:val="99"/>
    <w:qFormat/>
    <w:rsid w:val="008905E7"/>
  </w:style>
  <w:style w:type="character" w:styleId="FootnoteReference">
    <w:name w:val="footnote reference"/>
    <w:basedOn w:val="DefaultParagraphFont"/>
    <w:uiPriority w:val="99"/>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iPriority w:val="99"/>
    <w:unhideWhenUsed/>
    <w:rsid w:val="0094423A"/>
    <w:pPr>
      <w:autoSpaceDE/>
      <w:autoSpaceDN/>
      <w:spacing w:before="100" w:beforeAutospacing="1" w:after="100" w:afterAutospacing="1"/>
    </w:pPr>
    <w:rPr>
      <w:rFonts w:ascii="Times New Roman" w:hAnsi="Times New Roman" w:cs="Times New Roman"/>
    </w:rPr>
  </w:style>
  <w:style w:type="character" w:customStyle="1" w:styleId="FootnoteTextChar">
    <w:name w:val="Footnote Text Char"/>
    <w:aliases w:val="Car Char"/>
    <w:basedOn w:val="DefaultParagraphFont"/>
    <w:link w:val="FootnoteText"/>
    <w:uiPriority w:val="99"/>
    <w:rsid w:val="006D7F2E"/>
    <w:rPr>
      <w:rFonts w:ascii="CG Times" w:hAnsi="CG Times" w:cs="CG Times"/>
      <w:sz w:val="24"/>
      <w:szCs w:val="24"/>
    </w:rPr>
  </w:style>
  <w:style w:type="paragraph" w:styleId="ListParagraph">
    <w:name w:val="List Paragraph"/>
    <w:basedOn w:val="Normal"/>
    <w:uiPriority w:val="34"/>
    <w:qFormat/>
    <w:rsid w:val="006D7F2E"/>
    <w:pPr>
      <w:autoSpaceDE/>
      <w:autoSpaceDN/>
      <w:spacing w:line="360" w:lineRule="auto"/>
      <w:ind w:left="720"/>
      <w:contextualSpacing/>
    </w:pPr>
    <w:rPr>
      <w:rFonts w:ascii="Times New Roman" w:hAnsi="Times New Roman"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5E7"/>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94423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905E7"/>
  </w:style>
  <w:style w:type="character" w:styleId="EndnoteReference">
    <w:name w:val="endnote reference"/>
    <w:basedOn w:val="DefaultParagraphFont"/>
    <w:semiHidden/>
    <w:rsid w:val="008905E7"/>
    <w:rPr>
      <w:vertAlign w:val="superscript"/>
    </w:rPr>
  </w:style>
  <w:style w:type="paragraph" w:styleId="FootnoteText">
    <w:name w:val="footnote text"/>
    <w:aliases w:val="Car"/>
    <w:basedOn w:val="Normal"/>
    <w:link w:val="FootnoteTextChar"/>
    <w:uiPriority w:val="99"/>
    <w:qFormat/>
    <w:rsid w:val="008905E7"/>
  </w:style>
  <w:style w:type="character" w:styleId="FootnoteReference">
    <w:name w:val="footnote reference"/>
    <w:basedOn w:val="DefaultParagraphFont"/>
    <w:uiPriority w:val="99"/>
    <w:rsid w:val="008905E7"/>
    <w:rPr>
      <w:vertAlign w:val="superscript"/>
    </w:rPr>
  </w:style>
  <w:style w:type="paragraph" w:customStyle="1" w:styleId="ParaTab1">
    <w:name w:val="ParaTab 1"/>
    <w:rsid w:val="008905E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8905E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8905E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8905E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8905E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8905E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8905E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8905E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8905E7"/>
    <w:pPr>
      <w:tabs>
        <w:tab w:val="right" w:leader="dot" w:pos="9360"/>
      </w:tabs>
      <w:suppressAutoHyphens/>
      <w:spacing w:before="480"/>
      <w:ind w:left="720" w:right="720" w:hanging="720"/>
    </w:pPr>
  </w:style>
  <w:style w:type="paragraph" w:styleId="TOC2">
    <w:name w:val="toc 2"/>
    <w:basedOn w:val="Normal"/>
    <w:next w:val="Normal"/>
    <w:autoRedefine/>
    <w:semiHidden/>
    <w:rsid w:val="008905E7"/>
    <w:pPr>
      <w:tabs>
        <w:tab w:val="right" w:leader="dot" w:pos="9360"/>
      </w:tabs>
      <w:suppressAutoHyphens/>
      <w:ind w:left="720" w:right="720"/>
    </w:pPr>
  </w:style>
  <w:style w:type="paragraph" w:styleId="TOC3">
    <w:name w:val="toc 3"/>
    <w:basedOn w:val="Normal"/>
    <w:next w:val="Normal"/>
    <w:autoRedefine/>
    <w:semiHidden/>
    <w:rsid w:val="008905E7"/>
    <w:pPr>
      <w:tabs>
        <w:tab w:val="right" w:leader="dot" w:pos="9360"/>
      </w:tabs>
      <w:suppressAutoHyphens/>
      <w:ind w:left="720" w:right="720"/>
    </w:pPr>
  </w:style>
  <w:style w:type="paragraph" w:styleId="TOC4">
    <w:name w:val="toc 4"/>
    <w:basedOn w:val="Normal"/>
    <w:next w:val="Normal"/>
    <w:autoRedefine/>
    <w:semiHidden/>
    <w:rsid w:val="008905E7"/>
    <w:pPr>
      <w:tabs>
        <w:tab w:val="right" w:leader="dot" w:pos="9360"/>
      </w:tabs>
      <w:suppressAutoHyphens/>
      <w:ind w:left="720" w:right="720"/>
    </w:pPr>
  </w:style>
  <w:style w:type="paragraph" w:styleId="TOC5">
    <w:name w:val="toc 5"/>
    <w:basedOn w:val="Normal"/>
    <w:next w:val="Normal"/>
    <w:autoRedefine/>
    <w:semiHidden/>
    <w:rsid w:val="008905E7"/>
    <w:pPr>
      <w:tabs>
        <w:tab w:val="right" w:leader="dot" w:pos="9360"/>
      </w:tabs>
      <w:suppressAutoHyphens/>
      <w:ind w:left="720" w:right="720"/>
    </w:pPr>
  </w:style>
  <w:style w:type="paragraph" w:styleId="TOC6">
    <w:name w:val="toc 6"/>
    <w:basedOn w:val="Normal"/>
    <w:next w:val="Normal"/>
    <w:autoRedefine/>
    <w:semiHidden/>
    <w:rsid w:val="008905E7"/>
    <w:pPr>
      <w:tabs>
        <w:tab w:val="right" w:pos="9360"/>
      </w:tabs>
      <w:suppressAutoHyphens/>
      <w:ind w:left="720" w:hanging="720"/>
    </w:pPr>
  </w:style>
  <w:style w:type="paragraph" w:styleId="TOC7">
    <w:name w:val="toc 7"/>
    <w:basedOn w:val="Normal"/>
    <w:next w:val="Normal"/>
    <w:autoRedefine/>
    <w:semiHidden/>
    <w:rsid w:val="008905E7"/>
    <w:pPr>
      <w:suppressAutoHyphens/>
      <w:ind w:left="720" w:hanging="720"/>
    </w:pPr>
  </w:style>
  <w:style w:type="paragraph" w:styleId="TOC8">
    <w:name w:val="toc 8"/>
    <w:basedOn w:val="Normal"/>
    <w:next w:val="Normal"/>
    <w:autoRedefine/>
    <w:semiHidden/>
    <w:rsid w:val="008905E7"/>
    <w:pPr>
      <w:tabs>
        <w:tab w:val="right" w:pos="9360"/>
      </w:tabs>
      <w:suppressAutoHyphens/>
      <w:ind w:left="720" w:hanging="720"/>
    </w:pPr>
  </w:style>
  <w:style w:type="paragraph" w:styleId="TOC9">
    <w:name w:val="toc 9"/>
    <w:basedOn w:val="Normal"/>
    <w:next w:val="Normal"/>
    <w:autoRedefine/>
    <w:semiHidden/>
    <w:rsid w:val="008905E7"/>
    <w:pPr>
      <w:tabs>
        <w:tab w:val="right" w:leader="dot" w:pos="9360"/>
      </w:tabs>
      <w:suppressAutoHyphens/>
      <w:ind w:left="720" w:hanging="720"/>
    </w:pPr>
  </w:style>
  <w:style w:type="paragraph" w:styleId="Index1">
    <w:name w:val="index 1"/>
    <w:basedOn w:val="Normal"/>
    <w:next w:val="Normal"/>
    <w:autoRedefine/>
    <w:semiHidden/>
    <w:rsid w:val="008905E7"/>
    <w:pPr>
      <w:tabs>
        <w:tab w:val="right" w:leader="dot" w:pos="9360"/>
      </w:tabs>
      <w:suppressAutoHyphens/>
      <w:ind w:left="720" w:hanging="720"/>
    </w:pPr>
  </w:style>
  <w:style w:type="paragraph" w:styleId="Index2">
    <w:name w:val="index 2"/>
    <w:basedOn w:val="Normal"/>
    <w:next w:val="Normal"/>
    <w:autoRedefine/>
    <w:semiHidden/>
    <w:rsid w:val="008905E7"/>
    <w:pPr>
      <w:tabs>
        <w:tab w:val="right" w:leader="dot" w:pos="9360"/>
      </w:tabs>
      <w:suppressAutoHyphens/>
      <w:ind w:left="720"/>
    </w:pPr>
  </w:style>
  <w:style w:type="paragraph" w:styleId="TOAHeading">
    <w:name w:val="toa heading"/>
    <w:basedOn w:val="Normal"/>
    <w:next w:val="Normal"/>
    <w:semiHidden/>
    <w:rsid w:val="008905E7"/>
    <w:pPr>
      <w:tabs>
        <w:tab w:val="right" w:pos="9360"/>
      </w:tabs>
      <w:suppressAutoHyphens/>
    </w:pPr>
  </w:style>
  <w:style w:type="paragraph" w:styleId="Caption">
    <w:name w:val="caption"/>
    <w:basedOn w:val="Normal"/>
    <w:next w:val="Normal"/>
    <w:qFormat/>
    <w:rsid w:val="008905E7"/>
  </w:style>
  <w:style w:type="character" w:customStyle="1" w:styleId="EquationCaption">
    <w:name w:val="_Equation Caption"/>
    <w:rsid w:val="008905E7"/>
  </w:style>
  <w:style w:type="paragraph" w:styleId="Footer">
    <w:name w:val="footer"/>
    <w:basedOn w:val="Normal"/>
    <w:rsid w:val="008905E7"/>
    <w:pPr>
      <w:tabs>
        <w:tab w:val="center" w:pos="4320"/>
        <w:tab w:val="right" w:pos="8640"/>
      </w:tabs>
    </w:pPr>
  </w:style>
  <w:style w:type="character" w:styleId="PageNumber">
    <w:name w:val="page number"/>
    <w:basedOn w:val="DefaultParagraphFont"/>
    <w:rsid w:val="008905E7"/>
  </w:style>
  <w:style w:type="paragraph" w:styleId="Header">
    <w:name w:val="header"/>
    <w:basedOn w:val="Normal"/>
    <w:rsid w:val="008905E7"/>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E43B9C"/>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t2">
    <w:name w:val="t2"/>
    <w:basedOn w:val="Normal"/>
    <w:rsid w:val="00E43B9C"/>
    <w:pPr>
      <w:widowControl w:val="0"/>
      <w:adjustRightInd w:val="0"/>
      <w:spacing w:line="294" w:lineRule="atLeast"/>
    </w:pPr>
    <w:rPr>
      <w:rFonts w:ascii="Times New Roman" w:hAnsi="Times New Roman" w:cs="Times New Roman"/>
    </w:rPr>
  </w:style>
  <w:style w:type="table" w:styleId="TableColumns1">
    <w:name w:val="Table Columns 1"/>
    <w:basedOn w:val="TableNormal"/>
    <w:rsid w:val="00E43B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94423A"/>
    <w:rPr>
      <w:b/>
      <w:bCs/>
      <w:sz w:val="24"/>
      <w:szCs w:val="24"/>
    </w:rPr>
  </w:style>
  <w:style w:type="paragraph" w:styleId="NormalWeb">
    <w:name w:val="Normal (Web)"/>
    <w:basedOn w:val="Normal"/>
    <w:uiPriority w:val="99"/>
    <w:unhideWhenUsed/>
    <w:rsid w:val="0094423A"/>
    <w:pPr>
      <w:autoSpaceDE/>
      <w:autoSpaceDN/>
      <w:spacing w:before="100" w:beforeAutospacing="1" w:after="100" w:afterAutospacing="1"/>
    </w:pPr>
    <w:rPr>
      <w:rFonts w:ascii="Times New Roman" w:hAnsi="Times New Roman" w:cs="Times New Roman"/>
    </w:rPr>
  </w:style>
  <w:style w:type="character" w:customStyle="1" w:styleId="FootnoteTextChar">
    <w:name w:val="Footnote Text Char"/>
    <w:aliases w:val="Car Char"/>
    <w:basedOn w:val="DefaultParagraphFont"/>
    <w:link w:val="FootnoteText"/>
    <w:uiPriority w:val="99"/>
    <w:rsid w:val="006D7F2E"/>
    <w:rPr>
      <w:rFonts w:ascii="CG Times" w:hAnsi="CG Times" w:cs="CG Times"/>
      <w:sz w:val="24"/>
      <w:szCs w:val="24"/>
    </w:rPr>
  </w:style>
  <w:style w:type="paragraph" w:styleId="ListParagraph">
    <w:name w:val="List Paragraph"/>
    <w:basedOn w:val="Normal"/>
    <w:uiPriority w:val="34"/>
    <w:qFormat/>
    <w:rsid w:val="006D7F2E"/>
    <w:pPr>
      <w:autoSpaceDE/>
      <w:autoSpaceDN/>
      <w:spacing w:line="360" w:lineRule="auto"/>
      <w:ind w:left="720"/>
      <w:contextualSpacing/>
    </w:pPr>
    <w:rPr>
      <w:rFonts w:ascii="Times New Roman" w:hAnsi="Times New Roman"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30049">
      <w:bodyDiv w:val="1"/>
      <w:marLeft w:val="0"/>
      <w:marRight w:val="0"/>
      <w:marTop w:val="0"/>
      <w:marBottom w:val="0"/>
      <w:divBdr>
        <w:top w:val="none" w:sz="0" w:space="0" w:color="auto"/>
        <w:left w:val="none" w:sz="0" w:space="0" w:color="auto"/>
        <w:bottom w:val="none" w:sz="0" w:space="0" w:color="auto"/>
        <w:right w:val="none" w:sz="0" w:space="0" w:color="auto"/>
      </w:divBdr>
      <w:divsChild>
        <w:div w:id="42272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0384753">
      <w:bodyDiv w:val="1"/>
      <w:marLeft w:val="0"/>
      <w:marRight w:val="0"/>
      <w:marTop w:val="0"/>
      <w:marBottom w:val="0"/>
      <w:divBdr>
        <w:top w:val="none" w:sz="0" w:space="0" w:color="auto"/>
        <w:left w:val="none" w:sz="0" w:space="0" w:color="auto"/>
        <w:bottom w:val="none" w:sz="0" w:space="0" w:color="auto"/>
        <w:right w:val="none" w:sz="0" w:space="0" w:color="auto"/>
      </w:divBdr>
      <w:divsChild>
        <w:div w:id="1680542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18075-2713-4CED-BE7B-BE4DFD6F3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3254</Words>
  <Characters>18551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Johnson, Jennedy</cp:lastModifiedBy>
  <cp:revision>6</cp:revision>
  <cp:lastPrinted>2014-05-28T14:59:00Z</cp:lastPrinted>
  <dcterms:created xsi:type="dcterms:W3CDTF">2014-05-14T15:06:00Z</dcterms:created>
  <dcterms:modified xsi:type="dcterms:W3CDTF">2014-05-28T15:20:00Z</dcterms:modified>
</cp:coreProperties>
</file>