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D4" w:rsidRDefault="00B537D4" w:rsidP="00B537D4">
      <w:pPr>
        <w:spacing w:after="0" w:line="240" w:lineRule="auto"/>
        <w:jc w:val="center"/>
        <w:rPr>
          <w:rFonts w:eastAsia="Times New Roman"/>
          <w:b/>
          <w:szCs w:val="24"/>
        </w:rPr>
      </w:pPr>
      <w:r>
        <w:rPr>
          <w:rFonts w:eastAsia="Times New Roman"/>
          <w:b/>
          <w:szCs w:val="24"/>
        </w:rPr>
        <w:t>BEFORE THE</w:t>
      </w:r>
    </w:p>
    <w:p w:rsidR="00B537D4" w:rsidRDefault="00B537D4" w:rsidP="00B537D4">
      <w:pPr>
        <w:spacing w:after="0" w:line="240" w:lineRule="auto"/>
        <w:jc w:val="center"/>
        <w:rPr>
          <w:rFonts w:eastAsia="Times New Roman"/>
          <w:b/>
          <w:szCs w:val="24"/>
        </w:rPr>
      </w:pPr>
      <w:r>
        <w:rPr>
          <w:rFonts w:eastAsia="Times New Roman"/>
          <w:b/>
          <w:szCs w:val="24"/>
        </w:rPr>
        <w:t>PENNSYLVANIA PUBLIC UTILITY COMMISSION</w:t>
      </w:r>
    </w:p>
    <w:p w:rsidR="00B537D4" w:rsidRDefault="00B537D4" w:rsidP="00B537D4">
      <w:pPr>
        <w:spacing w:after="0" w:line="240" w:lineRule="auto"/>
        <w:jc w:val="center"/>
        <w:rPr>
          <w:rFonts w:eastAsia="Times New Roman"/>
          <w:b/>
          <w:szCs w:val="24"/>
        </w:rPr>
      </w:pPr>
    </w:p>
    <w:p w:rsidR="00B537D4" w:rsidRDefault="00B537D4" w:rsidP="00B537D4">
      <w:pPr>
        <w:spacing w:after="0" w:line="240" w:lineRule="auto"/>
        <w:jc w:val="center"/>
        <w:rPr>
          <w:rFonts w:eastAsia="Times New Roman"/>
          <w:b/>
          <w:szCs w:val="24"/>
        </w:rPr>
      </w:pPr>
    </w:p>
    <w:p w:rsidR="00B537D4" w:rsidRDefault="00B537D4" w:rsidP="00B537D4">
      <w:pPr>
        <w:spacing w:after="0" w:line="240" w:lineRule="auto"/>
        <w:jc w:val="center"/>
        <w:rPr>
          <w:rFonts w:eastAsia="Times New Roman"/>
          <w:b/>
          <w:szCs w:val="24"/>
        </w:rPr>
      </w:pPr>
    </w:p>
    <w:p w:rsidR="00B537D4" w:rsidRDefault="00B537D4" w:rsidP="00B537D4">
      <w:pPr>
        <w:spacing w:after="0" w:line="240" w:lineRule="auto"/>
        <w:rPr>
          <w:rFonts w:eastAsia="Times New Roman"/>
          <w:szCs w:val="24"/>
        </w:rPr>
      </w:pPr>
      <w:r>
        <w:rPr>
          <w:rFonts w:eastAsia="Times New Roman"/>
          <w:szCs w:val="24"/>
        </w:rPr>
        <w:t>NRG P</w:t>
      </w:r>
      <w:r w:rsidR="006746FB">
        <w:rPr>
          <w:rFonts w:eastAsia="Times New Roman"/>
          <w:szCs w:val="24"/>
        </w:rPr>
        <w:t>ower Midwest LP, NRG Energy</w:t>
      </w:r>
      <w:r w:rsidR="006746FB">
        <w:rPr>
          <w:rFonts w:eastAsia="Times New Roman"/>
          <w:szCs w:val="24"/>
        </w:rPr>
        <w:tab/>
      </w:r>
      <w:r w:rsidR="006746FB">
        <w:rPr>
          <w:rFonts w:eastAsia="Times New Roman"/>
          <w:szCs w:val="24"/>
        </w:rPr>
        <w:tab/>
        <w:t>:</w:t>
      </w:r>
    </w:p>
    <w:p w:rsidR="00B537D4" w:rsidRDefault="00B537D4" w:rsidP="00B537D4">
      <w:pPr>
        <w:spacing w:after="0" w:line="240" w:lineRule="auto"/>
        <w:rPr>
          <w:rFonts w:eastAsia="Times New Roman"/>
          <w:szCs w:val="24"/>
        </w:rPr>
      </w:pPr>
      <w:r>
        <w:rPr>
          <w:rFonts w:eastAsia="Times New Roman"/>
          <w:szCs w:val="24"/>
        </w:rPr>
        <w:t>Center Pittsburgh LLC, and Reliant Energy</w:t>
      </w:r>
      <w:r>
        <w:rPr>
          <w:rFonts w:eastAsia="Times New Roman"/>
          <w:szCs w:val="24"/>
        </w:rPr>
        <w:tab/>
      </w:r>
      <w:r>
        <w:rPr>
          <w:rFonts w:eastAsia="Times New Roman"/>
          <w:szCs w:val="24"/>
        </w:rPr>
        <w:tab/>
        <w:t>:</w:t>
      </w:r>
    </w:p>
    <w:p w:rsidR="00B537D4" w:rsidRDefault="00B537D4" w:rsidP="00B537D4">
      <w:pPr>
        <w:spacing w:after="0" w:line="240" w:lineRule="auto"/>
        <w:rPr>
          <w:rFonts w:eastAsia="Times New Roman"/>
          <w:szCs w:val="24"/>
        </w:rPr>
      </w:pPr>
      <w:r>
        <w:rPr>
          <w:rFonts w:eastAsia="Times New Roman"/>
          <w:szCs w:val="24"/>
        </w:rPr>
        <w:t>Northeast LLC</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w:t>
      </w:r>
    </w:p>
    <w:p w:rsidR="00B537D4" w:rsidRDefault="00B537D4" w:rsidP="00B537D4">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w:t>
      </w:r>
    </w:p>
    <w:p w:rsidR="00B537D4" w:rsidRDefault="00B537D4" w:rsidP="00B537D4">
      <w:pPr>
        <w:spacing w:after="0" w:line="240" w:lineRule="auto"/>
        <w:rPr>
          <w:rFonts w:eastAsia="Times New Roman"/>
          <w:szCs w:val="24"/>
        </w:rPr>
      </w:pPr>
      <w:r>
        <w:rPr>
          <w:rFonts w:eastAsia="Times New Roman"/>
          <w:szCs w:val="24"/>
        </w:rPr>
        <w:tab/>
        <w:t>v.</w:t>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w:t>
      </w:r>
      <w:r>
        <w:rPr>
          <w:rFonts w:eastAsia="Times New Roman"/>
          <w:szCs w:val="24"/>
        </w:rPr>
        <w:tab/>
      </w:r>
      <w:r>
        <w:rPr>
          <w:rFonts w:eastAsia="Times New Roman"/>
          <w:szCs w:val="24"/>
        </w:rPr>
        <w:tab/>
      </w:r>
      <w:r w:rsidR="006746FB">
        <w:rPr>
          <w:rFonts w:eastAsia="Times New Roman"/>
          <w:szCs w:val="24"/>
        </w:rPr>
        <w:tab/>
      </w:r>
      <w:r>
        <w:rPr>
          <w:rFonts w:eastAsia="Times New Roman"/>
          <w:szCs w:val="24"/>
        </w:rPr>
        <w:t>C-2013-2390562</w:t>
      </w:r>
    </w:p>
    <w:p w:rsidR="00B537D4" w:rsidRDefault="00B537D4" w:rsidP="00B537D4">
      <w:pPr>
        <w:spacing w:after="0" w:line="240" w:lineRule="auto"/>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t>:</w:t>
      </w:r>
      <w:bookmarkStart w:id="0" w:name="_GoBack"/>
      <w:bookmarkEnd w:id="0"/>
    </w:p>
    <w:p w:rsidR="00B537D4" w:rsidRDefault="00B537D4" w:rsidP="00B537D4">
      <w:pPr>
        <w:spacing w:after="0" w:line="240" w:lineRule="auto"/>
        <w:rPr>
          <w:rFonts w:eastAsia="Times New Roman"/>
          <w:szCs w:val="24"/>
        </w:rPr>
      </w:pPr>
      <w:r>
        <w:rPr>
          <w:rFonts w:eastAsia="Times New Roman"/>
          <w:szCs w:val="24"/>
        </w:rPr>
        <w:t>Duquesne Light Company</w:t>
      </w:r>
      <w:r>
        <w:rPr>
          <w:rFonts w:eastAsia="Times New Roman"/>
          <w:szCs w:val="24"/>
        </w:rPr>
        <w:tab/>
      </w:r>
      <w:r>
        <w:rPr>
          <w:rFonts w:eastAsia="Times New Roman"/>
          <w:szCs w:val="24"/>
        </w:rPr>
        <w:tab/>
      </w:r>
      <w:r>
        <w:rPr>
          <w:rFonts w:eastAsia="Times New Roman"/>
          <w:szCs w:val="24"/>
        </w:rPr>
        <w:tab/>
      </w:r>
      <w:r>
        <w:rPr>
          <w:rFonts w:eastAsia="Times New Roman"/>
          <w:szCs w:val="24"/>
        </w:rPr>
        <w:tab/>
        <w:t>:</w:t>
      </w:r>
    </w:p>
    <w:p w:rsidR="00B537D4" w:rsidRDefault="00B537D4" w:rsidP="00B537D4">
      <w:pPr>
        <w:spacing w:after="0" w:line="240" w:lineRule="auto"/>
        <w:rPr>
          <w:rFonts w:eastAsia="Times New Roman"/>
          <w:szCs w:val="24"/>
        </w:rPr>
      </w:pPr>
    </w:p>
    <w:p w:rsidR="00B537D4" w:rsidRDefault="00B537D4" w:rsidP="00B537D4">
      <w:pPr>
        <w:tabs>
          <w:tab w:val="left" w:pos="720"/>
          <w:tab w:val="left" w:pos="1440"/>
          <w:tab w:val="left" w:pos="2160"/>
          <w:tab w:val="center" w:pos="4680"/>
        </w:tabs>
        <w:spacing w:after="0" w:line="240" w:lineRule="auto"/>
        <w:jc w:val="center"/>
        <w:rPr>
          <w:rFonts w:eastAsia="Times New Roman"/>
          <w:b/>
          <w:szCs w:val="24"/>
          <w:u w:val="single"/>
        </w:rPr>
      </w:pPr>
    </w:p>
    <w:p w:rsidR="00B537D4" w:rsidRDefault="00B537D4" w:rsidP="00B537D4">
      <w:pPr>
        <w:tabs>
          <w:tab w:val="left" w:pos="720"/>
          <w:tab w:val="left" w:pos="1440"/>
          <w:tab w:val="left" w:pos="2160"/>
          <w:tab w:val="center" w:pos="4680"/>
        </w:tabs>
        <w:spacing w:after="0" w:line="240" w:lineRule="auto"/>
        <w:jc w:val="center"/>
        <w:rPr>
          <w:rFonts w:eastAsia="Times New Roman"/>
          <w:b/>
          <w:szCs w:val="24"/>
          <w:u w:val="single"/>
        </w:rPr>
      </w:pP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r>
        <w:rPr>
          <w:rFonts w:eastAsia="Times New Roman"/>
          <w:b/>
          <w:szCs w:val="24"/>
          <w:u w:val="single"/>
        </w:rPr>
        <w:t>RECOMMENDED DECISION</w:t>
      </w: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r>
        <w:rPr>
          <w:rFonts w:eastAsia="Times New Roman"/>
          <w:szCs w:val="24"/>
        </w:rPr>
        <w:t>Before</w:t>
      </w: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r>
        <w:rPr>
          <w:rFonts w:eastAsia="Times New Roman"/>
          <w:szCs w:val="24"/>
        </w:rPr>
        <w:t>Conrad A. Johnson</w:t>
      </w: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r>
        <w:rPr>
          <w:rFonts w:eastAsia="Times New Roman"/>
          <w:szCs w:val="24"/>
        </w:rPr>
        <w:t>Administrative Law Judge</w:t>
      </w: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p>
    <w:p w:rsidR="00B537D4" w:rsidRDefault="00B537D4" w:rsidP="00B537D4">
      <w:pPr>
        <w:tabs>
          <w:tab w:val="left" w:pos="720"/>
          <w:tab w:val="left" w:pos="1440"/>
          <w:tab w:val="left" w:pos="2160"/>
          <w:tab w:val="center" w:pos="4680"/>
        </w:tabs>
        <w:spacing w:after="0" w:line="240" w:lineRule="auto"/>
        <w:jc w:val="center"/>
        <w:rPr>
          <w:rFonts w:eastAsia="Times New Roman"/>
          <w:b/>
          <w:szCs w:val="24"/>
        </w:rPr>
      </w:pPr>
      <w:r>
        <w:rPr>
          <w:rFonts w:eastAsia="Times New Roman"/>
          <w:b/>
          <w:szCs w:val="24"/>
          <w:u w:val="single"/>
        </w:rPr>
        <w:t>PUBLIC VERSION</w:t>
      </w:r>
    </w:p>
    <w:p w:rsidR="00B537D4" w:rsidRDefault="00B537D4" w:rsidP="00B537D4">
      <w:pPr>
        <w:tabs>
          <w:tab w:val="left" w:pos="720"/>
          <w:tab w:val="left" w:pos="1440"/>
          <w:tab w:val="left" w:pos="2160"/>
          <w:tab w:val="center" w:pos="4680"/>
        </w:tabs>
        <w:spacing w:after="0" w:line="240" w:lineRule="auto"/>
        <w:jc w:val="center"/>
        <w:rPr>
          <w:rFonts w:eastAsia="Times New Roman"/>
          <w:szCs w:val="24"/>
        </w:rPr>
      </w:pPr>
    </w:p>
    <w:p w:rsidR="00B537D4" w:rsidRDefault="00B537D4" w:rsidP="00B537D4">
      <w:pPr>
        <w:tabs>
          <w:tab w:val="left" w:pos="720"/>
          <w:tab w:val="left" w:pos="1440"/>
          <w:tab w:val="left" w:pos="2160"/>
          <w:tab w:val="center" w:pos="4680"/>
        </w:tabs>
        <w:spacing w:after="0" w:line="240" w:lineRule="auto"/>
        <w:jc w:val="center"/>
        <w:rPr>
          <w:rFonts w:eastAsia="Times New Roman"/>
          <w:b/>
          <w:szCs w:val="24"/>
          <w:u w:val="single"/>
        </w:rPr>
      </w:pPr>
    </w:p>
    <w:p w:rsidR="00B537D4" w:rsidRDefault="00B537D4" w:rsidP="00B537D4">
      <w:pPr>
        <w:tabs>
          <w:tab w:val="left" w:pos="720"/>
          <w:tab w:val="left" w:pos="1440"/>
          <w:tab w:val="left" w:pos="2160"/>
          <w:tab w:val="center" w:pos="4680"/>
        </w:tabs>
        <w:spacing w:after="0" w:line="240" w:lineRule="auto"/>
        <w:jc w:val="center"/>
        <w:rPr>
          <w:rFonts w:eastAsia="Times New Roman"/>
          <w:b/>
          <w:szCs w:val="24"/>
          <w:u w:val="single"/>
        </w:rPr>
      </w:pPr>
    </w:p>
    <w:p w:rsidR="00B537D4" w:rsidRDefault="00B537D4" w:rsidP="00B537D4">
      <w:pPr>
        <w:spacing w:after="0" w:line="360" w:lineRule="auto"/>
        <w:rPr>
          <w:rFonts w:eastAsia="Times New Roman"/>
          <w:b/>
          <w:szCs w:val="24"/>
          <w:u w:val="single"/>
        </w:rPr>
        <w:sectPr w:rsidR="00B537D4">
          <w:pgSz w:w="12240" w:h="15840"/>
          <w:pgMar w:top="1440" w:right="1440" w:bottom="1440" w:left="1440" w:header="720" w:footer="720" w:gutter="0"/>
          <w:cols w:space="720"/>
        </w:sectPr>
      </w:pPr>
    </w:p>
    <w:p w:rsidR="00B537D4" w:rsidRDefault="00B537D4" w:rsidP="00B537D4">
      <w:pPr>
        <w:tabs>
          <w:tab w:val="left" w:pos="720"/>
          <w:tab w:val="left" w:pos="1440"/>
          <w:tab w:val="left" w:pos="2160"/>
          <w:tab w:val="center" w:pos="4680"/>
        </w:tabs>
        <w:spacing w:after="0" w:line="360" w:lineRule="auto"/>
        <w:jc w:val="center"/>
        <w:rPr>
          <w:rFonts w:eastAsia="Times New Roman"/>
          <w:b/>
          <w:szCs w:val="24"/>
          <w:u w:val="single"/>
        </w:rPr>
      </w:pPr>
      <w:r>
        <w:rPr>
          <w:rFonts w:eastAsia="Times New Roman"/>
          <w:b/>
          <w:szCs w:val="24"/>
          <w:u w:val="single"/>
        </w:rPr>
        <w:lastRenderedPageBreak/>
        <w:t>TABLE OF CONTENTS</w:t>
      </w:r>
    </w:p>
    <w:p w:rsidR="00B537D4" w:rsidRDefault="00B537D4" w:rsidP="00B537D4">
      <w:pPr>
        <w:tabs>
          <w:tab w:val="left" w:pos="720"/>
          <w:tab w:val="left" w:pos="1440"/>
          <w:tab w:val="left" w:pos="2160"/>
        </w:tabs>
        <w:spacing w:after="0" w:line="360" w:lineRule="auto"/>
        <w:rPr>
          <w:rFonts w:eastAsia="Times New Roman"/>
          <w:szCs w:val="24"/>
        </w:rPr>
      </w:pPr>
    </w:p>
    <w:p w:rsidR="00B537D4" w:rsidRDefault="00B537D4" w:rsidP="00B537D4">
      <w:pPr>
        <w:tabs>
          <w:tab w:val="left" w:pos="720"/>
          <w:tab w:val="left" w:pos="1440"/>
          <w:tab w:val="right" w:leader="dot" w:pos="9360"/>
        </w:tabs>
        <w:spacing w:after="0" w:line="360" w:lineRule="auto"/>
        <w:rPr>
          <w:rFonts w:eastAsia="Times New Roman"/>
          <w:szCs w:val="24"/>
        </w:rPr>
      </w:pPr>
      <w:r>
        <w:rPr>
          <w:rFonts w:eastAsia="Times New Roman"/>
          <w:szCs w:val="24"/>
        </w:rPr>
        <w:tab/>
        <w:t>Introduction</w:t>
      </w:r>
      <w:r>
        <w:rPr>
          <w:rFonts w:eastAsia="Times New Roman"/>
          <w:szCs w:val="24"/>
        </w:rPr>
        <w:tab/>
        <w:t>1</w:t>
      </w:r>
    </w:p>
    <w:p w:rsidR="00B537D4" w:rsidRDefault="00B537D4" w:rsidP="00B537D4">
      <w:pPr>
        <w:tabs>
          <w:tab w:val="left" w:pos="720"/>
          <w:tab w:val="left" w:pos="1440"/>
          <w:tab w:val="left" w:pos="2160"/>
          <w:tab w:val="right" w:leader="dot" w:pos="9360"/>
        </w:tabs>
        <w:spacing w:after="0" w:line="360" w:lineRule="auto"/>
        <w:rPr>
          <w:rFonts w:eastAsia="Times New Roman"/>
          <w:szCs w:val="24"/>
        </w:rPr>
      </w:pPr>
      <w:r>
        <w:rPr>
          <w:rFonts w:eastAsia="Times New Roman"/>
          <w:szCs w:val="24"/>
        </w:rPr>
        <w:t>I.</w:t>
      </w:r>
      <w:r>
        <w:rPr>
          <w:rFonts w:eastAsia="Times New Roman"/>
          <w:szCs w:val="24"/>
        </w:rPr>
        <w:tab/>
      </w:r>
      <w:r>
        <w:rPr>
          <w:rFonts w:eastAsia="Times New Roman"/>
          <w:caps/>
          <w:szCs w:val="24"/>
        </w:rPr>
        <w:t>HISTORY OF THE PROCEEDING</w:t>
      </w:r>
      <w:r>
        <w:rPr>
          <w:rFonts w:eastAsia="Times New Roman"/>
          <w:szCs w:val="24"/>
        </w:rPr>
        <w:tab/>
        <w:t>1</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II.</w:t>
      </w:r>
      <w:r>
        <w:rPr>
          <w:szCs w:val="24"/>
        </w:rPr>
        <w:tab/>
        <w:t>CONTESTED ISSUE:  DUQUESNE LIGHT’S RIDER NO. 18</w:t>
      </w:r>
      <w:r>
        <w:rPr>
          <w:szCs w:val="24"/>
        </w:rPr>
        <w:tab/>
        <w:t>8</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t>A.</w:t>
      </w:r>
      <w:r>
        <w:rPr>
          <w:szCs w:val="24"/>
        </w:rPr>
        <w:tab/>
        <w:t>NRG’s Complaint and Duquesne Light’s Answer</w:t>
      </w:r>
      <w:r>
        <w:rPr>
          <w:szCs w:val="24"/>
        </w:rPr>
        <w:tab/>
        <w:t>8</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t>B.</w:t>
      </w:r>
      <w:r>
        <w:rPr>
          <w:szCs w:val="24"/>
        </w:rPr>
        <w:tab/>
        <w:t>Rider No. 18 Dispute</w:t>
      </w:r>
      <w:r>
        <w:rPr>
          <w:szCs w:val="24"/>
        </w:rPr>
        <w:tab/>
        <w:t>10</w:t>
      </w:r>
    </w:p>
    <w:p w:rsidR="00B537D4" w:rsidRDefault="00B537D4" w:rsidP="00B537D4">
      <w:pPr>
        <w:tabs>
          <w:tab w:val="left" w:pos="720"/>
          <w:tab w:val="left" w:pos="1440"/>
          <w:tab w:val="right" w:leader="dot" w:pos="9360"/>
        </w:tabs>
        <w:spacing w:after="0" w:line="360" w:lineRule="auto"/>
        <w:rPr>
          <w:szCs w:val="24"/>
        </w:rPr>
      </w:pPr>
      <w:r>
        <w:rPr>
          <w:szCs w:val="24"/>
        </w:rPr>
        <w:t>III.</w:t>
      </w:r>
      <w:r>
        <w:rPr>
          <w:szCs w:val="24"/>
        </w:rPr>
        <w:tab/>
        <w:t>FINDINGS OF FACT</w:t>
      </w:r>
      <w:r>
        <w:rPr>
          <w:szCs w:val="24"/>
        </w:rPr>
        <w:tab/>
        <w:t>12</w:t>
      </w:r>
    </w:p>
    <w:p w:rsidR="00B537D4" w:rsidRDefault="00B537D4" w:rsidP="00B537D4">
      <w:pPr>
        <w:tabs>
          <w:tab w:val="left" w:pos="720"/>
          <w:tab w:val="left" w:pos="1440"/>
          <w:tab w:val="right" w:leader="dot" w:pos="9360"/>
        </w:tabs>
        <w:spacing w:after="0" w:line="360" w:lineRule="auto"/>
        <w:rPr>
          <w:szCs w:val="24"/>
        </w:rPr>
      </w:pPr>
      <w:r>
        <w:rPr>
          <w:szCs w:val="24"/>
        </w:rPr>
        <w:t>IV.</w:t>
      </w:r>
      <w:r>
        <w:rPr>
          <w:szCs w:val="24"/>
        </w:rPr>
        <w:tab/>
        <w:t>DISCUSSION</w:t>
      </w:r>
      <w:r>
        <w:rPr>
          <w:szCs w:val="24"/>
        </w:rPr>
        <w:tab/>
        <w:t>23</w:t>
      </w:r>
    </w:p>
    <w:p w:rsidR="00B537D4" w:rsidRDefault="00B537D4" w:rsidP="00B537D4">
      <w:pPr>
        <w:tabs>
          <w:tab w:val="left" w:pos="720"/>
          <w:tab w:val="left" w:pos="1440"/>
          <w:tab w:val="right" w:leader="dot" w:pos="9360"/>
        </w:tabs>
        <w:spacing w:after="0" w:line="360" w:lineRule="auto"/>
        <w:rPr>
          <w:szCs w:val="24"/>
        </w:rPr>
      </w:pPr>
      <w:r>
        <w:rPr>
          <w:szCs w:val="24"/>
        </w:rPr>
        <w:tab/>
        <w:t>A.</w:t>
      </w:r>
      <w:r w:rsidR="006746FB">
        <w:rPr>
          <w:szCs w:val="24"/>
        </w:rPr>
        <w:tab/>
        <w:t>Applicable Legal Principles</w:t>
      </w:r>
      <w:r w:rsidR="006746FB">
        <w:rPr>
          <w:szCs w:val="24"/>
        </w:rPr>
        <w:tab/>
        <w:t>23</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r>
      <w:r>
        <w:rPr>
          <w:szCs w:val="24"/>
        </w:rPr>
        <w:tab/>
        <w:t>1.</w:t>
      </w:r>
      <w:r>
        <w:rPr>
          <w:szCs w:val="24"/>
        </w:rPr>
        <w:tab/>
        <w:t>Public Utility Regulatory Policies Act of 1978 (PURPA)</w:t>
      </w:r>
      <w:r>
        <w:rPr>
          <w:szCs w:val="24"/>
        </w:rPr>
        <w:tab/>
        <w:t>23</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r>
      <w:r>
        <w:rPr>
          <w:szCs w:val="24"/>
        </w:rPr>
        <w:tab/>
        <w:t>2.</w:t>
      </w:r>
      <w:r>
        <w:rPr>
          <w:szCs w:val="24"/>
        </w:rPr>
        <w:tab/>
        <w:t>Promotion of Competition of Electric Energy Supplies</w:t>
      </w:r>
      <w:r>
        <w:rPr>
          <w:szCs w:val="24"/>
        </w:rPr>
        <w:tab/>
        <w:t>25</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r>
      <w:r>
        <w:rPr>
          <w:szCs w:val="24"/>
        </w:rPr>
        <w:tab/>
        <w:t>3.</w:t>
      </w:r>
      <w:r>
        <w:rPr>
          <w:szCs w:val="24"/>
        </w:rPr>
        <w:tab/>
        <w:t>Burden of Proof</w:t>
      </w:r>
      <w:r>
        <w:rPr>
          <w:szCs w:val="24"/>
        </w:rPr>
        <w:tab/>
        <w:t>26</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t>B.</w:t>
      </w:r>
      <w:r>
        <w:rPr>
          <w:szCs w:val="24"/>
        </w:rPr>
        <w:tab/>
        <w:t>Procedural Issues</w:t>
      </w:r>
      <w:r>
        <w:rPr>
          <w:szCs w:val="24"/>
        </w:rPr>
        <w:tab/>
        <w:t>26</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r>
      <w:r>
        <w:rPr>
          <w:szCs w:val="24"/>
        </w:rPr>
        <w:tab/>
        <w:t>1.</w:t>
      </w:r>
      <w:r>
        <w:rPr>
          <w:szCs w:val="24"/>
        </w:rPr>
        <w:tab/>
        <w:t>Duquesne Light’s and BFMA’s Jurisdictional Arguments</w:t>
      </w:r>
      <w:r>
        <w:rPr>
          <w:szCs w:val="24"/>
        </w:rPr>
        <w:tab/>
        <w:t>27</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r>
      <w:r>
        <w:rPr>
          <w:szCs w:val="24"/>
        </w:rPr>
        <w:tab/>
        <w:t>2.</w:t>
      </w:r>
      <w:r>
        <w:rPr>
          <w:szCs w:val="24"/>
        </w:rPr>
        <w:tab/>
        <w:t>Indispensable Party Issue</w:t>
      </w:r>
      <w:r>
        <w:rPr>
          <w:szCs w:val="24"/>
        </w:rPr>
        <w:tab/>
        <w:t>30</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r>
      <w:r>
        <w:rPr>
          <w:szCs w:val="24"/>
        </w:rPr>
        <w:tab/>
        <w:t>3.</w:t>
      </w:r>
      <w:r>
        <w:rPr>
          <w:szCs w:val="24"/>
        </w:rPr>
        <w:tab/>
        <w:t>Standing Issue</w:t>
      </w:r>
      <w:r>
        <w:rPr>
          <w:szCs w:val="24"/>
        </w:rPr>
        <w:tab/>
        <w:t>31</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t>C.</w:t>
      </w:r>
      <w:r>
        <w:rPr>
          <w:szCs w:val="24"/>
        </w:rPr>
        <w:tab/>
        <w:t>Background – PURPA and Rider No. 18</w:t>
      </w:r>
      <w:r>
        <w:rPr>
          <w:szCs w:val="24"/>
        </w:rPr>
        <w:tab/>
        <w:t>32</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ab/>
        <w:t>D.</w:t>
      </w:r>
      <w:r>
        <w:rPr>
          <w:szCs w:val="24"/>
        </w:rPr>
        <w:tab/>
        <w:t>NRG’s Position and Proof</w:t>
      </w:r>
      <w:r>
        <w:rPr>
          <w:szCs w:val="24"/>
        </w:rPr>
        <w:tab/>
        <w:t>36</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V.</w:t>
      </w:r>
      <w:r>
        <w:rPr>
          <w:szCs w:val="24"/>
        </w:rPr>
        <w:tab/>
        <w:t>RECOMMENDATION ON DISPUTED RIDER NO. 18 ISSUE</w:t>
      </w:r>
      <w:r>
        <w:rPr>
          <w:szCs w:val="24"/>
        </w:rPr>
        <w:tab/>
        <w:t>40</w:t>
      </w:r>
    </w:p>
    <w:p w:rsidR="00B537D4" w:rsidRDefault="00B537D4" w:rsidP="00B537D4">
      <w:pPr>
        <w:tabs>
          <w:tab w:val="left" w:pos="720"/>
          <w:tab w:val="left" w:pos="1440"/>
          <w:tab w:val="left" w:pos="2160"/>
          <w:tab w:val="right" w:leader="dot" w:pos="9360"/>
        </w:tabs>
        <w:spacing w:after="0" w:line="360" w:lineRule="auto"/>
        <w:rPr>
          <w:szCs w:val="24"/>
        </w:rPr>
      </w:pPr>
      <w:r>
        <w:rPr>
          <w:szCs w:val="24"/>
        </w:rPr>
        <w:t>VI.</w:t>
      </w:r>
      <w:r>
        <w:rPr>
          <w:szCs w:val="24"/>
        </w:rPr>
        <w:tab/>
        <w:t>CONCLUSIONS OF LAW</w:t>
      </w:r>
      <w:r>
        <w:rPr>
          <w:szCs w:val="24"/>
        </w:rPr>
        <w:tab/>
        <w:t>41</w:t>
      </w:r>
    </w:p>
    <w:p w:rsidR="00B537D4" w:rsidRDefault="00B537D4" w:rsidP="00B537D4">
      <w:pPr>
        <w:tabs>
          <w:tab w:val="left" w:pos="720"/>
          <w:tab w:val="left" w:pos="1440"/>
          <w:tab w:val="right" w:leader="dot" w:pos="9360"/>
        </w:tabs>
        <w:spacing w:after="0" w:line="360" w:lineRule="auto"/>
        <w:rPr>
          <w:szCs w:val="24"/>
        </w:rPr>
      </w:pPr>
      <w:r>
        <w:rPr>
          <w:szCs w:val="24"/>
        </w:rPr>
        <w:t>VII.</w:t>
      </w:r>
      <w:r>
        <w:rPr>
          <w:szCs w:val="24"/>
        </w:rPr>
        <w:tab/>
        <w:t>ORDER</w:t>
      </w:r>
      <w:r>
        <w:rPr>
          <w:szCs w:val="24"/>
        </w:rPr>
        <w:tab/>
        <w:t>41</w:t>
      </w:r>
    </w:p>
    <w:p w:rsidR="00B537D4" w:rsidRDefault="00B537D4" w:rsidP="00B537D4">
      <w:pPr>
        <w:tabs>
          <w:tab w:val="left" w:pos="720"/>
          <w:tab w:val="left" w:pos="1440"/>
          <w:tab w:val="left" w:pos="2160"/>
          <w:tab w:val="right" w:leader="dot" w:pos="9360"/>
        </w:tabs>
        <w:spacing w:after="0" w:line="360" w:lineRule="auto"/>
        <w:jc w:val="both"/>
        <w:rPr>
          <w:szCs w:val="24"/>
          <w:u w:val="single"/>
        </w:rPr>
      </w:pPr>
    </w:p>
    <w:p w:rsidR="00B537D4" w:rsidRDefault="00B537D4" w:rsidP="00B537D4">
      <w:pPr>
        <w:spacing w:after="0" w:line="360" w:lineRule="auto"/>
        <w:rPr>
          <w:szCs w:val="24"/>
          <w:u w:val="single"/>
        </w:rPr>
        <w:sectPr w:rsidR="00B537D4">
          <w:pgSz w:w="12240" w:h="15840"/>
          <w:pgMar w:top="1440" w:right="1440" w:bottom="1440" w:left="1440" w:header="720" w:footer="720" w:gutter="0"/>
          <w:pgNumType w:start="1"/>
          <w:cols w:space="720"/>
        </w:sectPr>
      </w:pPr>
    </w:p>
    <w:p w:rsidR="00B537D4" w:rsidRDefault="00B537D4" w:rsidP="00B537D4">
      <w:pPr>
        <w:tabs>
          <w:tab w:val="left" w:pos="720"/>
          <w:tab w:val="left" w:pos="1440"/>
          <w:tab w:val="left" w:pos="2160"/>
          <w:tab w:val="right" w:leader="dot" w:pos="9360"/>
        </w:tabs>
        <w:spacing w:after="0" w:line="360" w:lineRule="auto"/>
        <w:jc w:val="center"/>
        <w:rPr>
          <w:szCs w:val="24"/>
        </w:rPr>
      </w:pPr>
      <w:r>
        <w:rPr>
          <w:szCs w:val="24"/>
          <w:u w:val="single"/>
        </w:rPr>
        <w:t>Introduction</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 xml:space="preserve">Initially the formal complaint in this proceeding was consolidated with </w:t>
      </w:r>
      <w:r>
        <w:rPr>
          <w:rFonts w:eastAsia="Times New Roman"/>
          <w:szCs w:val="24"/>
        </w:rPr>
        <w:t>Duquesne Light Company’s proposed base rate increase filing at Docket No. R</w:t>
      </w:r>
      <w:r>
        <w:rPr>
          <w:rFonts w:eastAsia="Times New Roman"/>
          <w:szCs w:val="24"/>
        </w:rPr>
        <w:noBreakHyphen/>
        <w:t xml:space="preserve">2013-2372129.  Due to the statutory time constraints of the </w:t>
      </w:r>
      <w:r>
        <w:rPr>
          <w:szCs w:val="24"/>
        </w:rPr>
        <w:t>base rate proceeding and the complexity of the issues, specifically the issues surrounding Duquesne Light’s Tariff Rider No. 18 as raised by the NRG Companies (NRG),</w:t>
      </w:r>
      <w:r>
        <w:rPr>
          <w:color w:val="000000"/>
          <w:szCs w:val="24"/>
          <w:vertAlign w:val="superscript"/>
        </w:rPr>
        <w:t xml:space="preserve"> </w:t>
      </w:r>
      <w:r>
        <w:rPr>
          <w:color w:val="000000"/>
          <w:szCs w:val="24"/>
          <w:vertAlign w:val="superscript"/>
        </w:rPr>
        <w:footnoteReference w:id="1"/>
      </w:r>
      <w:r>
        <w:rPr>
          <w:szCs w:val="24"/>
        </w:rPr>
        <w:t xml:space="preserve"> there was insufficient time to fully address the issues and thereby ensure that due process was afforded to all parties.  Accordingly, on March 27, 2014, I entered an order in the base rate proceeding severing NRG’s formal complaint and recommending it for resolution in a separate recommended decision.  As explained below, the Commission adopted my recommendation that NRG’s formal complaint be resolved separately. </w:t>
      </w:r>
    </w:p>
    <w:p w:rsidR="00B537D4" w:rsidRDefault="00B537D4" w:rsidP="00B537D4">
      <w:pPr>
        <w:spacing w:after="0" w:line="360" w:lineRule="auto"/>
        <w:rPr>
          <w:szCs w:val="24"/>
        </w:rPr>
      </w:pPr>
    </w:p>
    <w:p w:rsidR="00B537D4" w:rsidRDefault="00B537D4" w:rsidP="00B537D4">
      <w:pPr>
        <w:spacing w:after="0" w:line="360" w:lineRule="auto"/>
        <w:rPr>
          <w:rFonts w:eastAsia="Times New Roman"/>
          <w:szCs w:val="24"/>
        </w:rPr>
      </w:pPr>
      <w:r>
        <w:rPr>
          <w:szCs w:val="24"/>
        </w:rPr>
        <w:tab/>
      </w:r>
      <w:r>
        <w:rPr>
          <w:szCs w:val="24"/>
        </w:rPr>
        <w:tab/>
        <w:t>T</w:t>
      </w:r>
      <w:r>
        <w:rPr>
          <w:rFonts w:eastAsia="Times New Roman"/>
          <w:szCs w:val="24"/>
        </w:rPr>
        <w:t xml:space="preserve">his decision recommends that NRG’s formal complaint be sustained in that Duquesne Light’s Tariff Rider No. 18 in its current form is non-compliant with the Commission’s regulatory scheme and is contrary to the public interest.  Also this decision recommends that Duquesne Light’s Tariff Rider No. 18 be stricken as not being in the public interest and the Company ordered to file a revised tariff removing the rider from its tariff within 90 days of Commission approval of this recommended decision.  In the alternative it is recommended that within 90 days of Commission approval of this recommended decision, Duquesne Light may file, for Commission approval, a revised tariff supplement to the rider that is just, reasonable, non-discriminatory and in the public interest. </w:t>
      </w:r>
    </w:p>
    <w:p w:rsidR="00B537D4" w:rsidRDefault="00B537D4" w:rsidP="00B537D4">
      <w:pPr>
        <w:spacing w:after="0" w:line="360" w:lineRule="auto"/>
        <w:rPr>
          <w:rFonts w:eastAsia="Times New Roman"/>
          <w:szCs w:val="24"/>
        </w:rPr>
      </w:pPr>
    </w:p>
    <w:p w:rsidR="00B537D4" w:rsidRDefault="00B537D4" w:rsidP="00B537D4">
      <w:pPr>
        <w:spacing w:after="0" w:line="360" w:lineRule="auto"/>
        <w:jc w:val="center"/>
        <w:rPr>
          <w:rFonts w:eastAsia="Times New Roman"/>
          <w:szCs w:val="24"/>
          <w:u w:val="single"/>
        </w:rPr>
      </w:pPr>
      <w:r>
        <w:rPr>
          <w:rFonts w:eastAsia="Times New Roman"/>
          <w:szCs w:val="24"/>
        </w:rPr>
        <w:t>I.</w:t>
      </w:r>
      <w:r>
        <w:rPr>
          <w:rFonts w:eastAsia="Times New Roman"/>
          <w:szCs w:val="24"/>
        </w:rPr>
        <w:tab/>
      </w:r>
      <w:r>
        <w:rPr>
          <w:rFonts w:eastAsia="Times New Roman"/>
          <w:szCs w:val="24"/>
          <w:u w:val="single"/>
        </w:rPr>
        <w:t>HISTORY OF THE PROCEEDING</w:t>
      </w:r>
      <w:r>
        <w:rPr>
          <w:rStyle w:val="FootnoteReference"/>
          <w:szCs w:val="24"/>
        </w:rPr>
        <w:footnoteReference w:id="2"/>
      </w:r>
    </w:p>
    <w:p w:rsidR="00B537D4" w:rsidRDefault="00B537D4" w:rsidP="00B537D4">
      <w:pPr>
        <w:pStyle w:val="Level1"/>
        <w:widowControl/>
        <w:spacing w:line="360" w:lineRule="auto"/>
        <w:ind w:left="0" w:firstLine="720"/>
        <w:jc w:val="left"/>
      </w:pPr>
    </w:p>
    <w:p w:rsidR="00B537D4" w:rsidRDefault="00B537D4" w:rsidP="00B537D4">
      <w:pPr>
        <w:pStyle w:val="Level1"/>
        <w:widowControl/>
        <w:spacing w:line="360" w:lineRule="auto"/>
        <w:ind w:left="0"/>
        <w:jc w:val="left"/>
      </w:pPr>
      <w:r>
        <w:tab/>
      </w:r>
      <w:r>
        <w:tab/>
        <w:t>Duquesne Light Company (Duquesne Light, DLC, Company or Respondent) provides electric utility service to approximately 588,000 customers in the Greater Pittsburgh region of Allegheny and Beaver Counties.  On August 2, 2013, Duquesne Light Company filed with the Pennsylvania Public Utility Commission (Commission), at Docket No. R-2013-2372129, Tariff Supplement No. 81 to Electric – Pa. P.U.C. No. 24 (the base rate filing or the base rate proceeding or base rate case), to become effective October 1, 2013, containing proposed changes in rates, rules, and regulations calculated to produce $76.3 million (17.6%) in additional annual</w:t>
      </w:r>
      <w:r>
        <w:rPr>
          <w:i/>
        </w:rPr>
        <w:t xml:space="preserve"> </w:t>
      </w:r>
      <w:r>
        <w:t xml:space="preserve">revenues, based on data for a Fully Projected Future Test Year (FPFTY) ending April 30, 2015.  </w:t>
      </w:r>
      <w:r>
        <w:rPr>
          <w:rFonts w:eastAsia="Calibri"/>
          <w:snapToGrid w:val="0"/>
        </w:rPr>
        <w:t xml:space="preserve">  </w:t>
      </w:r>
    </w:p>
    <w:p w:rsidR="00B537D4" w:rsidRDefault="00B537D4" w:rsidP="00B537D4">
      <w:pPr>
        <w:spacing w:after="0" w:line="360" w:lineRule="auto"/>
        <w:rPr>
          <w:szCs w:val="24"/>
        </w:rPr>
      </w:pPr>
    </w:p>
    <w:p w:rsidR="00B537D4" w:rsidRDefault="00B537D4" w:rsidP="00B537D4">
      <w:pPr>
        <w:spacing w:after="0" w:line="360" w:lineRule="auto"/>
        <w:ind w:firstLine="1440"/>
        <w:rPr>
          <w:szCs w:val="24"/>
        </w:rPr>
      </w:pPr>
      <w:r>
        <w:rPr>
          <w:szCs w:val="24"/>
        </w:rPr>
        <w:t xml:space="preserve">On September 26, 2013, pursuant to 66 Pa.C.S. § 1308(d), the Commission entered an Order suspending the proposed tariff supplement until May 1, 2014, and ordered an investigation to determine the lawfulness, justness, and reasonableness of the rates, rules and regulations contained in the filing.  The Commission further ordered consideration should be given to the reasonableness of Duquesne Light’s existing rates, rules, and regulations.  Under the Commission’s Order the case was referred to the Office of Administrative Law Judge for prompt scheduling of such hearings as may be necessary, culminating in the issuance of a Recommended Decision. </w:t>
      </w:r>
    </w:p>
    <w:p w:rsidR="00B537D4" w:rsidRDefault="00B537D4" w:rsidP="00B537D4">
      <w:pPr>
        <w:spacing w:after="0" w:line="360" w:lineRule="auto"/>
        <w:rPr>
          <w:szCs w:val="24"/>
        </w:rPr>
      </w:pPr>
    </w:p>
    <w:p w:rsidR="00B537D4" w:rsidRDefault="00B537D4" w:rsidP="00B537D4">
      <w:pPr>
        <w:spacing w:after="0" w:line="360" w:lineRule="auto"/>
        <w:ind w:firstLine="1440"/>
        <w:rPr>
          <w:szCs w:val="24"/>
        </w:rPr>
      </w:pPr>
      <w:r>
        <w:rPr>
          <w:szCs w:val="24"/>
        </w:rPr>
        <w:t>The statutory parties, the Commission’s Bureau of Investigation and Enforcement (I&amp;E), the Office of Consumer Advocate (OCA), and the Office of Small Business Advocate (OSBA) entered appearances in the base rate case.  OCA, OSBA, Duquesne Industrial Intervenors (DII) and five other individual complainants filed formal complaints against Duquesne Light’s rate increase filing.  NRG filed its formal complaint against the rate increase on October 28, 2013.</w:t>
      </w:r>
    </w:p>
    <w:p w:rsidR="00B537D4" w:rsidRDefault="00B537D4" w:rsidP="00B537D4">
      <w:pPr>
        <w:spacing w:after="0" w:line="360" w:lineRule="auto"/>
        <w:ind w:firstLine="1440"/>
        <w:rPr>
          <w:szCs w:val="24"/>
        </w:rPr>
      </w:pPr>
    </w:p>
    <w:p w:rsidR="00B537D4" w:rsidRDefault="00B537D4" w:rsidP="00B537D4">
      <w:pPr>
        <w:spacing w:after="0" w:line="360" w:lineRule="auto"/>
        <w:ind w:firstLine="1440"/>
        <w:rPr>
          <w:szCs w:val="24"/>
        </w:rPr>
      </w:pPr>
      <w:r>
        <w:rPr>
          <w:szCs w:val="24"/>
        </w:rPr>
        <w:t xml:space="preserve">Petitions to Intervene in the base rate case were filed by the Coalition for Affordable Utility Service and Energy Efficiency in Pennsylvania (CAUSE-PA), the Citizens for Pennsylvania’s Future (PennFuture), the United States Steel Corporation (U. S. Steel) and six other intervenors, including Beaver Falls Municipal Authority (Beaver Falls or Beaver Falls Authority or BFMA), which filed its intervention petition on December 16, 2013. </w:t>
      </w:r>
    </w:p>
    <w:p w:rsidR="00B537D4" w:rsidRDefault="00B537D4" w:rsidP="00B537D4">
      <w:pPr>
        <w:spacing w:after="0" w:line="360" w:lineRule="auto"/>
        <w:rPr>
          <w:rFonts w:eastAsia="Times New Roman"/>
          <w:szCs w:val="24"/>
        </w:rPr>
      </w:pPr>
    </w:p>
    <w:p w:rsidR="00B537D4" w:rsidRDefault="00B537D4" w:rsidP="006746FB">
      <w:pPr>
        <w:adjustRightInd w:val="0"/>
        <w:spacing w:after="0" w:line="360" w:lineRule="auto"/>
        <w:ind w:firstLine="1440"/>
        <w:rPr>
          <w:rFonts w:eastAsia="Times New Roman"/>
          <w:szCs w:val="24"/>
        </w:rPr>
      </w:pPr>
      <w:r>
        <w:rPr>
          <w:rFonts w:eastAsia="Times New Roman"/>
          <w:szCs w:val="24"/>
        </w:rPr>
        <w:t>During the course of the base rate proceeding, the p</w:t>
      </w:r>
      <w:r>
        <w:rPr>
          <w:rFonts w:eastAsia="Times New Roman"/>
          <w:color w:val="000000"/>
          <w:szCs w:val="24"/>
        </w:rPr>
        <w:t xml:space="preserve">arties engaged in substantial formal and informal discovery, DLC responded to approximately 500 discovery requests, and </w:t>
      </w:r>
      <w:r>
        <w:rPr>
          <w:rFonts w:eastAsia="Times New Roman"/>
          <w:szCs w:val="24"/>
        </w:rPr>
        <w:t xml:space="preserve">all of the formal complaints and intervention petitions were consolidated with Duquesne Light’s base rate case at Docket No. R-2013-2372129.  On November 7, 2013, in response to the Company’s motion, I </w:t>
      </w:r>
      <w:r>
        <w:rPr>
          <w:szCs w:val="24"/>
        </w:rPr>
        <w:t>issued a First Interim Order Granting Respondent Duquesne Light Company’s Motion for Protective Order.</w:t>
      </w:r>
      <w:r>
        <w:rPr>
          <w:rFonts w:eastAsia="Times New Roman"/>
          <w:szCs w:val="24"/>
        </w:rPr>
        <w:tab/>
      </w:r>
    </w:p>
    <w:p w:rsidR="00B537D4" w:rsidRDefault="00B537D4" w:rsidP="00B537D4">
      <w:pPr>
        <w:spacing w:after="0" w:line="360" w:lineRule="auto"/>
        <w:rPr>
          <w:rFonts w:eastAsia="Times New Roman"/>
          <w:szCs w:val="24"/>
        </w:rPr>
      </w:pPr>
    </w:p>
    <w:p w:rsidR="00B537D4" w:rsidRDefault="00B537D4" w:rsidP="00B537D4">
      <w:pPr>
        <w:spacing w:after="0" w:line="360" w:lineRule="auto"/>
        <w:ind w:firstLine="1440"/>
        <w:rPr>
          <w:szCs w:val="24"/>
        </w:rPr>
      </w:pPr>
      <w:r>
        <w:rPr>
          <w:szCs w:val="24"/>
        </w:rPr>
        <w:t>On November 12, 2013, Duquesne Light filed both an Answer and Preliminary Objections to NRG’s Formal Complaint, which in part sought review as to the reasonableness of Respondent’s Tariff Rider No. 18 ‒ Rate for Purchase of Electric Energy from Customer-Owned Renewable Resources Generating Facilities (Rider No. 18).  Duquesne Light asserted preliminary objections on three grounds: (1) certain aspects of the complaint were beyond the scope of the base rate proceeding, particularly NRG’s averments concerning: Rider No. 18, a Revised QF Agency Agreement (Agency Agreement) and power purchase agreements (PPAs); (2) there was a failure to join parties indispensable to NRG’s claims regarding the Public Utility Regulatory Policies Act of 1978 (PURPA), 16 U.S.C. §§ 824, et seq., and the rates paid under Rider No. 18; and (3) NRG’s requested relief was beyond the Commission’s jurisdiction.  As relief, Duquesne Light requested that averments pertaining to Rider No. 18 be dismissed and that NRG Midwest be dismissed as a party.</w:t>
      </w:r>
    </w:p>
    <w:p w:rsidR="00B537D4" w:rsidRDefault="00B537D4" w:rsidP="00B537D4">
      <w:pPr>
        <w:spacing w:after="0" w:line="360" w:lineRule="auto"/>
        <w:ind w:firstLine="1440"/>
        <w:rPr>
          <w:szCs w:val="24"/>
        </w:rPr>
      </w:pPr>
    </w:p>
    <w:p w:rsidR="00B537D4" w:rsidRDefault="00B537D4" w:rsidP="00B537D4">
      <w:pPr>
        <w:spacing w:after="0" w:line="360" w:lineRule="auto"/>
        <w:ind w:firstLine="1440"/>
        <w:rPr>
          <w:szCs w:val="24"/>
        </w:rPr>
      </w:pPr>
      <w:r>
        <w:rPr>
          <w:szCs w:val="24"/>
        </w:rPr>
        <w:t xml:space="preserve">NRG answered the preliminary objections on November 22, 2013.  NRG argued Duquesne Light’s objections were without merit.  NRG argued, “The NRG Companies are not asserting a cause of action under the PPAs or the Agency Agreement, nor are they requesting that the Commission construe or modify their terms.”  Further the Commission had ordered that the investigation include consideration of the lawfulness, justness and reasonableness of Duquesne Light’s proposed rate increase and existing rates, rules and regulations.  Therefore, NRG’s averment, that the Company’s Rider No. 18 should be examined to ensure that the terms, conditions and electric energy purchase price continue to be just, reasonable and non-discriminatory, was within the scope of the base rate proceeding.  Concerning Duquesne Light’s preliminary objection — non-joinder of all necessary parties, i.e. the qualifying facilities, NRG argued since it is not asking the Commission to construe or modify the terms of the PPAs, the qualifying facilities that are contractual parties to the PPAs are not necessary parties to NRG’s cause of action.  Duquesne Light’s objection that NRG’s complaint was legally insufficient because the Commission lacked jurisdiction to grant the requested relief, i.e., modification of the PPAs, was without factual support, according to NRG.  Again, NRG was not requesting modification of the PPAs.  Rather NRG was asking the Commission to review and consider whether Rider No. 18 continued to be just, reasonable and non-discriminatory.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By Second Interim Order issued on December 12, 2013, Duquesne Light’s preliminary objections to NRG’s complaint were denied.</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On December 13, 2013, Duquesne Light submitted the following filings:</w:t>
      </w:r>
    </w:p>
    <w:p w:rsidR="00B537D4" w:rsidRDefault="00B537D4" w:rsidP="00B537D4">
      <w:pPr>
        <w:spacing w:after="0" w:line="360" w:lineRule="auto"/>
        <w:rPr>
          <w:szCs w:val="24"/>
        </w:rPr>
      </w:pPr>
    </w:p>
    <w:p w:rsidR="00B537D4" w:rsidRDefault="00B537D4" w:rsidP="00B537D4">
      <w:pPr>
        <w:spacing w:after="0" w:line="360" w:lineRule="auto"/>
        <w:ind w:left="2160" w:right="1440"/>
        <w:rPr>
          <w:szCs w:val="24"/>
        </w:rPr>
      </w:pPr>
      <w:r>
        <w:rPr>
          <w:szCs w:val="24"/>
        </w:rPr>
        <w:t>(a)</w:t>
      </w:r>
      <w:r>
        <w:rPr>
          <w:szCs w:val="24"/>
        </w:rPr>
        <w:tab/>
        <w:t>Petition for Interlocutory Review and Answer to Material Questions, raising the following questions:</w:t>
      </w:r>
    </w:p>
    <w:p w:rsidR="00B537D4" w:rsidRDefault="00B537D4" w:rsidP="00B537D4">
      <w:pPr>
        <w:spacing w:after="0" w:line="360" w:lineRule="auto"/>
        <w:ind w:left="2160" w:right="1440"/>
        <w:rPr>
          <w:szCs w:val="24"/>
        </w:rPr>
      </w:pPr>
    </w:p>
    <w:p w:rsidR="00B537D4" w:rsidRDefault="00B537D4" w:rsidP="00B537D4">
      <w:pPr>
        <w:spacing w:after="0" w:line="240" w:lineRule="auto"/>
        <w:ind w:left="2880" w:right="1440"/>
        <w:rPr>
          <w:szCs w:val="24"/>
        </w:rPr>
      </w:pPr>
      <w:r>
        <w:rPr>
          <w:szCs w:val="24"/>
        </w:rPr>
        <w:t xml:space="preserve">(1)  Whether the NRG Complaint must be dismissed for failure to join the affected qualifying facilities as necessary and </w:t>
      </w:r>
      <w:r>
        <w:rPr>
          <w:szCs w:val="24"/>
        </w:rPr>
        <w:tab/>
        <w:t>indispensable parties?</w:t>
      </w:r>
    </w:p>
    <w:p w:rsidR="00B537D4" w:rsidRDefault="00B537D4" w:rsidP="00B537D4">
      <w:pPr>
        <w:spacing w:after="0" w:line="240" w:lineRule="auto"/>
        <w:ind w:left="2880" w:right="1440"/>
        <w:rPr>
          <w:szCs w:val="24"/>
        </w:rPr>
      </w:pPr>
    </w:p>
    <w:p w:rsidR="00B537D4" w:rsidRDefault="00B537D4" w:rsidP="00B537D4">
      <w:pPr>
        <w:spacing w:after="0" w:line="240" w:lineRule="auto"/>
        <w:ind w:left="2880" w:right="1440"/>
        <w:rPr>
          <w:szCs w:val="24"/>
        </w:rPr>
      </w:pPr>
      <w:r>
        <w:rPr>
          <w:szCs w:val="24"/>
        </w:rPr>
        <w:t>(2)  Whether the Commission lacks authority to change the wholesale PURPA rate set forth in Rider No. 18?</w:t>
      </w:r>
      <w:r>
        <w:rPr>
          <w:szCs w:val="24"/>
          <w:vertAlign w:val="superscript"/>
        </w:rPr>
        <w:footnoteReference w:id="3"/>
      </w:r>
    </w:p>
    <w:p w:rsidR="00B537D4" w:rsidRDefault="00B537D4" w:rsidP="00B537D4">
      <w:pPr>
        <w:spacing w:after="0" w:line="360" w:lineRule="auto"/>
        <w:ind w:left="2880" w:right="1440"/>
        <w:rPr>
          <w:szCs w:val="24"/>
        </w:rPr>
      </w:pPr>
    </w:p>
    <w:p w:rsidR="00B537D4" w:rsidRDefault="00B537D4" w:rsidP="00B537D4">
      <w:pPr>
        <w:spacing w:after="0" w:line="360" w:lineRule="auto"/>
        <w:ind w:left="2160" w:right="1440" w:hanging="720"/>
        <w:rPr>
          <w:szCs w:val="24"/>
        </w:rPr>
      </w:pPr>
      <w:r>
        <w:rPr>
          <w:szCs w:val="24"/>
        </w:rPr>
        <w:tab/>
        <w:t xml:space="preserve">(b) </w:t>
      </w:r>
      <w:r>
        <w:rPr>
          <w:szCs w:val="24"/>
        </w:rPr>
        <w:tab/>
        <w:t>Motion to Sever From This Base Rate Proceeding The Rider No. 18 Portion of the NRG Complaint.</w:t>
      </w:r>
    </w:p>
    <w:p w:rsidR="00B537D4" w:rsidRDefault="00B537D4" w:rsidP="00B537D4">
      <w:pPr>
        <w:spacing w:line="360" w:lineRule="auto"/>
        <w:rPr>
          <w:rFonts w:eastAsia="Times New Roman"/>
          <w:szCs w:val="24"/>
        </w:rPr>
      </w:pPr>
    </w:p>
    <w:p w:rsidR="00B537D4" w:rsidRDefault="00B537D4" w:rsidP="00B537D4">
      <w:pPr>
        <w:spacing w:line="360" w:lineRule="auto"/>
        <w:rPr>
          <w:rFonts w:eastAsia="Times New Roman"/>
          <w:color w:val="000000"/>
          <w:szCs w:val="24"/>
        </w:rPr>
      </w:pPr>
      <w:r>
        <w:rPr>
          <w:rFonts w:eastAsia="Times New Roman"/>
          <w:color w:val="000000"/>
          <w:szCs w:val="24"/>
        </w:rPr>
        <w:tab/>
      </w:r>
      <w:r>
        <w:rPr>
          <w:rFonts w:eastAsia="Times New Roman"/>
          <w:color w:val="000000"/>
          <w:szCs w:val="24"/>
        </w:rPr>
        <w:tab/>
        <w:t xml:space="preserve">Evidentiary hearings held on December 16, 17, and 20, 2013 generated a 459-page transcript.  At the hearings, the parties advised the ALJ that except for NRG, a settlement had been reached in principle, and the only issues remaining for decision were those issues raised by the NRG Companies.  </w:t>
      </w:r>
    </w:p>
    <w:p w:rsidR="00B537D4" w:rsidRDefault="00B537D4" w:rsidP="00B537D4">
      <w:pPr>
        <w:adjustRightInd w:val="0"/>
        <w:spacing w:after="0" w:line="360" w:lineRule="auto"/>
        <w:ind w:firstLine="1440"/>
        <w:rPr>
          <w:rFonts w:eastAsia="Times New Roman"/>
          <w:color w:val="000000"/>
          <w:szCs w:val="24"/>
        </w:rPr>
      </w:pPr>
      <w:r>
        <w:rPr>
          <w:rFonts w:eastAsia="Times New Roman"/>
          <w:color w:val="000000"/>
          <w:szCs w:val="24"/>
        </w:rPr>
        <w:t xml:space="preserve">During the hearings, the parties’ respective testimony and exhibits were admitted into the record.  Certain party-witnesses were cross-examined on issues raised by the NRG Companies, and the NRG Companies cross-examined the I&amp;E and OCA witnesses.  </w:t>
      </w:r>
    </w:p>
    <w:p w:rsidR="00B537D4" w:rsidRDefault="00B537D4" w:rsidP="00B537D4">
      <w:pPr>
        <w:adjustRightInd w:val="0"/>
        <w:spacing w:after="0" w:line="360" w:lineRule="auto"/>
        <w:ind w:firstLine="1440"/>
        <w:rPr>
          <w:rFonts w:eastAsia="Times New Roman"/>
          <w:color w:val="000000"/>
          <w:szCs w:val="24"/>
        </w:rPr>
      </w:pPr>
    </w:p>
    <w:p w:rsidR="00B537D4" w:rsidRDefault="00B537D4" w:rsidP="00B537D4">
      <w:pPr>
        <w:adjustRightInd w:val="0"/>
        <w:spacing w:after="0" w:line="360" w:lineRule="auto"/>
        <w:ind w:firstLine="1440"/>
        <w:rPr>
          <w:rFonts w:eastAsia="Times New Roman"/>
          <w:color w:val="000000"/>
          <w:szCs w:val="24"/>
        </w:rPr>
      </w:pPr>
      <w:r>
        <w:rPr>
          <w:rFonts w:eastAsia="Times New Roman"/>
          <w:color w:val="000000"/>
          <w:szCs w:val="24"/>
        </w:rPr>
        <w:t xml:space="preserve">On December 23, 2013, DLC filed a Brief in Support of the Petition for Interlocutory Review, BFMA filed a Brief in Support of the Petition, and the NRG Companies filed a Brief in Opposition to the Petition. </w:t>
      </w:r>
    </w:p>
    <w:p w:rsidR="00B537D4" w:rsidRDefault="00B537D4" w:rsidP="00B537D4">
      <w:pPr>
        <w:adjustRightInd w:val="0"/>
        <w:spacing w:after="0" w:line="360" w:lineRule="auto"/>
        <w:ind w:firstLine="1440"/>
        <w:rPr>
          <w:rFonts w:eastAsia="Times New Roman"/>
          <w:color w:val="000000"/>
          <w:szCs w:val="24"/>
        </w:rPr>
      </w:pPr>
    </w:p>
    <w:p w:rsidR="00B537D4" w:rsidRDefault="00B537D4" w:rsidP="00B537D4">
      <w:pPr>
        <w:adjustRightInd w:val="0"/>
        <w:spacing w:after="0" w:line="360" w:lineRule="auto"/>
        <w:ind w:firstLine="1440"/>
        <w:rPr>
          <w:rFonts w:eastAsia="Times New Roman"/>
          <w:color w:val="000000"/>
          <w:szCs w:val="24"/>
        </w:rPr>
      </w:pPr>
      <w:r>
        <w:rPr>
          <w:rFonts w:eastAsia="Times New Roman"/>
          <w:color w:val="000000"/>
          <w:szCs w:val="24"/>
        </w:rPr>
        <w:t xml:space="preserve">On January 6, 2014, the following parties filed Main Briefs:  BFMA, the NRG Companies, DLC, I&amp;E, and OCA.  </w:t>
      </w:r>
    </w:p>
    <w:p w:rsidR="00B537D4" w:rsidRDefault="00B537D4" w:rsidP="00B537D4">
      <w:pPr>
        <w:adjustRightInd w:val="0"/>
        <w:spacing w:after="0" w:line="360" w:lineRule="auto"/>
        <w:ind w:firstLine="1440"/>
        <w:rPr>
          <w:rFonts w:eastAsia="Times New Roman"/>
          <w:color w:val="000000"/>
          <w:szCs w:val="24"/>
        </w:rPr>
      </w:pPr>
    </w:p>
    <w:p w:rsidR="00B537D4" w:rsidRDefault="00B537D4" w:rsidP="00B537D4">
      <w:pPr>
        <w:adjustRightInd w:val="0"/>
        <w:spacing w:after="0" w:line="360" w:lineRule="auto"/>
        <w:ind w:firstLine="1440"/>
        <w:rPr>
          <w:rFonts w:eastAsia="Times New Roman"/>
          <w:color w:val="000000"/>
          <w:szCs w:val="24"/>
        </w:rPr>
      </w:pPr>
      <w:r>
        <w:rPr>
          <w:rFonts w:eastAsia="Times New Roman"/>
          <w:color w:val="000000"/>
          <w:szCs w:val="24"/>
        </w:rPr>
        <w:t xml:space="preserve">On January 16, 2014, the following parties filed a Joint Petition for Approval of Non-Unanimous Settlement (Settlement): DLC, I&amp;E, OCA, OSBA, CAUSE-PA, DII, PennFuture, and U. S. Steel.  Other parties, including Community Action Association of Pennsylvania, Citizen Power, Inc., Interstate Gas Supply, Inc., International Brotherhood of Electrical Workers, Local 29, and BFMA did not oppose the Settlement.  The Settlement provided for, </w:t>
      </w:r>
      <w:r>
        <w:rPr>
          <w:rFonts w:eastAsia="Times New Roman"/>
          <w:i/>
          <w:color w:val="000000"/>
          <w:szCs w:val="24"/>
        </w:rPr>
        <w:t>inter alia</w:t>
      </w:r>
      <w:r>
        <w:rPr>
          <w:rFonts w:eastAsia="Times New Roman"/>
          <w:color w:val="000000"/>
          <w:szCs w:val="24"/>
        </w:rPr>
        <w:t xml:space="preserve">, increases in rates designed to produce a net increase in annual distribution operating revenues of $48 million, based on a FPFTY ending April 30, 2015, to become effective for service rendered on and after May 1, 2014.  </w:t>
      </w:r>
    </w:p>
    <w:p w:rsidR="00B537D4" w:rsidRDefault="00B537D4" w:rsidP="00B537D4">
      <w:pPr>
        <w:adjustRightInd w:val="0"/>
        <w:spacing w:after="0" w:line="360" w:lineRule="auto"/>
        <w:ind w:firstLine="1440"/>
        <w:rPr>
          <w:rFonts w:eastAsia="Times New Roman"/>
          <w:color w:val="000000"/>
          <w:szCs w:val="24"/>
        </w:rPr>
      </w:pPr>
    </w:p>
    <w:p w:rsidR="00B537D4" w:rsidRDefault="00B537D4" w:rsidP="00B537D4">
      <w:pPr>
        <w:adjustRightInd w:val="0"/>
        <w:spacing w:after="0" w:line="360" w:lineRule="auto"/>
        <w:ind w:firstLine="1440"/>
        <w:rPr>
          <w:rFonts w:eastAsia="Times New Roman"/>
          <w:color w:val="000000"/>
          <w:szCs w:val="24"/>
        </w:rPr>
      </w:pPr>
      <w:r>
        <w:rPr>
          <w:rFonts w:eastAsia="Times New Roman"/>
          <w:color w:val="000000"/>
          <w:szCs w:val="24"/>
        </w:rPr>
        <w:t xml:space="preserve">On January 17, 2014, the following parties filed Reply Briefs: I&amp;E, OCA, BFMA, DLC, and the NRG Companies. </w:t>
      </w:r>
    </w:p>
    <w:p w:rsidR="00B537D4" w:rsidRDefault="00B537D4" w:rsidP="00B537D4">
      <w:pPr>
        <w:adjustRightInd w:val="0"/>
        <w:spacing w:after="0" w:line="360" w:lineRule="auto"/>
        <w:ind w:firstLine="1440"/>
        <w:rPr>
          <w:rFonts w:eastAsia="Times New Roman"/>
          <w:color w:val="000000"/>
          <w:szCs w:val="24"/>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 xml:space="preserve">On January 30, 2014, the NRG Companies filed Objections to the Settlement on the grounds that the Settlement did not address NRG’s issues involving Duquesne Light’s Tariff Rider No. 18.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On February 4, 2014, responses to the Objections filed by NRG were filed by Duquesne Light, U. S. Steel, BFMA and OCA.</w:t>
      </w:r>
    </w:p>
    <w:p w:rsidR="00B537D4" w:rsidRDefault="00B537D4" w:rsidP="00B537D4">
      <w:pPr>
        <w:spacing w:after="0" w:line="360" w:lineRule="auto"/>
        <w:rPr>
          <w:szCs w:val="24"/>
        </w:rPr>
      </w:pPr>
    </w:p>
    <w:p w:rsidR="00B537D4" w:rsidRDefault="00B537D4" w:rsidP="00B537D4">
      <w:pPr>
        <w:spacing w:after="0" w:line="360" w:lineRule="auto"/>
        <w:rPr>
          <w:rFonts w:eastAsia="Times New Roman"/>
          <w:szCs w:val="24"/>
        </w:rPr>
      </w:pPr>
      <w:r>
        <w:rPr>
          <w:szCs w:val="24"/>
        </w:rPr>
        <w:tab/>
      </w:r>
      <w:r>
        <w:rPr>
          <w:szCs w:val="24"/>
        </w:rPr>
        <w:tab/>
      </w:r>
      <w:r>
        <w:rPr>
          <w:rFonts w:eastAsia="Times New Roman"/>
          <w:szCs w:val="24"/>
        </w:rPr>
        <w:t>On February 6, 2014, the Commission entered an Opinion and Order declining to answer the material questions raised in Duquesne Light’s December 13, 2013 Petition for Interlocutory Review and Answer to Material Questions and returning the matter to the Office of Administrative Law Judge.  A Fourth Interim Order Admitting Joint Petition For Approval Of Non-Unanimous Settlement Into The Record, together with the attached Appendices A through J, was issued on February 7, 2014.  The Fourth Interim Order also closed the record.</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 xml:space="preserve">By email on March 22, 2014, as the presiding officer, I informed counsel for the parties that I would consider a motion from Duquesne Light Company to reconsider the Company’s December 13, 2013 Motion to Sever the Rider No. 18 issues from the base rate proceeding.  I had denied the motion during the evidentiary hearings on December 17, 2013.  If the Company filed the motion to sever by noon on March 25, 2014, any objections or responses thereto would be due by noon on Wednesday, March 26, 2014. </w:t>
      </w:r>
    </w:p>
    <w:p w:rsidR="00B537D4" w:rsidRDefault="00B537D4" w:rsidP="00B537D4">
      <w:pPr>
        <w:spacing w:after="0"/>
        <w:rPr>
          <w:szCs w:val="24"/>
        </w:rPr>
      </w:pPr>
    </w:p>
    <w:p w:rsidR="00B537D4" w:rsidRDefault="00B537D4" w:rsidP="00B537D4">
      <w:pPr>
        <w:spacing w:after="0" w:line="360" w:lineRule="auto"/>
        <w:rPr>
          <w:szCs w:val="24"/>
        </w:rPr>
      </w:pPr>
      <w:r>
        <w:rPr>
          <w:szCs w:val="24"/>
        </w:rPr>
        <w:tab/>
      </w:r>
      <w:r>
        <w:rPr>
          <w:szCs w:val="24"/>
        </w:rPr>
        <w:tab/>
        <w:t>The Motion of Duquesne Light Company to Sever From This Base Rate Proceeding the Rider No. 18 Portions of The Complaint Filed by NRG Power Midwest LP, NRG Energy Center Pittsburgh LLC and Reliant Energy Northeast LLC (Motion to Sever) was filed on March 25, 2014.</w:t>
      </w:r>
    </w:p>
    <w:p w:rsidR="00B537D4" w:rsidRDefault="00B537D4" w:rsidP="00B537D4">
      <w:pPr>
        <w:spacing w:after="0" w:line="360" w:lineRule="auto"/>
        <w:rPr>
          <w:szCs w:val="24"/>
        </w:rPr>
      </w:pPr>
      <w:r>
        <w:rPr>
          <w:szCs w:val="24"/>
        </w:rPr>
        <w:t xml:space="preserve">  </w:t>
      </w:r>
    </w:p>
    <w:p w:rsidR="00B537D4" w:rsidRDefault="00B537D4" w:rsidP="00B537D4">
      <w:pPr>
        <w:spacing w:after="0" w:line="360" w:lineRule="auto"/>
        <w:rPr>
          <w:szCs w:val="24"/>
        </w:rPr>
      </w:pPr>
      <w:r>
        <w:rPr>
          <w:szCs w:val="24"/>
        </w:rPr>
        <w:tab/>
      </w:r>
      <w:r>
        <w:rPr>
          <w:szCs w:val="24"/>
        </w:rPr>
        <w:tab/>
        <w:t>On March 26, 2014, NRG filed an answer opposing severance of the issues relating to Rider No. 18 into a separate complaint proceeding and, in part, suggested that the investigation be held open for “a subsequent recommended decision on the Rider No. 18 issues by a date certain and that the Commission itself take action by a date certain.”  NRG’s Answer to the Motion to Sever of Duquesne Light Company, at pages 1-3.</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Also on March 26, 2014, Beaver Falls Authority filed an answer to the Motion to Sever.  Beaver Falls did not object to the granting of the motion. The other active parties to the base rate proceeding did not elect to file a response to the Motion to Sever by the noon deadline on March 26, 2014.</w:t>
      </w:r>
    </w:p>
    <w:p w:rsidR="00B537D4" w:rsidRDefault="00B537D4" w:rsidP="00B537D4">
      <w:pPr>
        <w:spacing w:after="0" w:line="360" w:lineRule="auto"/>
        <w:rPr>
          <w:szCs w:val="24"/>
        </w:rPr>
      </w:pPr>
      <w:r>
        <w:rPr>
          <w:szCs w:val="24"/>
        </w:rPr>
        <w:tab/>
      </w:r>
      <w:r>
        <w:rPr>
          <w:szCs w:val="24"/>
        </w:rPr>
        <w:tab/>
        <w:t>By Fifth Interim Order entered on March 27, 2014, I reopened the record to reconsider the Company’s Motion to Sever and Answers thereto and granted the Motion to Sever.  I reclosed the record on March 27, 2014.</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On March 28, 2014, I issued a Recommended Decision recommending that the Joint Petition for Non-Unanimous Settlement submitted by Duquesne Light Company, the Bureau of Investigation and Enforcement, the Office of Consumer Advocate, the Office of Small Business Advocate, the Coalition for Affordable Utility Service and Energy Efficiency in Pennsylvania, Duquesne Industrial Intervenors, the Citizens for Pennsylvania’s Future, and the United States Steel Corporation at Docket No. R</w:t>
      </w:r>
      <w:r>
        <w:rPr>
          <w:szCs w:val="24"/>
        </w:rPr>
        <w:noBreakHyphen/>
        <w:t>2013</w:t>
      </w:r>
      <w:r>
        <w:rPr>
          <w:szCs w:val="24"/>
        </w:rPr>
        <w:noBreakHyphen/>
        <w:t>2372129 be approved and that the settlement rate increase be permitted to become effective as of May 1, 2014.  Further, I recommended that the Rider No. 18 portion of the Complaint of NRG Power Midwest LP, NRG Energy Center Pittsburgh LLC and Reliant Energy Northeast LLC at Docket No. C</w:t>
      </w:r>
      <w:r>
        <w:rPr>
          <w:szCs w:val="24"/>
        </w:rPr>
        <w:noBreakHyphen/>
        <w:t>2013-2390562 be held in abeyance for resolution in a separate recommended decision.</w:t>
      </w:r>
    </w:p>
    <w:p w:rsidR="00B537D4" w:rsidRDefault="00B537D4" w:rsidP="00B537D4">
      <w:pPr>
        <w:pStyle w:val="ListParagraph"/>
        <w:spacing w:after="0" w:line="360" w:lineRule="auto"/>
        <w:ind w:left="1440"/>
        <w:rPr>
          <w:szCs w:val="24"/>
        </w:rPr>
      </w:pPr>
    </w:p>
    <w:p w:rsidR="00B537D4" w:rsidRDefault="00B537D4" w:rsidP="00B537D4">
      <w:pPr>
        <w:pStyle w:val="ListParagraph"/>
        <w:spacing w:after="0" w:line="360" w:lineRule="auto"/>
        <w:ind w:left="0"/>
        <w:rPr>
          <w:rFonts w:eastAsia="Times New Roman"/>
          <w:szCs w:val="24"/>
        </w:rPr>
      </w:pPr>
      <w:r>
        <w:rPr>
          <w:rFonts w:eastAsia="Times New Roman"/>
          <w:szCs w:val="24"/>
        </w:rPr>
        <w:tab/>
      </w:r>
      <w:r>
        <w:rPr>
          <w:rFonts w:eastAsia="Times New Roman"/>
          <w:szCs w:val="24"/>
        </w:rPr>
        <w:tab/>
        <w:t xml:space="preserve">On April 23, 2014, the Commission issued an Opinion and Order adopting my recommended decision.  The Commission’s Order permitted Duquesne Light to file the tariff attached as Appendix A to the Settlement that provided for an annual increase of revenue in the amount of $48 million.  The Commission permitted Duquesne Light’s tariff to become effective on one day’s notice after entry of the Commission’s Order approving the Settlement for service rendered on or after May 1, 2014. </w:t>
      </w:r>
    </w:p>
    <w:p w:rsidR="00B537D4" w:rsidRDefault="00B537D4" w:rsidP="00B537D4">
      <w:pPr>
        <w:pStyle w:val="ListParagraph"/>
        <w:spacing w:after="0" w:line="360" w:lineRule="auto"/>
        <w:ind w:left="0"/>
        <w:rPr>
          <w:rFonts w:eastAsia="Times New Roman"/>
          <w:szCs w:val="24"/>
        </w:rPr>
      </w:pPr>
    </w:p>
    <w:p w:rsidR="00B537D4" w:rsidRDefault="00B537D4" w:rsidP="00B537D4">
      <w:pPr>
        <w:pStyle w:val="ListParagraph"/>
        <w:spacing w:after="0" w:line="360" w:lineRule="auto"/>
        <w:ind w:left="0" w:right="1440"/>
        <w:rPr>
          <w:rFonts w:eastAsia="Times New Roman"/>
          <w:szCs w:val="24"/>
        </w:rPr>
      </w:pPr>
      <w:r>
        <w:rPr>
          <w:rFonts w:eastAsia="Times New Roman"/>
          <w:szCs w:val="24"/>
        </w:rPr>
        <w:tab/>
      </w:r>
      <w:r>
        <w:rPr>
          <w:rFonts w:eastAsia="Times New Roman"/>
          <w:szCs w:val="24"/>
        </w:rPr>
        <w:tab/>
        <w:t>The Commission further ordered the following:</w:t>
      </w:r>
    </w:p>
    <w:p w:rsidR="00B537D4" w:rsidRDefault="00B537D4" w:rsidP="00B537D4">
      <w:pPr>
        <w:pStyle w:val="ListParagraph"/>
        <w:spacing w:after="0" w:line="360" w:lineRule="auto"/>
        <w:ind w:left="0" w:right="1440"/>
        <w:rPr>
          <w:rFonts w:eastAsia="Times New Roman"/>
          <w:szCs w:val="24"/>
        </w:rPr>
      </w:pPr>
    </w:p>
    <w:p w:rsidR="00B537D4" w:rsidRDefault="00B537D4" w:rsidP="00B537D4">
      <w:pPr>
        <w:spacing w:after="0" w:line="240" w:lineRule="auto"/>
        <w:ind w:left="1440" w:right="1440"/>
        <w:rPr>
          <w:rFonts w:eastAsia="Times New Roman"/>
          <w:szCs w:val="24"/>
        </w:rPr>
      </w:pPr>
      <w:r>
        <w:rPr>
          <w:rFonts w:eastAsia="Times New Roman"/>
          <w:szCs w:val="24"/>
        </w:rPr>
        <w:t>10.</w:t>
      </w:r>
      <w:r>
        <w:rPr>
          <w:rFonts w:eastAsia="Times New Roman"/>
          <w:szCs w:val="24"/>
        </w:rPr>
        <w:tab/>
        <w:t>That the Rider No. 18 portion of the Complaint of NRG Power Midwest LP, NRG Energy Center Pittsburgh LLC and Reliant Energy Northeast LLC at Docket No. C</w:t>
      </w:r>
      <w:r>
        <w:rPr>
          <w:rFonts w:eastAsia="Times New Roman"/>
          <w:szCs w:val="24"/>
        </w:rPr>
        <w:noBreakHyphen/>
        <w:t>2013-2390562 be held in abeyance by the Commission for resolution in a separate recommended decision.  Duquesne Light Company shall maintain its currently effective tariff Rider No. 18 until further action of the Commission.</w:t>
      </w:r>
    </w:p>
    <w:p w:rsidR="00B537D4" w:rsidRDefault="00B537D4" w:rsidP="00B537D4">
      <w:pPr>
        <w:spacing w:after="0" w:line="240" w:lineRule="auto"/>
        <w:ind w:left="1440" w:right="1440"/>
        <w:contextualSpacing/>
        <w:rPr>
          <w:rFonts w:eastAsia="Times New Roman"/>
          <w:szCs w:val="24"/>
        </w:rPr>
      </w:pPr>
    </w:p>
    <w:p w:rsidR="00B537D4" w:rsidRDefault="00B537D4" w:rsidP="00B537D4">
      <w:pPr>
        <w:spacing w:after="0" w:line="240" w:lineRule="auto"/>
        <w:ind w:left="1440" w:right="1440"/>
        <w:contextualSpacing/>
        <w:rPr>
          <w:rFonts w:eastAsia="Times New Roman"/>
          <w:szCs w:val="24"/>
        </w:rPr>
      </w:pPr>
      <w:r>
        <w:rPr>
          <w:rFonts w:eastAsia="Times New Roman"/>
          <w:szCs w:val="24"/>
        </w:rPr>
        <w:t>11.</w:t>
      </w:r>
      <w:r>
        <w:rPr>
          <w:rFonts w:eastAsia="Times New Roman"/>
          <w:szCs w:val="24"/>
        </w:rPr>
        <w:tab/>
        <w:t>That there is a sufficient record to resolve in a separate recommended decision the Rider No. 18 portion of the Complaint of NRG Power Midwest LP, NRG Energy Center Pittsburgh LLC and Reliant Energy Northeast LLC at Docket No. C-2013-2390562.</w:t>
      </w:r>
    </w:p>
    <w:p w:rsidR="00B537D4" w:rsidRDefault="00B537D4" w:rsidP="00B537D4">
      <w:pPr>
        <w:spacing w:after="0" w:line="240" w:lineRule="auto"/>
        <w:ind w:left="1440" w:right="1440"/>
        <w:rPr>
          <w:rFonts w:eastAsia="Times New Roman"/>
          <w:szCs w:val="24"/>
        </w:rPr>
      </w:pPr>
    </w:p>
    <w:p w:rsidR="00B537D4" w:rsidRDefault="00B537D4" w:rsidP="00B537D4">
      <w:pPr>
        <w:spacing w:after="0" w:line="240" w:lineRule="auto"/>
        <w:ind w:left="1440" w:right="1440"/>
        <w:contextualSpacing/>
        <w:rPr>
          <w:rFonts w:eastAsia="Times New Roman"/>
          <w:szCs w:val="24"/>
        </w:rPr>
      </w:pPr>
      <w:r>
        <w:rPr>
          <w:rFonts w:eastAsia="Times New Roman"/>
          <w:szCs w:val="24"/>
        </w:rPr>
        <w:t>12.</w:t>
      </w:r>
      <w:r>
        <w:rPr>
          <w:rFonts w:eastAsia="Times New Roman"/>
          <w:szCs w:val="24"/>
        </w:rPr>
        <w:tab/>
        <w:t>That the formal complaint of NRG Power Midwest LP, NRG Energy Center Pittsburgh LLC, and Reliant Energy Northeast LLC (collectively NRG or NRG Companies) at No. C</w:t>
      </w:r>
      <w:r>
        <w:rPr>
          <w:rFonts w:eastAsia="Times New Roman"/>
          <w:szCs w:val="24"/>
        </w:rPr>
        <w:noBreakHyphen/>
        <w:t xml:space="preserve">2013-2390562 be resolved in a separate recommended decision based upon the existing record. </w:t>
      </w:r>
    </w:p>
    <w:p w:rsidR="00B537D4" w:rsidRDefault="00B537D4" w:rsidP="00B537D4">
      <w:pPr>
        <w:pStyle w:val="ListParagraph"/>
        <w:spacing w:after="0" w:line="360" w:lineRule="auto"/>
        <w:ind w:left="0" w:right="1440"/>
        <w:rPr>
          <w:rFonts w:eastAsia="Times New Roman"/>
          <w:szCs w:val="24"/>
        </w:rPr>
      </w:pPr>
    </w:p>
    <w:p w:rsidR="00B537D4" w:rsidRDefault="00B537D4" w:rsidP="00B537D4">
      <w:pPr>
        <w:pStyle w:val="ListParagraph"/>
        <w:spacing w:after="0" w:line="360" w:lineRule="auto"/>
        <w:ind w:left="0"/>
        <w:rPr>
          <w:rFonts w:eastAsia="Times New Roman"/>
          <w:szCs w:val="24"/>
        </w:rPr>
      </w:pPr>
      <w:r>
        <w:rPr>
          <w:rFonts w:eastAsia="Times New Roman"/>
          <w:i/>
          <w:szCs w:val="24"/>
        </w:rPr>
        <w:t xml:space="preserve">Pa. Pub. Util. Comm’n, et al. v. Duquesne Light Company, </w:t>
      </w:r>
      <w:r>
        <w:rPr>
          <w:rFonts w:eastAsia="Times New Roman"/>
          <w:szCs w:val="24"/>
        </w:rPr>
        <w:t>Docket No. R-2013-2372129, (Opinion and Order entered April 23, 2014) at p. 33.</w:t>
      </w:r>
    </w:p>
    <w:p w:rsidR="00B537D4" w:rsidRDefault="00B537D4" w:rsidP="00B537D4">
      <w:pPr>
        <w:pStyle w:val="ListParagraph"/>
        <w:spacing w:after="0" w:line="360" w:lineRule="auto"/>
        <w:ind w:left="0"/>
        <w:rPr>
          <w:rFonts w:eastAsia="Times New Roman"/>
          <w:i/>
          <w:szCs w:val="24"/>
        </w:rPr>
      </w:pPr>
    </w:p>
    <w:p w:rsidR="00B537D4" w:rsidRDefault="00B537D4" w:rsidP="00B537D4">
      <w:pPr>
        <w:spacing w:after="0" w:line="360" w:lineRule="auto"/>
        <w:jc w:val="center"/>
        <w:rPr>
          <w:szCs w:val="24"/>
          <w:u w:val="single"/>
        </w:rPr>
      </w:pPr>
      <w:r>
        <w:rPr>
          <w:szCs w:val="24"/>
        </w:rPr>
        <w:t>II.</w:t>
      </w:r>
      <w:r>
        <w:rPr>
          <w:szCs w:val="24"/>
        </w:rPr>
        <w:tab/>
      </w:r>
      <w:r>
        <w:rPr>
          <w:szCs w:val="24"/>
          <w:u w:val="single"/>
        </w:rPr>
        <w:t>CONTESTED ISSUE:  DUQUESNE LIGHT’S RIDER NO. 18</w:t>
      </w:r>
    </w:p>
    <w:p w:rsidR="00B537D4" w:rsidRDefault="00B537D4" w:rsidP="00B537D4">
      <w:pPr>
        <w:spacing w:after="0" w:line="360" w:lineRule="auto"/>
        <w:jc w:val="center"/>
        <w:rPr>
          <w:szCs w:val="24"/>
          <w:u w:val="single"/>
        </w:rPr>
      </w:pPr>
    </w:p>
    <w:p w:rsidR="00B537D4" w:rsidRDefault="00B537D4" w:rsidP="00B537D4">
      <w:pPr>
        <w:spacing w:after="0" w:line="360" w:lineRule="auto"/>
        <w:ind w:firstLine="1440"/>
        <w:rPr>
          <w:szCs w:val="24"/>
        </w:rPr>
      </w:pPr>
      <w:r>
        <w:rPr>
          <w:szCs w:val="24"/>
        </w:rPr>
        <w:t>The core issue in this proceeding is whether Duquesne Light’s Tariff Rider No. 18, which was est</w:t>
      </w:r>
      <w:r w:rsidR="006746FB">
        <w:rPr>
          <w:szCs w:val="24"/>
        </w:rPr>
        <w:t>ablished in 1981, remains compl</w:t>
      </w:r>
      <w:r>
        <w:rPr>
          <w:szCs w:val="24"/>
        </w:rPr>
        <w:t>i</w:t>
      </w:r>
      <w:r w:rsidR="006746FB">
        <w:rPr>
          <w:szCs w:val="24"/>
        </w:rPr>
        <w:t>a</w:t>
      </w:r>
      <w:r>
        <w:rPr>
          <w:szCs w:val="24"/>
        </w:rPr>
        <w:t>nt with statutory law and the current regulatory scheme in Pennsylvania in light of the restructuring that the electric industry has undergone in the Commonwealth.</w:t>
      </w:r>
    </w:p>
    <w:p w:rsidR="00B537D4" w:rsidRDefault="00B537D4" w:rsidP="00B537D4">
      <w:pPr>
        <w:spacing w:after="0" w:line="360" w:lineRule="auto"/>
        <w:rPr>
          <w:szCs w:val="24"/>
          <w:u w:val="single"/>
        </w:rPr>
      </w:pPr>
    </w:p>
    <w:p w:rsidR="00B537D4" w:rsidRDefault="00B537D4" w:rsidP="00B537D4">
      <w:pPr>
        <w:spacing w:after="0" w:line="360" w:lineRule="auto"/>
        <w:rPr>
          <w:szCs w:val="24"/>
          <w:u w:val="single"/>
        </w:rPr>
      </w:pPr>
      <w:r>
        <w:rPr>
          <w:szCs w:val="24"/>
        </w:rPr>
        <w:t>A.</w:t>
      </w:r>
      <w:r>
        <w:rPr>
          <w:szCs w:val="24"/>
        </w:rPr>
        <w:tab/>
      </w:r>
      <w:r>
        <w:rPr>
          <w:szCs w:val="24"/>
          <w:u w:val="single"/>
        </w:rPr>
        <w:t>NRG’s Complaint and Duquesne Light’s Answer</w:t>
      </w:r>
    </w:p>
    <w:p w:rsidR="00B537D4" w:rsidRDefault="00B537D4" w:rsidP="00B537D4">
      <w:pPr>
        <w:spacing w:after="0" w:line="360" w:lineRule="auto"/>
        <w:ind w:left="1440"/>
        <w:contextualSpacing/>
        <w:rPr>
          <w:szCs w:val="24"/>
        </w:rPr>
      </w:pPr>
    </w:p>
    <w:p w:rsidR="00B537D4" w:rsidRDefault="00B537D4" w:rsidP="00B537D4">
      <w:pPr>
        <w:spacing w:after="0" w:line="360" w:lineRule="auto"/>
        <w:rPr>
          <w:szCs w:val="24"/>
        </w:rPr>
      </w:pPr>
      <w:r>
        <w:rPr>
          <w:szCs w:val="24"/>
        </w:rPr>
        <w:tab/>
      </w:r>
      <w:r>
        <w:rPr>
          <w:szCs w:val="24"/>
        </w:rPr>
        <w:tab/>
        <w:t xml:space="preserve">NRG Companies include NRG Power Midwest LP (NRG Midwest), NRG Energy Center Pittsburgh LLC (NRGP), and Reliant Energy Northwest LLC (REN).  NRG Midwest is a wholesale power generation company operating generation facilities in Pennsylvania.  NRG Complaint ¶ 2.  NRGP is a jurisdictional public utility providing steam, hot water and chilled water service to approximately 35 different buildings (approximately 6.3 million square feet) in the City of Pittsburgh.  </w:t>
      </w:r>
      <w:r>
        <w:rPr>
          <w:i/>
          <w:szCs w:val="24"/>
        </w:rPr>
        <w:t xml:space="preserve">Id. </w:t>
      </w:r>
      <w:r>
        <w:rPr>
          <w:szCs w:val="24"/>
        </w:rPr>
        <w:t xml:space="preserve">at 3.  REN is an electric generation supplier (EGS) licensed by the Commission to provide electricity and related services to Pennsylvania customers, including Duquesne Light’s service territory.  </w:t>
      </w:r>
      <w:r>
        <w:rPr>
          <w:i/>
          <w:szCs w:val="24"/>
        </w:rPr>
        <w:t>Id.</w:t>
      </w:r>
      <w:r>
        <w:rPr>
          <w:szCs w:val="24"/>
        </w:rPr>
        <w:t xml:space="preserve"> at 4.</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In their complaint, NRG Companies asserted as follows:</w:t>
      </w:r>
    </w:p>
    <w:p w:rsidR="00B537D4" w:rsidRDefault="00B537D4" w:rsidP="00B537D4">
      <w:pPr>
        <w:spacing w:after="0" w:line="360" w:lineRule="auto"/>
        <w:rPr>
          <w:szCs w:val="24"/>
        </w:rPr>
      </w:pPr>
    </w:p>
    <w:p w:rsidR="00B537D4" w:rsidRDefault="00B537D4" w:rsidP="00B537D4">
      <w:pPr>
        <w:spacing w:after="0" w:line="240" w:lineRule="auto"/>
        <w:ind w:left="1440" w:right="1440"/>
        <w:rPr>
          <w:szCs w:val="24"/>
        </w:rPr>
      </w:pPr>
      <w:r>
        <w:rPr>
          <w:szCs w:val="24"/>
        </w:rPr>
        <w:t>11.</w:t>
      </w:r>
      <w:r>
        <w:rPr>
          <w:szCs w:val="24"/>
        </w:rPr>
        <w:tab/>
        <w:t xml:space="preserve">The NRG Companies collectively oppose Duquesne Light’s proposed rate increase on the grounds that it may be unjust, unreasonable and in violation of the law and will or may produce an excessive return on investment in violation of the Public Utility Code, 66 Pa. C.S. §§ 1301, </w:t>
      </w:r>
      <w:r>
        <w:rPr>
          <w:i/>
          <w:szCs w:val="24"/>
        </w:rPr>
        <w:t>et seq.</w:t>
      </w:r>
      <w:r>
        <w:rPr>
          <w:szCs w:val="24"/>
        </w:rPr>
        <w:t xml:space="preserve">  The NRG Companies are also concerned that the proposed allocation of the revenue increase and proposed rate design may be unlawfully discriminatory, in violation of the Public Utility Code, 66 Pa. C.S. §§ 1301 and 1304, and may otherwise be contrary to sound ratemaking principles and public policy.  The NRG Companies also seek to ensure that the Tariff is not in violation of the Electricity Generation Choice and Competition Act, 66 Pa.C.S. § 2801, </w:t>
      </w:r>
      <w:r>
        <w:rPr>
          <w:i/>
          <w:szCs w:val="24"/>
        </w:rPr>
        <w:t>et seq.</w:t>
      </w:r>
      <w:r>
        <w:rPr>
          <w:szCs w:val="24"/>
        </w:rPr>
        <w:t xml:space="preserve">  Finally, Rider No. 18 of Duquesne Light’s Tariff should be examined to ensure that the terms, conditions and electric energy purchase price continue to be just, reasonable, and non-discriminatory.</w:t>
      </w:r>
    </w:p>
    <w:p w:rsidR="00B537D4" w:rsidRDefault="00B537D4" w:rsidP="00B537D4">
      <w:pPr>
        <w:spacing w:after="0" w:line="360" w:lineRule="auto"/>
        <w:ind w:left="1440" w:right="1080"/>
        <w:rPr>
          <w:szCs w:val="24"/>
        </w:rPr>
      </w:pPr>
    </w:p>
    <w:p w:rsidR="00B537D4" w:rsidRDefault="00B537D4" w:rsidP="00B537D4">
      <w:pPr>
        <w:spacing w:after="0" w:line="360" w:lineRule="auto"/>
        <w:ind w:left="1440" w:right="1080" w:hanging="1440"/>
        <w:rPr>
          <w:szCs w:val="24"/>
        </w:rPr>
      </w:pPr>
      <w:r>
        <w:rPr>
          <w:i/>
          <w:szCs w:val="24"/>
        </w:rPr>
        <w:t xml:space="preserve">Id. </w:t>
      </w:r>
      <w:r>
        <w:rPr>
          <w:szCs w:val="24"/>
        </w:rPr>
        <w:t>at 11.</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 xml:space="preserve">Duquesne Light’s Rider No. 18, in pertinent part, provides that the Company will </w:t>
      </w:r>
    </w:p>
    <w:p w:rsidR="00B537D4" w:rsidRDefault="00B537D4" w:rsidP="00B537D4">
      <w:pPr>
        <w:spacing w:after="0" w:line="360" w:lineRule="auto"/>
        <w:rPr>
          <w:szCs w:val="24"/>
        </w:rPr>
      </w:pPr>
      <w:r>
        <w:rPr>
          <w:szCs w:val="24"/>
        </w:rPr>
        <w:t>purchase electric energy from a qualifying facility (QF).</w:t>
      </w:r>
      <w:r>
        <w:rPr>
          <w:szCs w:val="24"/>
          <w:vertAlign w:val="superscript"/>
        </w:rPr>
        <w:footnoteReference w:id="4"/>
      </w:r>
      <w:r>
        <w:rPr>
          <w:szCs w:val="24"/>
          <w:vertAlign w:val="superscript"/>
        </w:rPr>
        <w:t xml:space="preserve">, </w:t>
      </w:r>
      <w:r>
        <w:rPr>
          <w:szCs w:val="24"/>
          <w:vertAlign w:val="superscript"/>
        </w:rPr>
        <w:footnoteReference w:id="5"/>
      </w:r>
      <w:r>
        <w:rPr>
          <w:szCs w:val="24"/>
        </w:rPr>
        <w:t xml:space="preserve">  “The electric energy will be purchased, as available, from such facilities at the rate of six (6) cents per kilowatt-hour, or at a rate based on the Company’s avoided costs</w:t>
      </w:r>
      <w:r>
        <w:rPr>
          <w:szCs w:val="24"/>
          <w:vertAlign w:val="superscript"/>
        </w:rPr>
        <w:footnoteReference w:id="6"/>
      </w:r>
      <w:r>
        <w:rPr>
          <w:szCs w:val="24"/>
        </w:rPr>
        <w:t xml:space="preserve"> when such costs exceed six (6) cents per kilowatt-hour.”  Rider No. 18. </w:t>
      </w:r>
    </w:p>
    <w:p w:rsidR="00B537D4" w:rsidRDefault="00B537D4" w:rsidP="00B537D4">
      <w:pPr>
        <w:spacing w:after="0" w:line="360" w:lineRule="auto"/>
        <w:rPr>
          <w:szCs w:val="24"/>
        </w:rPr>
      </w:pPr>
    </w:p>
    <w:p w:rsidR="00B537D4" w:rsidRDefault="00B537D4" w:rsidP="00B537D4">
      <w:pPr>
        <w:spacing w:after="0" w:line="480" w:lineRule="auto"/>
        <w:ind w:left="1440" w:right="1080"/>
        <w:rPr>
          <w:szCs w:val="24"/>
        </w:rPr>
      </w:pPr>
      <w:r>
        <w:rPr>
          <w:szCs w:val="24"/>
        </w:rPr>
        <w:t>NRG Companies further asserted the following in their complaint.</w:t>
      </w:r>
    </w:p>
    <w:p w:rsidR="00B537D4" w:rsidRDefault="00B537D4" w:rsidP="00B537D4">
      <w:pPr>
        <w:spacing w:after="0" w:line="240" w:lineRule="auto"/>
        <w:ind w:left="1440" w:right="1440"/>
        <w:rPr>
          <w:szCs w:val="24"/>
        </w:rPr>
      </w:pPr>
      <w:r>
        <w:rPr>
          <w:szCs w:val="24"/>
        </w:rPr>
        <w:t>13.</w:t>
      </w:r>
      <w:r>
        <w:rPr>
          <w:szCs w:val="24"/>
        </w:rPr>
        <w:tab/>
        <w:t>NRG Midwest, through various transactions, is a party to a certain Revised QF Agency Agreement, as amended, with Duquesne Light under which NRG Midwest is the ultimate offtaker of the net electric output of two small hydroelectric power generators located in Pennsylvania.</w:t>
      </w:r>
      <w:r>
        <w:rPr>
          <w:szCs w:val="24"/>
          <w:vertAlign w:val="superscript"/>
        </w:rPr>
        <w:footnoteReference w:id="7"/>
      </w:r>
    </w:p>
    <w:p w:rsidR="00B537D4" w:rsidRDefault="00B537D4" w:rsidP="00B537D4">
      <w:pPr>
        <w:spacing w:after="0" w:line="240" w:lineRule="auto"/>
        <w:ind w:left="1440" w:right="1080"/>
        <w:rPr>
          <w:szCs w:val="24"/>
        </w:rPr>
      </w:pPr>
    </w:p>
    <w:p w:rsidR="00B537D4" w:rsidRDefault="00B537D4" w:rsidP="00B537D4">
      <w:pPr>
        <w:spacing w:after="0" w:line="240" w:lineRule="auto"/>
        <w:ind w:left="1440" w:right="1440"/>
        <w:rPr>
          <w:szCs w:val="24"/>
        </w:rPr>
      </w:pPr>
      <w:r>
        <w:rPr>
          <w:szCs w:val="24"/>
        </w:rPr>
        <w:t>14.</w:t>
      </w:r>
      <w:r>
        <w:rPr>
          <w:szCs w:val="24"/>
        </w:rPr>
        <w:tab/>
        <w:t>Per the power purchase agreements currently in place between Duquesne Light and the small hydroelectric power generators (“the PPAs”), the electric energy is purchased subject to the terms and conditions of Duquesne Light’s Tariff . . . .   The price of the power so purchased by NRG Midwest is governed, under both the PPAs and the amended Revised QF Agreement, by Contract Rider No. 18 to Duquesne Light’s Tariff.</w:t>
      </w:r>
    </w:p>
    <w:p w:rsidR="00B537D4" w:rsidRDefault="00B537D4" w:rsidP="00B537D4">
      <w:pPr>
        <w:spacing w:after="0" w:line="240" w:lineRule="auto"/>
        <w:ind w:left="1440" w:right="1440"/>
        <w:rPr>
          <w:szCs w:val="24"/>
        </w:rPr>
      </w:pPr>
      <w:r>
        <w:rPr>
          <w:szCs w:val="24"/>
        </w:rPr>
        <w:t>15.</w:t>
      </w:r>
      <w:r>
        <w:rPr>
          <w:szCs w:val="24"/>
        </w:rPr>
        <w:tab/>
        <w:t>Because NRG Midwest’s relationship with Duquesne Light through both the PPAs and the amended Revised QF Agency Agreement is specifically governed by the provisions of Duquesne Light’s approved Tariff, and because current Tariff Rider No. 18 may present an indirect form of rate discrimination benefitting certain customer-generators, NRG Midwest’s interest in the present matter is direct, immediate and substantial.</w:t>
      </w:r>
    </w:p>
    <w:p w:rsidR="00B537D4" w:rsidRDefault="00B537D4" w:rsidP="00B537D4">
      <w:pPr>
        <w:spacing w:after="0" w:line="360" w:lineRule="auto"/>
        <w:ind w:left="1440" w:right="1080" w:hanging="1440"/>
        <w:rPr>
          <w:szCs w:val="24"/>
        </w:rPr>
      </w:pPr>
    </w:p>
    <w:p w:rsidR="00B537D4" w:rsidRDefault="00B537D4" w:rsidP="00B537D4">
      <w:pPr>
        <w:spacing w:after="0" w:line="360" w:lineRule="auto"/>
        <w:rPr>
          <w:szCs w:val="24"/>
        </w:rPr>
      </w:pPr>
      <w:r>
        <w:rPr>
          <w:szCs w:val="24"/>
        </w:rPr>
        <w:t>NRG Complaint ¶¶ 13-15.</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 xml:space="preserve">In answer to Paragraph 11 of NRG’s complaint, Duquesne Light specifically denied the material allegations.  Duquesne Light admitted NRG’s assertions in Paragraph 13 of the complaint and admitted, in part, the Agency Agreement asserted in NRG’s Paragraph 14.  Duquesne Light further maintained that the Agency Agreement was subject to Duquesne Light’s FERC-approved (Federal Energy Regulatory Commission) tariff.  As to Paragraph 15, Duquesne Light stated, in part, the averments were conclusions of law to which no responsive pleading was required.   Duquesne Light’s Answer ¶¶ 11, 13-15.  As relief, the Company requested the following: that NRG’s complaint be denied; that NRG not be permitted to raise any issue regarding Rider No. 18 in the base rate proceeding; and that NRG Midwest not be granted party status or otherwise be permitted to participate in the base rate proceeding.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B.</w:t>
      </w:r>
      <w:r>
        <w:rPr>
          <w:szCs w:val="24"/>
        </w:rPr>
        <w:tab/>
      </w:r>
      <w:r>
        <w:rPr>
          <w:szCs w:val="24"/>
          <w:u w:val="single"/>
        </w:rPr>
        <w:t>Rider No. 18 Dispute</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 xml:space="preserve">Subsequent to the hearings, NRG retreated from its concerns as to the proposed allocation of the revenue increase and proposed rate design.  Instead NRG reserved the right to challenge the Settling Parties’ </w:t>
      </w:r>
      <w:r>
        <w:rPr>
          <w:rFonts w:eastAsia="Times New Roman"/>
          <w:color w:val="000000" w:themeColor="text1"/>
          <w:szCs w:val="24"/>
        </w:rPr>
        <w:t>(</w:t>
      </w:r>
      <w:r>
        <w:rPr>
          <w:rFonts w:eastAsia="Times New Roman"/>
          <w:szCs w:val="24"/>
        </w:rPr>
        <w:t>Duquesne Light, I&amp;E, OCA, OSBA, CAUSE-PA, DII, PennFuture, and U. S. Steel)</w:t>
      </w:r>
      <w:r>
        <w:rPr>
          <w:rFonts w:eastAsia="Times New Roman"/>
          <w:color w:val="000000" w:themeColor="text1"/>
          <w:szCs w:val="24"/>
        </w:rPr>
        <w:t xml:space="preserve"> </w:t>
      </w:r>
      <w:r>
        <w:rPr>
          <w:szCs w:val="24"/>
        </w:rPr>
        <w:t>Settlement once it was filed and focused on Rider No. 18 issues.  NRG argued as follows:</w:t>
      </w:r>
    </w:p>
    <w:p w:rsidR="00B537D4" w:rsidRDefault="00B537D4" w:rsidP="00B537D4">
      <w:pPr>
        <w:spacing w:after="0" w:line="360" w:lineRule="auto"/>
        <w:rPr>
          <w:szCs w:val="24"/>
        </w:rPr>
      </w:pPr>
    </w:p>
    <w:p w:rsidR="00B537D4" w:rsidRDefault="00B537D4" w:rsidP="00B537D4">
      <w:pPr>
        <w:spacing w:after="0" w:line="240" w:lineRule="auto"/>
        <w:ind w:left="1440" w:right="1440"/>
        <w:rPr>
          <w:szCs w:val="24"/>
        </w:rPr>
      </w:pPr>
      <w:r>
        <w:rPr>
          <w:szCs w:val="24"/>
        </w:rPr>
        <w:t>Upon consideration of the evidence elicited at the hearing in this proceeding, the NRG Companies have decided not to contest the various non-unanimous settlement issues identified in the common brief outline circulated by Duquesne Light to the parties.  . . .  Specifically the NRG Companies reserve the right to argue that terms regarding Rider No. 18 should be included in any approval by the Commission of a settlement.</w:t>
      </w:r>
    </w:p>
    <w:p w:rsidR="00B537D4" w:rsidRDefault="00B537D4" w:rsidP="00B537D4">
      <w:pPr>
        <w:spacing w:after="0" w:line="360" w:lineRule="auto"/>
        <w:ind w:left="1440" w:right="1080"/>
        <w:rPr>
          <w:szCs w:val="24"/>
        </w:rPr>
      </w:pPr>
    </w:p>
    <w:p w:rsidR="00B537D4" w:rsidRDefault="00B537D4" w:rsidP="00B537D4">
      <w:pPr>
        <w:spacing w:after="0" w:line="240" w:lineRule="auto"/>
        <w:ind w:right="1080"/>
        <w:rPr>
          <w:szCs w:val="24"/>
        </w:rPr>
      </w:pPr>
      <w:r>
        <w:rPr>
          <w:szCs w:val="24"/>
        </w:rPr>
        <w:t>NRG Main Brief, pp. 7-8.</w:t>
      </w:r>
    </w:p>
    <w:p w:rsidR="00B537D4" w:rsidRDefault="00B537D4" w:rsidP="00B537D4">
      <w:pPr>
        <w:spacing w:after="0" w:line="360" w:lineRule="auto"/>
        <w:ind w:right="1080"/>
        <w:rPr>
          <w:szCs w:val="24"/>
        </w:rPr>
      </w:pPr>
    </w:p>
    <w:p w:rsidR="00B537D4" w:rsidRDefault="00B537D4" w:rsidP="00B537D4">
      <w:pPr>
        <w:spacing w:after="0" w:line="360" w:lineRule="auto"/>
        <w:ind w:right="1080"/>
        <w:rPr>
          <w:szCs w:val="24"/>
        </w:rPr>
      </w:pPr>
      <w:r>
        <w:rPr>
          <w:szCs w:val="24"/>
        </w:rPr>
        <w:tab/>
      </w:r>
      <w:r>
        <w:rPr>
          <w:szCs w:val="24"/>
        </w:rPr>
        <w:tab/>
        <w:t xml:space="preserve">Concerning Rider No. 18, NRG raises two questions:  </w:t>
      </w:r>
    </w:p>
    <w:p w:rsidR="00B537D4" w:rsidRDefault="00B537D4" w:rsidP="00B537D4">
      <w:pPr>
        <w:spacing w:after="0" w:line="240" w:lineRule="auto"/>
        <w:ind w:left="1440" w:right="1440"/>
        <w:rPr>
          <w:szCs w:val="24"/>
        </w:rPr>
      </w:pPr>
    </w:p>
    <w:p w:rsidR="00B537D4" w:rsidRDefault="00B537D4" w:rsidP="00B537D4">
      <w:pPr>
        <w:spacing w:after="0" w:line="240" w:lineRule="auto"/>
        <w:ind w:left="1440" w:right="1440"/>
        <w:rPr>
          <w:szCs w:val="24"/>
        </w:rPr>
      </w:pPr>
      <w:r>
        <w:rPr>
          <w:szCs w:val="24"/>
        </w:rPr>
        <w:t>Should the Commission permit Duquesne Light’s Rider No. 18 to remain in its tariff, with the force and effect of law, where the provisions and intent of Rider No. 18 are no longer consistent with the Pennsylvania regulatory scheme following the enactment of the Electricity Generation Customer Choice and Competition Act and the Alternative Energy Portfolio Standards Act?</w:t>
      </w:r>
    </w:p>
    <w:p w:rsidR="00B537D4" w:rsidRDefault="00B537D4" w:rsidP="00B537D4">
      <w:pPr>
        <w:spacing w:after="0" w:line="240" w:lineRule="auto"/>
        <w:ind w:left="1440" w:right="1080"/>
        <w:rPr>
          <w:szCs w:val="24"/>
        </w:rPr>
      </w:pPr>
    </w:p>
    <w:p w:rsidR="00B537D4" w:rsidRDefault="00B537D4" w:rsidP="00B537D4">
      <w:pPr>
        <w:spacing w:after="0" w:line="240" w:lineRule="auto"/>
        <w:ind w:left="1440" w:right="1440"/>
        <w:rPr>
          <w:szCs w:val="24"/>
        </w:rPr>
      </w:pPr>
      <w:r>
        <w:rPr>
          <w:szCs w:val="24"/>
        </w:rPr>
        <w:t>Does the energy purchase price contained in Duquesne Light’s Rider No. 18 reflect a just and reasonable price such that it should continue to remain in Duquesne Light’s tariff with the force and effect of law?</w:t>
      </w:r>
    </w:p>
    <w:p w:rsidR="00B537D4" w:rsidRDefault="00B537D4" w:rsidP="00B537D4">
      <w:pPr>
        <w:spacing w:after="0" w:line="360" w:lineRule="auto"/>
        <w:ind w:left="1440" w:right="1080"/>
        <w:rPr>
          <w:szCs w:val="24"/>
        </w:rPr>
      </w:pPr>
    </w:p>
    <w:p w:rsidR="00B537D4" w:rsidRDefault="00B537D4" w:rsidP="00B537D4">
      <w:pPr>
        <w:spacing w:after="0" w:line="360" w:lineRule="auto"/>
        <w:rPr>
          <w:szCs w:val="24"/>
        </w:rPr>
      </w:pPr>
      <w:r>
        <w:rPr>
          <w:szCs w:val="24"/>
        </w:rPr>
        <w:t>NRG Main Brief, pp. 5-6.  NRG submits that both questions should be answered in the negative.  As relief, NRG submits Rider No. 18 should be removed from Duquesne Light’s Tariff, or in the alternative, the six cents per kilowatt-hour price should be revised to a “price that approximates the average day-ahead locational marginal pricing in the Duquesne Zone.”  NRG Reply Brief, p. 14.</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Duquesne Light and Beaver Falls Authority briefed the Rider No. 18 issues and each, in part, argued that 1) the NRG Companies had failed to join an indispensable party, i.e., Beaver Valley Power Company; 2) the Commission lacked jurisdiction to grant the relief requested by NRG because the rate under the Rider No. 18 was “locked-in” as of 1987; 3) Rider No. 18 deals with a wholesale power agreement under PURPA that is within FERC’s exclusive jurisdiction; and 4) the NRG Companies had failed to carry its burden of proving that Rider No. 18 was unjust, unreasonable and discriminatory.</w:t>
      </w:r>
    </w:p>
    <w:p w:rsidR="00B537D4" w:rsidRDefault="00B537D4" w:rsidP="00B537D4">
      <w:pPr>
        <w:spacing w:after="0"/>
        <w:rPr>
          <w:szCs w:val="24"/>
        </w:rPr>
      </w:pPr>
    </w:p>
    <w:p w:rsidR="00B537D4" w:rsidRDefault="00B537D4" w:rsidP="00B537D4">
      <w:pPr>
        <w:spacing w:after="0" w:line="360" w:lineRule="auto"/>
        <w:jc w:val="center"/>
        <w:rPr>
          <w:szCs w:val="24"/>
        </w:rPr>
      </w:pPr>
      <w:r>
        <w:rPr>
          <w:szCs w:val="24"/>
        </w:rPr>
        <w:t>III.</w:t>
      </w:r>
      <w:r>
        <w:rPr>
          <w:szCs w:val="24"/>
        </w:rPr>
        <w:tab/>
      </w:r>
      <w:r>
        <w:rPr>
          <w:szCs w:val="24"/>
          <w:u w:val="single"/>
        </w:rPr>
        <w:t>FINDINGS OF FACT</w:t>
      </w:r>
    </w:p>
    <w:p w:rsidR="00B537D4" w:rsidRDefault="00B537D4" w:rsidP="00B537D4">
      <w:pPr>
        <w:spacing w:after="0" w:line="360" w:lineRule="auto"/>
        <w:ind w:right="1080"/>
        <w:rPr>
          <w:szCs w:val="24"/>
          <w:u w:val="single"/>
        </w:rPr>
      </w:pPr>
    </w:p>
    <w:p w:rsidR="00B537D4" w:rsidRDefault="00B537D4" w:rsidP="00B537D4">
      <w:pPr>
        <w:spacing w:after="0" w:line="360" w:lineRule="auto"/>
        <w:ind w:right="1080"/>
        <w:rPr>
          <w:szCs w:val="24"/>
          <w:u w:val="single"/>
        </w:rPr>
      </w:pPr>
      <w:r>
        <w:rPr>
          <w:szCs w:val="24"/>
          <w:u w:val="single"/>
        </w:rPr>
        <w:t>Base Rate Proceeding</w:t>
      </w:r>
    </w:p>
    <w:p w:rsidR="00B537D4" w:rsidRDefault="00B537D4" w:rsidP="00B537D4">
      <w:pPr>
        <w:spacing w:after="0" w:line="360" w:lineRule="auto"/>
        <w:ind w:right="1080"/>
        <w:rPr>
          <w:szCs w:val="24"/>
          <w:u w:val="single"/>
        </w:rPr>
      </w:pPr>
    </w:p>
    <w:p w:rsidR="00B537D4" w:rsidRDefault="00B537D4" w:rsidP="00B537D4">
      <w:pPr>
        <w:spacing w:after="0" w:line="360" w:lineRule="auto"/>
        <w:rPr>
          <w:szCs w:val="24"/>
        </w:rPr>
      </w:pPr>
      <w:r>
        <w:rPr>
          <w:szCs w:val="24"/>
        </w:rPr>
        <w:tab/>
      </w:r>
      <w:r>
        <w:rPr>
          <w:szCs w:val="24"/>
        </w:rPr>
        <w:tab/>
        <w:t>1.</w:t>
      </w:r>
      <w:r>
        <w:rPr>
          <w:szCs w:val="24"/>
        </w:rPr>
        <w:tab/>
        <w:t xml:space="preserve">Duquesne Light Company (Duquesne Light, DLC, Company or Respondent) is a jurisdictional Pennsylvania public utility providing electric utility service to approximately 588,000 customers in the Greater Pittsburgh region of Allegheny and Beaver Counties pursuant to certificates of public convenience from </w:t>
      </w:r>
      <w:r w:rsidR="00B46A86">
        <w:rPr>
          <w:szCs w:val="24"/>
        </w:rPr>
        <w:t>the Commission at Docket Nos. A</w:t>
      </w:r>
      <w:r w:rsidR="00B46A86">
        <w:rPr>
          <w:szCs w:val="24"/>
        </w:rPr>
        <w:noBreakHyphen/>
      </w:r>
      <w:r>
        <w:rPr>
          <w:szCs w:val="24"/>
        </w:rPr>
        <w:t xml:space="preserve">110150, et seq.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2.</w:t>
      </w:r>
      <w:r>
        <w:rPr>
          <w:szCs w:val="24"/>
        </w:rPr>
        <w:tab/>
        <w:t>On August 2, 2013, Duquesne Light filed Supplement No. 81 to become effective on October 1, 2013, together with supporting data, written testimony, and exhibits at Docket No. R-2013-2372129.</w:t>
      </w:r>
    </w:p>
    <w:p w:rsidR="00B537D4" w:rsidRDefault="00B537D4" w:rsidP="00B537D4">
      <w:pPr>
        <w:spacing w:after="0" w:line="360" w:lineRule="auto"/>
        <w:ind w:right="1080"/>
        <w:rPr>
          <w:szCs w:val="24"/>
        </w:rPr>
      </w:pPr>
    </w:p>
    <w:p w:rsidR="00B537D4" w:rsidRDefault="00B537D4" w:rsidP="00B537D4">
      <w:pPr>
        <w:spacing w:after="0" w:line="360" w:lineRule="auto"/>
        <w:rPr>
          <w:szCs w:val="24"/>
        </w:rPr>
      </w:pPr>
      <w:r>
        <w:rPr>
          <w:szCs w:val="24"/>
        </w:rPr>
        <w:tab/>
      </w:r>
      <w:r>
        <w:rPr>
          <w:szCs w:val="24"/>
        </w:rPr>
        <w:tab/>
        <w:t>3.</w:t>
      </w:r>
      <w:r>
        <w:rPr>
          <w:szCs w:val="24"/>
        </w:rPr>
        <w:tab/>
        <w:t xml:space="preserve">Duquesne Light, in Supplement No. 81, proposed a general increase in distribution rates designed to produce approximately $76.3 million in additional annual base rate operating revenues based upon data for a Fully Projected Future Test Year (FPFTY) ending April 30, 2015.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4.</w:t>
      </w:r>
      <w:r>
        <w:rPr>
          <w:szCs w:val="24"/>
        </w:rPr>
        <w:tab/>
        <w:t>On September 26, 2013, the Commission entered an Order suspending the proposed tariff supplement until May 1, 2014, unless otherwise directed by the Commission and ordered an investigation to determine the lawfulness, justness, and reasonableness of the rates, rules and regulations contained in the filing.  The Commission further ordered that consideration should be given to the reasonableness of Duquesne Light’s existing rates, rules, and regulations.</w:t>
      </w:r>
    </w:p>
    <w:p w:rsidR="00B537D4" w:rsidRDefault="00B537D4" w:rsidP="00B537D4">
      <w:pPr>
        <w:spacing w:after="0" w:line="360" w:lineRule="auto"/>
        <w:rPr>
          <w:szCs w:val="24"/>
        </w:rPr>
      </w:pPr>
      <w:r>
        <w:rPr>
          <w:szCs w:val="24"/>
        </w:rPr>
        <w:t xml:space="preserve"> </w:t>
      </w:r>
    </w:p>
    <w:p w:rsidR="00B537D4" w:rsidRDefault="00B537D4" w:rsidP="00B537D4">
      <w:pPr>
        <w:spacing w:after="0" w:line="360" w:lineRule="auto"/>
        <w:ind w:firstLine="1440"/>
        <w:rPr>
          <w:szCs w:val="24"/>
        </w:rPr>
      </w:pPr>
      <w:r>
        <w:rPr>
          <w:szCs w:val="24"/>
        </w:rPr>
        <w:t>5.</w:t>
      </w:r>
      <w:r>
        <w:rPr>
          <w:szCs w:val="24"/>
        </w:rPr>
        <w:tab/>
        <w:t xml:space="preserve">On September 30, 2013, Duquesne Light filed Supplement No. 83 to the Company’s Tariff Electric – Pa. P.U.C. No. 24 to become effective September 30, 2013.  The filing was made pursuant to the Commission’s September 26, 2013 Order suspending Supplement No. 81 by operation of law until May 1, 2014, unless permitted by Commission Order to become effective at an earlier date. </w:t>
      </w:r>
    </w:p>
    <w:p w:rsidR="00B537D4" w:rsidRDefault="00B537D4" w:rsidP="00B537D4">
      <w:pPr>
        <w:spacing w:after="0" w:line="360" w:lineRule="auto"/>
        <w:ind w:firstLine="1440"/>
        <w:rPr>
          <w:szCs w:val="24"/>
        </w:rPr>
      </w:pPr>
    </w:p>
    <w:p w:rsidR="00B537D4" w:rsidRDefault="00B537D4" w:rsidP="00B537D4">
      <w:pPr>
        <w:spacing w:after="0" w:line="360" w:lineRule="auto"/>
        <w:rPr>
          <w:szCs w:val="24"/>
        </w:rPr>
      </w:pPr>
      <w:r>
        <w:rPr>
          <w:szCs w:val="24"/>
        </w:rPr>
        <w:tab/>
      </w:r>
      <w:r>
        <w:rPr>
          <w:szCs w:val="24"/>
        </w:rPr>
        <w:tab/>
        <w:t>6.</w:t>
      </w:r>
      <w:r>
        <w:rPr>
          <w:szCs w:val="24"/>
        </w:rPr>
        <w:tab/>
        <w:t>During the course of the base rate case a number of parties submitted filings against the general rate increase.</w:t>
      </w:r>
    </w:p>
    <w:p w:rsidR="00B537D4" w:rsidRDefault="00B537D4" w:rsidP="00B537D4">
      <w:pPr>
        <w:spacing w:after="0" w:line="360" w:lineRule="auto"/>
        <w:ind w:firstLine="1440"/>
        <w:rPr>
          <w:szCs w:val="24"/>
        </w:rPr>
      </w:pPr>
    </w:p>
    <w:p w:rsidR="00B537D4" w:rsidRDefault="00B537D4" w:rsidP="00B537D4">
      <w:pPr>
        <w:spacing w:after="0" w:line="360" w:lineRule="auto"/>
        <w:rPr>
          <w:rFonts w:eastAsia="Times New Roman"/>
          <w:color w:val="000000" w:themeColor="text1"/>
          <w:szCs w:val="24"/>
        </w:rPr>
      </w:pPr>
      <w:r>
        <w:rPr>
          <w:szCs w:val="24"/>
        </w:rPr>
        <w:tab/>
      </w:r>
      <w:r>
        <w:rPr>
          <w:szCs w:val="24"/>
        </w:rPr>
        <w:tab/>
        <w:t>7.</w:t>
      </w:r>
      <w:r>
        <w:rPr>
          <w:szCs w:val="24"/>
        </w:rPr>
        <w:tab/>
        <w:t xml:space="preserve">On October 28, 2013, at Docket No. C-2013-2390562, </w:t>
      </w:r>
      <w:r>
        <w:rPr>
          <w:rFonts w:eastAsia="Times New Roman"/>
          <w:color w:val="000000" w:themeColor="text1"/>
          <w:szCs w:val="24"/>
        </w:rPr>
        <w:t xml:space="preserve">NRG Power Midwest LP (NRG Midwest), NRG Energy Center Pittsburgh LLC (NRGP), and Reliant Energy Northeast LLC (REN) (collectively NRG or NRG Companies) filed a formal complaint against Duquesne Light’s rate filing at Docket No. </w:t>
      </w:r>
      <w:r>
        <w:rPr>
          <w:szCs w:val="24"/>
        </w:rPr>
        <w:t>R-2013-2372129</w:t>
      </w:r>
      <w:r>
        <w:rPr>
          <w:rFonts w:eastAsia="Times New Roman"/>
          <w:color w:val="000000" w:themeColor="text1"/>
          <w:szCs w:val="24"/>
        </w:rPr>
        <w:t xml:space="preserve">.   </w:t>
      </w:r>
    </w:p>
    <w:p w:rsidR="00B537D4" w:rsidRDefault="00B537D4" w:rsidP="00B537D4">
      <w:pPr>
        <w:spacing w:after="0" w:line="360" w:lineRule="auto"/>
        <w:rPr>
          <w:rFonts w:eastAsia="Times New Roman"/>
          <w:color w:val="000000" w:themeColor="text1"/>
          <w:szCs w:val="24"/>
        </w:rPr>
      </w:pPr>
    </w:p>
    <w:p w:rsidR="00B537D4" w:rsidRDefault="00B537D4" w:rsidP="00B537D4">
      <w:pPr>
        <w:spacing w:after="0" w:line="360" w:lineRule="auto"/>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8.</w:t>
      </w:r>
      <w:r>
        <w:rPr>
          <w:rFonts w:eastAsia="Times New Roman"/>
          <w:color w:val="000000" w:themeColor="text1"/>
          <w:szCs w:val="24"/>
        </w:rPr>
        <w:tab/>
        <w:t>Complainant NRG Midwest is a wholesale generation company engaged in the ownership, development, construction and operation of power generation facilities.  NRG Midwest owns and operates electric generation facilities in Pennsylvania, representing approximately 1154 MW of capacity.</w:t>
      </w:r>
    </w:p>
    <w:p w:rsidR="00B537D4" w:rsidRDefault="00B537D4" w:rsidP="00B537D4">
      <w:pPr>
        <w:spacing w:after="0" w:line="360" w:lineRule="auto"/>
        <w:rPr>
          <w:rFonts w:eastAsia="Times New Roman"/>
          <w:color w:val="000000" w:themeColor="text1"/>
          <w:szCs w:val="24"/>
        </w:rPr>
      </w:pPr>
    </w:p>
    <w:p w:rsidR="00B537D4" w:rsidRDefault="00B537D4" w:rsidP="00B537D4">
      <w:pPr>
        <w:spacing w:after="0" w:line="360" w:lineRule="auto"/>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9.</w:t>
      </w:r>
      <w:r>
        <w:rPr>
          <w:rFonts w:eastAsia="Times New Roman"/>
          <w:color w:val="000000" w:themeColor="text1"/>
          <w:szCs w:val="24"/>
        </w:rPr>
        <w:tab/>
        <w:t>Complainant NRGP is a certificated Pennsylvania public utility providing steam, hot water and chilled water service to the public in the 21</w:t>
      </w:r>
      <w:r>
        <w:rPr>
          <w:rFonts w:eastAsia="Times New Roman"/>
          <w:color w:val="000000" w:themeColor="text1"/>
          <w:szCs w:val="24"/>
          <w:vertAlign w:val="superscript"/>
        </w:rPr>
        <w:t>st</w:t>
      </w:r>
      <w:r>
        <w:rPr>
          <w:rFonts w:eastAsia="Times New Roman"/>
          <w:color w:val="000000" w:themeColor="text1"/>
          <w:szCs w:val="24"/>
        </w:rPr>
        <w:t xml:space="preserve"> and 22</w:t>
      </w:r>
      <w:r>
        <w:rPr>
          <w:rFonts w:eastAsia="Times New Roman"/>
          <w:color w:val="000000" w:themeColor="text1"/>
          <w:szCs w:val="24"/>
          <w:vertAlign w:val="superscript"/>
        </w:rPr>
        <w:t>nd</w:t>
      </w:r>
      <w:r>
        <w:rPr>
          <w:rFonts w:eastAsia="Times New Roman"/>
          <w:color w:val="000000" w:themeColor="text1"/>
          <w:szCs w:val="24"/>
        </w:rPr>
        <w:t xml:space="preserve"> wards in the City of Pittsburgh pursuant to certificates of public convenience from the Commission at Dockets Nos. A-130001, et seq.  NRGP has approximately 20 customers and services a total of approximately 6.3 million square feet of building space in approximately 35 different buildings.</w:t>
      </w:r>
    </w:p>
    <w:p w:rsidR="00B537D4" w:rsidRDefault="00B537D4" w:rsidP="00B537D4">
      <w:pPr>
        <w:spacing w:after="0" w:line="360" w:lineRule="auto"/>
        <w:rPr>
          <w:rFonts w:eastAsia="Times New Roman"/>
          <w:color w:val="000000" w:themeColor="text1"/>
          <w:szCs w:val="24"/>
        </w:rPr>
      </w:pPr>
    </w:p>
    <w:p w:rsidR="00B537D4" w:rsidRDefault="00B537D4" w:rsidP="00B537D4">
      <w:pPr>
        <w:spacing w:after="0" w:line="360" w:lineRule="auto"/>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10.</w:t>
      </w:r>
      <w:r>
        <w:rPr>
          <w:rFonts w:eastAsia="Times New Roman"/>
          <w:color w:val="000000" w:themeColor="text1"/>
          <w:szCs w:val="24"/>
        </w:rPr>
        <w:tab/>
        <w:t>Complainant REN is an electric generation supplier (EGS) licensed by the Commission at Docket No. A-2010-2192350 to provide electricity and related services to residential, small commercial, large commercial, industrial and governmental customers throughout Pennsylvania, including the service territory of Duquesne Light.</w:t>
      </w:r>
    </w:p>
    <w:p w:rsidR="00B537D4" w:rsidRDefault="00B537D4" w:rsidP="00B537D4">
      <w:pPr>
        <w:spacing w:after="0" w:line="360" w:lineRule="auto"/>
        <w:rPr>
          <w:rFonts w:eastAsia="Times New Roman"/>
          <w:color w:val="000000" w:themeColor="text1"/>
          <w:szCs w:val="24"/>
        </w:rPr>
      </w:pPr>
    </w:p>
    <w:p w:rsidR="00B537D4" w:rsidRDefault="00B537D4" w:rsidP="00B537D4">
      <w:pPr>
        <w:spacing w:after="0" w:line="360" w:lineRule="auto"/>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11.</w:t>
      </w:r>
      <w:r>
        <w:rPr>
          <w:rFonts w:eastAsia="Times New Roman"/>
          <w:color w:val="000000" w:themeColor="text1"/>
          <w:szCs w:val="24"/>
        </w:rPr>
        <w:tab/>
        <w:t xml:space="preserve">In their complaint, the NRG Companies averred, “Finally Rider No. 18 of Duquesne Light’s Tariff should be examined to ensure that the terms, conditions and electric energy purchase price continue to be just, reasonable and non-discriminatory.”  Complaint ¶ 11, at page 5. </w:t>
      </w:r>
    </w:p>
    <w:p w:rsidR="00B537D4" w:rsidRDefault="00B537D4" w:rsidP="00B537D4">
      <w:pPr>
        <w:spacing w:after="0" w:line="360" w:lineRule="auto"/>
        <w:rPr>
          <w:rFonts w:eastAsia="Times New Roman"/>
          <w:color w:val="000000" w:themeColor="text1"/>
          <w:szCs w:val="24"/>
        </w:rPr>
      </w:pPr>
    </w:p>
    <w:p w:rsidR="00B537D4" w:rsidRDefault="00B537D4" w:rsidP="00B537D4">
      <w:pPr>
        <w:spacing w:after="0" w:line="360" w:lineRule="auto"/>
        <w:rPr>
          <w:rFonts w:eastAsia="Times New Roman"/>
          <w:color w:val="000000" w:themeColor="text1"/>
          <w:szCs w:val="24"/>
        </w:rPr>
      </w:pPr>
      <w:r>
        <w:rPr>
          <w:rFonts w:eastAsia="Times New Roman"/>
          <w:color w:val="000000" w:themeColor="text1"/>
          <w:szCs w:val="24"/>
        </w:rPr>
        <w:tab/>
      </w:r>
      <w:r>
        <w:rPr>
          <w:rFonts w:eastAsia="Times New Roman"/>
          <w:color w:val="000000" w:themeColor="text1"/>
          <w:szCs w:val="24"/>
        </w:rPr>
        <w:tab/>
        <w:t>12.</w:t>
      </w:r>
      <w:r>
        <w:rPr>
          <w:rFonts w:eastAsia="Times New Roman"/>
          <w:color w:val="000000" w:themeColor="text1"/>
          <w:szCs w:val="24"/>
        </w:rPr>
        <w:tab/>
        <w:t>On January 16, 2014, the Settling Parties (</w:t>
      </w:r>
      <w:r>
        <w:rPr>
          <w:rFonts w:eastAsia="Times New Roman"/>
          <w:szCs w:val="24"/>
        </w:rPr>
        <w:t>Duquesne Light, I&amp;E, OCA, OSBA, CAUSE-PA, DII, PennFuture, and U. S. Steel)</w:t>
      </w:r>
      <w:r>
        <w:rPr>
          <w:rFonts w:eastAsia="Times New Roman"/>
          <w:color w:val="000000" w:themeColor="text1"/>
          <w:szCs w:val="24"/>
        </w:rPr>
        <w:t xml:space="preserve"> filed a Joint Petition for Non-Unanimous Settlement of the base rate case.</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13.</w:t>
      </w:r>
      <w:r>
        <w:rPr>
          <w:szCs w:val="24"/>
        </w:rPr>
        <w:tab/>
        <w:t>The Settlement was a “black box.”  The Settling Parties did not negotiate each and every revenue and expense item but reached a compromise on the final revenue number based upon their respective revenue and expense analysis.</w:t>
      </w:r>
    </w:p>
    <w:p w:rsidR="00B537D4" w:rsidRDefault="00B537D4" w:rsidP="00B537D4">
      <w:pPr>
        <w:spacing w:after="0" w:line="360" w:lineRule="auto"/>
        <w:rPr>
          <w:szCs w:val="24"/>
          <w:u w:val="single"/>
        </w:rPr>
      </w:pPr>
    </w:p>
    <w:p w:rsidR="00B537D4" w:rsidRDefault="00B537D4" w:rsidP="00B537D4">
      <w:pPr>
        <w:spacing w:after="0" w:line="360" w:lineRule="auto"/>
        <w:rPr>
          <w:szCs w:val="24"/>
          <w:u w:val="single"/>
        </w:rPr>
      </w:pPr>
      <w:r>
        <w:rPr>
          <w:szCs w:val="24"/>
          <w:u w:val="single"/>
        </w:rPr>
        <w:t>NRG’s Objections to Base Rate Settlement</w:t>
      </w:r>
    </w:p>
    <w:p w:rsidR="00B537D4" w:rsidRDefault="00B537D4" w:rsidP="00B537D4">
      <w:pPr>
        <w:spacing w:after="0" w:line="360" w:lineRule="auto"/>
        <w:rPr>
          <w:szCs w:val="24"/>
          <w:u w:val="single"/>
        </w:rPr>
      </w:pPr>
    </w:p>
    <w:p w:rsidR="00B537D4" w:rsidRDefault="00B537D4" w:rsidP="00B537D4">
      <w:pPr>
        <w:spacing w:after="0" w:line="360" w:lineRule="auto"/>
        <w:rPr>
          <w:szCs w:val="24"/>
        </w:rPr>
      </w:pPr>
      <w:r>
        <w:rPr>
          <w:szCs w:val="24"/>
        </w:rPr>
        <w:tab/>
      </w:r>
      <w:r>
        <w:rPr>
          <w:szCs w:val="24"/>
        </w:rPr>
        <w:tab/>
        <w:t>14.</w:t>
      </w:r>
      <w:r>
        <w:rPr>
          <w:szCs w:val="24"/>
        </w:rPr>
        <w:tab/>
        <w:t>On January 30, 2014, NRG filed Objections of NRG Power Midwest LP, NRG Energy Center Pittsburgh LLC, and Reliant Energy Northeast LLC to the Joint Petition For Non-Unanimous Settlement.  NRG’s Objections to Settlement.</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15.</w:t>
      </w:r>
      <w:r>
        <w:rPr>
          <w:szCs w:val="24"/>
        </w:rPr>
        <w:tab/>
        <w:t xml:space="preserve">NRG Companies were the only parties to the base rate proceeding to file objections to the Settlement.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16.</w:t>
      </w:r>
      <w:r>
        <w:rPr>
          <w:szCs w:val="24"/>
        </w:rPr>
        <w:tab/>
        <w:t xml:space="preserve">NRG filed objections to the proposed Settlement as not being in the public interest because “[t]he Settlement [did] not address the concerns raised about Rider No. 18.”   NRG’s Objections to Settlement, p. 3.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17.</w:t>
      </w:r>
      <w:r>
        <w:rPr>
          <w:szCs w:val="24"/>
        </w:rPr>
        <w:tab/>
        <w:t>By Fifth Interim Order entered on March 27, 2014, NRG’s Rider No. 18 issues were severed from the base rate proceeding for resolution in a separate recommended decision.</w:t>
      </w:r>
    </w:p>
    <w:p w:rsidR="00B537D4" w:rsidRDefault="00B537D4" w:rsidP="00B537D4">
      <w:pPr>
        <w:spacing w:after="0" w:line="360" w:lineRule="auto"/>
        <w:rPr>
          <w:szCs w:val="24"/>
        </w:rPr>
      </w:pPr>
    </w:p>
    <w:p w:rsidR="00B537D4" w:rsidRDefault="00B537D4" w:rsidP="00B537D4">
      <w:pPr>
        <w:rPr>
          <w:szCs w:val="24"/>
          <w:u w:val="single"/>
        </w:rPr>
      </w:pPr>
      <w:r>
        <w:rPr>
          <w:szCs w:val="24"/>
          <w:u w:val="single"/>
        </w:rPr>
        <w:br w:type="page"/>
      </w:r>
    </w:p>
    <w:p w:rsidR="00B537D4" w:rsidRDefault="00B537D4" w:rsidP="00B537D4">
      <w:pPr>
        <w:spacing w:after="0" w:line="360" w:lineRule="auto"/>
        <w:rPr>
          <w:szCs w:val="24"/>
          <w:u w:val="single"/>
        </w:rPr>
      </w:pPr>
      <w:r>
        <w:rPr>
          <w:szCs w:val="24"/>
          <w:u w:val="single"/>
        </w:rPr>
        <w:t>Duquesne Light’s Rider No. 18</w:t>
      </w:r>
    </w:p>
    <w:p w:rsidR="00B537D4" w:rsidRDefault="00B537D4" w:rsidP="00B537D4">
      <w:pPr>
        <w:spacing w:after="0" w:line="360" w:lineRule="auto"/>
        <w:rPr>
          <w:szCs w:val="24"/>
          <w:u w:val="single"/>
        </w:rPr>
      </w:pPr>
    </w:p>
    <w:p w:rsidR="00B537D4" w:rsidRDefault="00B537D4" w:rsidP="00B537D4">
      <w:pPr>
        <w:pStyle w:val="BodyText"/>
        <w:spacing w:after="0" w:line="360" w:lineRule="auto"/>
        <w:rPr>
          <w:rFonts w:eastAsia="Times New Roman"/>
          <w:szCs w:val="24"/>
        </w:rPr>
      </w:pPr>
      <w:r>
        <w:rPr>
          <w:szCs w:val="24"/>
        </w:rPr>
        <w:tab/>
      </w:r>
      <w:r>
        <w:rPr>
          <w:szCs w:val="24"/>
        </w:rPr>
        <w:tab/>
        <w:t>18.</w:t>
      </w:r>
      <w:r>
        <w:rPr>
          <w:szCs w:val="24"/>
        </w:rPr>
        <w:tab/>
        <w:t xml:space="preserve">Duquesne Light first established Rider No. 18 in 1981.  NRG Midwest Exhibit No. 6, p. 1.  At that time, </w:t>
      </w:r>
      <w:r>
        <w:rPr>
          <w:rFonts w:eastAsia="Times New Roman"/>
          <w:szCs w:val="24"/>
        </w:rPr>
        <w:t>there were no markets in Pennsylvania for capacity or alternative energy credits, as the electric utility industry remained vertically integrated.  Hr’g Tr. 378:10-25, 379:1-6.</w:t>
      </w:r>
    </w:p>
    <w:p w:rsidR="00B537D4" w:rsidRDefault="00B537D4" w:rsidP="00B537D4">
      <w:pPr>
        <w:pStyle w:val="BodyText"/>
        <w:spacing w:after="0" w:line="360" w:lineRule="auto"/>
        <w:rPr>
          <w:rFonts w:eastAsia="Times New Roman"/>
          <w:szCs w:val="24"/>
        </w:rPr>
      </w:pPr>
    </w:p>
    <w:p w:rsidR="00B537D4" w:rsidRDefault="00B537D4" w:rsidP="00B537D4">
      <w:pPr>
        <w:spacing w:after="0" w:line="360" w:lineRule="auto"/>
        <w:rPr>
          <w:szCs w:val="24"/>
        </w:rPr>
      </w:pPr>
      <w:r>
        <w:rPr>
          <w:szCs w:val="24"/>
        </w:rPr>
        <w:tab/>
      </w:r>
      <w:r>
        <w:rPr>
          <w:szCs w:val="24"/>
        </w:rPr>
        <w:tab/>
        <w:t>19.</w:t>
      </w:r>
      <w:r>
        <w:rPr>
          <w:szCs w:val="24"/>
        </w:rPr>
        <w:tab/>
        <w:t>Under Rider No. 18, Duquesne Light will purchase electric energy, as available, from certain qualifying facilities at the rate of six (6) cents per kilowatt-hour (i.e. $60.00 per megawatt-hour) or at a rate based on the Company’s avoided costs, whichever was higher, pursuant to the provisions of the Public Utility Regulatory Policies Act of 1978 (PURPA), 16 U.S.C. §§ 824, et seq.  Duquesne Light St. No. 12-R, p. 19; NRG Midwest St. No. 1, pp. 4-6 and Exhibit No. 6, at 1.</w:t>
      </w:r>
    </w:p>
    <w:p w:rsidR="00B537D4" w:rsidRDefault="00B537D4" w:rsidP="00B537D4">
      <w:pPr>
        <w:pStyle w:val="BodyText"/>
        <w:spacing w:after="0" w:line="360" w:lineRule="auto"/>
        <w:rPr>
          <w:szCs w:val="24"/>
        </w:rPr>
      </w:pPr>
    </w:p>
    <w:p w:rsidR="00B537D4" w:rsidRDefault="00B537D4" w:rsidP="00B537D4">
      <w:pPr>
        <w:pStyle w:val="BodyText"/>
        <w:spacing w:after="0" w:line="360" w:lineRule="auto"/>
        <w:rPr>
          <w:rFonts w:eastAsia="Times New Roman"/>
          <w:szCs w:val="24"/>
        </w:rPr>
      </w:pPr>
      <w:r>
        <w:rPr>
          <w:szCs w:val="24"/>
        </w:rPr>
        <w:tab/>
      </w:r>
      <w:r>
        <w:rPr>
          <w:szCs w:val="24"/>
        </w:rPr>
        <w:tab/>
        <w:t>20.</w:t>
      </w:r>
      <w:r>
        <w:rPr>
          <w:szCs w:val="24"/>
        </w:rPr>
        <w:tab/>
      </w:r>
      <w:r>
        <w:rPr>
          <w:rFonts w:eastAsia="Times New Roman"/>
          <w:szCs w:val="24"/>
        </w:rPr>
        <w:t xml:space="preserve">Rider No. 18 establishes the price at which Duquesne Light will purchase </w:t>
      </w:r>
    </w:p>
    <w:p w:rsidR="00B537D4" w:rsidRDefault="00B537D4" w:rsidP="00B537D4">
      <w:pPr>
        <w:pStyle w:val="BodyText"/>
        <w:spacing w:after="0" w:line="360" w:lineRule="auto"/>
        <w:rPr>
          <w:szCs w:val="24"/>
        </w:rPr>
      </w:pPr>
      <w:r>
        <w:rPr>
          <w:rFonts w:eastAsia="Times New Roman"/>
          <w:szCs w:val="24"/>
        </w:rPr>
        <w:t xml:space="preserve">electricity from small customer-owned generating facilities located within Duquesne Light’s service area that are qualifying facilities under PURPA.  </w:t>
      </w:r>
      <w:r>
        <w:rPr>
          <w:szCs w:val="24"/>
        </w:rPr>
        <w:t xml:space="preserve">NRG Midwest Exhibit No. 6, at 1; Duquesne Light St. 12-R, p. 19. </w:t>
      </w:r>
    </w:p>
    <w:p w:rsidR="00B537D4" w:rsidRDefault="00B537D4" w:rsidP="00B537D4">
      <w:pPr>
        <w:pStyle w:val="BodyText"/>
        <w:spacing w:after="0" w:line="360" w:lineRule="auto"/>
        <w:rPr>
          <w:szCs w:val="24"/>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21.</w:t>
      </w:r>
      <w:r>
        <w:rPr>
          <w:rFonts w:eastAsia="Times New Roman"/>
          <w:szCs w:val="24"/>
        </w:rPr>
        <w:tab/>
        <w:t>In over thirty-two years, Duquesne Light has only changed Rider No. 18 three times.  Hr’g Tr. 254:1-3.</w:t>
      </w:r>
    </w:p>
    <w:p w:rsidR="00B537D4" w:rsidRDefault="00B537D4" w:rsidP="00B537D4">
      <w:pPr>
        <w:spacing w:after="0" w:line="360" w:lineRule="auto"/>
        <w:rPr>
          <w:rFonts w:eastAsia="Times New Roman"/>
          <w:szCs w:val="24"/>
        </w:rPr>
      </w:pPr>
    </w:p>
    <w:p w:rsidR="00B537D4" w:rsidRDefault="00B537D4" w:rsidP="00B537D4">
      <w:pPr>
        <w:spacing w:after="0" w:line="360" w:lineRule="auto"/>
        <w:rPr>
          <w:szCs w:val="24"/>
        </w:rPr>
      </w:pPr>
      <w:r>
        <w:rPr>
          <w:rFonts w:eastAsia="Times New Roman"/>
          <w:szCs w:val="24"/>
        </w:rPr>
        <w:tab/>
      </w:r>
      <w:r>
        <w:rPr>
          <w:rFonts w:eastAsia="Times New Roman"/>
          <w:szCs w:val="24"/>
        </w:rPr>
        <w:tab/>
        <w:t>22.</w:t>
      </w:r>
      <w:r>
        <w:rPr>
          <w:rFonts w:eastAsia="Times New Roman"/>
          <w:szCs w:val="24"/>
        </w:rPr>
        <w:tab/>
      </w:r>
      <w:r>
        <w:rPr>
          <w:szCs w:val="24"/>
        </w:rPr>
        <w:t xml:space="preserve">The rates paid under Rider No. 18 initially were recovered by Duquesne Light from ratepayers through the Energy Cost Rate, a Commission-approved automatic adjustment clause that allowed the Company to recover its actual cost of fuel, purchased power, and similar costs of generation, including purchases from qualifying facilities pursuant to PURPA.  Duquesne Light St. No. 12-R, p. 23.  </w:t>
      </w:r>
    </w:p>
    <w:p w:rsidR="00B537D4" w:rsidRDefault="00B537D4" w:rsidP="00B537D4">
      <w:pPr>
        <w:spacing w:after="0" w:line="360" w:lineRule="auto"/>
        <w:rPr>
          <w:rFonts w:eastAsia="Times New Roman"/>
          <w:szCs w:val="24"/>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23.</w:t>
      </w:r>
      <w:r>
        <w:rPr>
          <w:rFonts w:eastAsia="Times New Roman"/>
          <w:szCs w:val="24"/>
        </w:rPr>
        <w:tab/>
        <w:t>The six cents per kilowatt-hour price in Rider No. 18 has not been analyzed by Duquesne Light in at least 10 years.  Hr’g Tr. 237:12-20, 238:3-12.</w:t>
      </w:r>
    </w:p>
    <w:p w:rsidR="00B537D4" w:rsidRDefault="00B537D4" w:rsidP="00B537D4">
      <w:pPr>
        <w:spacing w:after="0" w:line="360" w:lineRule="auto"/>
        <w:rPr>
          <w:rFonts w:eastAsia="Times New Roman"/>
          <w:szCs w:val="24"/>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24.</w:t>
      </w:r>
      <w:r>
        <w:rPr>
          <w:rFonts w:eastAsia="Times New Roman"/>
          <w:szCs w:val="24"/>
        </w:rPr>
        <w:tab/>
        <w:t>The price</w:t>
      </w:r>
      <w:r>
        <w:rPr>
          <w:rFonts w:eastAsia="Times New Roman"/>
          <w:color w:val="FFFF00"/>
          <w:szCs w:val="24"/>
        </w:rPr>
        <w:t xml:space="preserve"> </w:t>
      </w:r>
      <w:r>
        <w:rPr>
          <w:rFonts w:eastAsia="Times New Roman"/>
          <w:szCs w:val="24"/>
        </w:rPr>
        <w:t>under Rider No. 18 is for the purchase of “electric energy” only.  Duquesne Light Exhibit WVP 2-R.</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u w:val="single"/>
        </w:rPr>
        <w:t>The Qualifying Facilities and Power Purchase Agreements (PPAs)</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25.</w:t>
      </w:r>
      <w:r>
        <w:rPr>
          <w:szCs w:val="24"/>
        </w:rPr>
        <w:tab/>
        <w:t>Beaver Valley Power Company (Beaver Valley Power) and Beaver Falls Municipal Authority (BFMA, Beaver Falls or Beaver Falls Authority) are each a qualifying facility (QF) under the Public Utility Regulatory Policies Act of 1978 (PURPA).  Duquesne Light St. No. 12-R, pp. 21-22; Hr’g Tr. 255.</w:t>
      </w:r>
    </w:p>
    <w:p w:rsidR="00B537D4" w:rsidRDefault="00B537D4" w:rsidP="00B537D4">
      <w:pPr>
        <w:pStyle w:val="BodyText"/>
        <w:spacing w:after="0" w:line="360" w:lineRule="auto"/>
        <w:rPr>
          <w:szCs w:val="24"/>
        </w:rPr>
      </w:pPr>
    </w:p>
    <w:p w:rsidR="00B537D4" w:rsidRDefault="00B537D4" w:rsidP="00B537D4">
      <w:pPr>
        <w:pStyle w:val="BodyText"/>
        <w:spacing w:after="0" w:line="360" w:lineRule="auto"/>
        <w:rPr>
          <w:rFonts w:eastAsia="Times New Roman"/>
          <w:szCs w:val="24"/>
        </w:rPr>
      </w:pPr>
      <w:r>
        <w:rPr>
          <w:rFonts w:eastAsia="Times New Roman"/>
          <w:szCs w:val="24"/>
        </w:rPr>
        <w:tab/>
      </w:r>
      <w:r>
        <w:rPr>
          <w:rFonts w:eastAsia="Times New Roman"/>
          <w:szCs w:val="24"/>
        </w:rPr>
        <w:tab/>
        <w:t>26.</w:t>
      </w:r>
      <w:r>
        <w:rPr>
          <w:rFonts w:eastAsia="Times New Roman"/>
          <w:szCs w:val="24"/>
        </w:rPr>
        <w:tab/>
        <w:t>Since the establishment of Rider No. 18, only three facilities, Beaver Valley Power Company, Beaver Falls Municipal Authority, and O’Brien Energy Systems, ever executed power purchase agreements (PPAs) with Duquesne Light at the price of six cents per kilowatt-hour pursuant to Rider No. 18.  Duquesne Light Company St. No. 12-R, at 21:19-30; 22:1-25; Hr’g Tr. 255:19-22.</w:t>
      </w:r>
    </w:p>
    <w:p w:rsidR="00B537D4" w:rsidRDefault="00B537D4" w:rsidP="00B537D4">
      <w:pPr>
        <w:spacing w:after="0" w:line="360" w:lineRule="auto"/>
        <w:rPr>
          <w:rFonts w:eastAsia="Times New Roman"/>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r>
        <w:rPr>
          <w:rFonts w:eastAsiaTheme="minorHAnsi"/>
          <w:szCs w:val="24"/>
        </w:rPr>
        <w:tab/>
      </w:r>
      <w:r>
        <w:rPr>
          <w:rFonts w:eastAsiaTheme="minorHAnsi"/>
          <w:szCs w:val="24"/>
        </w:rPr>
        <w:tab/>
        <w:t>27.</w:t>
      </w:r>
      <w:r>
        <w:rPr>
          <w:rFonts w:eastAsiaTheme="minorHAnsi"/>
          <w:szCs w:val="24"/>
        </w:rPr>
        <w:tab/>
        <w:t xml:space="preserve">On August 18, 1982, Duquesne Light entered into a negotiated PPA with Beaver Valley Power pursuant to PURPA and Duquesne Light Rider No. 18.  Duquesne Light St. No. 12-R, p. 21; </w:t>
      </w:r>
      <w:r>
        <w:rPr>
          <w:szCs w:val="24"/>
        </w:rPr>
        <w:t>Exhibit WVP 3-R.</w:t>
      </w:r>
    </w:p>
    <w:p w:rsidR="00B537D4" w:rsidRDefault="00B537D4" w:rsidP="00B537D4">
      <w:pPr>
        <w:pStyle w:val="ListNumber"/>
        <w:numPr>
          <w:ilvl w:val="0"/>
          <w:numId w:val="0"/>
        </w:numPr>
        <w:tabs>
          <w:tab w:val="left" w:pos="720"/>
        </w:tabs>
        <w:spacing w:line="360" w:lineRule="auto"/>
        <w:jc w:val="left"/>
        <w:rPr>
          <w:rFonts w:eastAsiaTheme="minorHAnsi"/>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r>
        <w:rPr>
          <w:rFonts w:eastAsiaTheme="minorHAnsi"/>
          <w:szCs w:val="24"/>
        </w:rPr>
        <w:tab/>
      </w:r>
      <w:r>
        <w:rPr>
          <w:rFonts w:eastAsiaTheme="minorHAnsi"/>
          <w:szCs w:val="24"/>
        </w:rPr>
        <w:tab/>
        <w:t>28.</w:t>
      </w:r>
      <w:r>
        <w:rPr>
          <w:rFonts w:eastAsiaTheme="minorHAnsi"/>
          <w:szCs w:val="24"/>
        </w:rPr>
        <w:tab/>
        <w:t xml:space="preserve">On February 28, 1985, Duquesne Light entered into a negotiated PPA with BFMA, pursuant to PURPA and the terms and conditions of Duquesne Light Rider No. 18.  Duquesne Light St. No. 12-R, p. 22; </w:t>
      </w:r>
      <w:r>
        <w:rPr>
          <w:szCs w:val="24"/>
        </w:rPr>
        <w:t>Exhibit WVP 4</w:t>
      </w:r>
      <w:r>
        <w:rPr>
          <w:szCs w:val="24"/>
        </w:rPr>
        <w:noBreakHyphen/>
        <w:t>R.</w:t>
      </w:r>
    </w:p>
    <w:p w:rsidR="00B537D4" w:rsidRDefault="00B537D4" w:rsidP="00B537D4">
      <w:pPr>
        <w:pStyle w:val="ListNumber"/>
        <w:numPr>
          <w:ilvl w:val="0"/>
          <w:numId w:val="0"/>
        </w:numPr>
        <w:tabs>
          <w:tab w:val="left" w:pos="720"/>
        </w:tabs>
        <w:spacing w:line="360" w:lineRule="auto"/>
        <w:jc w:val="left"/>
        <w:rPr>
          <w:rFonts w:eastAsiaTheme="minorHAnsi"/>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r>
        <w:rPr>
          <w:rFonts w:eastAsiaTheme="minorHAnsi"/>
          <w:szCs w:val="24"/>
        </w:rPr>
        <w:tab/>
      </w:r>
      <w:r>
        <w:rPr>
          <w:rFonts w:eastAsiaTheme="minorHAnsi"/>
          <w:szCs w:val="24"/>
        </w:rPr>
        <w:tab/>
        <w:t>29.</w:t>
      </w:r>
      <w:r>
        <w:rPr>
          <w:rFonts w:eastAsiaTheme="minorHAnsi"/>
          <w:szCs w:val="24"/>
        </w:rPr>
        <w:tab/>
      </w:r>
      <w:r>
        <w:rPr>
          <w:rFonts w:eastAsiaTheme="minorHAnsi"/>
          <w:b/>
          <w:szCs w:val="24"/>
        </w:rPr>
        <w:t>[PROPRIETARY:</w:t>
      </w:r>
      <w:r>
        <w:rPr>
          <w:rFonts w:eastAsiaTheme="minorHAnsi"/>
          <w:szCs w:val="24"/>
        </w:rPr>
        <w:t xml:space="preserve">  </w:t>
      </w:r>
    </w:p>
    <w:p w:rsidR="00B537D4" w:rsidRDefault="00B537D4" w:rsidP="00B537D4">
      <w:pPr>
        <w:pStyle w:val="ListNumber"/>
        <w:numPr>
          <w:ilvl w:val="0"/>
          <w:numId w:val="0"/>
        </w:numPr>
        <w:tabs>
          <w:tab w:val="left" w:pos="720"/>
        </w:tabs>
        <w:spacing w:line="360" w:lineRule="auto"/>
        <w:jc w:val="left"/>
        <w:rPr>
          <w:rFonts w:eastAsiaTheme="minorHAnsi"/>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r>
        <w:rPr>
          <w:rFonts w:eastAsiaTheme="minorHAnsi"/>
          <w:szCs w:val="24"/>
        </w:rPr>
        <w:t xml:space="preserve">               </w:t>
      </w:r>
      <w:r>
        <w:rPr>
          <w:rFonts w:eastAsiaTheme="minorHAnsi"/>
          <w:b/>
          <w:szCs w:val="24"/>
        </w:rPr>
        <w:t>]</w:t>
      </w:r>
      <w:r>
        <w:rPr>
          <w:rFonts w:eastAsiaTheme="minorHAnsi"/>
          <w:szCs w:val="24"/>
        </w:rPr>
        <w:t xml:space="preserve">  Duquesne Light St. No. 12-R, p. 22.</w:t>
      </w:r>
    </w:p>
    <w:p w:rsidR="00B537D4" w:rsidRDefault="00B537D4" w:rsidP="00B537D4">
      <w:pPr>
        <w:spacing w:after="0" w:line="360" w:lineRule="auto"/>
        <w:rPr>
          <w:rFonts w:eastAsia="Times New Roman"/>
          <w:szCs w:val="24"/>
        </w:rPr>
      </w:pPr>
    </w:p>
    <w:p w:rsidR="00B537D4" w:rsidRDefault="00B537D4" w:rsidP="00B537D4">
      <w:pPr>
        <w:spacing w:after="0" w:line="360" w:lineRule="auto"/>
        <w:rPr>
          <w:szCs w:val="24"/>
        </w:rPr>
      </w:pPr>
      <w:r>
        <w:rPr>
          <w:szCs w:val="24"/>
        </w:rPr>
        <w:tab/>
      </w:r>
      <w:r>
        <w:rPr>
          <w:szCs w:val="24"/>
        </w:rPr>
        <w:tab/>
        <w:t>30.</w:t>
      </w:r>
      <w:r>
        <w:rPr>
          <w:szCs w:val="24"/>
        </w:rPr>
        <w:tab/>
      </w:r>
      <w:r>
        <w:rPr>
          <w:b/>
          <w:szCs w:val="24"/>
        </w:rPr>
        <w:t xml:space="preserve">[PROPRIETARY:  </w:t>
      </w:r>
    </w:p>
    <w:p w:rsidR="00B537D4" w:rsidRDefault="00B537D4" w:rsidP="00B537D4">
      <w:pPr>
        <w:spacing w:after="0" w:line="360" w:lineRule="auto"/>
        <w:rPr>
          <w:szCs w:val="24"/>
        </w:rPr>
      </w:pP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 xml:space="preserve">                                                                                             </w:t>
      </w:r>
      <w:r>
        <w:rPr>
          <w:b/>
          <w:szCs w:val="24"/>
        </w:rPr>
        <w:t>]</w:t>
      </w:r>
      <w:r>
        <w:rPr>
          <w:szCs w:val="24"/>
        </w:rPr>
        <w:t xml:space="preserve">  Duquesne Light St. No. 12-R, pp. 21-22; Exhibits WVP 3-R and WVP 4</w:t>
      </w:r>
      <w:r>
        <w:rPr>
          <w:szCs w:val="24"/>
        </w:rPr>
        <w:noBreakHyphen/>
        <w:t>R.</w:t>
      </w:r>
    </w:p>
    <w:p w:rsidR="00B537D4" w:rsidRDefault="00B537D4" w:rsidP="00B537D4">
      <w:pPr>
        <w:spacing w:after="0" w:line="360" w:lineRule="auto"/>
        <w:rPr>
          <w:szCs w:val="24"/>
        </w:rPr>
      </w:pPr>
    </w:p>
    <w:p w:rsidR="00B537D4" w:rsidRDefault="00B537D4" w:rsidP="00B537D4">
      <w:pPr>
        <w:spacing w:after="0" w:line="360" w:lineRule="auto"/>
        <w:rPr>
          <w:b/>
          <w:szCs w:val="24"/>
        </w:rPr>
      </w:pPr>
      <w:r>
        <w:rPr>
          <w:szCs w:val="24"/>
        </w:rPr>
        <w:tab/>
      </w:r>
      <w:r>
        <w:rPr>
          <w:szCs w:val="24"/>
        </w:rPr>
        <w:tab/>
        <w:t>31.</w:t>
      </w:r>
      <w:r>
        <w:rPr>
          <w:szCs w:val="24"/>
        </w:rPr>
        <w:tab/>
      </w:r>
      <w:r>
        <w:rPr>
          <w:b/>
          <w:szCs w:val="24"/>
        </w:rPr>
        <w:t xml:space="preserve">[PROPRIETARY:  </w:t>
      </w:r>
    </w:p>
    <w:p w:rsidR="00B537D4" w:rsidRDefault="00B537D4" w:rsidP="00B537D4">
      <w:pPr>
        <w:spacing w:after="0" w:line="360" w:lineRule="auto"/>
        <w:rPr>
          <w:szCs w:val="24"/>
        </w:rPr>
      </w:pPr>
      <w:r>
        <w:rPr>
          <w:b/>
          <w:szCs w:val="24"/>
        </w:rPr>
        <w:t xml:space="preserve">                 ]</w:t>
      </w:r>
      <w:r>
        <w:rPr>
          <w:szCs w:val="24"/>
        </w:rPr>
        <w:t xml:space="preserve">  Duquesne Light Exhibits WVP 3-R and WVP 4</w:t>
      </w:r>
      <w:r>
        <w:rPr>
          <w:szCs w:val="24"/>
        </w:rPr>
        <w:noBreakHyphen/>
        <w:t>R.</w:t>
      </w:r>
    </w:p>
    <w:p w:rsidR="00B537D4" w:rsidRDefault="00B537D4" w:rsidP="00B537D4">
      <w:pPr>
        <w:spacing w:after="0" w:line="360" w:lineRule="auto"/>
        <w:rPr>
          <w:szCs w:val="24"/>
        </w:rPr>
      </w:pPr>
    </w:p>
    <w:p w:rsidR="00B537D4" w:rsidRDefault="00B537D4" w:rsidP="00B537D4">
      <w:pPr>
        <w:spacing w:after="0" w:line="360" w:lineRule="auto"/>
        <w:rPr>
          <w:b/>
          <w:szCs w:val="24"/>
        </w:rPr>
      </w:pPr>
      <w:r>
        <w:rPr>
          <w:szCs w:val="24"/>
        </w:rPr>
        <w:tab/>
      </w:r>
      <w:r>
        <w:rPr>
          <w:szCs w:val="24"/>
        </w:rPr>
        <w:tab/>
        <w:t>32.</w:t>
      </w:r>
      <w:r>
        <w:rPr>
          <w:szCs w:val="24"/>
        </w:rPr>
        <w:tab/>
      </w:r>
      <w:r>
        <w:rPr>
          <w:b/>
          <w:szCs w:val="24"/>
        </w:rPr>
        <w:t>[PROPRIETARY:</w:t>
      </w:r>
    </w:p>
    <w:p w:rsidR="00B537D4" w:rsidRDefault="00B537D4" w:rsidP="00B537D4">
      <w:pPr>
        <w:spacing w:after="0" w:line="360" w:lineRule="auto"/>
        <w:rPr>
          <w:szCs w:val="24"/>
        </w:rPr>
      </w:pPr>
    </w:p>
    <w:p w:rsidR="00B537D4" w:rsidRDefault="00B537D4" w:rsidP="00B537D4">
      <w:pPr>
        <w:spacing w:after="0" w:line="240" w:lineRule="auto"/>
        <w:rPr>
          <w:szCs w:val="24"/>
        </w:rPr>
      </w:pPr>
    </w:p>
    <w:p w:rsidR="00B537D4" w:rsidRDefault="00B537D4" w:rsidP="00B537D4">
      <w:pPr>
        <w:spacing w:after="0" w:line="240" w:lineRule="auto"/>
        <w:rPr>
          <w:szCs w:val="24"/>
        </w:rPr>
      </w:pPr>
    </w:p>
    <w:p w:rsidR="00B537D4" w:rsidRDefault="00B537D4" w:rsidP="00B537D4">
      <w:pPr>
        <w:spacing w:after="0" w:line="240" w:lineRule="auto"/>
        <w:rPr>
          <w:szCs w:val="24"/>
        </w:rPr>
      </w:pPr>
    </w:p>
    <w:p w:rsidR="00B537D4" w:rsidRDefault="00B537D4" w:rsidP="00B537D4">
      <w:pPr>
        <w:spacing w:after="0" w:line="240" w:lineRule="auto"/>
        <w:rPr>
          <w:szCs w:val="24"/>
        </w:rPr>
      </w:pPr>
    </w:p>
    <w:p w:rsidR="00B537D4" w:rsidRDefault="00B537D4" w:rsidP="00B537D4">
      <w:pPr>
        <w:spacing w:after="0" w:line="360" w:lineRule="auto"/>
        <w:rPr>
          <w:szCs w:val="24"/>
        </w:rPr>
      </w:pPr>
    </w:p>
    <w:p w:rsidR="00B537D4" w:rsidRDefault="00B537D4" w:rsidP="00B537D4">
      <w:pPr>
        <w:spacing w:after="0" w:line="240" w:lineRule="auto"/>
        <w:ind w:left="1440" w:right="1440"/>
        <w:rPr>
          <w:szCs w:val="24"/>
        </w:rPr>
      </w:pPr>
      <w:r>
        <w:rPr>
          <w:b/>
          <w:szCs w:val="24"/>
        </w:rPr>
        <w:t xml:space="preserve">                                                               ]</w:t>
      </w:r>
    </w:p>
    <w:p w:rsidR="00B537D4" w:rsidRDefault="00B537D4" w:rsidP="00B537D4">
      <w:pPr>
        <w:spacing w:after="0" w:line="360" w:lineRule="auto"/>
        <w:ind w:right="1080"/>
        <w:rPr>
          <w:szCs w:val="24"/>
        </w:rPr>
      </w:pPr>
    </w:p>
    <w:p w:rsidR="00B537D4" w:rsidRDefault="00B537D4" w:rsidP="00B537D4">
      <w:pPr>
        <w:spacing w:after="0" w:line="360" w:lineRule="auto"/>
        <w:ind w:right="1080"/>
        <w:rPr>
          <w:szCs w:val="24"/>
        </w:rPr>
      </w:pPr>
      <w:r>
        <w:rPr>
          <w:szCs w:val="24"/>
        </w:rPr>
        <w:t>Duquesne Light Exhibits WVP 3</w:t>
      </w:r>
      <w:r>
        <w:rPr>
          <w:szCs w:val="24"/>
        </w:rPr>
        <w:noBreakHyphen/>
        <w:t>R, ¶ 5 and WVP 4</w:t>
      </w:r>
      <w:r>
        <w:rPr>
          <w:szCs w:val="24"/>
        </w:rPr>
        <w:noBreakHyphen/>
        <w:t xml:space="preserve">R, ¶ 5. </w:t>
      </w:r>
    </w:p>
    <w:p w:rsidR="00B537D4" w:rsidRDefault="00B537D4" w:rsidP="00B537D4">
      <w:pPr>
        <w:spacing w:after="0"/>
        <w:rPr>
          <w:szCs w:val="24"/>
        </w:rPr>
      </w:pPr>
    </w:p>
    <w:p w:rsidR="00B537D4" w:rsidRDefault="00B537D4" w:rsidP="00B537D4">
      <w:pPr>
        <w:spacing w:after="0" w:line="360" w:lineRule="auto"/>
        <w:rPr>
          <w:szCs w:val="24"/>
        </w:rPr>
      </w:pPr>
      <w:r>
        <w:rPr>
          <w:szCs w:val="24"/>
        </w:rPr>
        <w:tab/>
      </w:r>
      <w:r>
        <w:rPr>
          <w:szCs w:val="24"/>
        </w:rPr>
        <w:tab/>
        <w:t>33.</w:t>
      </w:r>
      <w:r>
        <w:rPr>
          <w:szCs w:val="24"/>
        </w:rPr>
        <w:tab/>
        <w:t xml:space="preserve">On March 24, 1988, Duquesne Light entered into a PPA with a third qualifying facility, O’Brien Energy Systems.  That PPA terminated in 1996 when O’Brien Energy Systems’ successor, O’Brien Environmental Energy, Inc. underwent bankruptcy.  Duquesne Light St. 12-R, p. 22; Hr’g Tr. 255-256.   </w:t>
      </w:r>
    </w:p>
    <w:p w:rsidR="00B537D4" w:rsidRDefault="00B537D4" w:rsidP="00B537D4">
      <w:pPr>
        <w:pStyle w:val="BodyText"/>
        <w:spacing w:after="0" w:line="360" w:lineRule="auto"/>
        <w:rPr>
          <w:rFonts w:eastAsia="Times New Roman"/>
          <w:szCs w:val="24"/>
        </w:rPr>
      </w:pPr>
    </w:p>
    <w:p w:rsidR="00B537D4" w:rsidRDefault="00B537D4" w:rsidP="00B537D4">
      <w:pPr>
        <w:spacing w:after="0" w:line="360" w:lineRule="auto"/>
        <w:rPr>
          <w:szCs w:val="24"/>
        </w:rPr>
      </w:pPr>
      <w:r>
        <w:rPr>
          <w:szCs w:val="24"/>
        </w:rPr>
        <w:tab/>
      </w:r>
      <w:r>
        <w:rPr>
          <w:szCs w:val="24"/>
        </w:rPr>
        <w:tab/>
        <w:t>34.</w:t>
      </w:r>
      <w:r>
        <w:rPr>
          <w:szCs w:val="24"/>
        </w:rPr>
        <w:tab/>
        <w:t>The original rate to be paid under Rider No. 18, as established in 1981, has not changed as to Beaver Valley Power and BFMA since the execution of their agreements with Duquesne Light in 1982 and 1985, respectively.  Hr’g Tr. 254; Duquesne Light Exhibits WVP 2</w:t>
      </w:r>
      <w:r>
        <w:rPr>
          <w:szCs w:val="24"/>
        </w:rPr>
        <w:noBreakHyphen/>
        <w:t>R, 3-R and 4-R.</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35.</w:t>
      </w:r>
      <w:r>
        <w:rPr>
          <w:szCs w:val="24"/>
        </w:rPr>
        <w:tab/>
        <w:t>Currently Beaver Valley Power and BFMA are the only QFs that have PPAs with Duquesne Light.  Duquesne Light St. No. 12-R, pp. 21-22.</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spacing w:after="0" w:line="360" w:lineRule="auto"/>
        <w:rPr>
          <w:szCs w:val="24"/>
        </w:rPr>
      </w:pPr>
      <w:r>
        <w:rPr>
          <w:szCs w:val="24"/>
        </w:rPr>
        <w:tab/>
      </w:r>
      <w:r>
        <w:rPr>
          <w:szCs w:val="24"/>
        </w:rPr>
        <w:tab/>
        <w:t>36.</w:t>
      </w:r>
      <w:r>
        <w:rPr>
          <w:szCs w:val="24"/>
        </w:rPr>
        <w:tab/>
        <w:t xml:space="preserve">Under the current provisions of Rider </w:t>
      </w:r>
      <w:r w:rsidR="00B46A86">
        <w:rPr>
          <w:szCs w:val="24"/>
        </w:rPr>
        <w:t>No. 18 and subsequent to August </w:t>
      </w:r>
      <w:r>
        <w:rPr>
          <w:szCs w:val="24"/>
        </w:rPr>
        <w:t>25, 1987, a new or prospective qualifying facility seeking to sell electric energy to Duquesne Light would be paid “at a rate based on the Company’s avoided costs as calculated in accordance with the applicable Pa. P.U.C. regulations.”  Hr’g Tr. 290; Duquesne Light Exhibit WVP 2-R.</w:t>
      </w:r>
    </w:p>
    <w:p w:rsidR="00B537D4" w:rsidRDefault="00B537D4" w:rsidP="00B537D4">
      <w:pPr>
        <w:spacing w:after="0" w:line="360" w:lineRule="auto"/>
        <w:rPr>
          <w:szCs w:val="24"/>
          <w:u w:val="single"/>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37.</w:t>
      </w:r>
      <w:r>
        <w:rPr>
          <w:rFonts w:eastAsia="Times New Roman"/>
          <w:szCs w:val="24"/>
        </w:rPr>
        <w:tab/>
        <w:t>Other than the PPA that DLC entered into with O’Brien Energy System, a grandfathered QF, on March 24, 1988, the six cents per kilowatt-hour price under Rider No. 18 has not served as an incentive for new alternative energy development since the price was phased out in 1987 for new qualifying facilities.  Hr’g Tr. 290:12-23; Duquesne Light Exhibit WVP 2-R.</w:t>
      </w:r>
    </w:p>
    <w:p w:rsidR="00B537D4" w:rsidRDefault="00B537D4" w:rsidP="00B537D4">
      <w:pPr>
        <w:spacing w:after="0" w:line="360" w:lineRule="auto"/>
        <w:rPr>
          <w:szCs w:val="24"/>
          <w:u w:val="single"/>
        </w:rPr>
      </w:pPr>
    </w:p>
    <w:p w:rsidR="00B537D4" w:rsidRDefault="00B537D4" w:rsidP="00B537D4">
      <w:pPr>
        <w:spacing w:after="0" w:line="360" w:lineRule="auto"/>
        <w:rPr>
          <w:szCs w:val="24"/>
          <w:u w:val="single"/>
        </w:rPr>
      </w:pPr>
      <w:r>
        <w:rPr>
          <w:szCs w:val="24"/>
          <w:u w:val="single"/>
        </w:rPr>
        <w:t xml:space="preserve">Commission’s 1987 Opinion and Order on Rider No. 18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38.</w:t>
      </w:r>
      <w:r>
        <w:rPr>
          <w:szCs w:val="24"/>
        </w:rPr>
        <w:tab/>
        <w:t xml:space="preserve"> On December 12, 1986, Duquesne Light filed a proposed Tariff Supplement No. 34 seeking to restrict the availability of Rider No. 18’s six cents rate provision only to QFs that had a contract with Duquesne Light prior to February 10, 1987, the proposed effective date of Supplement No. 34 (Duquesne Light’s 1986 Filing).  </w:t>
      </w:r>
      <w:r>
        <w:rPr>
          <w:i/>
          <w:szCs w:val="24"/>
        </w:rPr>
        <w:t>See Pa. Pub. Util.  Comm’n v. Duquesne Light Co.,</w:t>
      </w:r>
      <w:r>
        <w:rPr>
          <w:szCs w:val="24"/>
        </w:rPr>
        <w:t xml:space="preserve"> 64 Pa. PUC 388 (July 20, 1987); NRG Preliminary Objections, Appendix A; Duquesne Light Company St. No. 12-R, p. 27; Hr’g Tr. 254 and 290.</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39.</w:t>
      </w:r>
      <w:r>
        <w:rPr>
          <w:szCs w:val="24"/>
        </w:rPr>
        <w:tab/>
        <w:t xml:space="preserve"> In Duquesne Light’s 1986 Filing, the Company claimed that the six cents rate exceeded its current avoided costs.  64 Pa. PUC 388, at 389.</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40.</w:t>
      </w:r>
      <w:r>
        <w:rPr>
          <w:szCs w:val="24"/>
        </w:rPr>
        <w:tab/>
        <w:t xml:space="preserve">In its 1986 Filing, Duquesne Light claimed “…that its current avoided costs are ‘about two (2) cents per kilowatt-hour.’”  </w:t>
      </w:r>
      <w:r>
        <w:rPr>
          <w:i/>
          <w:szCs w:val="24"/>
        </w:rPr>
        <w:t xml:space="preserve">Id. </w:t>
      </w:r>
      <w:r>
        <w:rPr>
          <w:szCs w:val="24"/>
        </w:rPr>
        <w:t>at 394, n. 7.</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41.</w:t>
      </w:r>
      <w:r>
        <w:rPr>
          <w:szCs w:val="24"/>
        </w:rPr>
        <w:tab/>
        <w:t xml:space="preserve">In its 1986 Filing, Duquesne Light claimed that by reducing Rider No. 18’s six cents rate for prospective qualifying projects or applicants, the Company “…hopes to save ‘millions of dollars over the next five to ten years by avoiding excessive payments for unneeded power.’”  </w:t>
      </w:r>
      <w:r>
        <w:rPr>
          <w:i/>
          <w:szCs w:val="24"/>
        </w:rPr>
        <w:t>Id.</w:t>
      </w:r>
      <w:r>
        <w:rPr>
          <w:szCs w:val="24"/>
        </w:rPr>
        <w:t xml:space="preserve"> at 389-390.</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42.</w:t>
      </w:r>
      <w:r>
        <w:rPr>
          <w:szCs w:val="24"/>
        </w:rPr>
        <w:tab/>
        <w:t xml:space="preserve">The proceeding in Duquesne Light’s 1986 Filing did not include as parties any of the current QFs, prospective qualifying projects or applicants.  </w:t>
      </w:r>
      <w:r>
        <w:rPr>
          <w:i/>
          <w:szCs w:val="24"/>
        </w:rPr>
        <w:t>Id.</w:t>
      </w:r>
      <w:r>
        <w:rPr>
          <w:szCs w:val="24"/>
        </w:rPr>
        <w:t xml:space="preserve"> at 390-391.</w:t>
      </w:r>
    </w:p>
    <w:p w:rsidR="00B537D4" w:rsidRDefault="00B537D4" w:rsidP="00B537D4">
      <w:pPr>
        <w:spacing w:after="0" w:line="360" w:lineRule="auto"/>
        <w:rPr>
          <w:szCs w:val="24"/>
        </w:rPr>
      </w:pPr>
      <w:r>
        <w:rPr>
          <w:szCs w:val="24"/>
        </w:rPr>
        <w:tab/>
      </w:r>
      <w:r>
        <w:rPr>
          <w:szCs w:val="24"/>
        </w:rPr>
        <w:tab/>
        <w:t>43.</w:t>
      </w:r>
      <w:r>
        <w:rPr>
          <w:szCs w:val="24"/>
        </w:rPr>
        <w:tab/>
        <w:t xml:space="preserve">On July 16, 1987, the Commission entered an Opinion and Order stating, “[a]lthough we reject Duquesne’s Supplement No. 34 in its present form, we are in basic agreement with the proposal to curtail the availability of the Rider No. 18 rate.”  As a result, the Commission permitted the Company the option of filing a revised tariff supplement, to be effective on five days’ notice, which would grandfather certain classes of qualifying facilities.  </w:t>
      </w:r>
      <w:r>
        <w:rPr>
          <w:i/>
          <w:szCs w:val="24"/>
        </w:rPr>
        <w:t>Id.</w:t>
      </w:r>
      <w:r>
        <w:rPr>
          <w:szCs w:val="24"/>
        </w:rPr>
        <w:t xml:space="preserve"> at 391.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44.</w:t>
      </w:r>
      <w:r>
        <w:rPr>
          <w:szCs w:val="24"/>
        </w:rPr>
        <w:tab/>
        <w:t xml:space="preserve">Under the Commission’s 1987 Opinion and Order “any project that met the requirements of Rider No. 18 would be entitled, as a matter of law, to the Rider No. 18 rate, at least until such time as the Commission approves the modification of the Company’s tariff.”  </w:t>
      </w:r>
      <w:r>
        <w:rPr>
          <w:i/>
          <w:szCs w:val="24"/>
        </w:rPr>
        <w:t>Id.</w:t>
      </w:r>
      <w:r>
        <w:rPr>
          <w:szCs w:val="24"/>
        </w:rPr>
        <w:t xml:space="preserve"> at 390.</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45.</w:t>
      </w:r>
      <w:r>
        <w:rPr>
          <w:szCs w:val="24"/>
        </w:rPr>
        <w:tab/>
        <w:t>In accordance with the Commission’s 1987 Opinion and Order, Duquesne Light filed a revised Rider No. 18 grandfathering certain classes of facilities which were in an electric energy contract, supply or negotiating status with the Company, prior to August 25, 1987.  As to these grandfathered facilities, Duquesne Light would purchase “electric energy, as available, at the rate of six (6) cents per kilowatt-hour, or at a rate based on the Company’s avoided cost when such costs exceed six (6) cents per kilowatt-hour.  Duquesne Light Exhibit WVP 2-R.</w:t>
      </w:r>
    </w:p>
    <w:p w:rsidR="00B537D4" w:rsidRDefault="00B537D4" w:rsidP="00B537D4">
      <w:pPr>
        <w:spacing w:after="0" w:line="360" w:lineRule="auto"/>
        <w:rPr>
          <w:szCs w:val="24"/>
        </w:rPr>
      </w:pPr>
    </w:p>
    <w:p w:rsidR="00B537D4" w:rsidRDefault="00B537D4" w:rsidP="00B537D4">
      <w:pPr>
        <w:spacing w:after="0" w:line="360" w:lineRule="auto"/>
        <w:rPr>
          <w:szCs w:val="24"/>
          <w:u w:val="single"/>
        </w:rPr>
      </w:pPr>
      <w:r>
        <w:rPr>
          <w:szCs w:val="24"/>
          <w:u w:val="single"/>
        </w:rPr>
        <w:t>NRG’s Agreement with DLC</w:t>
      </w:r>
    </w:p>
    <w:p w:rsidR="00B537D4" w:rsidRDefault="00B537D4" w:rsidP="00B537D4">
      <w:pPr>
        <w:spacing w:after="0" w:line="360" w:lineRule="auto"/>
        <w:rPr>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r>
        <w:rPr>
          <w:szCs w:val="24"/>
        </w:rPr>
        <w:tab/>
      </w:r>
      <w:r>
        <w:rPr>
          <w:szCs w:val="24"/>
        </w:rPr>
        <w:tab/>
        <w:t>46.</w:t>
      </w:r>
      <w:r>
        <w:rPr>
          <w:szCs w:val="24"/>
        </w:rPr>
        <w:tab/>
      </w:r>
      <w:r>
        <w:rPr>
          <w:rFonts w:eastAsiaTheme="minorHAnsi"/>
          <w:szCs w:val="24"/>
        </w:rPr>
        <w:t>In 2000, Duquesne Light auctioned off its generation assets, approximately 2,500 megawatts, to Orion Power Holdings, Inc. (Orion).  Duquesne Light St. No. 12-R, pp. 23-24.</w:t>
      </w:r>
    </w:p>
    <w:p w:rsidR="00B537D4" w:rsidRDefault="00B537D4" w:rsidP="00B537D4">
      <w:pPr>
        <w:pStyle w:val="ListNumber"/>
        <w:numPr>
          <w:ilvl w:val="0"/>
          <w:numId w:val="0"/>
        </w:numPr>
        <w:tabs>
          <w:tab w:val="left" w:pos="720"/>
        </w:tabs>
        <w:spacing w:line="360" w:lineRule="auto"/>
        <w:jc w:val="left"/>
        <w:rPr>
          <w:rFonts w:eastAsiaTheme="minorHAnsi"/>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r>
        <w:rPr>
          <w:rFonts w:eastAsiaTheme="minorHAnsi"/>
          <w:szCs w:val="24"/>
        </w:rPr>
        <w:tab/>
      </w:r>
      <w:r>
        <w:rPr>
          <w:rFonts w:eastAsiaTheme="minorHAnsi"/>
          <w:szCs w:val="24"/>
        </w:rPr>
        <w:tab/>
        <w:t>47.</w:t>
      </w:r>
      <w:r>
        <w:rPr>
          <w:rFonts w:eastAsiaTheme="minorHAnsi"/>
          <w:szCs w:val="24"/>
        </w:rPr>
        <w:tab/>
        <w:t xml:space="preserve">In January 2001, as part of the agreement to acquire Duquesne Light’s generation assets, Duquesne Light and Orion entered into a Revised QF Agency Agreement whereby Duquesne Light assigned and Orion accepted the obligation to purchase the 6.8 megawatts of net power produced from Beaver Valley Power and BFMA under the negotiated wholesale power purchase agreements described in the above paragraphs under the subheading, </w:t>
      </w:r>
      <w:r>
        <w:rPr>
          <w:szCs w:val="24"/>
          <w:u w:val="single"/>
        </w:rPr>
        <w:t>The Qualifying Facilities and Power Purchase Agreements (PPAs)</w:t>
      </w:r>
      <w:r>
        <w:rPr>
          <w:rFonts w:eastAsiaTheme="minorHAnsi"/>
          <w:szCs w:val="24"/>
        </w:rPr>
        <w:t xml:space="preserve">.  The Revised QF Agency Agreement was approved by FERC on March 8, 2001.  </w:t>
      </w:r>
      <w:r>
        <w:rPr>
          <w:rFonts w:eastAsiaTheme="minorHAnsi"/>
          <w:i/>
          <w:szCs w:val="24"/>
        </w:rPr>
        <w:t>See</w:t>
      </w:r>
      <w:r>
        <w:rPr>
          <w:rFonts w:eastAsiaTheme="minorHAnsi"/>
          <w:szCs w:val="24"/>
        </w:rPr>
        <w:t xml:space="preserve"> FERC Docket No. ER01-1138-000.  Duquesne Light St. No. 12-R, p. 24.</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pStyle w:val="ListNumber"/>
        <w:numPr>
          <w:ilvl w:val="0"/>
          <w:numId w:val="0"/>
        </w:numPr>
        <w:tabs>
          <w:tab w:val="left" w:pos="720"/>
        </w:tabs>
        <w:spacing w:line="360" w:lineRule="auto"/>
        <w:jc w:val="left"/>
        <w:rPr>
          <w:szCs w:val="24"/>
        </w:rPr>
      </w:pPr>
      <w:r>
        <w:rPr>
          <w:szCs w:val="24"/>
        </w:rPr>
        <w:tab/>
      </w:r>
      <w:r>
        <w:rPr>
          <w:szCs w:val="24"/>
        </w:rPr>
        <w:tab/>
        <w:t>48.</w:t>
      </w:r>
      <w:r>
        <w:rPr>
          <w:szCs w:val="24"/>
        </w:rPr>
        <w:tab/>
        <w:t>Orion was merged with RRI Energy Inc. in 2002, which was subsequently acquired by and merged with GenOn Energy, Inc. in 2010, which in turn was acquired by and merged with NRG Energy, Inc. in 2012.  NRG Midwest St. No. 1, p. 3.</w:t>
      </w:r>
    </w:p>
    <w:p w:rsidR="00B537D4" w:rsidRDefault="00B537D4" w:rsidP="00B537D4">
      <w:pPr>
        <w:pStyle w:val="ListNumber"/>
        <w:numPr>
          <w:ilvl w:val="0"/>
          <w:numId w:val="0"/>
        </w:numPr>
        <w:tabs>
          <w:tab w:val="left" w:pos="720"/>
        </w:tabs>
        <w:spacing w:line="360" w:lineRule="auto"/>
        <w:jc w:val="left"/>
        <w:rPr>
          <w:rFonts w:eastAsiaTheme="minorHAnsi"/>
          <w:szCs w:val="24"/>
        </w:rPr>
      </w:pPr>
    </w:p>
    <w:p w:rsidR="00B537D4" w:rsidRDefault="00B537D4" w:rsidP="00B537D4">
      <w:pPr>
        <w:pStyle w:val="ListNumber"/>
        <w:numPr>
          <w:ilvl w:val="0"/>
          <w:numId w:val="0"/>
        </w:numPr>
        <w:tabs>
          <w:tab w:val="left" w:pos="720"/>
        </w:tabs>
        <w:spacing w:line="360" w:lineRule="auto"/>
        <w:ind w:firstLine="720"/>
        <w:jc w:val="left"/>
        <w:rPr>
          <w:rFonts w:eastAsiaTheme="minorHAnsi"/>
          <w:szCs w:val="24"/>
        </w:rPr>
      </w:pPr>
      <w:r>
        <w:rPr>
          <w:rFonts w:eastAsiaTheme="minorHAnsi"/>
          <w:szCs w:val="24"/>
        </w:rPr>
        <w:tab/>
        <w:t>49.</w:t>
      </w:r>
      <w:r>
        <w:rPr>
          <w:rFonts w:eastAsiaTheme="minorHAnsi"/>
          <w:szCs w:val="24"/>
        </w:rPr>
        <w:tab/>
      </w:r>
      <w:r>
        <w:rPr>
          <w:rFonts w:eastAsiaTheme="minorHAnsi"/>
          <w:b/>
          <w:szCs w:val="24"/>
        </w:rPr>
        <w:t>[PROPRIETARY</w:t>
      </w:r>
      <w:r>
        <w:rPr>
          <w:rFonts w:eastAsiaTheme="minorHAnsi"/>
          <w:szCs w:val="24"/>
        </w:rPr>
        <w:t xml:space="preserve">:  </w:t>
      </w:r>
    </w:p>
    <w:p w:rsidR="00B537D4" w:rsidRDefault="00B537D4" w:rsidP="00B537D4">
      <w:pPr>
        <w:pStyle w:val="ListNumber"/>
        <w:numPr>
          <w:ilvl w:val="0"/>
          <w:numId w:val="0"/>
        </w:numPr>
        <w:tabs>
          <w:tab w:val="left" w:pos="720"/>
        </w:tabs>
        <w:spacing w:line="360" w:lineRule="auto"/>
        <w:ind w:firstLine="720"/>
        <w:jc w:val="left"/>
        <w:rPr>
          <w:rFonts w:eastAsiaTheme="minorHAnsi"/>
          <w:szCs w:val="24"/>
        </w:rPr>
      </w:pPr>
    </w:p>
    <w:p w:rsidR="00B537D4" w:rsidRDefault="00B537D4" w:rsidP="00B537D4">
      <w:pPr>
        <w:pStyle w:val="ListNumber"/>
        <w:numPr>
          <w:ilvl w:val="0"/>
          <w:numId w:val="0"/>
        </w:numPr>
        <w:tabs>
          <w:tab w:val="left" w:pos="720"/>
        </w:tabs>
        <w:spacing w:line="360" w:lineRule="auto"/>
        <w:ind w:firstLine="720"/>
        <w:jc w:val="left"/>
        <w:rPr>
          <w:rFonts w:eastAsiaTheme="minorHAnsi"/>
          <w:szCs w:val="24"/>
        </w:rPr>
      </w:pPr>
    </w:p>
    <w:p w:rsidR="00B537D4" w:rsidRDefault="00B537D4" w:rsidP="00B537D4">
      <w:pPr>
        <w:pStyle w:val="ListNumber"/>
        <w:numPr>
          <w:ilvl w:val="0"/>
          <w:numId w:val="0"/>
        </w:numPr>
        <w:tabs>
          <w:tab w:val="left" w:pos="720"/>
        </w:tabs>
        <w:spacing w:line="360" w:lineRule="auto"/>
        <w:ind w:firstLine="720"/>
        <w:jc w:val="left"/>
        <w:rPr>
          <w:rFonts w:eastAsiaTheme="minorHAnsi"/>
          <w:szCs w:val="24"/>
        </w:rPr>
      </w:pPr>
      <w:r>
        <w:rPr>
          <w:rFonts w:eastAsiaTheme="minorHAnsi"/>
          <w:szCs w:val="24"/>
        </w:rPr>
        <w:t xml:space="preserve">                                                                                                                                         </w:t>
      </w:r>
      <w:r>
        <w:rPr>
          <w:rFonts w:eastAsiaTheme="minorHAnsi"/>
          <w:b/>
          <w:szCs w:val="24"/>
        </w:rPr>
        <w:t>]</w:t>
      </w:r>
      <w:r>
        <w:rPr>
          <w:rFonts w:eastAsiaTheme="minorHAnsi"/>
          <w:szCs w:val="24"/>
        </w:rPr>
        <w:t xml:space="preserve"> Duquesne Light Highly Confidential Exhibit WVP 6-R, at page 2.</w:t>
      </w:r>
    </w:p>
    <w:p w:rsidR="00B537D4" w:rsidRDefault="00B537D4" w:rsidP="00B537D4">
      <w:pPr>
        <w:pStyle w:val="ListNumber"/>
        <w:numPr>
          <w:ilvl w:val="0"/>
          <w:numId w:val="0"/>
        </w:numPr>
        <w:tabs>
          <w:tab w:val="left" w:pos="720"/>
        </w:tabs>
        <w:spacing w:line="360" w:lineRule="auto"/>
        <w:ind w:left="720"/>
        <w:jc w:val="left"/>
        <w:rPr>
          <w:rFonts w:eastAsiaTheme="minorHAnsi"/>
          <w:szCs w:val="24"/>
        </w:rPr>
      </w:pPr>
    </w:p>
    <w:p w:rsidR="00B537D4" w:rsidRDefault="00B537D4" w:rsidP="00B537D4">
      <w:pPr>
        <w:pStyle w:val="ListNumber"/>
        <w:numPr>
          <w:ilvl w:val="0"/>
          <w:numId w:val="0"/>
        </w:numPr>
        <w:tabs>
          <w:tab w:val="left" w:pos="720"/>
        </w:tabs>
        <w:spacing w:line="360" w:lineRule="auto"/>
        <w:jc w:val="left"/>
        <w:rPr>
          <w:rFonts w:eastAsiaTheme="minorHAnsi"/>
          <w:szCs w:val="24"/>
        </w:rPr>
      </w:pPr>
      <w:r>
        <w:rPr>
          <w:rFonts w:eastAsiaTheme="minorHAnsi"/>
          <w:szCs w:val="24"/>
        </w:rPr>
        <w:tab/>
      </w:r>
      <w:r>
        <w:rPr>
          <w:rFonts w:eastAsiaTheme="minorHAnsi"/>
          <w:szCs w:val="24"/>
        </w:rPr>
        <w:tab/>
        <w:t>50.</w:t>
      </w:r>
      <w:r>
        <w:rPr>
          <w:rFonts w:eastAsiaTheme="minorHAnsi"/>
          <w:szCs w:val="24"/>
        </w:rPr>
        <w:tab/>
        <w:t>Under the Revised QF Agency Agreement, NRG Midwest is required to purchase the net power produced from Beaver Valley Power and BFMA pursuant to the PPAs and the terms and conditions of Duquesne Light’s Tariff, which in turn provide that the price to be paid for the net output is the wholesale rate set forth in Rider No. 18.  NRG Midwest St. No. 1, pp. 3-4.</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pStyle w:val="ListNumber"/>
        <w:numPr>
          <w:ilvl w:val="0"/>
          <w:numId w:val="0"/>
        </w:numPr>
        <w:tabs>
          <w:tab w:val="left" w:pos="720"/>
        </w:tabs>
        <w:spacing w:line="360" w:lineRule="auto"/>
        <w:jc w:val="left"/>
        <w:rPr>
          <w:szCs w:val="24"/>
        </w:rPr>
      </w:pPr>
      <w:r>
        <w:rPr>
          <w:szCs w:val="24"/>
        </w:rPr>
        <w:tab/>
      </w:r>
      <w:r>
        <w:rPr>
          <w:szCs w:val="24"/>
        </w:rPr>
        <w:tab/>
        <w:t>51.</w:t>
      </w:r>
      <w:r>
        <w:rPr>
          <w:szCs w:val="24"/>
        </w:rPr>
        <w:tab/>
        <w:t>Pursuant to the Revised QF Agency Agreement, the six (6) cents per kilowatt-hour rate under Duquesne Light’s Rider No. 18 is paid entirely by NRG Midwest to Duquesne Light and then passed through to the qualifying facilities, Beaver Valley Power and BFMA.  Duquesne Light St. No. 12-R, p. 25.</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pStyle w:val="ListNumber"/>
        <w:numPr>
          <w:ilvl w:val="0"/>
          <w:numId w:val="0"/>
        </w:numPr>
        <w:tabs>
          <w:tab w:val="left" w:pos="720"/>
        </w:tabs>
        <w:spacing w:line="360" w:lineRule="auto"/>
        <w:jc w:val="left"/>
        <w:rPr>
          <w:szCs w:val="24"/>
        </w:rPr>
      </w:pPr>
      <w:r>
        <w:rPr>
          <w:szCs w:val="24"/>
        </w:rPr>
        <w:tab/>
      </w:r>
      <w:r>
        <w:rPr>
          <w:szCs w:val="24"/>
        </w:rPr>
        <w:tab/>
        <w:t>52.</w:t>
      </w:r>
      <w:r>
        <w:rPr>
          <w:szCs w:val="24"/>
        </w:rPr>
        <w:tab/>
        <w:t xml:space="preserve">The rates paid by NRG Midwest under Rider No. 18 to Duquesne Light have no impact on the base rates paid by Duquesne Light’s retail customers, the revenues received by Duquesne Light, or the services provided to Duquesne Light’s customers. </w:t>
      </w:r>
      <w:r>
        <w:rPr>
          <w:i/>
          <w:szCs w:val="24"/>
        </w:rPr>
        <w:t xml:space="preserve"> Id.</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pStyle w:val="ListNumber"/>
        <w:numPr>
          <w:ilvl w:val="0"/>
          <w:numId w:val="0"/>
        </w:numPr>
        <w:tabs>
          <w:tab w:val="left" w:pos="720"/>
        </w:tabs>
        <w:spacing w:line="360" w:lineRule="auto"/>
        <w:jc w:val="left"/>
        <w:rPr>
          <w:szCs w:val="24"/>
        </w:rPr>
      </w:pPr>
      <w:r>
        <w:rPr>
          <w:szCs w:val="24"/>
        </w:rPr>
        <w:tab/>
      </w:r>
      <w:r>
        <w:rPr>
          <w:szCs w:val="24"/>
        </w:rPr>
        <w:tab/>
        <w:t>53.</w:t>
      </w:r>
      <w:r>
        <w:rPr>
          <w:szCs w:val="24"/>
        </w:rPr>
        <w:tab/>
        <w:t>“NRG Midwest and its predecessors have paid the $60 per megawatt hour price ($0.06 per kilowatt-hour) for the past twelve years.  Specifically, between 2008 and 2012, the total average annual production under both PPAs has been 21,350 MWh at an average annual cost under Rider No. 18 of $1,219,494.  NRG Midwest St. No. 1, p. 6.</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54.</w:t>
      </w:r>
      <w:r>
        <w:rPr>
          <w:szCs w:val="24"/>
        </w:rPr>
        <w:tab/>
        <w:t>In the Duquesne Light service area, the PJM Interconnect, LLC (PJM) day-ahead locational marginal prices (DALMP) for energy, from 2009 to the present, range from $31.53 MWh to $38.89 MWh.  NRG Midwest St. No. 1, p. 5.  NRG Midwest St. No. 1, p. 5.  The table below reflects the DALMP for the Duquesne Light service area.</w:t>
      </w:r>
    </w:p>
    <w:p w:rsidR="00B537D4" w:rsidRDefault="00B46A86" w:rsidP="00B537D4">
      <w:pPr>
        <w:spacing w:after="0" w:line="360" w:lineRule="auto"/>
        <w:rPr>
          <w:szCs w:val="24"/>
        </w:rPr>
      </w:pPr>
      <w:r>
        <w:rPr>
          <w:noProof/>
        </w:rPr>
        <w:drawing>
          <wp:anchor distT="0" distB="0" distL="114300" distR="114300" simplePos="0" relativeHeight="251664384" behindDoc="1" locked="0" layoutInCell="1" allowOverlap="1" wp14:anchorId="7D7164EB" wp14:editId="02397CE4">
            <wp:simplePos x="0" y="0"/>
            <wp:positionH relativeFrom="column">
              <wp:posOffset>-261257</wp:posOffset>
            </wp:positionH>
            <wp:positionV relativeFrom="paragraph">
              <wp:posOffset>25892</wp:posOffset>
            </wp:positionV>
            <wp:extent cx="6540759" cy="21926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0500" cy="2192607"/>
                    </a:xfrm>
                    <a:prstGeom prst="rect">
                      <a:avLst/>
                    </a:prstGeom>
                    <a:noFill/>
                  </pic:spPr>
                </pic:pic>
              </a:graphicData>
            </a:graphic>
            <wp14:sizeRelH relativeFrom="margin">
              <wp14:pctWidth>0</wp14:pctWidth>
            </wp14:sizeRelH>
            <wp14:sizeRelV relativeFrom="margin">
              <wp14:pctHeight>0</wp14:pctHeight>
            </wp14:sizeRelV>
          </wp:anchor>
        </w:drawing>
      </w:r>
    </w:p>
    <w:p w:rsidR="00B537D4" w:rsidRDefault="00B537D4" w:rsidP="00B537D4">
      <w:pPr>
        <w:spacing w:after="0" w:line="360" w:lineRule="auto"/>
        <w:rPr>
          <w:szCs w:val="24"/>
        </w:rPr>
      </w:pPr>
    </w:p>
    <w:p w:rsidR="00B537D4" w:rsidRDefault="00B537D4" w:rsidP="00B537D4">
      <w:pPr>
        <w:spacing w:after="0" w:line="360" w:lineRule="auto"/>
        <w:rPr>
          <w:szCs w:val="24"/>
        </w:rPr>
      </w:pPr>
    </w:p>
    <w:p w:rsidR="00B537D4" w:rsidRDefault="00B537D4" w:rsidP="00B537D4">
      <w:pPr>
        <w:spacing w:after="0" w:line="360" w:lineRule="auto"/>
        <w:rPr>
          <w:szCs w:val="24"/>
        </w:rPr>
      </w:pPr>
    </w:p>
    <w:p w:rsidR="00B537D4" w:rsidRDefault="00B537D4" w:rsidP="00B537D4">
      <w:pPr>
        <w:spacing w:after="0" w:line="360" w:lineRule="auto"/>
        <w:rPr>
          <w:szCs w:val="24"/>
        </w:rPr>
      </w:pPr>
    </w:p>
    <w:p w:rsidR="00B537D4" w:rsidRDefault="00B537D4" w:rsidP="00B537D4">
      <w:pPr>
        <w:spacing w:after="0" w:line="360" w:lineRule="auto"/>
        <w:rPr>
          <w:szCs w:val="24"/>
        </w:rPr>
      </w:pPr>
    </w:p>
    <w:p w:rsidR="00B537D4" w:rsidRDefault="00B537D4" w:rsidP="00B537D4">
      <w:pPr>
        <w:spacing w:after="0" w:line="360" w:lineRule="auto"/>
        <w:rPr>
          <w:szCs w:val="24"/>
        </w:rPr>
      </w:pPr>
    </w:p>
    <w:p w:rsidR="00B537D4" w:rsidRDefault="00B537D4" w:rsidP="00B537D4">
      <w:pPr>
        <w:pStyle w:val="ListNumber"/>
        <w:numPr>
          <w:ilvl w:val="0"/>
          <w:numId w:val="0"/>
        </w:numPr>
        <w:tabs>
          <w:tab w:val="left" w:pos="720"/>
        </w:tabs>
        <w:spacing w:line="360" w:lineRule="auto"/>
        <w:jc w:val="left"/>
        <w:rPr>
          <w:szCs w:val="24"/>
        </w:rPr>
      </w:pPr>
      <w:r>
        <w:rPr>
          <w:szCs w:val="24"/>
        </w:rPr>
        <w:t xml:space="preserve">NRG Midwest Exhibit No. 4. </w:t>
      </w:r>
      <w:r>
        <w:rPr>
          <w:color w:val="C00000"/>
          <w:szCs w:val="24"/>
        </w:rPr>
        <w:t xml:space="preserve"> </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pStyle w:val="ListNumber"/>
        <w:numPr>
          <w:ilvl w:val="0"/>
          <w:numId w:val="0"/>
        </w:numPr>
        <w:tabs>
          <w:tab w:val="left" w:pos="720"/>
        </w:tabs>
        <w:spacing w:line="360" w:lineRule="auto"/>
        <w:jc w:val="left"/>
        <w:rPr>
          <w:szCs w:val="24"/>
        </w:rPr>
      </w:pPr>
      <w:r>
        <w:rPr>
          <w:szCs w:val="24"/>
        </w:rPr>
        <w:tab/>
      </w:r>
      <w:r>
        <w:rPr>
          <w:szCs w:val="24"/>
        </w:rPr>
        <w:tab/>
        <w:t>55.</w:t>
      </w:r>
      <w:r>
        <w:rPr>
          <w:szCs w:val="24"/>
        </w:rPr>
        <w:tab/>
        <w:t xml:space="preserve">The average PJM </w:t>
      </w:r>
      <w:r>
        <w:rPr>
          <w:rFonts w:eastAsiaTheme="minorHAnsi"/>
          <w:szCs w:val="24"/>
        </w:rPr>
        <w:t>day-ahead locational marginal price</w:t>
      </w:r>
      <w:r>
        <w:rPr>
          <w:szCs w:val="24"/>
        </w:rPr>
        <w:t xml:space="preserve"> in the Duquesne Light service area is a benchmark for a price that a utility may be able to purchase power in today’s deregulated electric environment.  Hr’g Tr. 323.</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pStyle w:val="ListNumber"/>
        <w:numPr>
          <w:ilvl w:val="0"/>
          <w:numId w:val="0"/>
        </w:numPr>
        <w:tabs>
          <w:tab w:val="left" w:pos="720"/>
        </w:tabs>
        <w:spacing w:line="360" w:lineRule="auto"/>
        <w:jc w:val="left"/>
        <w:rPr>
          <w:szCs w:val="24"/>
        </w:rPr>
      </w:pPr>
      <w:r>
        <w:rPr>
          <w:szCs w:val="24"/>
        </w:rPr>
        <w:tab/>
      </w:r>
      <w:r>
        <w:rPr>
          <w:szCs w:val="24"/>
        </w:rPr>
        <w:tab/>
        <w:t>56.</w:t>
      </w:r>
      <w:r>
        <w:rPr>
          <w:szCs w:val="24"/>
        </w:rPr>
        <w:tab/>
        <w:t>Duquesne Light’s Rider No. 18 dictates that NRG Midwest effectively pays approximately double the price for power as is available for purchase in today’s deregulated electric environment.  Hr’g Tr. 321-323; NRG Midwest St. No. 1, pp. 5-6.</w:t>
      </w:r>
    </w:p>
    <w:p w:rsidR="00B537D4" w:rsidRDefault="00B537D4" w:rsidP="00B537D4">
      <w:pPr>
        <w:pStyle w:val="ListNumber"/>
        <w:numPr>
          <w:ilvl w:val="0"/>
          <w:numId w:val="0"/>
        </w:numPr>
        <w:tabs>
          <w:tab w:val="left" w:pos="720"/>
        </w:tabs>
        <w:spacing w:line="360" w:lineRule="auto"/>
        <w:jc w:val="left"/>
        <w:rPr>
          <w:szCs w:val="24"/>
          <w:u w:val="single"/>
        </w:rPr>
      </w:pPr>
    </w:p>
    <w:p w:rsidR="00B537D4" w:rsidRDefault="00B537D4" w:rsidP="00B537D4">
      <w:pPr>
        <w:pStyle w:val="ListNumber"/>
        <w:numPr>
          <w:ilvl w:val="0"/>
          <w:numId w:val="0"/>
        </w:numPr>
        <w:tabs>
          <w:tab w:val="left" w:pos="720"/>
        </w:tabs>
        <w:spacing w:line="360" w:lineRule="auto"/>
        <w:jc w:val="left"/>
        <w:rPr>
          <w:szCs w:val="24"/>
          <w:u w:val="single"/>
        </w:rPr>
      </w:pPr>
      <w:r>
        <w:rPr>
          <w:szCs w:val="24"/>
          <w:u w:val="single"/>
        </w:rPr>
        <w:t xml:space="preserve">Industry Restructuring and Avoided Costs </w:t>
      </w:r>
    </w:p>
    <w:p w:rsidR="00B537D4" w:rsidRDefault="00B537D4" w:rsidP="00B537D4">
      <w:pPr>
        <w:pStyle w:val="ListNumber"/>
        <w:numPr>
          <w:ilvl w:val="0"/>
          <w:numId w:val="0"/>
        </w:numPr>
        <w:tabs>
          <w:tab w:val="left" w:pos="720"/>
        </w:tabs>
        <w:spacing w:line="360" w:lineRule="auto"/>
        <w:jc w:val="left"/>
        <w:rPr>
          <w:szCs w:val="24"/>
        </w:rPr>
      </w:pPr>
    </w:p>
    <w:p w:rsidR="00B537D4" w:rsidRDefault="00B537D4" w:rsidP="00B537D4">
      <w:pPr>
        <w:spacing w:after="0" w:line="360" w:lineRule="auto"/>
        <w:rPr>
          <w:szCs w:val="24"/>
        </w:rPr>
      </w:pPr>
      <w:r>
        <w:rPr>
          <w:szCs w:val="24"/>
        </w:rPr>
        <w:tab/>
      </w:r>
      <w:r>
        <w:rPr>
          <w:szCs w:val="24"/>
        </w:rPr>
        <w:tab/>
        <w:t>5</w:t>
      </w:r>
      <w:r w:rsidR="00B46A86">
        <w:rPr>
          <w:szCs w:val="24"/>
        </w:rPr>
        <w:t>7</w:t>
      </w:r>
      <w:r>
        <w:rPr>
          <w:szCs w:val="24"/>
        </w:rPr>
        <w:t>.</w:t>
      </w:r>
      <w:r>
        <w:rPr>
          <w:szCs w:val="24"/>
        </w:rPr>
        <w:tab/>
        <w:t>The electric utility industry has undergone a restructuring since the effective date of Duquesne Light’s Rider No. 18.</w:t>
      </w:r>
    </w:p>
    <w:p w:rsidR="00B537D4" w:rsidRDefault="00B537D4" w:rsidP="00B537D4">
      <w:pPr>
        <w:spacing w:after="0" w:line="360" w:lineRule="auto"/>
        <w:rPr>
          <w:rFonts w:eastAsia="Times New Roman"/>
          <w:szCs w:val="24"/>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5</w:t>
      </w:r>
      <w:r w:rsidR="00B46A86">
        <w:rPr>
          <w:rFonts w:eastAsia="Times New Roman"/>
          <w:szCs w:val="24"/>
        </w:rPr>
        <w:t>8</w:t>
      </w:r>
      <w:r>
        <w:rPr>
          <w:rFonts w:eastAsia="Times New Roman"/>
          <w:szCs w:val="24"/>
        </w:rPr>
        <w:t>.</w:t>
      </w:r>
      <w:r>
        <w:rPr>
          <w:rFonts w:eastAsia="Times New Roman"/>
          <w:szCs w:val="24"/>
        </w:rPr>
        <w:tab/>
        <w:t>In 1996, the Electricity Generation Customer Choice and Competition Act (Competition Act), 66 Pa.C.S. § 2801, et seq.</w:t>
      </w:r>
      <w:r>
        <w:rPr>
          <w:rFonts w:eastAsia="Times New Roman"/>
          <w:szCs w:val="24"/>
        </w:rPr>
        <w:fldChar w:fldCharType="begin"/>
      </w:r>
      <w:r>
        <w:rPr>
          <w:rFonts w:eastAsia="Times New Roman"/>
          <w:szCs w:val="24"/>
        </w:rPr>
        <w:instrText xml:space="preserve"> TA \s "Electricity Generation Customer Choice and Competition Act (the \"Competition Act\"), 66 Pa. C.S. § 2801 et seq" </w:instrText>
      </w:r>
      <w:r>
        <w:rPr>
          <w:rFonts w:eastAsia="Times New Roman"/>
          <w:szCs w:val="24"/>
        </w:rPr>
        <w:fldChar w:fldCharType="end"/>
      </w:r>
      <w:r>
        <w:rPr>
          <w:rFonts w:eastAsia="Times New Roman"/>
          <w:szCs w:val="24"/>
        </w:rPr>
        <w:t>, was signed into law in Pennsylvania.</w:t>
      </w:r>
    </w:p>
    <w:p w:rsidR="00B537D4" w:rsidRDefault="00B46A86" w:rsidP="00B537D4">
      <w:pPr>
        <w:spacing w:after="0" w:line="360" w:lineRule="auto"/>
        <w:rPr>
          <w:rFonts w:eastAsia="Times New Roman"/>
          <w:szCs w:val="24"/>
        </w:rPr>
      </w:pPr>
      <w:r>
        <w:rPr>
          <w:rFonts w:eastAsia="Times New Roman"/>
          <w:szCs w:val="24"/>
        </w:rPr>
        <w:tab/>
      </w:r>
      <w:r>
        <w:rPr>
          <w:rFonts w:eastAsia="Times New Roman"/>
          <w:szCs w:val="24"/>
        </w:rPr>
        <w:tab/>
        <w:t>59</w:t>
      </w:r>
      <w:r w:rsidR="00B537D4">
        <w:rPr>
          <w:rFonts w:eastAsia="Times New Roman"/>
          <w:szCs w:val="24"/>
        </w:rPr>
        <w:t>.</w:t>
      </w:r>
      <w:r w:rsidR="00B537D4">
        <w:rPr>
          <w:rFonts w:eastAsia="Times New Roman"/>
          <w:szCs w:val="24"/>
        </w:rPr>
        <w:tab/>
        <w:t>In support of the Competition Act, the General Assembly found that providing retail customers access to a competitive generation market was in the public interest, and that competitive market forces are more effective than economic regulation in controlling the cost of generating electricity.  66 Pa.C.S. § 2802.</w:t>
      </w:r>
    </w:p>
    <w:p w:rsidR="00B537D4" w:rsidRDefault="00B537D4" w:rsidP="00B537D4">
      <w:pPr>
        <w:spacing w:after="0" w:line="360" w:lineRule="auto"/>
        <w:rPr>
          <w:rFonts w:eastAsia="Times New Roman"/>
          <w:szCs w:val="24"/>
        </w:rPr>
      </w:pPr>
    </w:p>
    <w:p w:rsidR="00B537D4" w:rsidRDefault="00B537D4" w:rsidP="00B537D4">
      <w:pPr>
        <w:spacing w:after="0" w:line="360" w:lineRule="auto"/>
        <w:ind w:firstLine="90"/>
        <w:rPr>
          <w:rFonts w:eastAsia="Times New Roman"/>
          <w:szCs w:val="24"/>
        </w:rPr>
      </w:pPr>
      <w:r>
        <w:rPr>
          <w:rFonts w:eastAsia="Times New Roman"/>
          <w:szCs w:val="24"/>
        </w:rPr>
        <w:tab/>
      </w:r>
      <w:r>
        <w:rPr>
          <w:rFonts w:eastAsia="Times New Roman"/>
          <w:szCs w:val="24"/>
        </w:rPr>
        <w:tab/>
        <w:t>6</w:t>
      </w:r>
      <w:r w:rsidR="00B46A86">
        <w:rPr>
          <w:rFonts w:eastAsia="Times New Roman"/>
          <w:szCs w:val="24"/>
        </w:rPr>
        <w:t>0</w:t>
      </w:r>
      <w:r>
        <w:rPr>
          <w:rFonts w:eastAsia="Times New Roman"/>
          <w:szCs w:val="24"/>
        </w:rPr>
        <w:t>.</w:t>
      </w:r>
      <w:r>
        <w:rPr>
          <w:rFonts w:eastAsia="Times New Roman"/>
          <w:szCs w:val="24"/>
        </w:rPr>
        <w:tab/>
        <w:t>The Alternative Energy Portfolio Standards Act (AEPS Act), 73 P.S. § 1648.1, et seq.</w:t>
      </w:r>
      <w:r>
        <w:rPr>
          <w:rFonts w:eastAsia="Times New Roman"/>
          <w:szCs w:val="24"/>
        </w:rPr>
        <w:fldChar w:fldCharType="begin"/>
      </w:r>
      <w:r>
        <w:rPr>
          <w:rFonts w:eastAsia="Times New Roman"/>
          <w:szCs w:val="24"/>
        </w:rPr>
        <w:instrText xml:space="preserve"> TA \s "Alternative Energy Portfolio Standards Act (\"AEPS Act\"), 73 P.S. § 1648.1 et seq." </w:instrText>
      </w:r>
      <w:r>
        <w:rPr>
          <w:rFonts w:eastAsia="Times New Roman"/>
          <w:szCs w:val="24"/>
        </w:rPr>
        <w:fldChar w:fldCharType="end"/>
      </w:r>
      <w:r>
        <w:rPr>
          <w:rFonts w:eastAsia="Times New Roman"/>
          <w:szCs w:val="24"/>
        </w:rPr>
        <w:t>, was signed into law in 2004.</w:t>
      </w:r>
    </w:p>
    <w:p w:rsidR="00B537D4" w:rsidRDefault="00B537D4" w:rsidP="00B537D4">
      <w:pPr>
        <w:spacing w:after="0" w:line="360" w:lineRule="auto"/>
        <w:ind w:left="1080"/>
        <w:rPr>
          <w:rFonts w:eastAsia="Times New Roman"/>
          <w:szCs w:val="24"/>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6</w:t>
      </w:r>
      <w:r w:rsidR="00B46A86">
        <w:rPr>
          <w:rFonts w:eastAsia="Times New Roman"/>
          <w:szCs w:val="24"/>
        </w:rPr>
        <w:t>1</w:t>
      </w:r>
      <w:r>
        <w:rPr>
          <w:rFonts w:eastAsia="Times New Roman"/>
          <w:szCs w:val="24"/>
        </w:rPr>
        <w:t>.</w:t>
      </w:r>
      <w:r>
        <w:rPr>
          <w:rFonts w:eastAsia="Times New Roman"/>
          <w:szCs w:val="24"/>
        </w:rPr>
        <w:tab/>
        <w:t>The AEPS Act establishes a firm incentive for electric distribution companies and electric generation suppliers to purchase power from alternative energy sources and at a price that accounts for the additional “green” attributes of that power, representing a market-based premium over wholesale prices for traditional power.</w:t>
      </w:r>
    </w:p>
    <w:p w:rsidR="00B537D4" w:rsidRDefault="00B537D4" w:rsidP="00B537D4">
      <w:pPr>
        <w:spacing w:after="0" w:line="360" w:lineRule="auto"/>
        <w:rPr>
          <w:rFonts w:eastAsia="Times New Roman"/>
          <w:szCs w:val="24"/>
        </w:rPr>
      </w:pPr>
    </w:p>
    <w:p w:rsidR="00B537D4" w:rsidRDefault="00B537D4" w:rsidP="00B537D4">
      <w:pPr>
        <w:spacing w:after="0" w:line="360" w:lineRule="auto"/>
        <w:rPr>
          <w:rFonts w:eastAsia="Times New Roman"/>
          <w:szCs w:val="24"/>
        </w:rPr>
      </w:pPr>
      <w:r>
        <w:rPr>
          <w:rFonts w:eastAsia="Times New Roman"/>
          <w:szCs w:val="24"/>
        </w:rPr>
        <w:tab/>
      </w:r>
      <w:r>
        <w:rPr>
          <w:rFonts w:eastAsia="Times New Roman"/>
          <w:szCs w:val="24"/>
        </w:rPr>
        <w:tab/>
        <w:t>6</w:t>
      </w:r>
      <w:r w:rsidR="00B46A86">
        <w:rPr>
          <w:rFonts w:eastAsia="Times New Roman"/>
          <w:szCs w:val="24"/>
        </w:rPr>
        <w:t>2</w:t>
      </w:r>
      <w:r>
        <w:rPr>
          <w:rFonts w:eastAsia="Times New Roman"/>
          <w:szCs w:val="24"/>
        </w:rPr>
        <w:t>.</w:t>
      </w:r>
      <w:r>
        <w:rPr>
          <w:rFonts w:eastAsia="Times New Roman"/>
          <w:szCs w:val="24"/>
        </w:rPr>
        <w:tab/>
        <w:t>Currently, Beaver Falls Authority sells the alternative energy credits it generates as a Tier I renewable resource.  Hr’g Tr. 439:2-8, 22-25.</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6</w:t>
      </w:r>
      <w:r w:rsidR="00B46A86">
        <w:rPr>
          <w:szCs w:val="24"/>
        </w:rPr>
        <w:t>3</w:t>
      </w:r>
      <w:r>
        <w:rPr>
          <w:szCs w:val="24"/>
        </w:rPr>
        <w:t>.</w:t>
      </w:r>
      <w:r>
        <w:rPr>
          <w:szCs w:val="24"/>
        </w:rPr>
        <w:tab/>
        <w:t>The PJM Interconnection’s average day-ahead locational marginal pricing (DALMP) for the Duquesne Light service area demonstrates that the present cost of power in the competitive wholesale markets is lower than the current six cents per kilowatt rate under Duquesne Light’s Rider No. 18.</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6</w:t>
      </w:r>
      <w:r w:rsidR="00B46A86">
        <w:rPr>
          <w:szCs w:val="24"/>
        </w:rPr>
        <w:t>4</w:t>
      </w:r>
      <w:r>
        <w:rPr>
          <w:szCs w:val="24"/>
        </w:rPr>
        <w:t>.</w:t>
      </w:r>
      <w:r>
        <w:rPr>
          <w:szCs w:val="24"/>
        </w:rPr>
        <w:tab/>
        <w:t>After the restructuring of the electric industry, Duquesne Light’s Rider No. 18’s six cents per kilowatt rate is no longer compliant with the Commission’s regulations.</w:t>
      </w:r>
    </w:p>
    <w:p w:rsidR="00B537D4" w:rsidRDefault="00B537D4" w:rsidP="00B537D4">
      <w:pPr>
        <w:pStyle w:val="ListNumber"/>
        <w:numPr>
          <w:ilvl w:val="0"/>
          <w:numId w:val="0"/>
        </w:numPr>
        <w:tabs>
          <w:tab w:val="left" w:pos="720"/>
        </w:tabs>
        <w:spacing w:line="360" w:lineRule="auto"/>
        <w:jc w:val="left"/>
        <w:rPr>
          <w:szCs w:val="24"/>
          <w:highlight w:val="yellow"/>
        </w:rPr>
      </w:pPr>
    </w:p>
    <w:p w:rsidR="00B537D4" w:rsidRDefault="00B537D4" w:rsidP="00B537D4">
      <w:pPr>
        <w:rPr>
          <w:szCs w:val="24"/>
        </w:rPr>
      </w:pPr>
      <w:r>
        <w:rPr>
          <w:szCs w:val="24"/>
        </w:rPr>
        <w:br w:type="page"/>
      </w:r>
    </w:p>
    <w:p w:rsidR="00B537D4" w:rsidRDefault="00B537D4" w:rsidP="00B537D4">
      <w:pPr>
        <w:spacing w:after="0" w:line="360" w:lineRule="auto"/>
        <w:jc w:val="center"/>
        <w:rPr>
          <w:szCs w:val="24"/>
        </w:rPr>
      </w:pPr>
      <w:r>
        <w:rPr>
          <w:szCs w:val="24"/>
        </w:rPr>
        <w:t>IV.</w:t>
      </w:r>
      <w:r>
        <w:rPr>
          <w:szCs w:val="24"/>
        </w:rPr>
        <w:tab/>
      </w:r>
      <w:r>
        <w:rPr>
          <w:szCs w:val="24"/>
          <w:u w:val="single"/>
        </w:rPr>
        <w:t>DISCUSSION</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 xml:space="preserve">A. </w:t>
      </w:r>
      <w:r>
        <w:rPr>
          <w:szCs w:val="24"/>
        </w:rPr>
        <w:tab/>
      </w:r>
      <w:r>
        <w:rPr>
          <w:szCs w:val="24"/>
          <w:u w:val="single"/>
        </w:rPr>
        <w:t>Applicable Legal Principles</w:t>
      </w:r>
    </w:p>
    <w:p w:rsidR="00B537D4" w:rsidRDefault="00B537D4" w:rsidP="00B537D4">
      <w:pPr>
        <w:spacing w:after="0" w:line="360" w:lineRule="auto"/>
        <w:rPr>
          <w:szCs w:val="24"/>
        </w:rPr>
      </w:pPr>
    </w:p>
    <w:p w:rsidR="00B537D4" w:rsidRDefault="00B537D4" w:rsidP="00B537D4">
      <w:pPr>
        <w:spacing w:after="0" w:line="360" w:lineRule="auto"/>
        <w:ind w:firstLine="720"/>
        <w:rPr>
          <w:szCs w:val="24"/>
        </w:rPr>
      </w:pPr>
      <w:r>
        <w:rPr>
          <w:szCs w:val="24"/>
        </w:rPr>
        <w:t>1.</w:t>
      </w:r>
      <w:r>
        <w:rPr>
          <w:szCs w:val="24"/>
        </w:rPr>
        <w:tab/>
      </w:r>
      <w:r>
        <w:rPr>
          <w:szCs w:val="24"/>
          <w:u w:val="single"/>
        </w:rPr>
        <w:t>Public Utility Regulatory Policies Act of 1978 (PURPA)</w:t>
      </w:r>
    </w:p>
    <w:p w:rsidR="00B537D4" w:rsidRDefault="00B537D4" w:rsidP="00B537D4">
      <w:pPr>
        <w:spacing w:after="0" w:line="360" w:lineRule="auto"/>
        <w:ind w:firstLine="720"/>
        <w:rPr>
          <w:szCs w:val="24"/>
        </w:rPr>
      </w:pPr>
    </w:p>
    <w:p w:rsidR="00B537D4" w:rsidRDefault="00B537D4" w:rsidP="00B537D4">
      <w:pPr>
        <w:spacing w:after="0" w:line="360" w:lineRule="auto"/>
        <w:ind w:firstLine="720"/>
        <w:rPr>
          <w:szCs w:val="24"/>
        </w:rPr>
      </w:pPr>
      <w:r>
        <w:rPr>
          <w:szCs w:val="24"/>
        </w:rPr>
        <w:tab/>
        <w:t>The purpose of the Public Utility Regulatory Policies Act of 1978 (PURPA), 16 U.S.C. §§ 824, et seq., as enacted by Congress, was to promote the development of alternative power, including renewable energy, through cogeneration and small power production by requiring public utilities to purchase energy and capacity from cogeneration and small independent power producers, that is qualifying facilities (QFs), at their incremental or avoided costs.  In furtherance of PURPA, the Federal Energy Regulatory Commission (FERC) established regulations governing the purchase rates for energy, which in relevant part, provide as follows:</w:t>
      </w:r>
    </w:p>
    <w:p w:rsidR="00B537D4" w:rsidRDefault="00B537D4" w:rsidP="00B537D4">
      <w:pPr>
        <w:spacing w:after="0" w:line="360" w:lineRule="auto"/>
        <w:ind w:firstLine="720"/>
        <w:rPr>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Rates for purchases. </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(a) Rates for purchases. (1) Rates for purchases shall:</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(i) Be just and reasonable to the electric consumer of the electric utility and in the public interest; and</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(ii) Not discriminate against qualifying cogeneration and small power production facilities.</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(2) Nothing in this subpart requires any electric utility to pay more than the avoided costs for purchases.</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(b) Relationship to avoided costs. (1) For purposes of this paragraph, "new capacity" means any purchase from capacity of a qualifying facility, construction of which was commenced on or after November 9, 1978.</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(2) Subject to paragraph (b)(3) of this section, a rate for purchases satisfies the requirements of paragraph (a) of this section if the rate equals the avoided costs determined after consideration of the factors set forth in paragraph (e) of this section</w:t>
      </w:r>
      <w:r w:rsidR="004C7B3B">
        <w:rPr>
          <w:rFonts w:eastAsiaTheme="minorEastAsia"/>
          <w:szCs w:val="24"/>
        </w:rPr>
        <w:t>.</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is sufficient to encourage cogeneration and small power production.</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(4) Rates for purchases from new capacity shall be in accordance with paragraph (b)(2) of this section, regardless of whether the electric utility making such purchases is simultaneously making sales to the qualifying facility.</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 . .</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(d) Purchases "as available" or pursuant to a legally enforceable obligation. Each qualifying facility shall have the option either:</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(1) To provide energy as the qualifying facility determines such energy to be available for such purchases, in which case the rates for such purchases shall be based on the purchasing utility's avoided costs calculated at the time of delivery; or</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(2) To provide energy or capacity pursuant to a legally enforceable obligation for the delivery of energy or capacity over a specified term, in which case the rates for such purchases shall, at the option of the qualifying facility exercised prior to the beginning of the specified term, be based on either:</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(i) The avoided costs calculated at the time of delivery; or</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(ii) The avoided costs calculated at the time the obligation is incurred.</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xml:space="preserve"> (e) Factors affecting rates for purchases. In determining avoided costs, the following factors shall, to the extent practicable, be taken into account:</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 . .</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(2) The availability of capacity or energy from a qualifying facility during the system daily and seasonal peak periods, including:</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 . . .</w:t>
      </w:r>
    </w:p>
    <w:p w:rsidR="00B537D4" w:rsidRDefault="00B537D4" w:rsidP="00B537D4">
      <w:pPr>
        <w:autoSpaceDE w:val="0"/>
        <w:autoSpaceDN w:val="0"/>
        <w:adjustRightInd w:val="0"/>
        <w:spacing w:after="0" w:line="240" w:lineRule="auto"/>
        <w:ind w:left="1440" w:right="144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(iii) The terms of any contract or other legally enforceable obligation, including the duration of the obligation, termination notice requirement and sanctions for non-compliance;</w:t>
      </w:r>
    </w:p>
    <w:p w:rsidR="00B537D4" w:rsidRDefault="00B537D4" w:rsidP="00B537D4">
      <w:pPr>
        <w:spacing w:after="0" w:line="360" w:lineRule="auto"/>
        <w:rPr>
          <w:rFonts w:eastAsiaTheme="minorEastAsia"/>
          <w:szCs w:val="24"/>
        </w:rPr>
      </w:pPr>
    </w:p>
    <w:p w:rsidR="00B537D4" w:rsidRDefault="00B537D4" w:rsidP="00B537D4">
      <w:pPr>
        <w:spacing w:after="0" w:line="360" w:lineRule="auto"/>
        <w:rPr>
          <w:szCs w:val="24"/>
        </w:rPr>
      </w:pPr>
      <w:r>
        <w:rPr>
          <w:rFonts w:eastAsiaTheme="minorEastAsia"/>
          <w:szCs w:val="24"/>
        </w:rPr>
        <w:t>18 CFR § 292.304, et seq.</w:t>
      </w:r>
    </w:p>
    <w:p w:rsidR="00B537D4" w:rsidRDefault="00B537D4" w:rsidP="00B537D4">
      <w:pPr>
        <w:spacing w:after="0" w:line="360" w:lineRule="auto"/>
        <w:rPr>
          <w:szCs w:val="24"/>
        </w:rPr>
      </w:pPr>
    </w:p>
    <w:p w:rsidR="00B537D4" w:rsidRDefault="00B537D4" w:rsidP="00B537D4">
      <w:pPr>
        <w:spacing w:after="0" w:line="360" w:lineRule="auto"/>
        <w:rPr>
          <w:szCs w:val="24"/>
          <w:u w:val="single"/>
        </w:rPr>
      </w:pPr>
      <w:r>
        <w:rPr>
          <w:szCs w:val="24"/>
        </w:rPr>
        <w:tab/>
        <w:t>2.</w:t>
      </w:r>
      <w:r>
        <w:rPr>
          <w:szCs w:val="24"/>
        </w:rPr>
        <w:tab/>
      </w:r>
      <w:r>
        <w:rPr>
          <w:szCs w:val="24"/>
          <w:u w:val="single"/>
        </w:rPr>
        <w:t xml:space="preserve">Promotion of Competition of Electric Energy Supplies </w:t>
      </w:r>
    </w:p>
    <w:p w:rsidR="00B537D4" w:rsidRDefault="00B537D4" w:rsidP="00B537D4">
      <w:pPr>
        <w:spacing w:after="0" w:line="360" w:lineRule="auto"/>
        <w:rPr>
          <w:szCs w:val="24"/>
        </w:rPr>
      </w:pPr>
    </w:p>
    <w:p w:rsidR="00B537D4" w:rsidRDefault="00B537D4" w:rsidP="00B537D4">
      <w:pPr>
        <w:spacing w:after="0" w:line="360" w:lineRule="auto"/>
        <w:rPr>
          <w:szCs w:val="24"/>
        </w:rPr>
      </w:pPr>
      <w:r>
        <w:rPr>
          <w:szCs w:val="24"/>
        </w:rPr>
        <w:tab/>
      </w:r>
      <w:r>
        <w:rPr>
          <w:szCs w:val="24"/>
        </w:rPr>
        <w:tab/>
        <w:t>The Pennsylvania General Assembly enacted the Electricity Generation Customer Choice and Competition Act, effective January 1, 1977.  66 Pa.C.S. §§ 2801, et seq.  The General Assembly declared, in part, the following policy:</w:t>
      </w:r>
    </w:p>
    <w:p w:rsidR="00B537D4" w:rsidRDefault="00B537D4" w:rsidP="00B537D4">
      <w:pPr>
        <w:spacing w:after="0" w:line="240" w:lineRule="auto"/>
        <w:ind w:left="1440" w:right="1080"/>
        <w:rPr>
          <w:szCs w:val="24"/>
        </w:rPr>
      </w:pPr>
      <w:r>
        <w:rPr>
          <w:szCs w:val="24"/>
        </w:rPr>
        <w:tab/>
        <w:t>. . . .</w:t>
      </w:r>
      <w:r>
        <w:rPr>
          <w:szCs w:val="24"/>
        </w:rPr>
        <w:tab/>
      </w:r>
      <w:r>
        <w:rPr>
          <w:szCs w:val="24"/>
        </w:rPr>
        <w:tab/>
      </w:r>
    </w:p>
    <w:p w:rsidR="00B537D4" w:rsidRDefault="00B537D4" w:rsidP="00B537D4">
      <w:pPr>
        <w:spacing w:after="0" w:line="240" w:lineRule="auto"/>
        <w:ind w:left="1440" w:right="1440"/>
        <w:rPr>
          <w:szCs w:val="24"/>
        </w:rPr>
      </w:pPr>
    </w:p>
    <w:p w:rsidR="00B537D4" w:rsidRDefault="00B537D4" w:rsidP="00B537D4">
      <w:pPr>
        <w:spacing w:after="0" w:line="240" w:lineRule="auto"/>
        <w:ind w:left="1440" w:right="1440"/>
        <w:rPr>
          <w:szCs w:val="24"/>
        </w:rPr>
      </w:pPr>
      <w:r>
        <w:rPr>
          <w:szCs w:val="24"/>
        </w:rPr>
        <w:tab/>
        <w:t xml:space="preserve">(3)  </w:t>
      </w:r>
      <w:r>
        <w:rPr>
          <w:szCs w:val="24"/>
        </w:rPr>
        <w:tab/>
        <w:t xml:space="preserve">Because of advances in electric generation technology and Federal initiative to encourage greater competition in the wholesale electric market, it is now in the public interest to permit retail customers to obtain direct access to a competitive generation market as long as safe and affordable transmission and distribution service is available at levels of reliability that are currently enjoyed by the citizens and businesses of the Commonwealth. </w:t>
      </w:r>
    </w:p>
    <w:p w:rsidR="00B537D4" w:rsidRDefault="00B537D4" w:rsidP="00B537D4">
      <w:pPr>
        <w:spacing w:after="0" w:line="240" w:lineRule="auto"/>
        <w:ind w:left="1440" w:right="1440"/>
        <w:rPr>
          <w:szCs w:val="24"/>
        </w:rPr>
      </w:pPr>
    </w:p>
    <w:p w:rsidR="00B537D4" w:rsidRDefault="00B537D4" w:rsidP="00B537D4">
      <w:pPr>
        <w:spacing w:after="0" w:line="240" w:lineRule="auto"/>
        <w:ind w:left="1440" w:right="1440"/>
        <w:rPr>
          <w:szCs w:val="24"/>
        </w:rPr>
      </w:pPr>
      <w:r>
        <w:rPr>
          <w:szCs w:val="24"/>
        </w:rPr>
        <w:tab/>
        <w:t>. . . .</w:t>
      </w:r>
    </w:p>
    <w:p w:rsidR="00B537D4" w:rsidRDefault="00B537D4" w:rsidP="00B537D4">
      <w:pPr>
        <w:spacing w:after="0" w:line="240" w:lineRule="auto"/>
        <w:ind w:left="1440" w:right="1440"/>
        <w:rPr>
          <w:szCs w:val="24"/>
        </w:rPr>
      </w:pPr>
    </w:p>
    <w:p w:rsidR="00B537D4" w:rsidRDefault="00B537D4" w:rsidP="00B537D4">
      <w:pPr>
        <w:spacing w:after="0" w:line="240" w:lineRule="auto"/>
        <w:ind w:left="1440" w:right="1440"/>
        <w:rPr>
          <w:szCs w:val="24"/>
        </w:rPr>
      </w:pPr>
      <w:r>
        <w:rPr>
          <w:szCs w:val="24"/>
        </w:rPr>
        <w:tab/>
        <w:t>(4)</w:t>
      </w:r>
      <w:r>
        <w:rPr>
          <w:szCs w:val="24"/>
        </w:rPr>
        <w:tab/>
        <w:t>Competitive market forces are more effective than economic regulations in controlling the cost of generating electricity.</w:t>
      </w:r>
    </w:p>
    <w:p w:rsidR="00B537D4" w:rsidRDefault="00B537D4" w:rsidP="00B537D4">
      <w:pPr>
        <w:spacing w:after="0" w:line="240" w:lineRule="auto"/>
        <w:ind w:left="1440" w:right="1440"/>
        <w:rPr>
          <w:szCs w:val="24"/>
        </w:rPr>
      </w:pPr>
    </w:p>
    <w:p w:rsidR="00B537D4" w:rsidRDefault="00B537D4" w:rsidP="00B537D4">
      <w:pPr>
        <w:spacing w:after="0" w:line="240" w:lineRule="auto"/>
        <w:ind w:left="1440" w:right="1440"/>
        <w:rPr>
          <w:szCs w:val="24"/>
        </w:rPr>
      </w:pPr>
      <w:r>
        <w:rPr>
          <w:szCs w:val="24"/>
        </w:rPr>
        <w:tab/>
        <w:t>. . . .</w:t>
      </w:r>
    </w:p>
    <w:p w:rsidR="00B537D4" w:rsidRDefault="00B537D4" w:rsidP="00B537D4">
      <w:pPr>
        <w:spacing w:after="0" w:line="240" w:lineRule="auto"/>
        <w:ind w:left="1440" w:right="1440"/>
        <w:rPr>
          <w:szCs w:val="24"/>
        </w:rPr>
      </w:pPr>
    </w:p>
    <w:p w:rsidR="00B537D4" w:rsidRDefault="00B537D4" w:rsidP="00B537D4">
      <w:pPr>
        <w:spacing w:after="0" w:line="240" w:lineRule="auto"/>
        <w:ind w:left="1440" w:right="1440"/>
        <w:rPr>
          <w:szCs w:val="24"/>
        </w:rPr>
      </w:pPr>
      <w:r>
        <w:rPr>
          <w:szCs w:val="24"/>
        </w:rPr>
        <w:tab/>
        <w:t>(7)</w:t>
      </w:r>
      <w:r>
        <w:rPr>
          <w:szCs w:val="24"/>
        </w:rPr>
        <w:tab/>
        <w:t>This Commonwealth must begin the transition from regulation to greater competition in the electricity generation market to benefit all classes of customers and to protect this Commonwealth’s ability to compete in the national and international marketplace for industry and jobs.</w:t>
      </w:r>
    </w:p>
    <w:p w:rsidR="00B537D4" w:rsidRDefault="00B537D4" w:rsidP="00B537D4">
      <w:pPr>
        <w:spacing w:after="0" w:line="360" w:lineRule="auto"/>
        <w:ind w:left="1440" w:right="1440"/>
        <w:rPr>
          <w:szCs w:val="24"/>
        </w:rPr>
      </w:pPr>
    </w:p>
    <w:p w:rsidR="00B537D4" w:rsidRDefault="00B537D4" w:rsidP="00B537D4">
      <w:pPr>
        <w:spacing w:after="0" w:line="360" w:lineRule="auto"/>
        <w:ind w:left="1440" w:right="1080" w:hanging="1440"/>
        <w:rPr>
          <w:szCs w:val="24"/>
        </w:rPr>
      </w:pPr>
      <w:r>
        <w:rPr>
          <w:szCs w:val="24"/>
        </w:rPr>
        <w:t>66 Pa.C.S. §§ 2802(3), (4) and (7).</w:t>
      </w:r>
    </w:p>
    <w:p w:rsidR="00B537D4" w:rsidRDefault="00B537D4" w:rsidP="00B537D4">
      <w:pPr>
        <w:spacing w:after="0" w:line="360" w:lineRule="auto"/>
        <w:rPr>
          <w:rFonts w:eastAsia="Times New Roman"/>
          <w:b/>
          <w:color w:val="000000"/>
          <w:szCs w:val="24"/>
        </w:rPr>
      </w:pPr>
      <w:r>
        <w:rPr>
          <w:szCs w:val="24"/>
        </w:rPr>
        <w:tab/>
      </w:r>
      <w:r>
        <w:rPr>
          <w:rFonts w:eastAsia="Times New Roman"/>
          <w:color w:val="000000"/>
          <w:szCs w:val="24"/>
        </w:rPr>
        <w:t>3</w:t>
      </w:r>
      <w:r>
        <w:rPr>
          <w:rFonts w:eastAsia="Times New Roman"/>
          <w:b/>
          <w:color w:val="000000"/>
          <w:szCs w:val="24"/>
        </w:rPr>
        <w:t>.</w:t>
      </w:r>
      <w:r>
        <w:rPr>
          <w:rFonts w:eastAsia="Times New Roman"/>
          <w:b/>
          <w:color w:val="000000"/>
          <w:szCs w:val="24"/>
        </w:rPr>
        <w:tab/>
      </w:r>
      <w:r>
        <w:rPr>
          <w:rFonts w:eastAsia="Times New Roman"/>
          <w:color w:val="000000"/>
          <w:szCs w:val="24"/>
          <w:u w:val="single"/>
        </w:rPr>
        <w:t>Burden of Proof</w:t>
      </w:r>
    </w:p>
    <w:p w:rsidR="00B537D4" w:rsidRDefault="00B537D4" w:rsidP="00B537D4">
      <w:pPr>
        <w:tabs>
          <w:tab w:val="left" w:pos="-720"/>
        </w:tabs>
        <w:suppressAutoHyphens/>
        <w:spacing w:after="0" w:line="360" w:lineRule="auto"/>
        <w:rPr>
          <w:rFonts w:eastAsia="Times New Roman"/>
          <w:szCs w:val="24"/>
        </w:rPr>
      </w:pPr>
    </w:p>
    <w:p w:rsidR="00B537D4" w:rsidRDefault="00B537D4" w:rsidP="00B537D4">
      <w:pPr>
        <w:tabs>
          <w:tab w:val="left" w:pos="-720"/>
        </w:tabs>
        <w:suppressAutoHyphens/>
        <w:spacing w:after="0" w:line="240" w:lineRule="auto"/>
        <w:ind w:left="1440" w:right="1440"/>
        <w:rPr>
          <w:rFonts w:eastAsia="Times New Roman"/>
          <w:szCs w:val="24"/>
        </w:rPr>
      </w:pPr>
      <w:r>
        <w:rPr>
          <w:rFonts w:eastAsia="Times New Roman"/>
          <w:szCs w:val="24"/>
        </w:rPr>
        <w:t xml:space="preserve">Typically in proceedings before the Commission, the public utility has the burden to establish the justness and reasonableness of every element of its rate increase in all proceedings conducted under Section 1308(d) of the Code, 66 Pa. C.S. § 1308(d).  The standard of proof which a public utility must meet is set forth in Section 315(a) of the Code, 66 Pa. C.S. § 315(a), which specifies that, “[i]n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  The Commonwealth Court has upheld this standard of proof </w:t>
      </w:r>
      <w:r>
        <w:rPr>
          <w:rFonts w:eastAsia="Times New Roman"/>
          <w:szCs w:val="24"/>
          <w:vertAlign w:val="superscript"/>
        </w:rPr>
        <w:footnoteReference w:id="8"/>
      </w:r>
      <w:r>
        <w:rPr>
          <w:rFonts w:eastAsia="Times New Roman"/>
          <w:szCs w:val="24"/>
        </w:rPr>
        <w:t xml:space="preserve"> and has applied it in base rate proceedings.</w:t>
      </w:r>
    </w:p>
    <w:p w:rsidR="00B537D4" w:rsidRDefault="00B537D4" w:rsidP="00B537D4">
      <w:pPr>
        <w:spacing w:after="0" w:line="240" w:lineRule="auto"/>
        <w:ind w:left="1440" w:right="1440"/>
        <w:rPr>
          <w:rFonts w:eastAsia="Times New Roman"/>
          <w:szCs w:val="24"/>
        </w:rPr>
      </w:pPr>
    </w:p>
    <w:p w:rsidR="00B537D4" w:rsidRDefault="00B537D4" w:rsidP="00B537D4">
      <w:pPr>
        <w:spacing w:after="0" w:line="240" w:lineRule="auto"/>
        <w:ind w:left="1440" w:right="1440"/>
        <w:rPr>
          <w:rFonts w:eastAsia="Times New Roman"/>
          <w:szCs w:val="24"/>
        </w:rPr>
      </w:pPr>
      <w:r>
        <w:rPr>
          <w:rFonts w:eastAsia="Times New Roman"/>
          <w:szCs w:val="24"/>
        </w:rPr>
        <w:t xml:space="preserve">However, a party that raises an issue that is not included in a public utility’s general rate case filing bears the burden of proof.  As the proponent of a Commission order with respect to its proposals, the NRG Companies bear the burden of proof as to proposals that Duquesne did not include in its filing.  Duquesne’s Rider No. 18 provisions are deemed just and reasonable because those tariff provisions previously were approved by the Commission.  Therefore, the NRG Companies, as the party challenging a previously-approved tariff provision, bear the burden to demonstrate the Commission’s prior approval is no longer justified.  </w:t>
      </w:r>
      <w:r>
        <w:rPr>
          <w:rFonts w:eastAsia="Times New Roman"/>
          <w:i/>
          <w:szCs w:val="24"/>
        </w:rPr>
        <w:t>See</w:t>
      </w:r>
      <w:r>
        <w:rPr>
          <w:rFonts w:eastAsia="Times New Roman"/>
          <w:szCs w:val="24"/>
        </w:rPr>
        <w:t xml:space="preserve"> </w:t>
      </w:r>
      <w:r>
        <w:rPr>
          <w:rFonts w:eastAsia="Times New Roman"/>
          <w:i/>
          <w:szCs w:val="24"/>
        </w:rPr>
        <w:t>Pa. PUC v. Columbia Gas of Pennsylvania, Inc.</w:t>
      </w:r>
      <w:r>
        <w:rPr>
          <w:rFonts w:eastAsia="Times New Roman"/>
          <w:szCs w:val="24"/>
        </w:rPr>
        <w:t xml:space="preserve">, Docket No. R-2010-2215623, </w:t>
      </w:r>
      <w:r>
        <w:rPr>
          <w:rFonts w:eastAsia="Times New Roman"/>
          <w:i/>
          <w:szCs w:val="24"/>
        </w:rPr>
        <w:t xml:space="preserve">et al. </w:t>
      </w:r>
      <w:r>
        <w:rPr>
          <w:rFonts w:eastAsia="Times New Roman"/>
          <w:szCs w:val="24"/>
        </w:rPr>
        <w:t xml:space="preserve"> (Order entered March 15, 2012).</w:t>
      </w:r>
    </w:p>
    <w:p w:rsidR="00B537D4" w:rsidRDefault="00B537D4" w:rsidP="00B537D4">
      <w:pPr>
        <w:spacing w:after="0" w:line="360" w:lineRule="auto"/>
        <w:rPr>
          <w:rFonts w:eastAsia="Times New Roman"/>
          <w:szCs w:val="24"/>
        </w:rPr>
      </w:pPr>
    </w:p>
    <w:p w:rsidR="00B537D4" w:rsidRDefault="00B537D4" w:rsidP="00B537D4">
      <w:pPr>
        <w:pStyle w:val="ListParagraph"/>
        <w:spacing w:after="0" w:line="360" w:lineRule="auto"/>
        <w:ind w:left="0"/>
        <w:rPr>
          <w:rFonts w:eastAsia="Times New Roman"/>
          <w:szCs w:val="24"/>
        </w:rPr>
      </w:pPr>
      <w:r>
        <w:rPr>
          <w:rFonts w:eastAsia="Times New Roman"/>
          <w:i/>
          <w:szCs w:val="24"/>
        </w:rPr>
        <w:t xml:space="preserve">Pa. Pub. Util. Comm’n, et al. v. Duquesne Light Company, </w:t>
      </w:r>
      <w:r>
        <w:rPr>
          <w:rFonts w:eastAsia="Times New Roman"/>
          <w:szCs w:val="24"/>
        </w:rPr>
        <w:t>Docket No. R-2013-2372129, Opinion and Order (April 23, 2014) at pp. 19-21.</w:t>
      </w:r>
    </w:p>
    <w:p w:rsidR="00B537D4" w:rsidRDefault="00B537D4" w:rsidP="00B537D4">
      <w:pPr>
        <w:pStyle w:val="ListParagraph"/>
        <w:spacing w:after="0" w:line="360" w:lineRule="auto"/>
        <w:ind w:left="0"/>
        <w:rPr>
          <w:rFonts w:eastAsia="Times New Roman"/>
          <w:szCs w:val="24"/>
        </w:rPr>
      </w:pPr>
    </w:p>
    <w:p w:rsidR="00B537D4" w:rsidRDefault="00B537D4" w:rsidP="00B537D4">
      <w:pPr>
        <w:pStyle w:val="ListParagraph"/>
        <w:spacing w:after="0" w:line="360" w:lineRule="auto"/>
        <w:ind w:left="0"/>
        <w:rPr>
          <w:rFonts w:eastAsia="Times New Roman"/>
          <w:szCs w:val="24"/>
        </w:rPr>
      </w:pPr>
      <w:r>
        <w:rPr>
          <w:rFonts w:eastAsia="Times New Roman"/>
          <w:szCs w:val="24"/>
        </w:rPr>
        <w:t>B.</w:t>
      </w:r>
      <w:r>
        <w:rPr>
          <w:rFonts w:eastAsia="Times New Roman"/>
          <w:szCs w:val="24"/>
        </w:rPr>
        <w:tab/>
      </w:r>
      <w:r>
        <w:rPr>
          <w:rFonts w:eastAsia="Times New Roman"/>
          <w:szCs w:val="24"/>
          <w:u w:val="single"/>
        </w:rPr>
        <w:t>Procedural Issues</w:t>
      </w:r>
    </w:p>
    <w:p w:rsidR="00B537D4" w:rsidRDefault="00B537D4" w:rsidP="00B537D4">
      <w:pPr>
        <w:pStyle w:val="ListParagraph"/>
        <w:spacing w:after="0" w:line="360" w:lineRule="auto"/>
        <w:ind w:left="0"/>
        <w:rPr>
          <w:rFonts w:eastAsia="Times New Roman"/>
          <w:szCs w:val="24"/>
        </w:rPr>
      </w:pPr>
    </w:p>
    <w:p w:rsidR="00B537D4" w:rsidRDefault="00B537D4" w:rsidP="00B537D4">
      <w:pPr>
        <w:pStyle w:val="ListParagraph"/>
        <w:spacing w:after="0" w:line="360" w:lineRule="auto"/>
        <w:ind w:left="0"/>
        <w:rPr>
          <w:rFonts w:eastAsia="Times New Roman"/>
          <w:szCs w:val="24"/>
        </w:rPr>
      </w:pPr>
      <w:r>
        <w:rPr>
          <w:rFonts w:eastAsia="Times New Roman"/>
          <w:szCs w:val="24"/>
        </w:rPr>
        <w:tab/>
      </w:r>
      <w:r>
        <w:rPr>
          <w:rFonts w:eastAsia="Times New Roman"/>
          <w:szCs w:val="24"/>
        </w:rPr>
        <w:tab/>
        <w:t>In their respective briefs, Duquesne Light and BFMA raise certain procedural matters – the Commission’s jurisdiction over Rider No. 18, the indispensability of the QF’s as parties and the NRG’s standing to challenge Rider No. 18.  These issues are addressed as follows.</w:t>
      </w:r>
    </w:p>
    <w:p w:rsidR="00B537D4" w:rsidRDefault="00B537D4" w:rsidP="00B537D4">
      <w:pPr>
        <w:spacing w:after="0" w:line="360" w:lineRule="auto"/>
        <w:ind w:firstLine="720"/>
      </w:pPr>
    </w:p>
    <w:p w:rsidR="00B537D4" w:rsidRDefault="00B537D4" w:rsidP="00B537D4">
      <w:pPr>
        <w:spacing w:after="0" w:line="360" w:lineRule="auto"/>
        <w:ind w:firstLine="720"/>
      </w:pPr>
      <w:r>
        <w:t>1.</w:t>
      </w:r>
      <w:r>
        <w:tab/>
      </w:r>
      <w:r>
        <w:rPr>
          <w:u w:val="single"/>
        </w:rPr>
        <w:t>Duquesne Light’s and BFMA’s Jurisdictional Arguments</w:t>
      </w:r>
    </w:p>
    <w:p w:rsidR="00B537D4" w:rsidRDefault="00B537D4" w:rsidP="00B537D4">
      <w:pPr>
        <w:spacing w:after="0" w:line="360" w:lineRule="auto"/>
      </w:pPr>
    </w:p>
    <w:p w:rsidR="00B537D4" w:rsidRDefault="00B537D4" w:rsidP="00B537D4">
      <w:pPr>
        <w:spacing w:after="0" w:line="360" w:lineRule="auto"/>
      </w:pPr>
      <w:r>
        <w:tab/>
      </w:r>
      <w:r>
        <w:tab/>
        <w:t xml:space="preserve">During the early history of Rider No. 18, Duquesne Light consistently maintained that the Rider’s six cents rate exceeded the Company’s avoided cost.  In the present proceeding, Duquesne Light does not argue that the six cents rate is excessive.  Rather both Duquesne Light and BFMA raised legal arguments.  First they contend that the Commission lacks jurisdiction to change the rate which is within the province of FERC.  This argument is misplaced.  FERC adopted regulations authorizing states to implement regulations as to purchase rates.  </w:t>
      </w:r>
    </w:p>
    <w:p w:rsidR="00B537D4" w:rsidRDefault="00B537D4" w:rsidP="00B537D4">
      <w:pPr>
        <w:spacing w:after="0"/>
        <w:ind w:left="1440" w:right="1440"/>
        <w:rPr>
          <w:szCs w:val="24"/>
        </w:rPr>
      </w:pPr>
    </w:p>
    <w:p w:rsidR="00B537D4" w:rsidRDefault="00B537D4" w:rsidP="00B537D4">
      <w:pPr>
        <w:spacing w:after="0" w:line="240" w:lineRule="auto"/>
        <w:ind w:left="1440" w:right="1440"/>
      </w:pPr>
      <w:r>
        <w:rPr>
          <w:szCs w:val="24"/>
        </w:rPr>
        <w:t xml:space="preserve">PURPA’s implementing regulations, 18 C.F.R. Part 292 (1994), require that utilities purchase power from QF’s at the utility’s full “avoided cost” rate.  </w:t>
      </w:r>
      <w:r>
        <w:rPr>
          <w:i/>
          <w:szCs w:val="24"/>
        </w:rPr>
        <w:t>18 C.F.R. § 292.304 (d)</w:t>
      </w:r>
      <w:r>
        <w:rPr>
          <w:szCs w:val="24"/>
        </w:rPr>
        <w:t>.  “Avoided costs” are defined as a utility’s incremental costs of purchasing alternative electric energy.</w:t>
      </w:r>
      <w:r>
        <w:rPr>
          <w:szCs w:val="24"/>
          <w:vertAlign w:val="superscript"/>
        </w:rPr>
        <w:t xml:space="preserve">3  </w:t>
      </w:r>
      <w:r>
        <w:rPr>
          <w:i/>
          <w:szCs w:val="24"/>
        </w:rPr>
        <w:t>18 C.F.R. § 292.101 (b)(6).  See American Paper Inst. v. American Elec. Power Serv. Corp., 461 U.S. 402, 412-418, 76 L. Ed. 2d 22, 103 S. Ct. 1921 (1983)</w:t>
      </w:r>
      <w:r>
        <w:rPr>
          <w:szCs w:val="24"/>
        </w:rPr>
        <w:t xml:space="preserve"> (upholding requirement that QFs receive full avoided costs rate).  Thus, in essence, the statutory ceiling price has become the floor price.  </w:t>
      </w:r>
      <w:r>
        <w:rPr>
          <w:szCs w:val="24"/>
          <w:vertAlign w:val="superscript"/>
        </w:rPr>
        <w:t xml:space="preserve"> </w:t>
      </w:r>
      <w:r>
        <w:rPr>
          <w:szCs w:val="24"/>
        </w:rPr>
        <w:t xml:space="preserve">Although the Federal Energy Regulatory Commission's (FERC) regulations provide guidelines for the calculation of avoided costs, </w:t>
      </w:r>
      <w:r w:rsidR="004C7B3B">
        <w:rPr>
          <w:i/>
          <w:iCs/>
          <w:szCs w:val="24"/>
        </w:rPr>
        <w:t>18 C.F.R. § </w:t>
      </w:r>
      <w:r>
        <w:rPr>
          <w:i/>
          <w:iCs/>
          <w:szCs w:val="24"/>
        </w:rPr>
        <w:t>292.304(e)</w:t>
      </w:r>
      <w:r>
        <w:rPr>
          <w:szCs w:val="24"/>
        </w:rPr>
        <w:t xml:space="preserve">, FERC has granted the states flexibility in implementing rates for purchase and, specifically, determining avoided costs.  See </w:t>
      </w:r>
      <w:r>
        <w:rPr>
          <w:i/>
          <w:szCs w:val="24"/>
        </w:rPr>
        <w:t>Southern Cal. Edison Co</w:t>
      </w:r>
      <w:r>
        <w:rPr>
          <w:szCs w:val="24"/>
        </w:rPr>
        <w:t xml:space="preserve">., 70 F.E.R.C. par. 61,666, at 61,675 (1995) (Federal commission gives States wide latitude in implementing PURPA in recognition of role Congress intended to give to States).  See also Small Power Production and Cogeneration Facilities; Regulations Implementing Section 210 of the Public Utility Regulatory Policies Act of 1978, 45 Fed. Reg. 12,214, 12,226 (1980) (codified at 18 C.F.R. Part 292).   </w:t>
      </w:r>
    </w:p>
    <w:p w:rsidR="00B537D4" w:rsidRDefault="00B537D4" w:rsidP="00B537D4">
      <w:pPr>
        <w:autoSpaceDE w:val="0"/>
        <w:autoSpaceDN w:val="0"/>
        <w:adjustRightInd w:val="0"/>
        <w:spacing w:after="0" w:line="360" w:lineRule="auto"/>
        <w:rPr>
          <w:rFonts w:eastAsiaTheme="minorEastAsia"/>
          <w:i/>
          <w:iCs/>
          <w:szCs w:val="24"/>
        </w:rPr>
      </w:pPr>
    </w:p>
    <w:p w:rsidR="00B537D4" w:rsidRDefault="00B537D4" w:rsidP="00B537D4">
      <w:pPr>
        <w:autoSpaceDE w:val="0"/>
        <w:autoSpaceDN w:val="0"/>
        <w:adjustRightInd w:val="0"/>
        <w:spacing w:after="0" w:line="360" w:lineRule="auto"/>
        <w:rPr>
          <w:rFonts w:eastAsiaTheme="minorEastAsia"/>
          <w:szCs w:val="24"/>
        </w:rPr>
      </w:pPr>
      <w:r>
        <w:rPr>
          <w:rFonts w:eastAsiaTheme="minorEastAsia"/>
          <w:i/>
          <w:iCs/>
          <w:szCs w:val="24"/>
        </w:rPr>
        <w:t>Plymouth Rock Energy Assocs. v. Department of Pub. Utils, 420 Mass. 168, 648 N.E.2d 752, 1995 Mass. LEXIS 150</w:t>
      </w:r>
      <w:r>
        <w:rPr>
          <w:rFonts w:eastAsiaTheme="minorEastAsia"/>
          <w:szCs w:val="24"/>
        </w:rPr>
        <w:t xml:space="preserve"> (Mass Apr. 26, 1995).</w:t>
      </w:r>
    </w:p>
    <w:p w:rsidR="00B537D4" w:rsidRDefault="00B537D4" w:rsidP="00B537D4">
      <w:pPr>
        <w:spacing w:after="0"/>
      </w:pPr>
      <w:r>
        <w:tab/>
      </w:r>
      <w:r>
        <w:tab/>
      </w:r>
    </w:p>
    <w:p w:rsidR="00B537D4" w:rsidRDefault="00B537D4" w:rsidP="00B537D4">
      <w:pPr>
        <w:spacing w:after="0" w:line="360" w:lineRule="auto"/>
      </w:pPr>
      <w:r>
        <w:tab/>
      </w:r>
      <w:r>
        <w:tab/>
        <w:t>BFMA also argues the Commission’s 1987 Opinion and Order “locked in” the $0.06/kWh price in both Rider No. 18 and the PPA.  BFMA’s Main Brief, p. 16.  Notably, neither BFMA’s PPA nor Beaver Valley Power Company’s PPA has any reference specific to Rider No. 18.  Duquesne Light’s witness, Senior Manager William V. Pfrommer,</w:t>
      </w:r>
      <w:r>
        <w:rPr>
          <w:rStyle w:val="FootnoteReference"/>
        </w:rPr>
        <w:footnoteReference w:id="9"/>
      </w:r>
      <w:r>
        <w:t xml:space="preserve"> testified that for reasons unknown to him, the six cents price was placed in the Company tariff but not in the PPAs.  Hr’g Tr. 252.  </w:t>
      </w:r>
      <w:r>
        <w:rPr>
          <w:b/>
        </w:rPr>
        <w:t>[</w:t>
      </w:r>
      <w:r>
        <w:rPr>
          <w:b/>
          <w:szCs w:val="24"/>
        </w:rPr>
        <w:t>PROPRIETARY</w:t>
      </w:r>
      <w:r>
        <w:rPr>
          <w:b/>
        </w:rPr>
        <w:t>:</w:t>
      </w:r>
      <w:r>
        <w:t xml:space="preserve">  </w:t>
      </w:r>
    </w:p>
    <w:p w:rsidR="00B537D4" w:rsidRDefault="00B537D4" w:rsidP="00B537D4">
      <w:pPr>
        <w:spacing w:after="0" w:line="360" w:lineRule="auto"/>
      </w:pPr>
    </w:p>
    <w:p w:rsidR="00B537D4" w:rsidRDefault="00B537D4" w:rsidP="00B537D4">
      <w:pPr>
        <w:spacing w:after="0" w:line="360" w:lineRule="auto"/>
      </w:pPr>
    </w:p>
    <w:p w:rsidR="00B537D4" w:rsidRDefault="00B537D4" w:rsidP="00B537D4">
      <w:pPr>
        <w:spacing w:after="0" w:line="360" w:lineRule="auto"/>
      </w:pPr>
      <w:r>
        <w:t xml:space="preserve">                                                                                  </w:t>
      </w:r>
      <w:r>
        <w:rPr>
          <w:b/>
        </w:rPr>
        <w:t>]</w:t>
      </w:r>
      <w:r>
        <w:t xml:space="preserve">  Duquesne Light St. No. 12-R, pp. 21-22; Exhibits WVP 3-R and WVP 4</w:t>
      </w:r>
      <w:r>
        <w:noBreakHyphen/>
        <w:t>R.  Additionally there is no reference to avoided costs in either PPA.</w:t>
      </w:r>
    </w:p>
    <w:p w:rsidR="00B537D4" w:rsidRDefault="00B537D4" w:rsidP="00B537D4">
      <w:pPr>
        <w:spacing w:after="0" w:line="360" w:lineRule="auto"/>
      </w:pPr>
    </w:p>
    <w:p w:rsidR="00B537D4" w:rsidRDefault="00B537D4" w:rsidP="00B537D4">
      <w:pPr>
        <w:spacing w:after="0" w:line="360" w:lineRule="auto"/>
      </w:pPr>
      <w:r>
        <w:tab/>
      </w:r>
      <w:r>
        <w:tab/>
        <w:t xml:space="preserve">BFMA’s “locked-in” argument overlooks the Commission’s analysis in the 1987 ruling.  The Commission expressed its concerns that certain developers or entities with qualifying facilities under construction or in “serious negotiations” with Duquesne Light had relied upon Rider No. 18’s six cents rate.  </w:t>
      </w:r>
      <w:r>
        <w:rPr>
          <w:i/>
        </w:rPr>
        <w:t>Pa. Pub. Util. Comm’n, et al. v. Duquesne Light Company</w:t>
      </w:r>
      <w:r>
        <w:t xml:space="preserve">, 64 Pa. PUC 388 at 390-391.  Therefore, in order to treat those developers equitably, the Commission permitted the Company to file a revised Rider No. 18, which “grandfathered” those developers or entities, as well as BFMA and Beaver Valley Power Company.  </w:t>
      </w:r>
      <w:r>
        <w:rPr>
          <w:i/>
        </w:rPr>
        <w:t>Id.</w:t>
      </w:r>
      <w:r>
        <w:t xml:space="preserve">  Under the grandfathering provision, Duquesne will purchase the electric energy at the six cents rate or at the Company’s avoided costs when such costs exceed the six cents per kilowatt-hour rate.  As to non-grandfathered facilities, the purchase rate would be at the Company’s avoided costs calculated in accordance with the Commission’s applicable regulations.</w:t>
      </w:r>
    </w:p>
    <w:p w:rsidR="00B537D4" w:rsidRDefault="00B537D4" w:rsidP="00B537D4">
      <w:pPr>
        <w:spacing w:after="0" w:line="360" w:lineRule="auto"/>
      </w:pPr>
    </w:p>
    <w:p w:rsidR="00B537D4" w:rsidRDefault="00B537D4" w:rsidP="00B537D4">
      <w:pPr>
        <w:pStyle w:val="FootnoteText"/>
        <w:spacing w:line="360" w:lineRule="auto"/>
        <w:rPr>
          <w:rFonts w:eastAsia="Times New Roman"/>
          <w:sz w:val="24"/>
          <w:szCs w:val="24"/>
        </w:rPr>
      </w:pPr>
      <w:r>
        <w:rPr>
          <w:sz w:val="24"/>
          <w:szCs w:val="24"/>
        </w:rPr>
        <w:tab/>
      </w:r>
      <w:r>
        <w:rPr>
          <w:sz w:val="24"/>
          <w:szCs w:val="24"/>
        </w:rPr>
        <w:tab/>
        <w:t xml:space="preserve">The Commission further opined, “Therefore any project that met the requirements of Rider No. 18 would be entitled, as a matter of law, to the Rider No. 18 rate, </w:t>
      </w:r>
      <w:r>
        <w:rPr>
          <w:i/>
          <w:sz w:val="24"/>
          <w:szCs w:val="24"/>
        </w:rPr>
        <w:t>at least until such time as the Commission approves the modification of the Company’s tariff</w:t>
      </w:r>
      <w:r>
        <w:rPr>
          <w:sz w:val="24"/>
          <w:szCs w:val="24"/>
        </w:rPr>
        <w:t xml:space="preserve">.”  </w:t>
      </w:r>
      <w:r>
        <w:rPr>
          <w:i/>
          <w:sz w:val="24"/>
          <w:szCs w:val="24"/>
        </w:rPr>
        <w:t>Id.</w:t>
      </w:r>
      <w:r>
        <w:rPr>
          <w:sz w:val="24"/>
          <w:szCs w:val="24"/>
        </w:rPr>
        <w:t xml:space="preserve"> at 390 [Emphasis added].  Accordingly in 1987 the Commission foresaw that as it gained experience with Congress’s relatively new legislation and implementing rates under PURPA, in time, there may be a need to modify the Rider No. 18 rate.  “Furthermore, Commission approval of the rates contained in utility tariff provisions is conclusive as to the justness and reasonableness thereof </w:t>
      </w:r>
      <w:r>
        <w:rPr>
          <w:i/>
          <w:sz w:val="24"/>
          <w:szCs w:val="24"/>
        </w:rPr>
        <w:t>until determined otherwise by the Commission</w:t>
      </w:r>
      <w:r>
        <w:rPr>
          <w:sz w:val="24"/>
          <w:szCs w:val="24"/>
        </w:rPr>
        <w:t xml:space="preserve">.”  See </w:t>
      </w:r>
      <w:r>
        <w:rPr>
          <w:i/>
          <w:sz w:val="24"/>
          <w:szCs w:val="24"/>
        </w:rPr>
        <w:t>City of Pittsburgh</w:t>
      </w:r>
      <w:r>
        <w:rPr>
          <w:sz w:val="24"/>
          <w:szCs w:val="24"/>
        </w:rPr>
        <w:t xml:space="preserve">, cited above [Emphasis added].  Additionally, Duquesne Light and BFMA rely upon the Commission’s ruling in </w:t>
      </w:r>
      <w:r>
        <w:rPr>
          <w:rFonts w:eastAsia="Times New Roman"/>
          <w:i/>
          <w:sz w:val="24"/>
          <w:szCs w:val="24"/>
        </w:rPr>
        <w:t>Petition of Pennsylvania Electric Company (Penelec) Requesting Approval of Rate Recovery, Under the Energy Cost Rate, for the Costs Proposed to be Paid Under an Agreement with Scrubgrass Power Corporation</w:t>
      </w:r>
      <w:r>
        <w:rPr>
          <w:rFonts w:eastAsia="Times New Roman"/>
          <w:sz w:val="24"/>
          <w:szCs w:val="24"/>
        </w:rPr>
        <w:t>, Docket No. P-870248, 66 Pa. PUC 151 (Jan. 21, 1988)</w:t>
      </w:r>
      <w:r>
        <w:rPr>
          <w:rFonts w:eastAsia="Times New Roman"/>
          <w:sz w:val="24"/>
          <w:szCs w:val="24"/>
        </w:rPr>
        <w:fldChar w:fldCharType="begin"/>
      </w:r>
      <w:r>
        <w:rPr>
          <w:rFonts w:eastAsia="Times New Roman"/>
          <w:sz w:val="24"/>
          <w:szCs w:val="24"/>
        </w:rPr>
        <w:instrText xml:space="preserve"> TA \l "</w:instrText>
      </w:r>
      <w:r>
        <w:rPr>
          <w:rFonts w:eastAsia="Times New Roman"/>
          <w:i/>
          <w:sz w:val="24"/>
          <w:szCs w:val="24"/>
        </w:rPr>
        <w:instrText>Petition of Pennsylvania Electric Company Requesting Approval of Rate Recovery, Under the Energy Cost Rate, for the Costs Proposed to be Paid Under an Agreement with Scrubgrass Power Corporation</w:instrText>
      </w:r>
      <w:r>
        <w:rPr>
          <w:rFonts w:eastAsia="Times New Roman"/>
          <w:sz w:val="24"/>
          <w:szCs w:val="24"/>
        </w:rPr>
        <w:instrText xml:space="preserve">, Docket No. P-870248, 66 Pa. PUC 151 (Jan. 21, 1988)" \s "Petition of Pennsylvania Electric Company Requesting Approval of Rate Recovery, Under the Energy Cost Rate, for the Costs Proposed to be Paid Under an Agreement with Scrubgrass Power Corporation (\"Scrubgrass\"), Docket No. P-870248, 66 Pa. PUC 151 (Jan. 2" \c 1 </w:instrText>
      </w:r>
      <w:r>
        <w:rPr>
          <w:rFonts w:eastAsia="Times New Roman"/>
          <w:sz w:val="24"/>
          <w:szCs w:val="24"/>
        </w:rPr>
        <w:fldChar w:fldCharType="end"/>
      </w:r>
      <w:r>
        <w:rPr>
          <w:rFonts w:eastAsia="Times New Roman"/>
          <w:sz w:val="24"/>
          <w:szCs w:val="24"/>
        </w:rPr>
        <w:t xml:space="preserve"> (Order entered January 21, 1988) (</w:t>
      </w:r>
      <w:r>
        <w:rPr>
          <w:rFonts w:eastAsia="Times New Roman"/>
          <w:i/>
          <w:sz w:val="24"/>
          <w:szCs w:val="24"/>
        </w:rPr>
        <w:t>Scrubgrass I</w:t>
      </w:r>
      <w:r>
        <w:rPr>
          <w:rFonts w:eastAsia="Times New Roman"/>
          <w:sz w:val="24"/>
          <w:szCs w:val="24"/>
        </w:rPr>
        <w:t xml:space="preserve">), for the proposition that the Commission lacks authority to modify the PPAs and by implication Rider No. 18.  At the outset the facts in </w:t>
      </w:r>
      <w:r>
        <w:rPr>
          <w:rFonts w:eastAsia="Times New Roman"/>
          <w:i/>
          <w:sz w:val="24"/>
          <w:szCs w:val="24"/>
        </w:rPr>
        <w:t>Scrubgrass</w:t>
      </w:r>
      <w:r>
        <w:rPr>
          <w:rFonts w:eastAsia="Times New Roman"/>
          <w:sz w:val="24"/>
          <w:szCs w:val="24"/>
        </w:rPr>
        <w:t xml:space="preserve"> are distinguishable from the facts in the present proceeding.  In </w:t>
      </w:r>
      <w:r>
        <w:rPr>
          <w:rFonts w:eastAsia="Times New Roman"/>
          <w:i/>
          <w:sz w:val="24"/>
          <w:szCs w:val="24"/>
        </w:rPr>
        <w:t>Scrubgrass I,</w:t>
      </w:r>
      <w:r>
        <w:rPr>
          <w:rFonts w:eastAsia="Times New Roman"/>
          <w:sz w:val="24"/>
          <w:szCs w:val="24"/>
        </w:rPr>
        <w:t xml:space="preserve"> the contract term was for twenty years,</w:t>
      </w:r>
      <w:r>
        <w:rPr>
          <w:rStyle w:val="FootnoteReference"/>
          <w:rFonts w:eastAsia="Times New Roman"/>
          <w:sz w:val="24"/>
          <w:szCs w:val="24"/>
        </w:rPr>
        <w:footnoteReference w:id="10"/>
      </w:r>
      <w:r>
        <w:rPr>
          <w:rFonts w:eastAsia="Times New Roman"/>
          <w:sz w:val="24"/>
          <w:szCs w:val="24"/>
        </w:rPr>
        <w:t xml:space="preserve"> the rates</w:t>
      </w:r>
      <w:r>
        <w:rPr>
          <w:rStyle w:val="FootnoteReference"/>
          <w:rFonts w:eastAsia="Times New Roman"/>
          <w:sz w:val="24"/>
          <w:szCs w:val="24"/>
        </w:rPr>
        <w:footnoteReference w:id="11"/>
      </w:r>
      <w:r>
        <w:rPr>
          <w:rFonts w:eastAsia="Times New Roman"/>
          <w:sz w:val="24"/>
          <w:szCs w:val="24"/>
        </w:rPr>
        <w:t xml:space="preserve"> were set forth in the PPA and the Commission approved the PPA between Penelec and the qualifying facility, Scrubgrass Power Corporation. </w:t>
      </w:r>
    </w:p>
    <w:p w:rsidR="00B537D4" w:rsidRDefault="00B537D4" w:rsidP="00B537D4">
      <w:pPr>
        <w:pStyle w:val="FootnoteText"/>
        <w:spacing w:line="360" w:lineRule="auto"/>
        <w:rPr>
          <w:rFonts w:eastAsia="Times New Roman"/>
          <w:sz w:val="24"/>
          <w:szCs w:val="24"/>
        </w:rPr>
      </w:pPr>
    </w:p>
    <w:p w:rsidR="00B537D4" w:rsidRDefault="00B537D4" w:rsidP="00B537D4">
      <w:pPr>
        <w:pStyle w:val="FootnoteText"/>
        <w:spacing w:line="360" w:lineRule="auto"/>
        <w:rPr>
          <w:rFonts w:eastAsia="Times New Roman"/>
          <w:sz w:val="24"/>
          <w:szCs w:val="24"/>
        </w:rPr>
      </w:pPr>
      <w:r>
        <w:rPr>
          <w:rFonts w:eastAsia="Times New Roman"/>
          <w:sz w:val="24"/>
          <w:szCs w:val="24"/>
        </w:rPr>
        <w:tab/>
      </w:r>
      <w:r>
        <w:rPr>
          <w:rFonts w:eastAsia="Times New Roman"/>
          <w:sz w:val="24"/>
          <w:szCs w:val="24"/>
        </w:rPr>
        <w:tab/>
        <w:t>In the present proceeding there is nothing in the record indicating Commission approval of the PPAs between Duquesne Light and BFMA and Beaver Valley Power Company.</w:t>
      </w:r>
    </w:p>
    <w:p w:rsidR="00B537D4" w:rsidRDefault="00B537D4" w:rsidP="00B537D4">
      <w:pPr>
        <w:spacing w:after="0" w:line="360" w:lineRule="auto"/>
      </w:pPr>
      <w:r>
        <w:rPr>
          <w:rFonts w:eastAsia="Calibri"/>
        </w:rPr>
        <w:t xml:space="preserve">Duquesne Light’s witness, Mr. Pfrommer testified he did not know whether Duquesne Light ever sought FERC approval of the PPAs.  Hr’g Tr. 256.  Further he did not know if Duquesne Light ever sought Commission approval of the PPAs.  </w:t>
      </w:r>
      <w:r>
        <w:rPr>
          <w:b/>
        </w:rPr>
        <w:t>[PROPRIETARY:</w:t>
      </w:r>
      <w:r>
        <w:t xml:space="preserve">  </w:t>
      </w:r>
    </w:p>
    <w:p w:rsidR="00B537D4" w:rsidRDefault="00B537D4" w:rsidP="00B537D4">
      <w:pPr>
        <w:spacing w:after="0" w:line="360" w:lineRule="auto"/>
        <w:rPr>
          <w:rFonts w:eastAsia="Times New Roman"/>
          <w:szCs w:val="24"/>
        </w:rPr>
      </w:pPr>
      <w:r>
        <w:t xml:space="preserve">                                                                                                                                      </w:t>
      </w:r>
      <w:r>
        <w:rPr>
          <w:b/>
        </w:rPr>
        <w:t>]</w:t>
      </w:r>
      <w:r>
        <w:t xml:space="preserve">  Therefore the ruling in </w:t>
      </w:r>
      <w:r>
        <w:rPr>
          <w:rFonts w:eastAsia="Times New Roman"/>
          <w:i/>
          <w:szCs w:val="24"/>
        </w:rPr>
        <w:t>Scrubgrass</w:t>
      </w:r>
      <w:r>
        <w:rPr>
          <w:rFonts w:eastAsia="Times New Roman"/>
          <w:szCs w:val="24"/>
        </w:rPr>
        <w:t xml:space="preserve"> </w:t>
      </w:r>
      <w:r>
        <w:rPr>
          <w:rFonts w:eastAsia="Times New Roman"/>
          <w:i/>
          <w:szCs w:val="24"/>
        </w:rPr>
        <w:t>I</w:t>
      </w:r>
      <w:r>
        <w:rPr>
          <w:rFonts w:eastAsia="Times New Roman"/>
          <w:i/>
          <w:color w:val="FF0000"/>
          <w:szCs w:val="24"/>
        </w:rPr>
        <w:t xml:space="preserve"> </w:t>
      </w:r>
      <w:r>
        <w:rPr>
          <w:rFonts w:eastAsia="Times New Roman"/>
          <w:szCs w:val="24"/>
        </w:rPr>
        <w:t>cannot be applied to this proceeding.</w:t>
      </w:r>
      <w:r>
        <w:rPr>
          <w:rStyle w:val="FootnoteReference"/>
          <w:rFonts w:eastAsia="Times New Roman"/>
          <w:szCs w:val="24"/>
        </w:rPr>
        <w:footnoteReference w:id="12"/>
      </w:r>
    </w:p>
    <w:p w:rsidR="00B537D4" w:rsidRDefault="00B537D4" w:rsidP="00B537D4">
      <w:pPr>
        <w:spacing w:after="0" w:line="360" w:lineRule="auto"/>
        <w:rPr>
          <w:szCs w:val="24"/>
        </w:rPr>
      </w:pPr>
      <w:r>
        <w:rPr>
          <w:szCs w:val="24"/>
        </w:rPr>
        <w:tab/>
      </w:r>
      <w:r>
        <w:rPr>
          <w:szCs w:val="24"/>
        </w:rPr>
        <w:tab/>
      </w:r>
    </w:p>
    <w:p w:rsidR="00B537D4" w:rsidRDefault="00B537D4" w:rsidP="00B537D4">
      <w:pPr>
        <w:spacing w:after="0" w:line="360" w:lineRule="auto"/>
        <w:ind w:firstLine="1440"/>
        <w:rPr>
          <w:szCs w:val="24"/>
        </w:rPr>
      </w:pPr>
      <w:r>
        <w:rPr>
          <w:szCs w:val="24"/>
        </w:rPr>
        <w:t xml:space="preserve">Furthermore Duquesne Light and BFMA overlook the Commission’s ruling subsequent to </w:t>
      </w:r>
      <w:r>
        <w:rPr>
          <w:i/>
          <w:szCs w:val="24"/>
        </w:rPr>
        <w:t xml:space="preserve">Scrubgrass I. </w:t>
      </w:r>
      <w:r>
        <w:rPr>
          <w:szCs w:val="24"/>
        </w:rPr>
        <w:t xml:space="preserve"> In </w:t>
      </w:r>
      <w:r>
        <w:rPr>
          <w:i/>
          <w:szCs w:val="24"/>
        </w:rPr>
        <w:t xml:space="preserve">Scrubgrass II, </w:t>
      </w:r>
      <w:r>
        <w:rPr>
          <w:szCs w:val="24"/>
        </w:rPr>
        <w:t>footnoted below</w:t>
      </w:r>
      <w:r>
        <w:rPr>
          <w:i/>
          <w:szCs w:val="24"/>
        </w:rPr>
        <w:t xml:space="preserve">, </w:t>
      </w:r>
      <w:r>
        <w:rPr>
          <w:szCs w:val="24"/>
        </w:rPr>
        <w:t>Pennsylvania Electric Company (Penelec), in part, petitioned the Commission to approve an amendment its PPA with Scrubgrass. The amendment had been executed by Penelec and Scrubgrass.  Under the amendment the rates were revised based upon more current avoided cost projections and the contract term was extended from 20 to 25 years.  As to the rates, the amendment provided as follows:</w:t>
      </w:r>
    </w:p>
    <w:p w:rsidR="00B537D4" w:rsidRDefault="00B537D4" w:rsidP="00B537D4">
      <w:pPr>
        <w:spacing w:after="0" w:line="240" w:lineRule="auto"/>
        <w:rPr>
          <w:color w:val="FF0000"/>
          <w:szCs w:val="24"/>
        </w:rPr>
      </w:pPr>
      <w:r>
        <w:rPr>
          <w:color w:val="FF0000"/>
          <w:szCs w:val="24"/>
        </w:rPr>
        <w:t xml:space="preserve">.  </w:t>
      </w:r>
    </w:p>
    <w:p w:rsidR="00B537D4" w:rsidRDefault="00B537D4" w:rsidP="00B537D4">
      <w:pPr>
        <w:spacing w:after="0" w:line="240" w:lineRule="auto"/>
        <w:ind w:left="1440" w:right="1440"/>
        <w:rPr>
          <w:szCs w:val="24"/>
        </w:rPr>
      </w:pPr>
      <w:r>
        <w:rPr>
          <w:szCs w:val="24"/>
        </w:rPr>
        <w:t>The rates are revised to reduce reliance upon pricing based on PJM rates.  In 1993-1999, the average rate is 4.67 cents per kwh, escalated at 5% per year.  For the years 2000-2004, the rates will be the higher of (a) the 1999 rate, escalated at 5% per year, or (b) 85% of the average monthly PJM billing rate.   For years 2005-2012, the rates are based on a formula set forth in Table I, but in no event lower than the rates set forth in Table II.  In years 2013-2017, the rates equal the rate paid in 2012, adjusted annually by the percentage change in the gross national product implicit price deflator ("GNPD") less one (1) percent.</w:t>
      </w:r>
    </w:p>
    <w:p w:rsidR="00B537D4" w:rsidRDefault="00B537D4" w:rsidP="00B537D4">
      <w:pPr>
        <w:spacing w:after="0" w:line="360" w:lineRule="auto"/>
        <w:rPr>
          <w:szCs w:val="24"/>
        </w:rPr>
      </w:pPr>
      <w:r>
        <w:rPr>
          <w:szCs w:val="24"/>
        </w:rPr>
        <w:tab/>
      </w:r>
      <w:r>
        <w:rPr>
          <w:szCs w:val="24"/>
        </w:rPr>
        <w:tab/>
      </w:r>
    </w:p>
    <w:p w:rsidR="00B537D4" w:rsidRDefault="00B537D4" w:rsidP="00B537D4">
      <w:pPr>
        <w:spacing w:after="0" w:line="360" w:lineRule="auto"/>
        <w:ind w:firstLine="1440"/>
        <w:rPr>
          <w:i/>
          <w:szCs w:val="24"/>
        </w:rPr>
      </w:pPr>
      <w:r>
        <w:rPr>
          <w:szCs w:val="24"/>
        </w:rPr>
        <w:t xml:space="preserve">Based upon the arguments of Duquesne Light and BFMA that the avoided costs purchase rate are within the exclusive jurisdiction of FERC once the state regulatory body has approved the rate, the Commission would have lacked the jurisdiction to change the purchase rates in the PPAs.  Obviously the arguments are flawed because in </w:t>
      </w:r>
      <w:r>
        <w:rPr>
          <w:i/>
          <w:szCs w:val="24"/>
        </w:rPr>
        <w:t xml:space="preserve">Scrubgrass II </w:t>
      </w:r>
      <w:r>
        <w:rPr>
          <w:szCs w:val="24"/>
        </w:rPr>
        <w:t xml:space="preserve">the Commission approved the amendment which modified the purchase rate.  </w:t>
      </w:r>
      <w:r>
        <w:rPr>
          <w:i/>
          <w:szCs w:val="24"/>
        </w:rPr>
        <w:t>Id.</w:t>
      </w:r>
    </w:p>
    <w:p w:rsidR="00B537D4" w:rsidRDefault="00B537D4" w:rsidP="00B537D4">
      <w:pPr>
        <w:spacing w:after="0" w:line="360" w:lineRule="auto"/>
        <w:rPr>
          <w:szCs w:val="24"/>
        </w:rPr>
      </w:pPr>
    </w:p>
    <w:p w:rsidR="00B537D4" w:rsidRDefault="00B537D4" w:rsidP="00B537D4">
      <w:pPr>
        <w:spacing w:after="0" w:line="360" w:lineRule="auto"/>
      </w:pPr>
      <w:r>
        <w:rPr>
          <w:szCs w:val="24"/>
        </w:rPr>
        <w:tab/>
      </w:r>
      <w:r>
        <w:rPr>
          <w:szCs w:val="24"/>
        </w:rPr>
        <w:tab/>
        <w:t>Accordingly,</w:t>
      </w:r>
      <w:r>
        <w:t xml:space="preserve"> the Rider No. 18 rate is not “locked-in.”  Thus the Commission has jurisdiction over Rider No. 18.</w:t>
      </w:r>
    </w:p>
    <w:p w:rsidR="00B537D4" w:rsidRDefault="00B537D4" w:rsidP="00B537D4">
      <w:pPr>
        <w:spacing w:after="0" w:line="360" w:lineRule="auto"/>
      </w:pPr>
    </w:p>
    <w:p w:rsidR="00B537D4" w:rsidRDefault="00B537D4" w:rsidP="00B537D4">
      <w:pPr>
        <w:spacing w:after="0" w:line="360" w:lineRule="auto"/>
        <w:ind w:firstLine="720"/>
      </w:pPr>
      <w:r>
        <w:t>2.</w:t>
      </w:r>
      <w:r>
        <w:tab/>
      </w:r>
      <w:r>
        <w:rPr>
          <w:u w:val="single"/>
        </w:rPr>
        <w:t>Indispensable Party Issue</w:t>
      </w:r>
    </w:p>
    <w:p w:rsidR="00B537D4" w:rsidRDefault="00B537D4" w:rsidP="00B537D4">
      <w:pPr>
        <w:spacing w:after="0" w:line="360" w:lineRule="auto"/>
      </w:pPr>
      <w:r>
        <w:tab/>
      </w:r>
      <w:r>
        <w:tab/>
      </w:r>
    </w:p>
    <w:p w:rsidR="00B537D4" w:rsidRDefault="00B537D4" w:rsidP="00B537D4">
      <w:pPr>
        <w:spacing w:after="0" w:line="360" w:lineRule="auto"/>
      </w:pPr>
      <w:r>
        <w:tab/>
      </w:r>
      <w:r>
        <w:tab/>
        <w:t xml:space="preserve">Next Duquesne Light and BFMA argue that Beaver Falls Power Company is an indispensable party to this proceeding because any ruling will affect its PPA with Duquesne Light.  NRG answers this argument by stating that NRG is not requesting the Commission to modify the PPAs.  While the outcome of this proceeding may ultimately impact both BFMA and Beaver Falls Power Company, neither QF is an indispensable party to the resolution of NRG’s formal complaint.  The earlier history of Rider No. 18 demonstrates that BFMA and Beaver Falls Power Company were not parties to the proceeding when Duquesne Light sought to restrict the availability of the six cents rate to other QFs.  </w:t>
      </w:r>
      <w:r>
        <w:rPr>
          <w:i/>
        </w:rPr>
        <w:t>See Pa. Pub. Util. Comm’n v. Duquesne Light Co.,</w:t>
      </w:r>
      <w:r>
        <w:t xml:space="preserve"> Docket No. 860556 (Opinion and Order entered July 20, 1987).  </w:t>
      </w:r>
    </w:p>
    <w:p w:rsidR="00B537D4" w:rsidRDefault="00B537D4" w:rsidP="00B537D4">
      <w:r>
        <w:br w:type="page"/>
      </w:r>
    </w:p>
    <w:p w:rsidR="00B537D4" w:rsidRDefault="00B537D4" w:rsidP="00B537D4">
      <w:pPr>
        <w:spacing w:after="0" w:line="360" w:lineRule="auto"/>
      </w:pPr>
      <w:r>
        <w:tab/>
      </w:r>
      <w:r>
        <w:tab/>
        <w:t xml:space="preserve">Furthermore, both PPAs specifically state, </w:t>
      </w:r>
    </w:p>
    <w:p w:rsidR="00B537D4" w:rsidRDefault="00B537D4" w:rsidP="00B537D4">
      <w:pPr>
        <w:spacing w:after="0" w:line="240" w:lineRule="auto"/>
        <w:ind w:firstLine="1440"/>
      </w:pPr>
    </w:p>
    <w:p w:rsidR="00B537D4" w:rsidRDefault="00B537D4" w:rsidP="00B537D4">
      <w:pPr>
        <w:spacing w:after="0" w:line="240" w:lineRule="auto"/>
        <w:ind w:left="1440" w:right="1440"/>
      </w:pPr>
      <w:r>
        <w:rPr>
          <w:b/>
        </w:rPr>
        <w:t>[</w:t>
      </w:r>
      <w:r>
        <w:rPr>
          <w:b/>
          <w:szCs w:val="24"/>
        </w:rPr>
        <w:t>PROPRIETARY</w:t>
      </w:r>
      <w:r>
        <w:rPr>
          <w:b/>
        </w:rPr>
        <w:t>:</w:t>
      </w:r>
      <w:r>
        <w:t xml:space="preserve">     </w:t>
      </w:r>
    </w:p>
    <w:p w:rsidR="00B537D4" w:rsidRDefault="00B537D4" w:rsidP="00B537D4">
      <w:pPr>
        <w:spacing w:after="0" w:line="240" w:lineRule="auto"/>
        <w:ind w:left="1440" w:right="1440"/>
      </w:pPr>
    </w:p>
    <w:p w:rsidR="00B537D4" w:rsidRDefault="00B537D4" w:rsidP="00B537D4">
      <w:pPr>
        <w:spacing w:after="0" w:line="240" w:lineRule="auto"/>
        <w:ind w:left="1440" w:right="1440"/>
      </w:pPr>
    </w:p>
    <w:p w:rsidR="00B537D4" w:rsidRDefault="00B537D4" w:rsidP="00B537D4">
      <w:pPr>
        <w:spacing w:after="0" w:line="240" w:lineRule="auto"/>
        <w:ind w:left="1440" w:right="1440"/>
      </w:pPr>
    </w:p>
    <w:p w:rsidR="00B537D4" w:rsidRDefault="00B537D4" w:rsidP="00B537D4">
      <w:pPr>
        <w:spacing w:after="0" w:line="240" w:lineRule="auto"/>
        <w:ind w:left="1440" w:right="1440"/>
      </w:pPr>
    </w:p>
    <w:p w:rsidR="00B537D4" w:rsidRDefault="00B537D4" w:rsidP="00B537D4">
      <w:pPr>
        <w:spacing w:after="0" w:line="240" w:lineRule="auto"/>
        <w:ind w:left="1440" w:right="1440"/>
      </w:pPr>
    </w:p>
    <w:p w:rsidR="00B537D4" w:rsidRDefault="00B537D4" w:rsidP="00B537D4">
      <w:pPr>
        <w:spacing w:after="0" w:line="240" w:lineRule="auto"/>
        <w:ind w:left="1440" w:right="1440"/>
      </w:pPr>
      <w:r>
        <w:t xml:space="preserve">                                                                              </w:t>
      </w:r>
      <w:r>
        <w:rPr>
          <w:b/>
        </w:rPr>
        <w:t>]</w:t>
      </w:r>
    </w:p>
    <w:p w:rsidR="00B537D4" w:rsidRDefault="00B537D4" w:rsidP="00B537D4">
      <w:pPr>
        <w:spacing w:after="0" w:line="360" w:lineRule="auto"/>
      </w:pPr>
    </w:p>
    <w:p w:rsidR="00B537D4" w:rsidRDefault="00B537D4" w:rsidP="00B537D4">
      <w:pPr>
        <w:spacing w:after="0" w:line="360" w:lineRule="auto"/>
      </w:pPr>
      <w:r>
        <w:tab/>
      </w:r>
      <w:r>
        <w:tab/>
      </w:r>
      <w:r>
        <w:rPr>
          <w:b/>
        </w:rPr>
        <w:t>[</w:t>
      </w:r>
      <w:r>
        <w:rPr>
          <w:b/>
          <w:szCs w:val="24"/>
        </w:rPr>
        <w:t>PROPRIETARY</w:t>
      </w:r>
      <w:r>
        <w:rPr>
          <w:b/>
        </w:rPr>
        <w:t>:</w:t>
      </w:r>
      <w:r>
        <w:t xml:space="preserve">  </w:t>
      </w:r>
    </w:p>
    <w:p w:rsidR="00B537D4" w:rsidRDefault="00B537D4" w:rsidP="00B537D4">
      <w:pPr>
        <w:spacing w:after="0" w:line="360" w:lineRule="auto"/>
      </w:pPr>
    </w:p>
    <w:p w:rsidR="00B537D4" w:rsidRDefault="00B537D4" w:rsidP="00B537D4">
      <w:pPr>
        <w:spacing w:after="0" w:line="360" w:lineRule="auto"/>
      </w:pPr>
      <w:r>
        <w:rPr>
          <w:b/>
        </w:rPr>
        <w:t xml:space="preserve">                                                                  ]  </w:t>
      </w:r>
      <w:r>
        <w:t>Duquesne Light’s Senior Manager, Mr. Pfrommer, was compelled to concede this fact.  Under cross-examination, Mr. Pfrommer admitted the power purchase price set forth in Rider No. 18 could be amended by Duquesne submitting a supplemental tariff filing.  Hr’g Tr. 241-242.  Therefore, Duquesne Light’s and BFMA’s arguments as to indispensability of a party are without merit.</w:t>
      </w:r>
    </w:p>
    <w:p w:rsidR="00B537D4" w:rsidRDefault="00B537D4" w:rsidP="00B537D4">
      <w:pPr>
        <w:spacing w:after="0" w:line="360" w:lineRule="auto"/>
      </w:pPr>
    </w:p>
    <w:p w:rsidR="00B537D4" w:rsidRDefault="00B537D4" w:rsidP="00B537D4">
      <w:pPr>
        <w:spacing w:after="0" w:line="360" w:lineRule="auto"/>
        <w:ind w:firstLine="720"/>
        <w:rPr>
          <w:u w:val="single"/>
        </w:rPr>
      </w:pPr>
      <w:r>
        <w:t>3.</w:t>
      </w:r>
      <w:r>
        <w:tab/>
      </w:r>
      <w:r>
        <w:rPr>
          <w:u w:val="single"/>
        </w:rPr>
        <w:t>Standing Issue</w:t>
      </w:r>
    </w:p>
    <w:p w:rsidR="00B537D4" w:rsidRDefault="00B537D4" w:rsidP="00B537D4">
      <w:pPr>
        <w:spacing w:after="0" w:line="360" w:lineRule="auto"/>
        <w:rPr>
          <w:u w:val="single"/>
        </w:rPr>
      </w:pPr>
    </w:p>
    <w:p w:rsidR="00B537D4" w:rsidRDefault="00B537D4" w:rsidP="00B537D4">
      <w:pPr>
        <w:spacing w:after="0" w:line="360" w:lineRule="auto"/>
        <w:ind w:firstLine="1440"/>
      </w:pPr>
      <w:r>
        <w:t xml:space="preserve">Duquesne Light does not argue the NRG Companies’ standing to challenge Rider No. 18.  However, BFMA argues, “As demonstrated below, the NRG Companies do not have a substantial, direct and immediate interest that conveys them standing in their proceeding, and the Commission should be loath to accept the NRG Companies’ invitation to intervene in a matter that is nothing more than an attempt to “fix a business deal gone bad.”  BFMA Main Brief, p. 18.  BFMA goes on to suggest that the NRG Companies are attempting to intervene in the contractual relationship between the QFs and DLC by challenging Rider No. 18 and therefore lack standing.  </w:t>
      </w:r>
      <w:r>
        <w:rPr>
          <w:i/>
        </w:rPr>
        <w:t>Id.</w:t>
      </w:r>
      <w:r>
        <w:t xml:space="preserve"> at 19.  BFMA’s argument must be summarily dismissed.  </w:t>
      </w:r>
    </w:p>
    <w:p w:rsidR="00B537D4" w:rsidRDefault="00B537D4" w:rsidP="00B537D4">
      <w:pPr>
        <w:spacing w:after="0" w:line="360" w:lineRule="auto"/>
        <w:ind w:firstLine="1440"/>
      </w:pPr>
    </w:p>
    <w:p w:rsidR="00B537D4" w:rsidRDefault="00B537D4" w:rsidP="00B537D4">
      <w:pPr>
        <w:spacing w:after="0" w:line="360" w:lineRule="auto"/>
        <w:ind w:firstLine="1440"/>
      </w:pPr>
      <w:r>
        <w:t xml:space="preserve">Section 701 of the Public Utility Code, 701 Pa.C.S. § 701, permits any corporation having an interest in the subject matter to complain to the Commission of a violation of any law over which the Commission has jurisdiction to administer.  Here, NRG Midwest has a substantial, direct and immediate interest in challenging the lawfulness of Rider No. 18.  Because of the pass through construct of its Agency Agreement with DLC, NRG Midwest is the entity that actually pays the six cents purchase price set forth in Rider No. 18.  Additionally there is no evidence in the record to establish that the NRG Companies are challenging the PPAs between DLC and the QFs.  Accordingly, the NRG Companies have standing to challenge Rider No. 18.   </w:t>
      </w:r>
    </w:p>
    <w:p w:rsidR="00B537D4" w:rsidRDefault="00B537D4" w:rsidP="00B537D4">
      <w:pPr>
        <w:spacing w:after="0" w:line="360" w:lineRule="auto"/>
      </w:pPr>
    </w:p>
    <w:p w:rsidR="00B537D4" w:rsidRDefault="00B537D4" w:rsidP="00B537D4">
      <w:pPr>
        <w:spacing w:after="0" w:line="360" w:lineRule="auto"/>
      </w:pPr>
      <w:r>
        <w:t>C.</w:t>
      </w:r>
      <w:r>
        <w:tab/>
      </w:r>
      <w:r>
        <w:rPr>
          <w:u w:val="single"/>
        </w:rPr>
        <w:t>Background – PURPA and Rider No. 18</w:t>
      </w:r>
      <w:r>
        <w:tab/>
      </w:r>
      <w:r>
        <w:tab/>
      </w:r>
    </w:p>
    <w:p w:rsidR="00B537D4" w:rsidRDefault="00B537D4" w:rsidP="00B537D4">
      <w:pPr>
        <w:spacing w:after="0" w:line="360" w:lineRule="auto"/>
      </w:pPr>
    </w:p>
    <w:p w:rsidR="00B537D4" w:rsidRDefault="00B537D4" w:rsidP="00B537D4">
      <w:pPr>
        <w:spacing w:after="0" w:line="360" w:lineRule="auto"/>
      </w:pPr>
      <w:r>
        <w:tab/>
      </w:r>
      <w:r>
        <w:tab/>
        <w:t>The heart of the dispute in this proceeding is the justness and reasonableness of Duquesne Light’s Rider No. 18.  NRG Midwest contends that the Rider’s six cents per kilowatt- hour rate that it is required to pay under its Agency Agreement with Duquesne Light is more than Duquesne Light’s avoided costs and therefore contravenes the Commission’s regulatory scheme in implementing PURPA regulations.</w:t>
      </w:r>
      <w:r>
        <w:rPr>
          <w:rStyle w:val="FootnoteReference"/>
        </w:rPr>
        <w:footnoteReference w:id="13"/>
      </w:r>
      <w:r>
        <w:t xml:space="preserve">  However, in order to address the issues surrounding Rider No. 18, its history and the congressional enactment of Section 210 of the Public Utility Regulatory Policies Act of 1978 (PURPA) must be discussed first.</w:t>
      </w:r>
    </w:p>
    <w:p w:rsidR="00B537D4" w:rsidRDefault="00B537D4" w:rsidP="00B537D4">
      <w:pPr>
        <w:spacing w:after="0" w:line="240" w:lineRule="auto"/>
        <w:ind w:left="1440" w:right="1440"/>
        <w:rPr>
          <w:rFonts w:eastAsiaTheme="minorEastAsia"/>
          <w:szCs w:val="24"/>
        </w:rPr>
      </w:pPr>
    </w:p>
    <w:p w:rsidR="00B537D4" w:rsidRDefault="00B537D4" w:rsidP="00B537D4">
      <w:pPr>
        <w:spacing w:after="0" w:line="240" w:lineRule="auto"/>
        <w:ind w:left="1440" w:right="1440"/>
        <w:rPr>
          <w:rFonts w:eastAsiaTheme="minorEastAsia"/>
          <w:szCs w:val="24"/>
        </w:rPr>
      </w:pPr>
      <w:r>
        <w:rPr>
          <w:rFonts w:eastAsiaTheme="minorEastAsia"/>
          <w:szCs w:val="24"/>
        </w:rPr>
        <w:t xml:space="preserve">Section 210 of PURPA was designed to encourage the development of cogeneration and small power production facilities.  [footnote omitted]  As we noted in </w:t>
      </w:r>
      <w:r>
        <w:rPr>
          <w:rFonts w:eastAsiaTheme="minorEastAsia"/>
          <w:i/>
          <w:iCs/>
          <w:szCs w:val="24"/>
        </w:rPr>
        <w:t>FERC v. Mississippi, 456 U.S. 742, 750 (1982)</w:t>
      </w:r>
      <w:r>
        <w:rPr>
          <w:rFonts w:eastAsiaTheme="minorEastAsia"/>
          <w:szCs w:val="24"/>
        </w:rPr>
        <w:t xml:space="preserve"> (footnote omitted), "Congress believed that increased use of these sources of energy would reduce the demand for traditional fossil fuels," and it recognized that electric utilities had traditionally been "reluctant to purchase power from, and to sell power to, the nontraditional facilities."  Accordingly, Congress directed FERC to prescribe, within one year of the statute's enactment, rules requiring electric utilities to deal with qualifying cogeneration and small power production facilities.  PURPA § 210(a), </w:t>
      </w:r>
      <w:r>
        <w:rPr>
          <w:rFonts w:eastAsiaTheme="minorEastAsia"/>
          <w:i/>
          <w:iCs/>
          <w:szCs w:val="24"/>
        </w:rPr>
        <w:t>16 U. S. C. § 824a-3(a) (1976 ed., Supp. V)</w:t>
      </w:r>
      <w:r>
        <w:rPr>
          <w:rFonts w:eastAsiaTheme="minorEastAsia"/>
          <w:szCs w:val="24"/>
        </w:rPr>
        <w:t xml:space="preserve">.  </w:t>
      </w:r>
      <w:r>
        <w:rPr>
          <w:rFonts w:eastAsiaTheme="minorEastAsia"/>
          <w:szCs w:val="24"/>
        </w:rPr>
        <w:tab/>
      </w:r>
    </w:p>
    <w:p w:rsidR="00B537D4" w:rsidRDefault="00B537D4" w:rsidP="00B537D4">
      <w:pPr>
        <w:spacing w:after="0" w:line="240" w:lineRule="auto"/>
        <w:ind w:left="1440" w:right="1440" w:firstLine="720"/>
        <w:rPr>
          <w:rFonts w:eastAsiaTheme="minorEastAsia"/>
          <w:szCs w:val="24"/>
        </w:rPr>
      </w:pPr>
    </w:p>
    <w:p w:rsidR="00B537D4" w:rsidRDefault="00B537D4" w:rsidP="00B537D4">
      <w:pPr>
        <w:spacing w:after="0" w:line="240" w:lineRule="auto"/>
        <w:ind w:left="1440" w:right="1440" w:firstLine="720"/>
        <w:rPr>
          <w:rFonts w:eastAsiaTheme="minorEastAsia"/>
          <w:szCs w:val="24"/>
        </w:rPr>
      </w:pPr>
      <w:r>
        <w:rPr>
          <w:rFonts w:eastAsiaTheme="minorEastAsia"/>
          <w:szCs w:val="24"/>
        </w:rPr>
        <w:t>With respect to the purchase of electricity from cogeneration and small power production facilities, Congress provided that the rate to be set by the Commission</w:t>
      </w: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ab/>
      </w:r>
    </w:p>
    <w:p w:rsidR="00B537D4" w:rsidRDefault="00B537D4" w:rsidP="00B537D4">
      <w:pPr>
        <w:autoSpaceDE w:val="0"/>
        <w:autoSpaceDN w:val="0"/>
        <w:adjustRightInd w:val="0"/>
        <w:spacing w:after="0" w:line="240" w:lineRule="auto"/>
        <w:ind w:left="1440" w:right="1440" w:firstLine="720"/>
        <w:rPr>
          <w:rFonts w:eastAsiaTheme="minorEastAsia"/>
          <w:szCs w:val="24"/>
        </w:rPr>
      </w:pPr>
      <w:r>
        <w:rPr>
          <w:rFonts w:eastAsiaTheme="minorEastAsia"/>
          <w:szCs w:val="24"/>
        </w:rPr>
        <w:t>"(1) shall be just and reasonable to the electric consumers of the electric utility and in the public interest, and</w:t>
      </w:r>
    </w:p>
    <w:p w:rsidR="00B537D4" w:rsidRDefault="00B537D4" w:rsidP="00B537D4">
      <w:pPr>
        <w:autoSpaceDE w:val="0"/>
        <w:autoSpaceDN w:val="0"/>
        <w:adjustRightInd w:val="0"/>
        <w:spacing w:after="0" w:line="240" w:lineRule="auto"/>
        <w:ind w:left="1440" w:right="1440" w:firstLine="720"/>
        <w:rPr>
          <w:rFonts w:eastAsiaTheme="minorEastAsia"/>
          <w:szCs w:val="24"/>
        </w:rPr>
      </w:pPr>
    </w:p>
    <w:p w:rsidR="00B537D4" w:rsidRDefault="00B537D4" w:rsidP="00B537D4">
      <w:pPr>
        <w:autoSpaceDE w:val="0"/>
        <w:autoSpaceDN w:val="0"/>
        <w:adjustRightInd w:val="0"/>
        <w:spacing w:after="0" w:line="240" w:lineRule="auto"/>
        <w:ind w:left="1440" w:right="1440"/>
        <w:rPr>
          <w:rFonts w:eastAsiaTheme="minorEastAsia"/>
          <w:szCs w:val="24"/>
        </w:rPr>
      </w:pPr>
      <w:r>
        <w:rPr>
          <w:rFonts w:eastAsiaTheme="minorEastAsia"/>
          <w:szCs w:val="24"/>
        </w:rPr>
        <w:tab/>
        <w:t>"(2) shall not discriminate against qualifying cogenerators or qualifying small power producers.</w:t>
      </w:r>
    </w:p>
    <w:p w:rsidR="00B537D4" w:rsidRDefault="00B537D4" w:rsidP="00B537D4">
      <w:pPr>
        <w:spacing w:after="0" w:line="240" w:lineRule="auto"/>
        <w:ind w:left="1440" w:right="1440"/>
        <w:rPr>
          <w:rFonts w:eastAsiaTheme="minorEastAsia"/>
          <w:szCs w:val="24"/>
        </w:rPr>
      </w:pPr>
    </w:p>
    <w:p w:rsidR="00B537D4" w:rsidRDefault="00B537D4" w:rsidP="00B537D4">
      <w:pPr>
        <w:spacing w:after="0" w:line="240" w:lineRule="auto"/>
        <w:ind w:left="1440" w:right="1440"/>
        <w:rPr>
          <w:rFonts w:eastAsiaTheme="minorEastAsia"/>
          <w:szCs w:val="24"/>
        </w:rPr>
      </w:pPr>
      <w:r>
        <w:rPr>
          <w:rFonts w:eastAsiaTheme="minorEastAsia"/>
          <w:szCs w:val="24"/>
        </w:rPr>
        <w:tab/>
        <w:t xml:space="preserve">"No such rule prescribed under subsection (a) of this section shall provide for a rate which exceeds the incremental cost to the electric utility of alternative electric energy."  PURPA § 210(b), </w:t>
      </w:r>
      <w:r>
        <w:rPr>
          <w:rFonts w:eastAsiaTheme="minorEastAsia"/>
          <w:i/>
          <w:iCs/>
          <w:szCs w:val="24"/>
        </w:rPr>
        <w:t>16 U. S. C. § 824a-3(b) (1976 ed., Supp. V)</w:t>
      </w:r>
      <w:r>
        <w:rPr>
          <w:rFonts w:eastAsiaTheme="minorEastAsia"/>
          <w:szCs w:val="24"/>
        </w:rPr>
        <w:t>.</w:t>
      </w:r>
    </w:p>
    <w:p w:rsidR="00B537D4" w:rsidRDefault="00B537D4" w:rsidP="00B537D4">
      <w:pPr>
        <w:spacing w:after="0" w:line="360" w:lineRule="auto"/>
        <w:ind w:left="1440" w:right="1440"/>
        <w:rPr>
          <w:rFonts w:eastAsiaTheme="minorEastAsia"/>
          <w:szCs w:val="24"/>
        </w:rPr>
      </w:pPr>
    </w:p>
    <w:p w:rsidR="00B537D4" w:rsidRDefault="00B537D4" w:rsidP="00B537D4">
      <w:pPr>
        <w:spacing w:after="0" w:line="360" w:lineRule="auto"/>
        <w:rPr>
          <w:szCs w:val="24"/>
        </w:rPr>
      </w:pPr>
      <w:r>
        <w:rPr>
          <w:rFonts w:eastAsiaTheme="minorEastAsia"/>
          <w:i/>
          <w:szCs w:val="24"/>
        </w:rPr>
        <w:t xml:space="preserve">American Paper Institute, Inc. v. American Electric Power Service Corp. et al., </w:t>
      </w:r>
      <w:r>
        <w:rPr>
          <w:bCs/>
          <w:iCs/>
          <w:szCs w:val="24"/>
        </w:rPr>
        <w:t>461 U.S. 402</w:t>
      </w:r>
      <w:r>
        <w:rPr>
          <w:bCs/>
          <w:szCs w:val="24"/>
        </w:rPr>
        <w:t xml:space="preserve">; </w:t>
      </w:r>
      <w:r>
        <w:rPr>
          <w:bCs/>
          <w:iCs/>
          <w:szCs w:val="24"/>
        </w:rPr>
        <w:t>103 S. Ct. 1921</w:t>
      </w:r>
      <w:r>
        <w:rPr>
          <w:bCs/>
          <w:szCs w:val="24"/>
        </w:rPr>
        <w:t xml:space="preserve">; </w:t>
      </w:r>
      <w:r>
        <w:rPr>
          <w:bCs/>
          <w:iCs/>
          <w:szCs w:val="24"/>
        </w:rPr>
        <w:t xml:space="preserve">76 L. Ed. 2d 22 (1983).  In </w:t>
      </w:r>
      <w:r>
        <w:rPr>
          <w:rFonts w:eastAsiaTheme="minorEastAsia"/>
          <w:i/>
          <w:szCs w:val="24"/>
        </w:rPr>
        <w:t>American Paper Institute</w:t>
      </w:r>
      <w:r>
        <w:rPr>
          <w:rFonts w:eastAsiaTheme="minorEastAsia"/>
          <w:szCs w:val="24"/>
        </w:rPr>
        <w:t xml:space="preserve">, the U.S. Supreme Court confirmed FERC’s authority to adopt rules requiring “electric utilities to purchase electric energy from cogenerators and small power producers at a rate </w:t>
      </w:r>
      <w:r>
        <w:rPr>
          <w:szCs w:val="24"/>
        </w:rPr>
        <w:t xml:space="preserve">equal to the purchasing utility's full avoided cost, </w:t>
      </w:r>
      <w:r>
        <w:rPr>
          <w:i/>
          <w:iCs/>
          <w:szCs w:val="24"/>
        </w:rPr>
        <w:t>i.e</w:t>
      </w:r>
      <w:r>
        <w:rPr>
          <w:szCs w:val="24"/>
        </w:rPr>
        <w:t xml:space="preserve">., the cost the utility would have incurred had it generated the electricity itself or purchased the electricity from another source.”  461 U.S. at 404.  In confirming FERC’s rulemaking authority, the Supreme Court emphasized that the full avoided cost rule is the maximum purchase rate for electricity from qualifying facilities.  </w:t>
      </w:r>
      <w:r>
        <w:rPr>
          <w:i/>
          <w:szCs w:val="24"/>
        </w:rPr>
        <w:t>Id</w:t>
      </w:r>
      <w:r>
        <w:rPr>
          <w:szCs w:val="24"/>
        </w:rPr>
        <w:t xml:space="preserve">. at 413, 417.  As the Supreme Court explained under PURPA, a state regulatory authority or nonregulated utility may apply for waiver of the avoided cost rule to lower the maximum purchase rate.  “A waiver may be granted if the applicant demonstrates that a full-avoided-cost rate is unnecessary to encourage cogeneration and small power production.”  </w:t>
      </w:r>
      <w:r>
        <w:rPr>
          <w:i/>
          <w:szCs w:val="24"/>
        </w:rPr>
        <w:t>Id</w:t>
      </w:r>
      <w:r>
        <w:rPr>
          <w:szCs w:val="24"/>
        </w:rPr>
        <w:t xml:space="preserve">. at 417.  However the Supreme Court was clear that the purchase rate could not exceed the purchasing utility’s avoided costs.  </w:t>
      </w:r>
      <w:r>
        <w:rPr>
          <w:i/>
          <w:szCs w:val="24"/>
        </w:rPr>
        <w:t>Id</w:t>
      </w:r>
      <w:r>
        <w:rPr>
          <w:szCs w:val="24"/>
        </w:rPr>
        <w:t>. at 405.</w:t>
      </w:r>
    </w:p>
    <w:p w:rsidR="00B537D4" w:rsidRDefault="00B537D4" w:rsidP="00B537D4">
      <w:pPr>
        <w:spacing w:after="0" w:line="360" w:lineRule="auto"/>
      </w:pPr>
    </w:p>
    <w:p w:rsidR="00B537D4" w:rsidRDefault="00B537D4" w:rsidP="00B537D4">
      <w:pPr>
        <w:spacing w:after="0" w:line="360" w:lineRule="auto"/>
        <w:rPr>
          <w:color w:val="000000" w:themeColor="text1"/>
          <w:szCs w:val="24"/>
        </w:rPr>
      </w:pPr>
      <w:r>
        <w:rPr>
          <w:color w:val="333333"/>
          <w:szCs w:val="24"/>
        </w:rPr>
        <w:tab/>
      </w:r>
      <w:r>
        <w:rPr>
          <w:color w:val="333333"/>
          <w:szCs w:val="24"/>
        </w:rPr>
        <w:tab/>
      </w:r>
      <w:r>
        <w:rPr>
          <w:color w:val="000000" w:themeColor="text1"/>
          <w:szCs w:val="24"/>
        </w:rPr>
        <w:t>In 1982, the Commission took action to implement Section 210 of PURPA</w:t>
      </w:r>
    </w:p>
    <w:p w:rsidR="00B537D4" w:rsidRDefault="00B537D4" w:rsidP="00B537D4">
      <w:pPr>
        <w:spacing w:after="0" w:line="240" w:lineRule="auto"/>
        <w:ind w:left="1440" w:right="1350"/>
        <w:rPr>
          <w:color w:val="000000" w:themeColor="text1"/>
          <w:szCs w:val="24"/>
        </w:rPr>
      </w:pPr>
    </w:p>
    <w:p w:rsidR="00B537D4" w:rsidRDefault="00B537D4" w:rsidP="00B537D4">
      <w:pPr>
        <w:spacing w:after="0" w:line="240" w:lineRule="auto"/>
        <w:ind w:left="1440" w:right="1350"/>
        <w:rPr>
          <w:color w:val="000000" w:themeColor="text1"/>
          <w:szCs w:val="24"/>
        </w:rPr>
      </w:pPr>
      <w:r>
        <w:rPr>
          <w:color w:val="000000" w:themeColor="text1"/>
          <w:szCs w:val="24"/>
        </w:rPr>
        <w:t xml:space="preserve">Section 210(f) [of PURPA] requires each state regulatory authority and nonregulated utility to implement FERC's rules.  The Commission implemented the FERC rules by promulgating regulations, which essentially "track" PURPA and the FERC regulations, at </w:t>
      </w:r>
      <w:hyperlink r:id="rId10" w:history="1">
        <w:r>
          <w:rPr>
            <w:rStyle w:val="Hyperlink"/>
            <w:color w:val="000000" w:themeColor="text1"/>
            <w:szCs w:val="24"/>
          </w:rPr>
          <w:t>52 Pa. Code §§ 57.31-57.39</w:t>
        </w:r>
      </w:hyperlink>
      <w:r>
        <w:rPr>
          <w:color w:val="000000" w:themeColor="text1"/>
          <w:szCs w:val="24"/>
        </w:rPr>
        <w:t xml:space="preserve">.  </w:t>
      </w:r>
      <w:r>
        <w:rPr>
          <w:i/>
          <w:iCs/>
          <w:color w:val="000000" w:themeColor="text1"/>
          <w:szCs w:val="24"/>
        </w:rPr>
        <w:t>See</w:t>
      </w:r>
      <w:r>
        <w:rPr>
          <w:color w:val="000000" w:themeColor="text1"/>
          <w:szCs w:val="24"/>
        </w:rPr>
        <w:t xml:space="preserve"> 12 Pa. B. 4237 (December 11, 1982).</w:t>
      </w:r>
    </w:p>
    <w:p w:rsidR="00B537D4" w:rsidRDefault="00B537D4" w:rsidP="00B537D4">
      <w:pPr>
        <w:spacing w:after="0" w:line="240" w:lineRule="auto"/>
        <w:ind w:left="1440" w:right="1080"/>
        <w:rPr>
          <w:i/>
          <w:color w:val="000000" w:themeColor="text1"/>
          <w:szCs w:val="24"/>
        </w:rPr>
      </w:pPr>
    </w:p>
    <w:p w:rsidR="00B537D4" w:rsidRDefault="00B537D4" w:rsidP="00B537D4">
      <w:pPr>
        <w:spacing w:after="0" w:line="360" w:lineRule="auto"/>
        <w:rPr>
          <w:szCs w:val="24"/>
        </w:rPr>
      </w:pPr>
      <w:r>
        <w:rPr>
          <w:bCs/>
          <w:i/>
          <w:color w:val="000000" w:themeColor="text1"/>
          <w:szCs w:val="24"/>
        </w:rPr>
        <w:t>Albert Einstein Healthcare Foundation/University of Pennsylvania v. Pa. Pub. Util. Comm’n</w:t>
      </w:r>
      <w:r>
        <w:rPr>
          <w:bCs/>
          <w:color w:val="000000" w:themeColor="text1"/>
          <w:szCs w:val="24"/>
        </w:rPr>
        <w:t>, 548 A. 2d 399 (Pa.Cmwlth. 1988).</w:t>
      </w:r>
    </w:p>
    <w:p w:rsidR="00B537D4" w:rsidRDefault="00B537D4" w:rsidP="00B537D4">
      <w:pPr>
        <w:spacing w:after="0" w:line="360" w:lineRule="auto"/>
      </w:pPr>
    </w:p>
    <w:p w:rsidR="00B537D4" w:rsidRDefault="00B537D4" w:rsidP="00B537D4">
      <w:pPr>
        <w:spacing w:after="0" w:line="360" w:lineRule="auto"/>
      </w:pPr>
      <w:r>
        <w:tab/>
      </w:r>
      <w:r>
        <w:tab/>
        <w:t>On August 1, 1981, in anticipation of the Commission promulgating regulations pursuant to PURPA, Duquesne Light filed Rider No. 18 as Supplement No. 54 to Tariff Electric – Pa. P.U.C. No. 14 at Docket No. R-811713.  By letter dated August 5, 1981, Duquesne Light stated, in relevant part, the following:</w:t>
      </w:r>
    </w:p>
    <w:p w:rsidR="00B537D4" w:rsidRDefault="00B537D4" w:rsidP="00B537D4">
      <w:pPr>
        <w:spacing w:line="240" w:lineRule="auto"/>
        <w:ind w:left="1440" w:right="1350"/>
      </w:pPr>
      <w:r>
        <w:t xml:space="preserve">Supplement No. 54, proposes to add, Rider No. 18 – Rate for the Purchase of Electric Energy from Customer-Owned Renewable Resource Generating Facilities to Duquesne Light’s Tariff and, as the title of the Rider indicates, provides for purchasing electricity from qualifying customer-owned generating facilities utilizing small-scale hydro-electric facilities of 5 megawatts or less, biomass, waste, solar or wind as the energy source.  </w:t>
      </w:r>
      <w:r>
        <w:rPr>
          <w:i/>
        </w:rPr>
        <w:t>The electricity would be purchased at a rate which initially exceeds the so-called PURPA “avoided cost.”</w:t>
      </w:r>
    </w:p>
    <w:p w:rsidR="00B537D4" w:rsidRDefault="00B537D4" w:rsidP="00B537D4">
      <w:pPr>
        <w:spacing w:line="240" w:lineRule="auto"/>
        <w:ind w:left="1440" w:right="1350"/>
      </w:pPr>
      <w:r>
        <w:t xml:space="preserve">Rider No. 18 provides for the purchase of electricity from customer-owned generating facilities located in the Company’s service area that qualify as small power production facilities under 18 CFR 292.  …  The electricity from such facilities would be purchased at a rate of six (6) cents per kilowatt-hour or at a rate based on avoided incremental operating and capacity costs when those costs exceed six (6) cents per kilowatt-hour.  </w:t>
      </w:r>
    </w:p>
    <w:p w:rsidR="00B537D4" w:rsidRDefault="00B537D4" w:rsidP="00B537D4">
      <w:pPr>
        <w:spacing w:after="0" w:line="240" w:lineRule="auto"/>
        <w:ind w:left="1440" w:right="1350"/>
      </w:pPr>
      <w:r>
        <w:t xml:space="preserve">In support of Rider No. 18, Duquesne Light’s experience to date with a few facilities which would utilize renewable resources indicates that the Company’s avoided cost as defined by PURPA varies from 2.68¢/Kwhr. to 5.49¢Kwhr. for the years 1982 through 1990 and are not high enough, on the average, to encourage the development of generating facilities utilizing renewable energy resources.  Without some incentive, it is not likely that such renewable resource facilities would be built in the foreseeable future. </w:t>
      </w:r>
    </w:p>
    <w:p w:rsidR="00B537D4" w:rsidRDefault="00B537D4" w:rsidP="00B537D4">
      <w:pPr>
        <w:spacing w:after="0" w:line="360" w:lineRule="auto"/>
      </w:pPr>
    </w:p>
    <w:p w:rsidR="00B537D4" w:rsidRDefault="00B537D4" w:rsidP="00B537D4">
      <w:pPr>
        <w:spacing w:after="0" w:line="360" w:lineRule="auto"/>
      </w:pPr>
      <w:r>
        <w:t xml:space="preserve">NRG Midwest Exhibit No. 6 [Emphasis added].  As emphasized above, Duquesne Light acknowledged that Rider No. 18, when first established, provided for a six (6) </w:t>
      </w:r>
      <w:r w:rsidR="00B469E4">
        <w:t xml:space="preserve">cents </w:t>
      </w:r>
      <w:r>
        <w:t>per kilowatt-hour purchase rate that exceeded the Company’s avoided costs.  According to the Company’s filing, the six cents rate was set in excess of the avoided cost in order to encourage the development of generating facilities.</w:t>
      </w:r>
    </w:p>
    <w:p w:rsidR="00B537D4" w:rsidRDefault="00B537D4" w:rsidP="00B537D4">
      <w:pPr>
        <w:spacing w:after="0" w:line="360" w:lineRule="auto"/>
      </w:pPr>
    </w:p>
    <w:p w:rsidR="00B537D4" w:rsidRDefault="00B537D4" w:rsidP="00B537D4">
      <w:pPr>
        <w:spacing w:after="0" w:line="360" w:lineRule="auto"/>
      </w:pPr>
      <w:r>
        <w:tab/>
      </w:r>
      <w:r>
        <w:tab/>
        <w:t xml:space="preserve">In 1986, Duquesne Light again acknowledged that Rider No. 18’s six cents rate exceeded its avoided costs.  In that year Duquesne Light petitioned the Commission to restrict the availability of the six cents rate to QFs that had a contract with the Company prior to February 10, 1987.  In its filing, the Company averred “‘…that the six cents rate exceeds its current avoided cost and that by reducing this rate it hopes to save its customer “millions of dollars over the next five to ten years by avoiding unneeded power.’”  </w:t>
      </w:r>
      <w:r>
        <w:rPr>
          <w:i/>
        </w:rPr>
        <w:t>See Pa. Pub. Util.  Comm’n v. Duquesne Light Co.,</w:t>
      </w:r>
      <w:r>
        <w:t xml:space="preserve"> Docket No. 860556 (Opinion and Order entered July 20, 1987), 64 Pa. PUC 388, at 389-390 (1987). </w:t>
      </w:r>
    </w:p>
    <w:p w:rsidR="00B537D4" w:rsidRDefault="00B537D4" w:rsidP="00B537D4">
      <w:pPr>
        <w:spacing w:after="0" w:line="360" w:lineRule="auto"/>
      </w:pPr>
    </w:p>
    <w:p w:rsidR="00B537D4" w:rsidRDefault="00B537D4" w:rsidP="00B537D4">
      <w:pPr>
        <w:spacing w:after="0" w:line="360" w:lineRule="auto"/>
      </w:pPr>
      <w:r>
        <w:tab/>
      </w:r>
      <w:r>
        <w:tab/>
        <w:t xml:space="preserve">In 1988, Duquesne Light challenged the City of Pittsburgh’s complaint alleging the City’s proposed Allegheny Lock and Dam No. 2 Hydroelectric Generating Project was eligible for “grandfathering status” to sell electricity to the Company under Rider No. 18’s six cents per kilowatt-hour rate.  </w:t>
      </w:r>
      <w:r>
        <w:rPr>
          <w:i/>
        </w:rPr>
        <w:t xml:space="preserve">See City of Pittsburgh v. Duquesne Light Co., </w:t>
      </w:r>
      <w:r>
        <w:t>Docket No. C</w:t>
      </w:r>
      <w:r>
        <w:noBreakHyphen/>
        <w:t>871584 (Opinion and Order entered October 6, 1988), 68 Pa. PUC 273 (1988).  The Company in its challenge to the complaint reiterated “… the general policy argument that it should not be required to purchase power from the Pittsburgh Project at a rate in excess of its present avoided costs because to require a higher rate would force its ratepayers to subsidize the Project.  Thus for a third time Duquesne Light acknowledged that the six cents rate was excessive.</w:t>
      </w:r>
    </w:p>
    <w:p w:rsidR="00B537D4" w:rsidRDefault="00B537D4" w:rsidP="00B537D4">
      <w:pPr>
        <w:spacing w:after="0" w:line="360" w:lineRule="auto"/>
      </w:pPr>
    </w:p>
    <w:p w:rsidR="00B537D4" w:rsidRDefault="00B537D4" w:rsidP="00B537D4">
      <w:pPr>
        <w:spacing w:after="0" w:line="360" w:lineRule="auto"/>
      </w:pPr>
      <w:r>
        <w:tab/>
      </w:r>
      <w:r>
        <w:tab/>
        <w:t xml:space="preserve">In the </w:t>
      </w:r>
      <w:r>
        <w:rPr>
          <w:i/>
        </w:rPr>
        <w:t xml:space="preserve">City of Pittsburgh, </w:t>
      </w:r>
      <w:r>
        <w:t>the Commission ruled as follows:</w:t>
      </w:r>
    </w:p>
    <w:p w:rsidR="00B537D4" w:rsidRDefault="00B537D4" w:rsidP="00B537D4">
      <w:pPr>
        <w:spacing w:after="0" w:line="240" w:lineRule="auto"/>
        <w:ind w:left="1440" w:right="1080"/>
        <w:rPr>
          <w:szCs w:val="24"/>
        </w:rPr>
      </w:pPr>
    </w:p>
    <w:p w:rsidR="00B537D4" w:rsidRDefault="00B537D4" w:rsidP="00B537D4">
      <w:pPr>
        <w:spacing w:after="0" w:line="240" w:lineRule="auto"/>
        <w:ind w:left="1440" w:right="1440"/>
      </w:pPr>
      <w:r>
        <w:rPr>
          <w:szCs w:val="24"/>
        </w:rPr>
        <w:t xml:space="preserve">The six cent per kwh rate set forth in Rider No. 18 was a promotional rate voluntarily filed by Duquesne and is a component of the Company's tariff as filed with and approved by the Commission.  Duquesne voluntarily accepted the option of filing a revised tariff supplement containing the grandfathering provisions in accordance with the Commission's July 20, 1987 Order.  Accordingly, if a QF meets the eligibility criteria of Rider No. 18, it is entitled as a matter of law to the rate contained therein.  It is well established that tariffs have the force and effect of law.  See e.g. </w:t>
      </w:r>
      <w:r>
        <w:rPr>
          <w:i/>
          <w:iCs/>
          <w:szCs w:val="24"/>
        </w:rPr>
        <w:t>Brockway Glass v. Pa. P.U.C., 63 Pa. Commonwealth Ct. 238, 437 A.2d 1067 (1982);</w:t>
      </w:r>
      <w:r>
        <w:rPr>
          <w:szCs w:val="24"/>
        </w:rPr>
        <w:t xml:space="preserve"> </w:t>
      </w:r>
      <w:r>
        <w:rPr>
          <w:i/>
          <w:iCs/>
          <w:szCs w:val="24"/>
        </w:rPr>
        <w:t>Stiteler v. Bell Telephone, 32 Pa. Commonwealth Ct. 319, 379 A.2d 339 (1977).</w:t>
      </w:r>
      <w:r>
        <w:rPr>
          <w:szCs w:val="24"/>
        </w:rPr>
        <w:t xml:space="preserve">  Furthermore, Commission approval of the rates contained in utility tariff provisions is conclusive as to the justness and reasonableness thereof until determined otherwise by the Commission.  </w:t>
      </w:r>
    </w:p>
    <w:p w:rsidR="00B537D4" w:rsidRDefault="00B537D4" w:rsidP="00B537D4">
      <w:pPr>
        <w:spacing w:after="0" w:line="360" w:lineRule="auto"/>
      </w:pPr>
    </w:p>
    <w:p w:rsidR="00B537D4" w:rsidRDefault="00B537D4" w:rsidP="00B537D4">
      <w:pPr>
        <w:spacing w:after="0" w:line="360" w:lineRule="auto"/>
      </w:pPr>
      <w:r>
        <w:rPr>
          <w:i/>
        </w:rPr>
        <w:t>Id.</w:t>
      </w:r>
      <w:r>
        <w:t xml:space="preserve"> at 277.</w:t>
      </w:r>
    </w:p>
    <w:p w:rsidR="00B537D4" w:rsidRDefault="00B537D4" w:rsidP="00B537D4">
      <w:pPr>
        <w:spacing w:after="0" w:line="360" w:lineRule="auto"/>
      </w:pPr>
    </w:p>
    <w:p w:rsidR="00B537D4" w:rsidRDefault="00B537D4" w:rsidP="00B537D4">
      <w:r>
        <w:br w:type="page"/>
      </w:r>
    </w:p>
    <w:p w:rsidR="00B537D4" w:rsidRDefault="00B537D4" w:rsidP="00B537D4">
      <w:pPr>
        <w:spacing w:after="0" w:line="360" w:lineRule="auto"/>
      </w:pPr>
      <w:r>
        <w:t>D.</w:t>
      </w:r>
      <w:r>
        <w:tab/>
      </w:r>
      <w:r>
        <w:rPr>
          <w:u w:val="single"/>
        </w:rPr>
        <w:t>NRG’s Position and Proof</w:t>
      </w:r>
    </w:p>
    <w:p w:rsidR="00B537D4" w:rsidRDefault="00B537D4" w:rsidP="00B537D4">
      <w:pPr>
        <w:spacing w:after="0" w:line="360" w:lineRule="auto"/>
      </w:pPr>
    </w:p>
    <w:p w:rsidR="00B537D4" w:rsidRDefault="00B537D4" w:rsidP="00B537D4">
      <w:pPr>
        <w:spacing w:after="0" w:line="360" w:lineRule="auto"/>
      </w:pPr>
      <w:r>
        <w:tab/>
      </w:r>
      <w:r>
        <w:tab/>
        <w:t>Duquesne Light and BFMA argue that NRG failed to carry its burden of proving that Rider No. 18 is unjust and unreasonable.  This argument is unpersuasive.  As explained above, Duquesne Light has consistently represented to the Commission that the rate in Rider No. 18 exceeds the Company’s avoided costs.  However, a state in implementing PURPA cannot permit a purchase rate to exceed an electric utility’s avoided costs.</w:t>
      </w:r>
    </w:p>
    <w:p w:rsidR="00B537D4" w:rsidRDefault="00B537D4" w:rsidP="00B537D4">
      <w:pPr>
        <w:spacing w:after="0" w:line="240" w:lineRule="auto"/>
      </w:pPr>
    </w:p>
    <w:p w:rsidR="00B537D4" w:rsidRDefault="00B537D4" w:rsidP="00B537D4">
      <w:pPr>
        <w:spacing w:after="0" w:line="240" w:lineRule="auto"/>
        <w:ind w:left="1440" w:right="1440"/>
      </w:pPr>
      <w:r>
        <w:t xml:space="preserve">Under FERC regulations, the purchase price for power sold by cogenerators is exempt from regulation by FERC under the relevant provisions of the Federal Power Act, 18 C.F.R. § 292.601(c), and the rate is determined under federal rules implemented by each state for utilities subject to their ratemaking authority.  18 C.F.R.  §§ 292.304, 292.401(a).  However, states cannot impose purchase rates in excess of avoided costs.  </w:t>
      </w:r>
      <w:r>
        <w:rPr>
          <w:i/>
        </w:rPr>
        <w:t>Re Orange and Rockland Utilities, Inc.</w:t>
      </w:r>
      <w:r>
        <w:t>, 92 P.U.R.4th 1, 14-15.</w:t>
      </w:r>
    </w:p>
    <w:p w:rsidR="00B537D4" w:rsidRDefault="00B537D4" w:rsidP="00B537D4">
      <w:pPr>
        <w:spacing w:after="0" w:line="360" w:lineRule="auto"/>
        <w:ind w:left="1440" w:right="1440"/>
      </w:pPr>
    </w:p>
    <w:p w:rsidR="00B537D4" w:rsidRDefault="00B537D4" w:rsidP="00B537D4">
      <w:pPr>
        <w:spacing w:after="0" w:line="360" w:lineRule="auto"/>
      </w:pPr>
      <w:r>
        <w:rPr>
          <w:i/>
        </w:rPr>
        <w:t>State of North Carolina ex rel. Utilities Commission v. North Carolina Power</w:t>
      </w:r>
      <w:r>
        <w:t>, 338 N.C. 412, at 418, 450 S.E. 2d 896 at 900 (1994).</w:t>
      </w:r>
    </w:p>
    <w:p w:rsidR="00B537D4" w:rsidRDefault="00B537D4" w:rsidP="00B537D4">
      <w:pPr>
        <w:pStyle w:val="ListNumber"/>
        <w:numPr>
          <w:ilvl w:val="0"/>
          <w:numId w:val="0"/>
        </w:numPr>
        <w:tabs>
          <w:tab w:val="left" w:pos="720"/>
        </w:tabs>
        <w:spacing w:line="360" w:lineRule="auto"/>
        <w:jc w:val="left"/>
      </w:pPr>
    </w:p>
    <w:p w:rsidR="00B537D4" w:rsidRDefault="00B537D4" w:rsidP="00B537D4">
      <w:pPr>
        <w:pStyle w:val="ListNumber"/>
        <w:numPr>
          <w:ilvl w:val="0"/>
          <w:numId w:val="0"/>
        </w:numPr>
        <w:tabs>
          <w:tab w:val="left" w:pos="720"/>
        </w:tabs>
        <w:spacing w:line="360" w:lineRule="auto"/>
        <w:jc w:val="left"/>
      </w:pPr>
      <w:r>
        <w:tab/>
      </w:r>
      <w:r>
        <w:tab/>
        <w:t xml:space="preserve">NRG established that in today’s environment, Rider No. 18’s six cents rate is almost double as to what is available in the open market.  Hr’g Tr. 320-324.  </w:t>
      </w:r>
      <w:r>
        <w:rPr>
          <w:szCs w:val="24"/>
        </w:rPr>
        <w:t xml:space="preserve">NRG’s </w:t>
      </w:r>
      <w:r>
        <w:t>witness, Vice President Judith Lango,</w:t>
      </w:r>
      <w:r>
        <w:rPr>
          <w:rStyle w:val="FootnoteReference"/>
        </w:rPr>
        <w:footnoteReference w:id="14"/>
      </w:r>
      <w:r>
        <w:t xml:space="preserve"> credibly testified, </w:t>
      </w:r>
      <w:r>
        <w:rPr>
          <w:szCs w:val="24"/>
        </w:rPr>
        <w:t>“NRG Midwest and its predecessors have paid the $60 per megawatt hour price</w:t>
      </w:r>
      <w:r>
        <w:t xml:space="preserve"> ($0.06 per kilowatt-hour)</w:t>
      </w:r>
      <w:r>
        <w:rPr>
          <w:szCs w:val="24"/>
        </w:rPr>
        <w:t xml:space="preserve"> for the past twelve years.  Specifically, between 2008 and 2012, the total average annual production under both PPAs has been 21,350 MWh at an average annual cost under Rider No. 18 of $1,219,494.”  NRG Midwest St. No. 1, p. 6; Hr’g Tr. 320.  In the Duquesne Light service area, the PJM Interconnect, LLC (PJM) day-ahead locational marginal prices (DALMP) for energy, from 2009 to the present, range from $31.53 MWh to $38.89 MWh.  </w:t>
      </w:r>
      <w:r>
        <w:t xml:space="preserve">NRG Midwest St. No. 1, p. 5.  NRG Midwest St. No. 1, p. 5.  </w:t>
      </w:r>
    </w:p>
    <w:p w:rsidR="00B537D4" w:rsidRDefault="00B537D4" w:rsidP="00B537D4">
      <w:pPr>
        <w:spacing w:after="0" w:line="360" w:lineRule="auto"/>
      </w:pPr>
    </w:p>
    <w:p w:rsidR="00B537D4" w:rsidRDefault="00B537D4" w:rsidP="00B537D4">
      <w:pPr>
        <w:spacing w:after="0" w:line="360" w:lineRule="auto"/>
      </w:pPr>
      <w:r>
        <w:tab/>
      </w:r>
      <w:r>
        <w:tab/>
        <w:t>Under cross-examination by counsel for BFMA, Vice President Lango explained the DALMP price range comparison</w:t>
      </w:r>
      <w:r>
        <w:rPr>
          <w:rStyle w:val="FootnoteReference"/>
        </w:rPr>
        <w:footnoteReference w:id="15"/>
      </w:r>
      <w:r>
        <w:t xml:space="preserve"> as follows:</w:t>
      </w:r>
      <w:r>
        <w:tab/>
      </w:r>
    </w:p>
    <w:p w:rsidR="00B537D4" w:rsidRDefault="00B537D4" w:rsidP="00B537D4">
      <w:pPr>
        <w:spacing w:after="0" w:line="240" w:lineRule="auto"/>
        <w:ind w:left="1440" w:right="1440"/>
      </w:pPr>
    </w:p>
    <w:p w:rsidR="00B537D4" w:rsidRDefault="00B537D4" w:rsidP="00B537D4">
      <w:pPr>
        <w:tabs>
          <w:tab w:val="left" w:pos="1710"/>
        </w:tabs>
        <w:spacing w:after="0" w:line="240" w:lineRule="auto"/>
        <w:ind w:left="1440" w:right="1440"/>
      </w:pPr>
      <w:r>
        <w:t>So what this says is that NRG Midwest believes that it is overpaying by approximately double a just and reasonable energy price.</w:t>
      </w:r>
    </w:p>
    <w:p w:rsidR="00B537D4" w:rsidRDefault="00B537D4" w:rsidP="00B537D4">
      <w:pPr>
        <w:spacing w:after="0" w:line="240" w:lineRule="auto"/>
        <w:ind w:left="1440" w:right="1440"/>
      </w:pPr>
    </w:p>
    <w:p w:rsidR="00B537D4" w:rsidRDefault="00B537D4" w:rsidP="00B537D4">
      <w:pPr>
        <w:spacing w:after="0" w:line="240" w:lineRule="auto"/>
        <w:ind w:left="1440" w:right="1440"/>
      </w:pPr>
      <w:r>
        <w:t>This is a reference and a comparison of what is being, the price that NRG Power Midwest is paying, and the comparison to the LMPs that were referenced on a previous page.</w:t>
      </w:r>
    </w:p>
    <w:p w:rsidR="00B537D4" w:rsidRDefault="00B537D4" w:rsidP="00B537D4">
      <w:pPr>
        <w:spacing w:after="0" w:line="240" w:lineRule="auto"/>
        <w:ind w:left="1440" w:right="1440"/>
      </w:pPr>
    </w:p>
    <w:p w:rsidR="00B537D4" w:rsidRDefault="00B537D4" w:rsidP="00B537D4">
      <w:pPr>
        <w:spacing w:after="0" w:line="240" w:lineRule="auto"/>
        <w:ind w:left="1440" w:right="1440"/>
      </w:pPr>
      <w:r>
        <w:t xml:space="preserve">As I mentioned, this [NRG’s Exhibit No. 4] is a comparison, the double is a comparison of the $60 … which is a compilation of the average PJM day-ahead LMPs.  So the $60 is roughly double the compilation of the prices in the exhibit. </w:t>
      </w:r>
    </w:p>
    <w:p w:rsidR="00B537D4" w:rsidRDefault="00B537D4" w:rsidP="00B537D4">
      <w:pPr>
        <w:spacing w:after="0" w:line="240" w:lineRule="auto"/>
        <w:ind w:left="1440" w:right="1440"/>
      </w:pPr>
    </w:p>
    <w:p w:rsidR="00B537D4" w:rsidRDefault="00B537D4" w:rsidP="00B537D4">
      <w:pPr>
        <w:spacing w:after="0" w:line="240" w:lineRule="auto"/>
        <w:ind w:left="1440" w:right="1440"/>
      </w:pPr>
      <w:r>
        <w:t xml:space="preserve">I am saying that the reference to a price that is double is comparison of the $60 to Exhibit 4, which is a compilation of the average PJM day-ahead LMPs in this Duquesne zone. </w:t>
      </w:r>
    </w:p>
    <w:p w:rsidR="00B537D4" w:rsidRDefault="00B537D4" w:rsidP="00B537D4">
      <w:pPr>
        <w:spacing w:after="0" w:line="240" w:lineRule="auto"/>
        <w:ind w:left="1440" w:right="1440"/>
      </w:pPr>
    </w:p>
    <w:p w:rsidR="00B537D4" w:rsidRDefault="00B537D4" w:rsidP="00B537D4">
      <w:pPr>
        <w:spacing w:after="0" w:line="240" w:lineRule="auto"/>
        <w:ind w:left="1440" w:right="1440"/>
      </w:pPr>
      <w:r>
        <w:t>The Exhibit No. 4, which as I explained is a compilation of the day-ahead, average PJM day-ahead LMP prices for the Duquesne zone, is what if I were scheduling load and forecasting load and trying to buy my requirements is a good benchmark of what a market price for energy would be in that particular location.</w:t>
      </w:r>
    </w:p>
    <w:p w:rsidR="00B537D4" w:rsidRDefault="00B537D4" w:rsidP="00B537D4">
      <w:pPr>
        <w:spacing w:after="0" w:line="240" w:lineRule="auto"/>
        <w:ind w:left="1440" w:right="1080"/>
      </w:pPr>
    </w:p>
    <w:p w:rsidR="00B537D4" w:rsidRDefault="00B537D4" w:rsidP="00B537D4">
      <w:pPr>
        <w:spacing w:after="0" w:line="240" w:lineRule="auto"/>
        <w:ind w:left="1440" w:right="1080"/>
      </w:pPr>
      <w:r>
        <w:t>What I am explaining here in my direct testimony is that NRG Midwest is having to pay $60 for this power around the clock, that one may be able to purchase in the open market in today’s deregulated electric environment for roughly half of what NRG Midwest is having to pay for these contracts.</w:t>
      </w:r>
    </w:p>
    <w:p w:rsidR="00B537D4" w:rsidRDefault="00B537D4" w:rsidP="00B537D4">
      <w:pPr>
        <w:spacing w:after="0" w:line="240" w:lineRule="auto"/>
        <w:ind w:left="1440" w:right="1080"/>
      </w:pPr>
    </w:p>
    <w:p w:rsidR="00B537D4" w:rsidRDefault="00B537D4" w:rsidP="00B537D4">
      <w:pPr>
        <w:spacing w:after="0" w:line="240" w:lineRule="auto"/>
        <w:ind w:left="1440" w:right="1080"/>
      </w:pPr>
      <w:r>
        <w:t>What I am - - again, as I am explaining here, that the just and reasonable energy price as referenced by Exhibit No. 4 is the day-ahead price in the Duquesne zone which provides, I think, a reasonable benchmark for what a just and reasonable price may be in today’s wholesale electric market.</w:t>
      </w:r>
    </w:p>
    <w:p w:rsidR="00B537D4" w:rsidRDefault="00B537D4" w:rsidP="00B537D4">
      <w:pPr>
        <w:spacing w:after="0" w:line="240" w:lineRule="auto"/>
        <w:ind w:left="1440" w:right="1080"/>
      </w:pPr>
    </w:p>
    <w:p w:rsidR="00B537D4" w:rsidRDefault="00B537D4" w:rsidP="00B537D4">
      <w:pPr>
        <w:spacing w:after="0" w:line="360" w:lineRule="auto"/>
        <w:ind w:left="1440" w:right="1080" w:hanging="1440"/>
      </w:pPr>
      <w:r>
        <w:t>Hr’g Tr. 321-324.</w:t>
      </w:r>
    </w:p>
    <w:p w:rsidR="00B537D4" w:rsidRDefault="00B537D4" w:rsidP="00B537D4">
      <w:pPr>
        <w:spacing w:after="0" w:line="360" w:lineRule="auto"/>
        <w:ind w:left="1440" w:right="1080" w:hanging="1440"/>
      </w:pPr>
    </w:p>
    <w:p w:rsidR="00B537D4" w:rsidRDefault="00B537D4" w:rsidP="00B537D4">
      <w:pPr>
        <w:spacing w:after="0" w:line="360" w:lineRule="auto"/>
        <w:ind w:firstLine="720"/>
        <w:jc w:val="both"/>
        <w:rPr>
          <w:rFonts w:eastAsia="Times New Roman"/>
          <w:szCs w:val="24"/>
        </w:rPr>
      </w:pPr>
      <w:r>
        <w:rPr>
          <w:rFonts w:eastAsia="Times New Roman"/>
          <w:szCs w:val="24"/>
        </w:rPr>
        <w:tab/>
        <w:t xml:space="preserve">NRG also argues that the electric industry has undergone restructuring since the establishment of Rider No. 18, and as a result the Rider conflicts with statutory law.  NRG Main Brief, p. 10. </w:t>
      </w:r>
    </w:p>
    <w:p w:rsidR="00B537D4" w:rsidRDefault="00B537D4" w:rsidP="00B537D4">
      <w:pPr>
        <w:spacing w:after="0" w:line="240" w:lineRule="auto"/>
        <w:ind w:left="1440" w:right="1080"/>
        <w:rPr>
          <w:rFonts w:eastAsia="Times New Roman"/>
          <w:szCs w:val="24"/>
        </w:rPr>
      </w:pPr>
    </w:p>
    <w:p w:rsidR="00B537D4" w:rsidRDefault="00B537D4" w:rsidP="00B537D4">
      <w:pPr>
        <w:spacing w:after="0" w:line="240" w:lineRule="auto"/>
        <w:ind w:left="1440" w:right="1440"/>
        <w:rPr>
          <w:rFonts w:eastAsia="Times New Roman"/>
          <w:szCs w:val="24"/>
        </w:rPr>
      </w:pPr>
      <w:r>
        <w:rPr>
          <w:rFonts w:eastAsia="Times New Roman"/>
          <w:szCs w:val="24"/>
        </w:rPr>
        <w:t xml:space="preserve">In 1996, the Electricity Generation Customer Choice and Competition Act (the “Competition Act”), 66 Pa. C.S. § 2801 </w:t>
      </w:r>
      <w:r>
        <w:rPr>
          <w:rFonts w:eastAsia="Times New Roman"/>
          <w:i/>
          <w:szCs w:val="24"/>
        </w:rPr>
        <w:t>et seq</w:t>
      </w:r>
      <w:r>
        <w:rPr>
          <w:rFonts w:eastAsia="Times New Roman"/>
          <w:i/>
          <w:szCs w:val="24"/>
        </w:rPr>
        <w:fldChar w:fldCharType="begin"/>
      </w:r>
      <w:r>
        <w:rPr>
          <w:rFonts w:eastAsia="Times New Roman"/>
          <w:szCs w:val="24"/>
        </w:rPr>
        <w:instrText xml:space="preserve"> TA \l "Electricity Generation Customer Choice and Competition Act, 66 Pa. C.S. § 2801 </w:instrText>
      </w:r>
      <w:r>
        <w:rPr>
          <w:rFonts w:eastAsia="Times New Roman"/>
          <w:i/>
          <w:szCs w:val="24"/>
        </w:rPr>
        <w:instrText>et seq.</w:instrText>
      </w:r>
      <w:r>
        <w:rPr>
          <w:rFonts w:eastAsia="Times New Roman"/>
          <w:szCs w:val="24"/>
        </w:rPr>
        <w:instrText xml:space="preserve">" \s "Electricity Generation Customer Choice and Competition Act (the \"Competition Act\"), 66 Pa. C.S. § 2801 et seq" \c 2 </w:instrText>
      </w:r>
      <w:r>
        <w:rPr>
          <w:rFonts w:eastAsia="Times New Roman"/>
          <w:i/>
          <w:szCs w:val="24"/>
        </w:rPr>
        <w:fldChar w:fldCharType="end"/>
      </w:r>
      <w:r>
        <w:rPr>
          <w:rFonts w:eastAsia="Times New Roman"/>
          <w:szCs w:val="24"/>
        </w:rPr>
        <w:t>., was signed into law in Pennsylvania.  In support of the Competition Act, the General Assembly found that providing retail customers’ access to a competitive generation market was in the public interest, and that competitive market forces are more effective than economic regulation in controlling the cost of generating electricity.  66 Pa. C.S. § 2802</w:t>
      </w:r>
      <w:r>
        <w:rPr>
          <w:rFonts w:eastAsia="Times New Roman"/>
          <w:szCs w:val="24"/>
        </w:rPr>
        <w:fldChar w:fldCharType="begin"/>
      </w:r>
      <w:r>
        <w:rPr>
          <w:rFonts w:eastAsia="Times New Roman"/>
          <w:szCs w:val="24"/>
        </w:rPr>
        <w:instrText xml:space="preserve"> TA \l "66 Pa. C.S. § 2802" \s "66 Pa. C.S. § 2802" \c 2 </w:instrText>
      </w:r>
      <w:r>
        <w:rPr>
          <w:rFonts w:eastAsia="Times New Roman"/>
          <w:szCs w:val="24"/>
        </w:rPr>
        <w:fldChar w:fldCharType="end"/>
      </w:r>
      <w:r>
        <w:rPr>
          <w:rFonts w:eastAsia="Times New Roman"/>
          <w:szCs w:val="24"/>
        </w:rPr>
        <w:t>.</w:t>
      </w:r>
    </w:p>
    <w:p w:rsidR="00B537D4" w:rsidRDefault="00B537D4" w:rsidP="00B537D4">
      <w:pPr>
        <w:spacing w:after="0" w:line="240" w:lineRule="auto"/>
        <w:ind w:left="1440" w:right="1440"/>
        <w:rPr>
          <w:rFonts w:eastAsia="Times New Roman"/>
          <w:szCs w:val="24"/>
        </w:rPr>
      </w:pPr>
    </w:p>
    <w:p w:rsidR="00B537D4" w:rsidRDefault="00B537D4" w:rsidP="00B537D4">
      <w:pPr>
        <w:spacing w:after="0" w:line="240" w:lineRule="auto"/>
        <w:ind w:left="1440" w:right="1440"/>
        <w:rPr>
          <w:rFonts w:eastAsia="Times New Roman"/>
          <w:szCs w:val="24"/>
        </w:rPr>
      </w:pPr>
      <w:r>
        <w:rPr>
          <w:rFonts w:eastAsia="Times New Roman"/>
          <w:szCs w:val="24"/>
        </w:rPr>
        <w:t xml:space="preserve">The Competition Act amended the Public Utility Code by adding Chapter 28 and required electric utilities to unbundle their rates and services and to provide open access over their transmission and distribution systems to allow competitive suppliers to generate and sell electricity directly to consumers.  </w:t>
      </w:r>
      <w:r>
        <w:rPr>
          <w:rFonts w:eastAsia="Times New Roman"/>
          <w:i/>
          <w:szCs w:val="24"/>
        </w:rPr>
        <w:t>Id.</w:t>
      </w:r>
      <w:r>
        <w:rPr>
          <w:rFonts w:eastAsia="Times New Roman"/>
          <w:i/>
          <w:szCs w:val="24"/>
        </w:rPr>
        <w:fldChar w:fldCharType="begin"/>
      </w:r>
      <w:r>
        <w:rPr>
          <w:rFonts w:eastAsia="Times New Roman"/>
          <w:szCs w:val="24"/>
        </w:rPr>
        <w:instrText xml:space="preserve"> TA \s "66 Pa. C.S. § 2802" </w:instrText>
      </w:r>
      <w:r>
        <w:rPr>
          <w:rFonts w:eastAsia="Times New Roman"/>
          <w:i/>
          <w:szCs w:val="24"/>
        </w:rPr>
        <w:fldChar w:fldCharType="end"/>
      </w:r>
      <w:r>
        <w:rPr>
          <w:rFonts w:eastAsia="Times New Roman"/>
          <w:szCs w:val="24"/>
        </w:rPr>
        <w:t xml:space="preserve">  Electric utilities were relieved of their duty to supply generation service to retail customers, except as providers of last resort to those choosing not to participate in the competitive markets.  66 Pa. C.S. § 2807</w:t>
      </w:r>
      <w:r>
        <w:rPr>
          <w:rFonts w:eastAsia="Times New Roman"/>
          <w:szCs w:val="24"/>
        </w:rPr>
        <w:fldChar w:fldCharType="begin"/>
      </w:r>
      <w:r>
        <w:rPr>
          <w:rFonts w:eastAsia="Times New Roman"/>
          <w:szCs w:val="24"/>
        </w:rPr>
        <w:instrText xml:space="preserve"> TA \l "66 Pa. C.S. §§ 2807" \s "66 Pa. C.S. § 2807" \c 2 </w:instrText>
      </w:r>
      <w:r>
        <w:rPr>
          <w:rFonts w:eastAsia="Times New Roman"/>
          <w:szCs w:val="24"/>
        </w:rPr>
        <w:fldChar w:fldCharType="end"/>
      </w:r>
      <w:r>
        <w:rPr>
          <w:rFonts w:eastAsia="Times New Roman"/>
          <w:szCs w:val="24"/>
        </w:rPr>
        <w:t>.  In providing such default service, electric utilities must procure power through certain specified competitive processes.  Bilateral power purchase agreements are permissible, so long as the price for power is no greater than the cost of obtaining power in the wholesale market.  66 Pa. C.S. § 2807(e)(3.1)(iii)</w:t>
      </w:r>
      <w:r>
        <w:rPr>
          <w:rFonts w:eastAsia="Times New Roman"/>
          <w:szCs w:val="24"/>
        </w:rPr>
        <w:fldChar w:fldCharType="begin"/>
      </w:r>
      <w:r>
        <w:rPr>
          <w:rFonts w:eastAsia="Times New Roman"/>
          <w:szCs w:val="24"/>
        </w:rPr>
        <w:instrText xml:space="preserve"> TA \l "66 Pa. C.S. § 2807(e)(3.1)(iii)" \s "66 Pa. C.S. § 2807(e)(3.1)(iii)" \c 2 </w:instrText>
      </w:r>
      <w:r>
        <w:rPr>
          <w:rFonts w:eastAsia="Times New Roman"/>
          <w:szCs w:val="24"/>
        </w:rPr>
        <w:fldChar w:fldCharType="end"/>
      </w:r>
      <w:r>
        <w:rPr>
          <w:rFonts w:eastAsia="Times New Roman"/>
          <w:szCs w:val="24"/>
        </w:rPr>
        <w:t xml:space="preserve">.  Long-term power purchase agreements may not have a term in excess of 20 years.  </w:t>
      </w:r>
      <w:r>
        <w:rPr>
          <w:rFonts w:eastAsia="Times New Roman"/>
          <w:i/>
          <w:szCs w:val="24"/>
        </w:rPr>
        <w:t>Id.</w:t>
      </w:r>
      <w:r>
        <w:rPr>
          <w:rFonts w:eastAsia="Times New Roman"/>
          <w:szCs w:val="24"/>
        </w:rPr>
        <w:t xml:space="preserve"> § 2807(e)(3.2)(iii)</w:t>
      </w:r>
      <w:r>
        <w:rPr>
          <w:rFonts w:eastAsia="Times New Roman"/>
          <w:szCs w:val="24"/>
        </w:rPr>
        <w:fldChar w:fldCharType="begin"/>
      </w:r>
      <w:r>
        <w:rPr>
          <w:rFonts w:eastAsia="Times New Roman"/>
          <w:szCs w:val="24"/>
        </w:rPr>
        <w:instrText xml:space="preserve"> TA \l "66 Pa.C.S. § 2807(e)(3.2)(iii)" \s "§ 2807(e)(3.2)(iii)" \c 2 </w:instrText>
      </w:r>
      <w:r>
        <w:rPr>
          <w:rFonts w:eastAsia="Times New Roman"/>
          <w:szCs w:val="24"/>
        </w:rPr>
        <w:fldChar w:fldCharType="end"/>
      </w:r>
      <w:r>
        <w:rPr>
          <w:rFonts w:eastAsia="Times New Roman"/>
          <w:szCs w:val="24"/>
        </w:rPr>
        <w:t>.</w:t>
      </w:r>
    </w:p>
    <w:p w:rsidR="00B537D4" w:rsidRDefault="00B537D4" w:rsidP="00B537D4">
      <w:pPr>
        <w:spacing w:after="0" w:line="240" w:lineRule="auto"/>
        <w:ind w:left="1440" w:right="1440"/>
        <w:rPr>
          <w:rFonts w:eastAsia="Times New Roman"/>
          <w:szCs w:val="24"/>
        </w:rPr>
      </w:pPr>
    </w:p>
    <w:p w:rsidR="00B537D4" w:rsidRDefault="00B537D4" w:rsidP="00B537D4">
      <w:pPr>
        <w:spacing w:after="0" w:line="240" w:lineRule="auto"/>
        <w:ind w:left="1440" w:right="1440"/>
        <w:rPr>
          <w:rFonts w:eastAsia="Times New Roman"/>
          <w:szCs w:val="24"/>
        </w:rPr>
      </w:pPr>
      <w:r>
        <w:rPr>
          <w:rFonts w:eastAsia="Times New Roman"/>
          <w:szCs w:val="24"/>
        </w:rPr>
        <w:t xml:space="preserve">The Alternative Energy Portfolio Standards Act (“AEPS Act”), 73 P.S. § 1648.1 </w:t>
      </w:r>
      <w:r>
        <w:rPr>
          <w:rFonts w:eastAsia="Times New Roman"/>
          <w:i/>
          <w:szCs w:val="24"/>
        </w:rPr>
        <w:t>et seq</w:t>
      </w:r>
      <w:r>
        <w:rPr>
          <w:rFonts w:eastAsia="Times New Roman"/>
          <w:szCs w:val="24"/>
        </w:rPr>
        <w:t>.</w:t>
      </w:r>
      <w:r>
        <w:rPr>
          <w:rFonts w:eastAsia="Times New Roman"/>
          <w:szCs w:val="24"/>
        </w:rPr>
        <w:fldChar w:fldCharType="begin"/>
      </w:r>
      <w:r>
        <w:rPr>
          <w:rFonts w:eastAsia="Times New Roman"/>
          <w:szCs w:val="24"/>
        </w:rPr>
        <w:instrText xml:space="preserve"> TA \l "Alternative Energy Portfolio Standards Act, 73 P.S. § 1648.1 </w:instrText>
      </w:r>
      <w:r>
        <w:rPr>
          <w:rFonts w:eastAsia="Times New Roman"/>
          <w:i/>
          <w:szCs w:val="24"/>
        </w:rPr>
        <w:instrText>et seq</w:instrText>
      </w:r>
      <w:r>
        <w:rPr>
          <w:rFonts w:eastAsia="Times New Roman"/>
          <w:szCs w:val="24"/>
        </w:rPr>
        <w:instrText xml:space="preserve">." \s "Alternative Energy Portfolio Standards Act (\"AEPS Act\"), 73 P.S. § 1648.1 et seq." \c 2 </w:instrText>
      </w:r>
      <w:r>
        <w:rPr>
          <w:rFonts w:eastAsia="Times New Roman"/>
          <w:szCs w:val="24"/>
        </w:rPr>
        <w:fldChar w:fldCharType="end"/>
      </w:r>
      <w:r>
        <w:rPr>
          <w:rFonts w:eastAsia="Times New Roman"/>
          <w:szCs w:val="24"/>
        </w:rPr>
        <w:t>, was signed into law in 2004.  The AEPS Act requires that electric distribution companies and electric generation suppliers procure a certain percentage of their electricity supply from alternative energy sources.  73 P.S. § 1648.3</w:t>
      </w:r>
      <w:r>
        <w:rPr>
          <w:rFonts w:eastAsia="Times New Roman"/>
          <w:szCs w:val="24"/>
        </w:rPr>
        <w:fldChar w:fldCharType="begin"/>
      </w:r>
      <w:r>
        <w:rPr>
          <w:rFonts w:eastAsia="Times New Roman"/>
          <w:szCs w:val="24"/>
        </w:rPr>
        <w:instrText xml:space="preserve"> TA \l "73 P.S. § 1648.3" \s "73 P.S. § 1648.3" \c 2 </w:instrText>
      </w:r>
      <w:r>
        <w:rPr>
          <w:rFonts w:eastAsia="Times New Roman"/>
          <w:szCs w:val="24"/>
        </w:rPr>
        <w:fldChar w:fldCharType="end"/>
      </w:r>
      <w:r>
        <w:rPr>
          <w:rFonts w:eastAsia="Times New Roman"/>
          <w:szCs w:val="24"/>
        </w:rPr>
        <w:t>.  The AEPS Act also required the Commission to establish an alternative energy credits program as a means of tracking compliance with the portfolio standards.  73 P.S. § 1648.3(e)</w:t>
      </w:r>
      <w:r>
        <w:rPr>
          <w:rFonts w:eastAsia="Times New Roman"/>
          <w:szCs w:val="24"/>
        </w:rPr>
        <w:fldChar w:fldCharType="begin"/>
      </w:r>
      <w:r>
        <w:rPr>
          <w:rFonts w:eastAsia="Times New Roman"/>
          <w:szCs w:val="24"/>
        </w:rPr>
        <w:instrText xml:space="preserve"> TA \l "73 P.S. § 1648.3(e)" \s "73 P.S. § 1648.3(e)" \c 2 </w:instrText>
      </w:r>
      <w:r>
        <w:rPr>
          <w:rFonts w:eastAsia="Times New Roman"/>
          <w:szCs w:val="24"/>
        </w:rPr>
        <w:fldChar w:fldCharType="end"/>
      </w:r>
      <w:r>
        <w:rPr>
          <w:rFonts w:eastAsia="Times New Roman"/>
          <w:szCs w:val="24"/>
        </w:rPr>
        <w:t>.  An “alternative energy credit” is a tradable instrument “used to establish, verify and monitor compliance with the act.”  73 P.S. § 1648.2</w:t>
      </w:r>
      <w:r>
        <w:rPr>
          <w:rFonts w:eastAsia="Times New Roman"/>
          <w:szCs w:val="24"/>
        </w:rPr>
        <w:fldChar w:fldCharType="begin"/>
      </w:r>
      <w:r>
        <w:rPr>
          <w:rFonts w:eastAsia="Times New Roman"/>
          <w:szCs w:val="24"/>
        </w:rPr>
        <w:instrText xml:space="preserve"> TA \l "73 P.S. § 1648.2" \s "73 P.S. § 1648.2" \c 2 </w:instrText>
      </w:r>
      <w:r>
        <w:rPr>
          <w:rFonts w:eastAsia="Times New Roman"/>
          <w:szCs w:val="24"/>
        </w:rPr>
        <w:fldChar w:fldCharType="end"/>
      </w:r>
      <w:r>
        <w:rPr>
          <w:rFonts w:eastAsia="Times New Roman"/>
          <w:szCs w:val="24"/>
        </w:rPr>
        <w:t>.  Not only does the AEPS Act provide an incentive to develop alternative energy sources by requiring electric utilities and generation suppliers to purchase power from such sources, it also provides an additional revenue stream to these sources by monetizing the environmental attributes of the power itself (i.e., through tradable alternative energy credits).</w:t>
      </w:r>
    </w:p>
    <w:p w:rsidR="00B537D4" w:rsidRDefault="00B537D4" w:rsidP="00B537D4">
      <w:pPr>
        <w:spacing w:after="0" w:line="360" w:lineRule="auto"/>
        <w:ind w:left="1440" w:right="1080" w:hanging="1440"/>
      </w:pPr>
      <w:r>
        <w:rPr>
          <w:i/>
        </w:rPr>
        <w:t>Id.</w:t>
      </w:r>
      <w:r>
        <w:t xml:space="preserve"> at 9-10. </w:t>
      </w:r>
    </w:p>
    <w:p w:rsidR="00B537D4" w:rsidRDefault="00B537D4" w:rsidP="00B537D4">
      <w:pPr>
        <w:spacing w:after="0" w:line="360" w:lineRule="auto"/>
        <w:ind w:left="1440" w:right="1080" w:hanging="1440"/>
      </w:pPr>
    </w:p>
    <w:p w:rsidR="00B537D4" w:rsidRDefault="00B537D4" w:rsidP="00B537D4">
      <w:pPr>
        <w:spacing w:after="0" w:line="360" w:lineRule="auto"/>
      </w:pPr>
      <w:r>
        <w:tab/>
      </w:r>
      <w:r>
        <w:tab/>
        <w:t xml:space="preserve">Duquesne Light and BFMA respond to NRG’s industry restructuring argument by arguing state law cannot preempt federal law.  This is true.  However, neither one addresses the Commission’s policy.  </w:t>
      </w:r>
    </w:p>
    <w:p w:rsidR="00B537D4" w:rsidRDefault="00B537D4" w:rsidP="00B537D4">
      <w:pPr>
        <w:spacing w:after="0" w:line="240" w:lineRule="auto"/>
        <w:ind w:left="1440" w:right="1080"/>
        <w:rPr>
          <w:color w:val="000000" w:themeColor="text1"/>
          <w:szCs w:val="24"/>
        </w:rPr>
      </w:pPr>
    </w:p>
    <w:p w:rsidR="00B537D4" w:rsidRDefault="00B537D4" w:rsidP="00B537D4">
      <w:pPr>
        <w:spacing w:after="0" w:line="240" w:lineRule="auto"/>
        <w:ind w:left="1440" w:right="1080"/>
        <w:rPr>
          <w:color w:val="000000" w:themeColor="text1"/>
          <w:szCs w:val="24"/>
        </w:rPr>
      </w:pPr>
      <w:r>
        <w:rPr>
          <w:color w:val="000000" w:themeColor="text1"/>
          <w:szCs w:val="24"/>
        </w:rPr>
        <w:t>Because of advances in electric generation technology and Federal initiatives to encourage greater competition in the wholesale electric market, it is now in the public interest to permit retail customers to obtain direct access to a competitive generation market as long as safe and affordable transmission and distribution service is available at levels of reliability that are currently enjoyed by the citizens and businesses of this Commonwealth.</w:t>
      </w:r>
    </w:p>
    <w:p w:rsidR="00B537D4" w:rsidRDefault="00B537D4" w:rsidP="00B537D4">
      <w:pPr>
        <w:spacing w:after="0" w:line="240" w:lineRule="auto"/>
        <w:ind w:right="1440"/>
        <w:rPr>
          <w:color w:val="000000" w:themeColor="text1"/>
          <w:szCs w:val="24"/>
        </w:rPr>
      </w:pPr>
    </w:p>
    <w:p w:rsidR="00B537D4" w:rsidRDefault="00B537D4" w:rsidP="00B537D4">
      <w:pPr>
        <w:spacing w:after="0" w:line="360" w:lineRule="auto"/>
        <w:rPr>
          <w:color w:val="000000" w:themeColor="text1"/>
        </w:rPr>
      </w:pPr>
      <w:r>
        <w:rPr>
          <w:color w:val="000000" w:themeColor="text1"/>
        </w:rPr>
        <w:t>66 Pa.C.S.A. § 2802(3).</w:t>
      </w:r>
    </w:p>
    <w:p w:rsidR="00B537D4" w:rsidRDefault="00B537D4" w:rsidP="00B537D4">
      <w:pPr>
        <w:spacing w:after="0" w:line="360" w:lineRule="auto"/>
      </w:pPr>
    </w:p>
    <w:p w:rsidR="00B537D4" w:rsidRDefault="00B537D4" w:rsidP="00B537D4">
      <w:pPr>
        <w:spacing w:after="0" w:line="360" w:lineRule="auto"/>
      </w:pPr>
      <w:r>
        <w:t>Accordingly, the Commission advocates competition in the wholesale and retail market in conjunction with federal regulations.</w:t>
      </w:r>
    </w:p>
    <w:p w:rsidR="00B537D4" w:rsidRDefault="00B537D4" w:rsidP="00B537D4">
      <w:pPr>
        <w:spacing w:after="0" w:line="360" w:lineRule="auto"/>
      </w:pPr>
    </w:p>
    <w:p w:rsidR="00B537D4" w:rsidRDefault="00B537D4" w:rsidP="00B537D4">
      <w:pPr>
        <w:spacing w:after="0" w:line="360" w:lineRule="auto"/>
      </w:pPr>
      <w:r>
        <w:tab/>
      </w:r>
      <w:r>
        <w:tab/>
        <w:t xml:space="preserve">Lastly, I note that the purchase rate in Rider No. 18 is governed by the “as available” provisions of PURPA.  Under PURPA, rates for purchases are divided into categories: purchases “as available” or pursuant to a legally enforceable obligation.  The qualifying facility has the option to provide (1) energy as available or (2) energy or capacity pursuant to a legally enforceable obligation over a specified term. When the qualifying facility provides energy as available “the rates for purchases shall be based upon the purchasing utility’s avoided costs calculated at the time of delivery.”  18 C.F.R. 292.304(d)(1).  </w:t>
      </w:r>
      <w:r>
        <w:rPr>
          <w:b/>
        </w:rPr>
        <w:t>[</w:t>
      </w:r>
      <w:r>
        <w:rPr>
          <w:b/>
          <w:szCs w:val="24"/>
        </w:rPr>
        <w:t>PROPRIETARY</w:t>
      </w:r>
      <w:r>
        <w:t xml:space="preserve">:  </w:t>
      </w:r>
    </w:p>
    <w:p w:rsidR="00B537D4" w:rsidRDefault="00B537D4" w:rsidP="00B537D4">
      <w:pPr>
        <w:spacing w:after="0" w:line="360" w:lineRule="auto"/>
      </w:pPr>
    </w:p>
    <w:p w:rsidR="00B537D4" w:rsidRDefault="00B537D4" w:rsidP="00B537D4">
      <w:pPr>
        <w:spacing w:after="0" w:line="360" w:lineRule="auto"/>
      </w:pPr>
      <w:r>
        <w:t xml:space="preserve">                                                                                                           </w:t>
      </w:r>
      <w:r>
        <w:rPr>
          <w:b/>
        </w:rPr>
        <w:t>]</w:t>
      </w:r>
      <w:r>
        <w:t xml:space="preserve">  Thus by necessity the Rider No. 18 purchase rate cannot be a stagnant six cents per kilowatt rate as it has been for over 30 years.  The avoided costs purchase rate must be determined at the time of the delivery of the energy. </w:t>
      </w:r>
    </w:p>
    <w:p w:rsidR="00B537D4" w:rsidRDefault="00B537D4" w:rsidP="00B537D4">
      <w:pPr>
        <w:spacing w:after="0" w:line="360" w:lineRule="auto"/>
      </w:pPr>
    </w:p>
    <w:p w:rsidR="00BA0B7D" w:rsidRDefault="00BA0B7D">
      <w:r>
        <w:br w:type="page"/>
      </w:r>
    </w:p>
    <w:p w:rsidR="00B537D4" w:rsidRDefault="00B537D4" w:rsidP="00B537D4">
      <w:pPr>
        <w:spacing w:after="0" w:line="360" w:lineRule="auto"/>
        <w:ind w:firstLine="1440"/>
      </w:pPr>
      <w:r>
        <w:t xml:space="preserve">All of the above reasoning requires finding that the NRG Companies established their burden of proving that Rider No. 18 is no longer compliant with the Commission’s regulatory scheme. Further Duquesne Light did not present any credible evidence to rebut, in essence, NRG’s prima facie case.  In other words, both Duquesne Light’s and BFMA’s positions rested upon legal arguments, which are unavailing. </w:t>
      </w:r>
    </w:p>
    <w:p w:rsidR="00B537D4" w:rsidRDefault="00B537D4" w:rsidP="00B537D4">
      <w:pPr>
        <w:spacing w:after="0" w:line="360" w:lineRule="auto"/>
      </w:pPr>
    </w:p>
    <w:p w:rsidR="00B537D4" w:rsidRDefault="00B537D4" w:rsidP="00B537D4">
      <w:pPr>
        <w:spacing w:after="0" w:line="360" w:lineRule="auto"/>
        <w:jc w:val="center"/>
        <w:rPr>
          <w:u w:val="single"/>
        </w:rPr>
      </w:pPr>
      <w:r>
        <w:t>V.</w:t>
      </w:r>
      <w:r>
        <w:tab/>
      </w:r>
      <w:r>
        <w:rPr>
          <w:u w:val="single"/>
        </w:rPr>
        <w:t>RECOMMENDATION ON DISPUTED RIDER NO. 18 ISSUE</w:t>
      </w:r>
    </w:p>
    <w:p w:rsidR="00B537D4" w:rsidRDefault="00B537D4" w:rsidP="00B537D4">
      <w:pPr>
        <w:spacing w:after="0" w:line="360" w:lineRule="auto"/>
      </w:pPr>
    </w:p>
    <w:p w:rsidR="00B537D4" w:rsidRDefault="00B537D4" w:rsidP="00B537D4">
      <w:pPr>
        <w:spacing w:after="0" w:line="360" w:lineRule="auto"/>
      </w:pPr>
      <w:r>
        <w:tab/>
      </w:r>
      <w:r>
        <w:tab/>
        <w:t xml:space="preserve">Upon due consideration of the evidence and legal argument present in this matter, NRG established that Duquesne Light’s Tariff Rider No. 18 is no longer compliant with the Commission’s regulatory scheme.  Accordingly, Rider No. 18 is as a matter unjust and unreasonable and not in the public interest.  In the ordering paragraphs, I will recommend that Rider No. 18 be removed from Duquesne Light’s tariff.   In the alternative I will recommend that Duquesne Light may file a revised rider for the Commission’s consideration with due notice to all affected parties. </w:t>
      </w:r>
    </w:p>
    <w:p w:rsidR="00B537D4" w:rsidRDefault="00B537D4" w:rsidP="00B537D4">
      <w:pPr>
        <w:spacing w:after="0" w:line="360" w:lineRule="auto"/>
        <w:ind w:firstLine="1350"/>
      </w:pPr>
      <w:r>
        <w:tab/>
      </w:r>
    </w:p>
    <w:p w:rsidR="00B537D4" w:rsidRDefault="00B537D4" w:rsidP="00B537D4">
      <w:pPr>
        <w:spacing w:after="0" w:line="360" w:lineRule="auto"/>
        <w:ind w:firstLine="1350"/>
      </w:pPr>
      <w:r>
        <w:t xml:space="preserve">Further there is a certain level of complexity encountered by a utility in establishing a rate for the purchase of electricity from a qualifying facility that does not exceed a utility’s avoided cost.  Therefore, in the event that the Company files a revised rider, Duquesne Light’s attention is directed to the Commission’s regulation in this area.  </w:t>
      </w:r>
    </w:p>
    <w:p w:rsidR="00B537D4" w:rsidRDefault="00B537D4" w:rsidP="00B537D4">
      <w:pPr>
        <w:spacing w:after="0" w:line="240" w:lineRule="auto"/>
        <w:ind w:left="1440" w:right="1440"/>
        <w:rPr>
          <w:color w:val="333333"/>
          <w:szCs w:val="24"/>
        </w:rPr>
      </w:pPr>
    </w:p>
    <w:p w:rsidR="00B537D4" w:rsidRDefault="00B537D4" w:rsidP="00B537D4">
      <w:pPr>
        <w:spacing w:after="0" w:line="240" w:lineRule="auto"/>
        <w:ind w:left="1440" w:right="1440"/>
        <w:rPr>
          <w:color w:val="333333"/>
          <w:szCs w:val="24"/>
        </w:rPr>
      </w:pPr>
      <w:r>
        <w:rPr>
          <w:color w:val="333333"/>
          <w:szCs w:val="24"/>
        </w:rPr>
        <w:t>A qualifying facility or utility may request Commission assistance concerning charges and conditions of the purchase or sale of power under this subchapter.  The Commission may designate staff to consult with such parties as the need arises.  Upon request for assistance, staff will attempt to aid the parties in understanding and complying with this subchapter. Staff may also suggest possible solutions to problems and disputes arising from application of this subchapter.  Assistance or suggestions, however, will be wholly informational and nonbinding on both the Commission and the parties. The assistance or suggestions may not form the basis for any decision by the Commission.</w:t>
      </w:r>
    </w:p>
    <w:p w:rsidR="00B537D4" w:rsidRDefault="00B537D4" w:rsidP="00B537D4">
      <w:pPr>
        <w:spacing w:after="0" w:line="240" w:lineRule="auto"/>
        <w:ind w:left="1440" w:right="1080" w:hanging="1350"/>
        <w:rPr>
          <w:szCs w:val="24"/>
        </w:rPr>
      </w:pPr>
    </w:p>
    <w:p w:rsidR="00B537D4" w:rsidRDefault="00B537D4" w:rsidP="00B537D4">
      <w:pPr>
        <w:spacing w:after="0" w:line="360" w:lineRule="auto"/>
        <w:ind w:left="1440" w:right="1080" w:hanging="1350"/>
        <w:rPr>
          <w:szCs w:val="24"/>
        </w:rPr>
      </w:pPr>
      <w:r>
        <w:rPr>
          <w:szCs w:val="24"/>
        </w:rPr>
        <w:t>52 Pa.Code § 57.89.</w:t>
      </w:r>
    </w:p>
    <w:p w:rsidR="00B537D4" w:rsidRDefault="00B537D4" w:rsidP="00B537D4">
      <w:pPr>
        <w:spacing w:after="0" w:line="360" w:lineRule="auto"/>
        <w:ind w:left="1440" w:right="1080"/>
      </w:pPr>
    </w:p>
    <w:p w:rsidR="00B537D4" w:rsidRDefault="00B537D4" w:rsidP="00B537D4">
      <w:pPr>
        <w:spacing w:after="0" w:line="360" w:lineRule="auto"/>
        <w:jc w:val="center"/>
        <w:rPr>
          <w:szCs w:val="24"/>
          <w:u w:val="single"/>
        </w:rPr>
      </w:pPr>
      <w:r>
        <w:rPr>
          <w:szCs w:val="24"/>
        </w:rPr>
        <w:t>VI.</w:t>
      </w:r>
      <w:r>
        <w:rPr>
          <w:szCs w:val="24"/>
        </w:rPr>
        <w:tab/>
      </w:r>
      <w:r>
        <w:rPr>
          <w:szCs w:val="24"/>
          <w:u w:val="single"/>
        </w:rPr>
        <w:t xml:space="preserve">CONCLUSIONS OF LAW </w:t>
      </w:r>
    </w:p>
    <w:p w:rsidR="00B537D4" w:rsidRDefault="00B537D4" w:rsidP="00B537D4">
      <w:pPr>
        <w:spacing w:after="0" w:line="360" w:lineRule="auto"/>
        <w:jc w:val="center"/>
        <w:rPr>
          <w:szCs w:val="24"/>
          <w:u w:val="single"/>
        </w:rPr>
      </w:pPr>
    </w:p>
    <w:p w:rsidR="00B537D4" w:rsidRDefault="00B537D4" w:rsidP="00B537D4">
      <w:pPr>
        <w:numPr>
          <w:ilvl w:val="0"/>
          <w:numId w:val="6"/>
        </w:numPr>
        <w:tabs>
          <w:tab w:val="clear" w:pos="900"/>
          <w:tab w:val="num" w:pos="2160"/>
        </w:tabs>
        <w:spacing w:after="0" w:line="360" w:lineRule="auto"/>
        <w:ind w:left="0" w:firstLine="1440"/>
      </w:pPr>
      <w:r>
        <w:t xml:space="preserve">The Commission has jurisdiction over the parties and the subject matter of </w:t>
      </w:r>
    </w:p>
    <w:p w:rsidR="00B537D4" w:rsidRDefault="00B537D4" w:rsidP="00B537D4">
      <w:pPr>
        <w:spacing w:after="0" w:line="360" w:lineRule="auto"/>
      </w:pPr>
      <w:r>
        <w:t>this proceeding relating to electric service.  66 Pa.C.S. § 701.</w:t>
      </w:r>
    </w:p>
    <w:p w:rsidR="00B537D4" w:rsidRDefault="00B537D4" w:rsidP="00B537D4">
      <w:pPr>
        <w:spacing w:after="0" w:line="360" w:lineRule="auto"/>
      </w:pPr>
      <w:r>
        <w:tab/>
      </w:r>
      <w:r>
        <w:tab/>
      </w:r>
    </w:p>
    <w:p w:rsidR="00B537D4" w:rsidRDefault="00B537D4" w:rsidP="00B537D4">
      <w:pPr>
        <w:spacing w:after="0" w:line="360" w:lineRule="auto"/>
        <w:ind w:firstLine="1440"/>
        <w:rPr>
          <w:rFonts w:eastAsia="Times New Roman"/>
          <w:szCs w:val="24"/>
        </w:rPr>
      </w:pPr>
      <w:r>
        <w:t>2.</w:t>
      </w:r>
      <w:r>
        <w:tab/>
        <w:t xml:space="preserve">When a </w:t>
      </w:r>
      <w:r>
        <w:rPr>
          <w:rFonts w:eastAsia="Times New Roman"/>
          <w:szCs w:val="24"/>
        </w:rPr>
        <w:t xml:space="preserve">complainant raises an issue concerning the reasonableness of a particular rate of a public utility and that rate is not included in a public utility’s general rate case filing then the complainant bears the burden of proof.  </w:t>
      </w:r>
      <w:r>
        <w:rPr>
          <w:rFonts w:eastAsia="Times New Roman"/>
          <w:i/>
          <w:szCs w:val="24"/>
        </w:rPr>
        <w:t xml:space="preserve">Pa. Pub. Util. Comm’n, et al. v. Duquesne Light Company, </w:t>
      </w:r>
      <w:r>
        <w:rPr>
          <w:rFonts w:eastAsia="Times New Roman"/>
          <w:szCs w:val="24"/>
        </w:rPr>
        <w:t xml:space="preserve">Opinion and Order entered April 23, 2014. </w:t>
      </w:r>
    </w:p>
    <w:p w:rsidR="00B537D4" w:rsidRDefault="00B537D4" w:rsidP="00B537D4">
      <w:pPr>
        <w:spacing w:after="0" w:line="360" w:lineRule="auto"/>
      </w:pPr>
    </w:p>
    <w:p w:rsidR="00B537D4" w:rsidRDefault="00B537D4" w:rsidP="00B537D4">
      <w:pPr>
        <w:spacing w:after="0" w:line="360" w:lineRule="auto"/>
      </w:pPr>
      <w:r>
        <w:tab/>
      </w:r>
      <w:r>
        <w:tab/>
        <w:t>3.</w:t>
      </w:r>
      <w:r>
        <w:tab/>
        <w:t>Every rate made, demanded, or received by any public utility must be just, reasonable and in conformity with regulations or order of the Commission.  66 Pa.C.S. § 1301.</w:t>
      </w:r>
    </w:p>
    <w:p w:rsidR="00B537D4" w:rsidRDefault="00B537D4" w:rsidP="00B537D4">
      <w:pPr>
        <w:spacing w:after="0" w:line="360" w:lineRule="auto"/>
        <w:rPr>
          <w:szCs w:val="24"/>
        </w:rPr>
      </w:pPr>
    </w:p>
    <w:p w:rsidR="00B537D4" w:rsidRDefault="00B537D4" w:rsidP="00B537D4"/>
    <w:p w:rsidR="00B537D4" w:rsidRDefault="00B537D4" w:rsidP="00B537D4">
      <w:pPr>
        <w:spacing w:after="0" w:line="360" w:lineRule="auto"/>
        <w:jc w:val="center"/>
      </w:pPr>
      <w:r>
        <w:t>VII.</w:t>
      </w:r>
      <w:r>
        <w:tab/>
      </w:r>
      <w:r>
        <w:rPr>
          <w:u w:val="single"/>
        </w:rPr>
        <w:t>ORDER</w:t>
      </w:r>
    </w:p>
    <w:p w:rsidR="00B537D4" w:rsidRDefault="00B537D4" w:rsidP="00B537D4">
      <w:pPr>
        <w:spacing w:after="0" w:line="360" w:lineRule="auto"/>
      </w:pPr>
      <w:r>
        <w:tab/>
      </w:r>
      <w:r>
        <w:tab/>
      </w:r>
    </w:p>
    <w:p w:rsidR="00B537D4" w:rsidRDefault="00B537D4" w:rsidP="00B537D4">
      <w:pPr>
        <w:spacing w:after="0" w:line="360" w:lineRule="auto"/>
      </w:pPr>
    </w:p>
    <w:p w:rsidR="00B537D4" w:rsidRDefault="00B537D4" w:rsidP="00B537D4">
      <w:pPr>
        <w:spacing w:after="0" w:line="360" w:lineRule="auto"/>
        <w:ind w:firstLine="1440"/>
      </w:pPr>
      <w:r>
        <w:t>THEREFORE,</w:t>
      </w:r>
    </w:p>
    <w:p w:rsidR="00B537D4" w:rsidRDefault="00B537D4" w:rsidP="00B537D4">
      <w:pPr>
        <w:spacing w:after="0" w:line="360" w:lineRule="auto"/>
      </w:pPr>
    </w:p>
    <w:p w:rsidR="00B537D4" w:rsidRDefault="00B537D4" w:rsidP="00B537D4">
      <w:pPr>
        <w:spacing w:after="0" w:line="360" w:lineRule="auto"/>
      </w:pPr>
      <w:r>
        <w:tab/>
      </w:r>
      <w:r>
        <w:tab/>
        <w:t>IT IS RECOMMENDED:</w:t>
      </w:r>
    </w:p>
    <w:p w:rsidR="00B537D4" w:rsidRDefault="00B537D4" w:rsidP="00B537D4">
      <w:pPr>
        <w:spacing w:after="0" w:line="360" w:lineRule="auto"/>
      </w:pPr>
    </w:p>
    <w:p w:rsidR="00B537D4" w:rsidRDefault="00B537D4" w:rsidP="00B537D4">
      <w:pPr>
        <w:numPr>
          <w:ilvl w:val="0"/>
          <w:numId w:val="8"/>
        </w:numPr>
        <w:spacing w:after="0" w:line="360" w:lineRule="auto"/>
        <w:ind w:left="0" w:firstLine="1440"/>
      </w:pPr>
      <w:r>
        <w:t>That the formal complaint of NRG Power Midwest LP, NRG Energy Center Pittsburgh LLC, and Reliant Energy Northeast LLC (collectively NRG or the NRG Companies) filed against Duquesne Light Company at Docket No. C-2013-2390562 be hereby sustained, in part, relating to Duquesne Light</w:t>
      </w:r>
      <w:r w:rsidR="00BA0B7D">
        <w:t xml:space="preserve"> Company</w:t>
      </w:r>
      <w:r>
        <w:t>’s Tariff Rider No. 18 as being non-compliant with the Commission’s regulatory scheme and not in the public interest.</w:t>
      </w:r>
    </w:p>
    <w:p w:rsidR="00B537D4" w:rsidRDefault="00B537D4" w:rsidP="00B537D4">
      <w:pPr>
        <w:spacing w:after="0" w:line="360" w:lineRule="auto"/>
      </w:pPr>
    </w:p>
    <w:p w:rsidR="00B537D4" w:rsidRDefault="00B537D4" w:rsidP="00B537D4">
      <w:pPr>
        <w:numPr>
          <w:ilvl w:val="0"/>
          <w:numId w:val="8"/>
        </w:numPr>
        <w:spacing w:after="0" w:line="360" w:lineRule="auto"/>
        <w:ind w:left="0" w:firstLine="1440"/>
      </w:pPr>
      <w:r>
        <w:t>That the formal complaint of NRG Companies against Duquesne Light Company at Docket No. C-2013-2390562 be hereby deemed withdrawn, in part, relating to Duquesne Light Company’s proposed allocation of the revenue increase and proposed rate design filed at Docket No. R-2013-2372129.</w:t>
      </w:r>
    </w:p>
    <w:p w:rsidR="00B537D4" w:rsidRDefault="00B537D4" w:rsidP="00B537D4">
      <w:pPr>
        <w:spacing w:after="0" w:line="360" w:lineRule="auto"/>
        <w:ind w:left="1440"/>
      </w:pPr>
    </w:p>
    <w:p w:rsidR="00B537D4" w:rsidRDefault="00B537D4" w:rsidP="00B537D4">
      <w:pPr>
        <w:numPr>
          <w:ilvl w:val="0"/>
          <w:numId w:val="8"/>
        </w:numPr>
        <w:spacing w:after="0" w:line="360" w:lineRule="auto"/>
        <w:ind w:left="0" w:firstLine="1440"/>
      </w:pPr>
      <w:r>
        <w:t>That Duquesne Light Company’s Tariff Rider No. 18 having been found non-compliant with the Commission’s regulatory scheme, Duquesne Light Rider No. 18 shall be stricken from the Company’s tariff as not being in the public interest and the Company shall be ordered to file a revi</w:t>
      </w:r>
      <w:r w:rsidR="00BA0B7D">
        <w:t>sed tariff removing the rider from</w:t>
      </w:r>
      <w:r>
        <w:t xml:space="preserve"> its tariff within 90 days of Commission approval of this recommended decision.  </w:t>
      </w:r>
    </w:p>
    <w:p w:rsidR="00B537D4" w:rsidRDefault="00B537D4" w:rsidP="00B537D4">
      <w:pPr>
        <w:pStyle w:val="ListParagraph"/>
      </w:pPr>
    </w:p>
    <w:p w:rsidR="00B537D4" w:rsidRDefault="00B537D4" w:rsidP="00B537D4">
      <w:pPr>
        <w:numPr>
          <w:ilvl w:val="0"/>
          <w:numId w:val="8"/>
        </w:numPr>
        <w:spacing w:after="0" w:line="360" w:lineRule="auto"/>
        <w:ind w:left="0" w:firstLine="1440"/>
      </w:pPr>
      <w:r>
        <w:t xml:space="preserve">That in the alternative, Duquesne Light </w:t>
      </w:r>
      <w:r w:rsidR="00BA0B7D">
        <w:t xml:space="preserve">Company </w:t>
      </w:r>
      <w:r>
        <w:t>may file a proposed revised Tariff Rider No. 18, that is just, reasonable, non-discriminatory and in the public interest, with the Commission’s Secretary’s Bureau for the Commission’s consideration within ninety (90) days of Commission approval of the within Recommended Decision.</w:t>
      </w:r>
    </w:p>
    <w:p w:rsidR="00B537D4" w:rsidRDefault="00B537D4" w:rsidP="00B537D4">
      <w:pPr>
        <w:spacing w:after="0" w:line="360" w:lineRule="auto"/>
        <w:ind w:left="1440"/>
      </w:pPr>
    </w:p>
    <w:p w:rsidR="00B537D4" w:rsidRDefault="00B537D4" w:rsidP="00B537D4">
      <w:pPr>
        <w:numPr>
          <w:ilvl w:val="0"/>
          <w:numId w:val="8"/>
        </w:numPr>
        <w:spacing w:after="0" w:line="360" w:lineRule="auto"/>
        <w:ind w:left="0" w:firstLine="1440"/>
      </w:pPr>
      <w:r>
        <w:t>That upon filing a proposed revised Tariff Rider No. 18 in accordance with Commission approval of the Recommended Decision, Duquesne Light Company at that time shall serve a copy of the proposed revised Tariff Rider No. 18 upon the Commission’s Bureau of Investigation and Enforcement, the Office of Consumer Advocate, the Officer of Small Business Advocate, Beaver Falls Municipal Authority, Beaver Valley Power Company, NRG Power Midwest LP, NRG Energy Center Pittsburgh LLC, and Reliant Energy Northeast LLC.</w:t>
      </w:r>
    </w:p>
    <w:p w:rsidR="00B537D4" w:rsidRDefault="00B537D4" w:rsidP="00B537D4">
      <w:pPr>
        <w:spacing w:after="0" w:line="360" w:lineRule="auto"/>
      </w:pPr>
    </w:p>
    <w:p w:rsidR="00B537D4" w:rsidRDefault="00B537D4" w:rsidP="00B537D4">
      <w:pPr>
        <w:pStyle w:val="ListParagraph"/>
        <w:numPr>
          <w:ilvl w:val="0"/>
          <w:numId w:val="8"/>
        </w:numPr>
        <w:spacing w:after="0" w:line="360" w:lineRule="auto"/>
        <w:ind w:left="0" w:firstLine="1440"/>
      </w:pPr>
      <w:r>
        <w:t xml:space="preserve">That upon the Commission’s </w:t>
      </w:r>
      <w:r w:rsidR="00BA0B7D">
        <w:t>approval of actions taken by Duquesne Light Company consistent with</w:t>
      </w:r>
      <w:r>
        <w:t xml:space="preserve"> this Recommended </w:t>
      </w:r>
      <w:r w:rsidR="00BA0B7D">
        <w:t>Decision</w:t>
      </w:r>
      <w:r>
        <w:t xml:space="preserve">, that Docket No. C-2013-2390562 be closed.  </w:t>
      </w:r>
    </w:p>
    <w:p w:rsidR="00AE2501" w:rsidRDefault="00AE2501" w:rsidP="00AE2501">
      <w:pPr>
        <w:spacing w:after="0" w:line="360" w:lineRule="auto"/>
        <w:ind w:left="1440"/>
      </w:pPr>
    </w:p>
    <w:p w:rsidR="00AE2501" w:rsidRDefault="00AE2501" w:rsidP="00AE2501">
      <w:pPr>
        <w:pStyle w:val="ListParagraph"/>
      </w:pPr>
    </w:p>
    <w:p w:rsidR="00AE2501" w:rsidRDefault="00AE2501" w:rsidP="00AE2501">
      <w:pPr>
        <w:spacing w:after="0" w:line="240" w:lineRule="auto"/>
        <w:rPr>
          <w:szCs w:val="24"/>
          <w:u w:val="single"/>
        </w:rPr>
      </w:pPr>
      <w:r>
        <w:rPr>
          <w:szCs w:val="24"/>
        </w:rPr>
        <w:t xml:space="preserve">Date:  </w:t>
      </w:r>
      <w:r w:rsidR="00BA0B7D">
        <w:rPr>
          <w:szCs w:val="24"/>
          <w:u w:val="single"/>
        </w:rPr>
        <w:t>June 3</w:t>
      </w:r>
      <w:r>
        <w:rPr>
          <w:szCs w:val="24"/>
          <w:u w:val="single"/>
        </w:rPr>
        <w:t>, 2014</w:t>
      </w:r>
      <w:r>
        <w:rPr>
          <w:szCs w:val="24"/>
        </w:rPr>
        <w:tab/>
      </w:r>
      <w:r>
        <w:rPr>
          <w:szCs w:val="24"/>
        </w:rPr>
        <w:tab/>
      </w:r>
      <w:r>
        <w:rPr>
          <w:szCs w:val="24"/>
        </w:rPr>
        <w:tab/>
      </w:r>
      <w:r>
        <w:rPr>
          <w:szCs w:val="24"/>
        </w:rPr>
        <w:tab/>
      </w:r>
      <w:r>
        <w:rPr>
          <w:szCs w:val="24"/>
        </w:rPr>
        <w:tab/>
      </w:r>
      <w:r>
        <w:rPr>
          <w:szCs w:val="24"/>
          <w:u w:val="single"/>
        </w:rPr>
        <w:tab/>
      </w:r>
      <w:r>
        <w:rPr>
          <w:szCs w:val="24"/>
          <w:u w:val="single"/>
        </w:rPr>
        <w:tab/>
        <w:t>/s/</w:t>
      </w:r>
      <w:r>
        <w:rPr>
          <w:szCs w:val="24"/>
          <w:u w:val="single"/>
        </w:rPr>
        <w:tab/>
      </w:r>
      <w:r>
        <w:rPr>
          <w:szCs w:val="24"/>
          <w:u w:val="single"/>
        </w:rPr>
        <w:tab/>
      </w:r>
      <w:r>
        <w:rPr>
          <w:szCs w:val="24"/>
          <w:u w:val="single"/>
        </w:rPr>
        <w:tab/>
      </w:r>
    </w:p>
    <w:p w:rsidR="00AE2501" w:rsidRDefault="00AE2501" w:rsidP="00AE2501">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Conrad A. Johnson</w:t>
      </w:r>
    </w:p>
    <w:p w:rsidR="00465A44" w:rsidRDefault="00AE2501" w:rsidP="00E04C4B">
      <w:pPr>
        <w:spacing w:after="0" w:line="240" w:lineRule="auto"/>
        <w:rPr>
          <w:szCs w:val="24"/>
        </w:rPr>
        <w:sectPr w:rsidR="00465A44" w:rsidSect="00C02090">
          <w:footerReference w:type="default" r:id="rId11"/>
          <w:footerReference w:type="first" r:id="rId12"/>
          <w:pgSz w:w="12240" w:h="15840"/>
          <w:pgMar w:top="1440" w:right="1440" w:bottom="1440" w:left="1440" w:header="720" w:footer="720" w:gutter="0"/>
          <w:pgNumType w:start="1"/>
          <w:cols w:space="720"/>
          <w:titlePg/>
          <w:docGrid w:linePitch="360"/>
        </w:sect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rsidR="00AE2501" w:rsidRDefault="00AE2501" w:rsidP="00AE2501"/>
    <w:p w:rsidR="00AE2501" w:rsidRDefault="00AE2501" w:rsidP="00AE2501">
      <w:r>
        <w:rPr>
          <w:noProof/>
        </w:rPr>
        <w:drawing>
          <wp:anchor distT="0" distB="0" distL="114300" distR="114300" simplePos="0" relativeHeight="251662336" behindDoc="1" locked="0" layoutInCell="1" allowOverlap="1" wp14:anchorId="74BE36FF" wp14:editId="4050C807">
            <wp:simplePos x="0" y="0"/>
            <wp:positionH relativeFrom="page">
              <wp:align>center</wp:align>
            </wp:positionH>
            <wp:positionV relativeFrom="page">
              <wp:align>center</wp:align>
            </wp:positionV>
            <wp:extent cx="6620256" cy="7863840"/>
            <wp:effectExtent l="0" t="0" r="952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0256" cy="7863840"/>
                    </a:xfrm>
                    <a:prstGeom prst="rect">
                      <a:avLst/>
                    </a:prstGeom>
                    <a:noFill/>
                  </pic:spPr>
                </pic:pic>
              </a:graphicData>
            </a:graphic>
            <wp14:sizeRelH relativeFrom="page">
              <wp14:pctWidth>0</wp14:pctWidth>
            </wp14:sizeRelH>
            <wp14:sizeRelV relativeFrom="page">
              <wp14:pctHeight>0</wp14:pctHeight>
            </wp14:sizeRelV>
          </wp:anchor>
        </w:drawing>
      </w:r>
    </w:p>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p w:rsidR="00AE2501" w:rsidRDefault="00AE2501" w:rsidP="00AE2501">
      <w:r>
        <w:rPr>
          <w:noProof/>
        </w:rPr>
        <mc:AlternateContent>
          <mc:Choice Requires="wps">
            <w:drawing>
              <wp:anchor distT="0" distB="0" distL="114300" distR="114300" simplePos="0" relativeHeight="251661312" behindDoc="0" locked="0" layoutInCell="1" allowOverlap="1" wp14:anchorId="761683E4" wp14:editId="58CEA961">
                <wp:simplePos x="0" y="0"/>
                <wp:positionH relativeFrom="page">
                  <wp:align>center</wp:align>
                </wp:positionH>
                <wp:positionV relativeFrom="paragraph">
                  <wp:posOffset>225425</wp:posOffset>
                </wp:positionV>
                <wp:extent cx="1892935" cy="374650"/>
                <wp:effectExtent l="0" t="0" r="1206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74650"/>
                        </a:xfrm>
                        <a:prstGeom prst="rect">
                          <a:avLst/>
                        </a:prstGeom>
                        <a:solidFill>
                          <a:srgbClr val="FFFFFF"/>
                        </a:solidFill>
                        <a:ln w="9525">
                          <a:solidFill>
                            <a:srgbClr val="000000"/>
                          </a:solidFill>
                          <a:miter lim="800000"/>
                          <a:headEnd/>
                          <a:tailEnd/>
                        </a:ln>
                      </wps:spPr>
                      <wps:txbx>
                        <w:txbxContent>
                          <w:p w:rsidR="006746FB" w:rsidRDefault="006746FB" w:rsidP="00AE2501">
                            <w:pPr>
                              <w:rPr>
                                <w:sz w:val="32"/>
                                <w:szCs w:val="32"/>
                              </w:rPr>
                            </w:pPr>
                            <w:r>
                              <w:rPr>
                                <w:sz w:val="32"/>
                                <w:szCs w:val="32"/>
                              </w:rPr>
                              <w:t>ATTACHMENT A</w:t>
                            </w:r>
                          </w:p>
                          <w:p w:rsidR="006746FB" w:rsidRDefault="006746FB" w:rsidP="00AE2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7.75pt;width:149.05pt;height:29.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uvIgIAAEQ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">
                <v:textbox>
                  <w:txbxContent>
                    <w:p w:rsidR="006746FB" w:rsidRDefault="006746FB" w:rsidP="00AE2501">
                      <w:pPr>
                        <w:rPr>
                          <w:sz w:val="32"/>
                          <w:szCs w:val="32"/>
                        </w:rPr>
                      </w:pPr>
                      <w:r>
                        <w:rPr>
                          <w:sz w:val="32"/>
                          <w:szCs w:val="32"/>
                        </w:rPr>
                        <w:t>ATTACHMENT A</w:t>
                      </w:r>
                    </w:p>
                    <w:p w:rsidR="006746FB" w:rsidRDefault="006746FB" w:rsidP="00AE2501"/>
                  </w:txbxContent>
                </v:textbox>
                <w10:wrap anchorx="page"/>
              </v:shape>
            </w:pict>
          </mc:Fallback>
        </mc:AlternateContent>
      </w:r>
      <w:r>
        <w:tab/>
      </w:r>
    </w:p>
    <w:p w:rsidR="00AE2501" w:rsidRDefault="00AE2501" w:rsidP="00AE2501">
      <w:r>
        <w:tab/>
      </w:r>
      <w:r>
        <w:tab/>
      </w:r>
      <w:r>
        <w:tab/>
      </w:r>
      <w:r>
        <w:tab/>
      </w:r>
      <w:r>
        <w:tab/>
      </w:r>
      <w:r>
        <w:tab/>
      </w:r>
    </w:p>
    <w:p w:rsidR="00AE2501" w:rsidRDefault="00AE2501" w:rsidP="00AE2501">
      <w:pPr>
        <w:spacing w:line="360" w:lineRule="auto"/>
        <w:rPr>
          <w:szCs w:val="24"/>
        </w:rPr>
      </w:pPr>
    </w:p>
    <w:p w:rsidR="00AE2501" w:rsidRDefault="00AE2501" w:rsidP="00AE2501"/>
    <w:p w:rsidR="00CB4799" w:rsidRPr="00F847EA" w:rsidRDefault="00CB4799" w:rsidP="00716E8F">
      <w:pPr>
        <w:rPr>
          <w:szCs w:val="24"/>
        </w:rPr>
      </w:pPr>
    </w:p>
    <w:sectPr w:rsidR="00CB4799" w:rsidRPr="00F847EA" w:rsidSect="00C0209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EB" w:rsidRDefault="009E46EB" w:rsidP="00355AFA">
      <w:pPr>
        <w:spacing w:after="0" w:line="240" w:lineRule="auto"/>
      </w:pPr>
      <w:r>
        <w:separator/>
      </w:r>
    </w:p>
  </w:endnote>
  <w:endnote w:type="continuationSeparator" w:id="0">
    <w:p w:rsidR="009E46EB" w:rsidRDefault="009E46EB" w:rsidP="0035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835570"/>
      <w:docPartObj>
        <w:docPartGallery w:val="Page Numbers (Bottom of Page)"/>
        <w:docPartUnique/>
      </w:docPartObj>
    </w:sdtPr>
    <w:sdtEndPr>
      <w:rPr>
        <w:noProof/>
        <w:sz w:val="20"/>
        <w:szCs w:val="20"/>
      </w:rPr>
    </w:sdtEndPr>
    <w:sdtContent>
      <w:p w:rsidR="006746FB" w:rsidRPr="00AE2501" w:rsidRDefault="006746FB">
        <w:pPr>
          <w:pStyle w:val="Footer"/>
          <w:jc w:val="center"/>
          <w:rPr>
            <w:sz w:val="20"/>
            <w:szCs w:val="20"/>
          </w:rPr>
        </w:pPr>
        <w:r w:rsidRPr="00AE2501">
          <w:rPr>
            <w:sz w:val="20"/>
            <w:szCs w:val="20"/>
          </w:rPr>
          <w:fldChar w:fldCharType="begin"/>
        </w:r>
        <w:r w:rsidRPr="00AE2501">
          <w:rPr>
            <w:sz w:val="20"/>
            <w:szCs w:val="20"/>
          </w:rPr>
          <w:instrText xml:space="preserve"> PAGE   \* MERGEFORMAT </w:instrText>
        </w:r>
        <w:r w:rsidRPr="00AE2501">
          <w:rPr>
            <w:sz w:val="20"/>
            <w:szCs w:val="20"/>
          </w:rPr>
          <w:fldChar w:fldCharType="separate"/>
        </w:r>
        <w:r w:rsidR="00BA0B7D">
          <w:rPr>
            <w:noProof/>
            <w:sz w:val="20"/>
            <w:szCs w:val="20"/>
          </w:rPr>
          <w:t>29</w:t>
        </w:r>
        <w:r w:rsidRPr="00AE2501">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FB" w:rsidRDefault="006746F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EB" w:rsidRDefault="009E46EB" w:rsidP="00355AFA">
      <w:pPr>
        <w:spacing w:after="0" w:line="240" w:lineRule="auto"/>
      </w:pPr>
      <w:r>
        <w:separator/>
      </w:r>
    </w:p>
  </w:footnote>
  <w:footnote w:type="continuationSeparator" w:id="0">
    <w:p w:rsidR="009E46EB" w:rsidRDefault="009E46EB" w:rsidP="00355AFA">
      <w:pPr>
        <w:spacing w:after="0" w:line="240" w:lineRule="auto"/>
      </w:pPr>
      <w:r>
        <w:continuationSeparator/>
      </w:r>
    </w:p>
  </w:footnote>
  <w:footnote w:id="1">
    <w:p w:rsidR="006746FB" w:rsidRDefault="006746FB" w:rsidP="00B537D4">
      <w:pPr>
        <w:pStyle w:val="FootnoteText"/>
        <w:ind w:firstLine="720"/>
        <w:rPr>
          <w:color w:val="000000"/>
        </w:rPr>
      </w:pPr>
      <w:r>
        <w:rPr>
          <w:rStyle w:val="FootnoteReference"/>
        </w:rPr>
        <w:footnoteRef/>
      </w:r>
      <w:r>
        <w:t xml:space="preserve"> </w:t>
      </w:r>
      <w:r>
        <w:rPr>
          <w:sz w:val="26"/>
        </w:rPr>
        <w:tab/>
      </w:r>
      <w:r>
        <w:t xml:space="preserve">The NRG Companies include </w:t>
      </w:r>
      <w:r>
        <w:rPr>
          <w:color w:val="000000"/>
        </w:rPr>
        <w:t xml:space="preserve">NRG Power Midwest LP (NRG Midwest), NRG Energy Center Pittsburgh LLC </w:t>
      </w:r>
      <w:r>
        <w:rPr>
          <w:rFonts w:eastAsia="Times New Roman"/>
          <w:color w:val="000000" w:themeColor="text1"/>
          <w:szCs w:val="24"/>
        </w:rPr>
        <w:t>(NRGP)</w:t>
      </w:r>
      <w:r>
        <w:rPr>
          <w:color w:val="000000"/>
        </w:rPr>
        <w:t>, and Reliant Energy Northeast LLC (REN), and will be referred to collectively herein as the NRG Companies or NRG.</w:t>
      </w:r>
    </w:p>
    <w:p w:rsidR="006746FB" w:rsidRDefault="006746FB" w:rsidP="00B537D4">
      <w:pPr>
        <w:pStyle w:val="FootnoteText"/>
        <w:ind w:firstLine="720"/>
      </w:pPr>
      <w:r>
        <w:rPr>
          <w:color w:val="000000"/>
        </w:rPr>
        <w:t xml:space="preserve"> </w:t>
      </w:r>
    </w:p>
  </w:footnote>
  <w:footnote w:id="2">
    <w:p w:rsidR="006746FB" w:rsidRDefault="006746FB" w:rsidP="00B537D4">
      <w:pPr>
        <w:pStyle w:val="FootnoteText"/>
        <w:rPr>
          <w:rFonts w:eastAsia="Times New Roman"/>
          <w:sz w:val="26"/>
          <w:szCs w:val="26"/>
        </w:rPr>
      </w:pPr>
      <w:r>
        <w:tab/>
      </w:r>
      <w:r>
        <w:rPr>
          <w:rStyle w:val="FootnoteReference"/>
        </w:rPr>
        <w:footnoteRef/>
      </w:r>
      <w:r>
        <w:t xml:space="preserve"> </w:t>
      </w:r>
      <w:r>
        <w:tab/>
      </w:r>
      <w:r>
        <w:rPr>
          <w:rFonts w:eastAsia="Times New Roman"/>
        </w:rPr>
        <w:t xml:space="preserve">For a full recounting of the lengthy procedural history, refer to the Commission’s Opinion and Order at pages 1-6, issued on April 23, 2014, and my Recommended Decision, at pages 1-10, issued on March 28, 2014, in </w:t>
      </w:r>
      <w:r>
        <w:rPr>
          <w:rFonts w:eastAsia="Times New Roman"/>
          <w:i/>
        </w:rPr>
        <w:t>Pa. Pub. Util. Comm’n, et al. v. Duquesne Light Company,</w:t>
      </w:r>
      <w:r>
        <w:rPr>
          <w:rFonts w:eastAsia="Times New Roman"/>
        </w:rPr>
        <w:t xml:space="preserve"> at Docket No. R-2013-2372129.</w:t>
      </w:r>
    </w:p>
    <w:p w:rsidR="006746FB" w:rsidRDefault="006746FB" w:rsidP="00B537D4">
      <w:pPr>
        <w:pStyle w:val="FootnoteText"/>
      </w:pPr>
    </w:p>
  </w:footnote>
  <w:footnote w:id="3">
    <w:p w:rsidR="006746FB" w:rsidRDefault="006746FB" w:rsidP="00B537D4">
      <w:pPr>
        <w:pStyle w:val="FootnoteText"/>
        <w:ind w:firstLine="720"/>
      </w:pPr>
      <w:r>
        <w:rPr>
          <w:rStyle w:val="FootnoteReference"/>
        </w:rPr>
        <w:footnoteRef/>
      </w:r>
      <w:r>
        <w:t xml:space="preserve"> </w:t>
      </w:r>
      <w:r>
        <w:tab/>
        <w:t>On December 23, 2013, Duquesne Light filed a brief in support of its petition for interlocutory review, and Beaver Falls Authority also filed a brief in support of Duquesne Light’s petition.  On the same day, NRG filed a brief in opposition to the petition.</w:t>
      </w:r>
    </w:p>
    <w:p w:rsidR="006746FB" w:rsidRDefault="006746FB" w:rsidP="00B537D4">
      <w:pPr>
        <w:pStyle w:val="FootnoteText"/>
      </w:pPr>
    </w:p>
  </w:footnote>
  <w:footnote w:id="4">
    <w:p w:rsidR="006746FB" w:rsidRDefault="006746FB" w:rsidP="00B537D4">
      <w:pPr>
        <w:pStyle w:val="FootnoteText"/>
        <w:ind w:firstLine="720"/>
      </w:pPr>
      <w:r>
        <w:rPr>
          <w:rStyle w:val="FootnoteReference"/>
        </w:rPr>
        <w:footnoteRef/>
      </w:r>
      <w:r>
        <w:tab/>
      </w:r>
      <w:r>
        <w:rPr>
          <w:i/>
        </w:rPr>
        <w:t xml:space="preserve">Qualifying facility </w:t>
      </w:r>
      <w:r>
        <w:t>—A cogeneration facility or a small power production facility which meets the criteria contained in 18 CFR Part 292 (relating to regulations under sections 201 and 210 of the Public Utility Regulatory Policies Act of 1978 with regard to small power producers and cogenerators).  52 Pa.Code § 57.31.</w:t>
      </w:r>
      <w:r>
        <w:tab/>
      </w:r>
    </w:p>
    <w:p w:rsidR="006746FB" w:rsidRDefault="006746FB" w:rsidP="00B537D4">
      <w:pPr>
        <w:pStyle w:val="FootnoteText"/>
        <w:ind w:firstLine="720"/>
      </w:pPr>
    </w:p>
  </w:footnote>
  <w:footnote w:id="5">
    <w:p w:rsidR="006746FB" w:rsidRDefault="006746FB" w:rsidP="00B537D4">
      <w:pPr>
        <w:pStyle w:val="FootnoteText"/>
        <w:ind w:firstLine="720"/>
      </w:pPr>
      <w:r>
        <w:rPr>
          <w:rStyle w:val="FootnoteReference"/>
        </w:rPr>
        <w:footnoteRef/>
      </w:r>
      <w:r>
        <w:t xml:space="preserve"> </w:t>
      </w:r>
      <w:r>
        <w:tab/>
        <w:t>For the purpose of clarity, Rider No. 18 is attached hereto as Attachment A.  See Duquesne Light Exhibit WVP 2-R.</w:t>
      </w:r>
    </w:p>
    <w:p w:rsidR="006746FB" w:rsidRDefault="006746FB" w:rsidP="00B537D4">
      <w:pPr>
        <w:pStyle w:val="FootnoteText"/>
        <w:ind w:firstLine="720"/>
      </w:pPr>
    </w:p>
  </w:footnote>
  <w:footnote w:id="6">
    <w:p w:rsidR="006746FB" w:rsidRDefault="006746FB" w:rsidP="00B537D4">
      <w:pPr>
        <w:pStyle w:val="FootnoteText"/>
        <w:ind w:firstLine="720"/>
      </w:pPr>
      <w:r>
        <w:rPr>
          <w:rStyle w:val="FootnoteReference"/>
        </w:rPr>
        <w:footnoteRef/>
      </w:r>
      <w:r>
        <w:t xml:space="preserve"> </w:t>
      </w:r>
      <w:r>
        <w:tab/>
      </w:r>
      <w:r>
        <w:rPr>
          <w:i/>
        </w:rPr>
        <w:t xml:space="preserve">Avoided costs </w:t>
      </w:r>
      <w:r>
        <w:t>—The incremental costs to any electric utility of electric energy or capacity, or both, which, but for the purchase from the qualifying facility or qualifying facilities, the utility would generate itself or purchase from another source.  52 Pa.Code § 57.31.</w:t>
      </w:r>
    </w:p>
    <w:p w:rsidR="006746FB" w:rsidRDefault="006746FB" w:rsidP="00B537D4">
      <w:pPr>
        <w:pStyle w:val="FootnoteText"/>
        <w:ind w:firstLine="720"/>
      </w:pPr>
    </w:p>
  </w:footnote>
  <w:footnote w:id="7">
    <w:p w:rsidR="006746FB" w:rsidRDefault="006746FB" w:rsidP="00B537D4">
      <w:pPr>
        <w:pStyle w:val="FootnoteText"/>
        <w:ind w:firstLine="720"/>
      </w:pPr>
      <w:r>
        <w:rPr>
          <w:rStyle w:val="FootnoteReference"/>
        </w:rPr>
        <w:footnoteRef/>
      </w:r>
      <w:r>
        <w:tab/>
        <w:t>Beaver Valley Power Company and Beaver Falls Municipal Authority are the two entities referenced here.  Duquesne Light St. No. 12-R, pp. 21-22; Exhibits WVP 3</w:t>
      </w:r>
      <w:r>
        <w:noBreakHyphen/>
        <w:t>R and WVP 4</w:t>
      </w:r>
      <w:r>
        <w:noBreakHyphen/>
        <w:t xml:space="preserve">R. </w:t>
      </w:r>
    </w:p>
  </w:footnote>
  <w:footnote w:id="8">
    <w:p w:rsidR="006746FB" w:rsidRDefault="006746FB" w:rsidP="00B537D4">
      <w:pPr>
        <w:pStyle w:val="FootnoteText"/>
        <w:ind w:firstLine="720"/>
      </w:pPr>
      <w:r>
        <w:rPr>
          <w:rStyle w:val="FootnoteReference"/>
        </w:rPr>
        <w:footnoteRef/>
      </w:r>
      <w:r>
        <w:tab/>
      </w:r>
      <w:r>
        <w:rPr>
          <w:i/>
        </w:rPr>
        <w:t xml:space="preserve">Lower Frederick Twp. v. </w:t>
      </w:r>
      <w:r>
        <w:rPr>
          <w:rFonts w:eastAsia="Times New Roman"/>
          <w:i/>
          <w:szCs w:val="24"/>
        </w:rPr>
        <w:t>Pa. Pub. Util. Comm’n</w:t>
      </w:r>
      <w:r>
        <w:t xml:space="preserve">, 409 A.2d 505, 507 (Pa.Cmwlth. 1980).  </w:t>
      </w:r>
      <w:r>
        <w:rPr>
          <w:i/>
        </w:rPr>
        <w:t>See also</w:t>
      </w:r>
      <w:r>
        <w:t xml:space="preserve">, </w:t>
      </w:r>
      <w:r>
        <w:rPr>
          <w:i/>
        </w:rPr>
        <w:t xml:space="preserve">Brockway Glass v. </w:t>
      </w:r>
      <w:r>
        <w:rPr>
          <w:rFonts w:eastAsia="Times New Roman"/>
          <w:i/>
          <w:szCs w:val="24"/>
        </w:rPr>
        <w:t>Pa. Pub. Util. Comm’n</w:t>
      </w:r>
      <w:r>
        <w:t>, 437 A.2d 1067 (Pa.Cmwlth. 1981).</w:t>
      </w:r>
    </w:p>
    <w:p w:rsidR="006746FB" w:rsidRDefault="006746FB" w:rsidP="00B537D4">
      <w:pPr>
        <w:pStyle w:val="FootnoteText"/>
        <w:ind w:firstLine="720"/>
      </w:pPr>
    </w:p>
  </w:footnote>
  <w:footnote w:id="9">
    <w:p w:rsidR="006746FB" w:rsidRDefault="006746FB" w:rsidP="00B537D4">
      <w:pPr>
        <w:pStyle w:val="FootnoteText"/>
      </w:pPr>
      <w:r>
        <w:tab/>
      </w:r>
      <w:r>
        <w:rPr>
          <w:rStyle w:val="FootnoteReference"/>
        </w:rPr>
        <w:footnoteRef/>
      </w:r>
      <w:r>
        <w:tab/>
        <w:t>Mr. Pfrommer is Duquesne Light’s Senior Manager, Rates and Tariff Services.  Duquesne Light St. 12-R, p. 1.</w:t>
      </w:r>
    </w:p>
  </w:footnote>
  <w:footnote w:id="10">
    <w:p w:rsidR="006746FB" w:rsidRDefault="006746FB" w:rsidP="00B537D4">
      <w:pPr>
        <w:pStyle w:val="FootnoteText"/>
        <w:rPr>
          <w:rFonts w:eastAsia="Times New Roman"/>
        </w:rPr>
      </w:pPr>
      <w:r>
        <w:tab/>
      </w:r>
      <w:r>
        <w:rPr>
          <w:rStyle w:val="FootnoteReference"/>
        </w:rPr>
        <w:footnoteRef/>
      </w:r>
      <w:r>
        <w:tab/>
        <w:t xml:space="preserve">See </w:t>
      </w:r>
      <w:r>
        <w:rPr>
          <w:rFonts w:eastAsiaTheme="minorEastAsia"/>
          <w:i/>
        </w:rPr>
        <w:t>Petition of Pennsylvania Electric Company Re Third Supplement Agreement with Scrubgrass Power Corporation,</w:t>
      </w:r>
      <w:r>
        <w:rPr>
          <w:rFonts w:eastAsiaTheme="minorEastAsia"/>
        </w:rPr>
        <w:t xml:space="preserve"> </w:t>
      </w:r>
      <w:r>
        <w:rPr>
          <w:rFonts w:eastAsia="Times New Roman"/>
        </w:rPr>
        <w:t>Docket No. P-00469, P-900470, 126 Pa. P.U.R. 4</w:t>
      </w:r>
      <w:r>
        <w:rPr>
          <w:rFonts w:eastAsia="Times New Roman"/>
          <w:vertAlign w:val="superscript"/>
        </w:rPr>
        <w:t>th</w:t>
      </w:r>
      <w:r>
        <w:rPr>
          <w:rFonts w:eastAsia="Times New Roman"/>
        </w:rPr>
        <w:t xml:space="preserve"> 111, (Nov. 21, 1990)</w:t>
      </w:r>
      <w:r>
        <w:rPr>
          <w:rFonts w:eastAsia="Times New Roman"/>
        </w:rPr>
        <w:fldChar w:fldCharType="begin"/>
      </w:r>
      <w:r>
        <w:rPr>
          <w:rFonts w:eastAsia="Times New Roman"/>
        </w:rPr>
        <w:instrText xml:space="preserve"> TA \l "</w:instrText>
      </w:r>
      <w:r>
        <w:rPr>
          <w:rFonts w:eastAsia="Times New Roman"/>
          <w:i/>
        </w:rPr>
        <w:instrText>Petition of Pennsylvania Electric Company Requesting Approval of Rate Recovery, Under the Energy Cost Rate, for the Costs Proposed to be Paid Under an Agreement with Scrubgrass Power Corporation</w:instrText>
      </w:r>
      <w:r>
        <w:rPr>
          <w:rFonts w:eastAsia="Times New Roman"/>
        </w:rPr>
        <w:instrText xml:space="preserve">, Docket No. P-870248, 66 Pa. PUC 151 (Jan. 21, 1988)" \s "Petition of Pennsylvania Electric Company Requesting Approval of Rate Recovery, Under the Energy Cost Rate, for the Costs Proposed to be Paid Under an Agreement with Scrubgrass Power Corporation (\"Scrubgrass\"), Docket No. P-870248, 66 Pa. PUC 151 (Jan. 2" \c 1 </w:instrText>
      </w:r>
      <w:r>
        <w:rPr>
          <w:rFonts w:eastAsia="Times New Roman"/>
        </w:rPr>
        <w:fldChar w:fldCharType="end"/>
      </w:r>
      <w:r>
        <w:rPr>
          <w:rFonts w:eastAsia="Times New Roman"/>
        </w:rPr>
        <w:t xml:space="preserve"> (Order entered November 21, 1990) (</w:t>
      </w:r>
      <w:r>
        <w:rPr>
          <w:rFonts w:eastAsia="Times New Roman"/>
          <w:i/>
        </w:rPr>
        <w:t>Scrubgrass II</w:t>
      </w:r>
      <w:r>
        <w:rPr>
          <w:rFonts w:eastAsia="Times New Roman"/>
        </w:rPr>
        <w:t>).</w:t>
      </w:r>
    </w:p>
    <w:p w:rsidR="006746FB" w:rsidRDefault="006746FB" w:rsidP="00B537D4">
      <w:pPr>
        <w:pStyle w:val="FootnoteText"/>
      </w:pPr>
    </w:p>
  </w:footnote>
  <w:footnote w:id="11">
    <w:p w:rsidR="006746FB" w:rsidRDefault="006746FB" w:rsidP="00B537D4">
      <w:pPr>
        <w:pStyle w:val="FootnoteText"/>
        <w:rPr>
          <w:i/>
        </w:rPr>
      </w:pPr>
      <w:r>
        <w:tab/>
      </w:r>
      <w:r>
        <w:rPr>
          <w:rStyle w:val="FootnoteReference"/>
        </w:rPr>
        <w:footnoteRef/>
      </w:r>
      <w:r>
        <w:tab/>
      </w:r>
      <w:r>
        <w:rPr>
          <w:i/>
        </w:rPr>
        <w:t>Id.</w:t>
      </w:r>
    </w:p>
    <w:p w:rsidR="006746FB" w:rsidRDefault="006746FB" w:rsidP="00B537D4">
      <w:pPr>
        <w:pStyle w:val="FootnoteText"/>
      </w:pPr>
      <w:r>
        <w:t xml:space="preserve"> </w:t>
      </w:r>
    </w:p>
  </w:footnote>
  <w:footnote w:id="12">
    <w:p w:rsidR="006746FB" w:rsidRDefault="006746FB" w:rsidP="00B537D4">
      <w:pPr>
        <w:pStyle w:val="FootnoteText"/>
        <w:ind w:firstLine="720"/>
      </w:pPr>
      <w:r>
        <w:rPr>
          <w:rStyle w:val="FootnoteReference"/>
        </w:rPr>
        <w:footnoteRef/>
      </w:r>
      <w:r>
        <w:t xml:space="preserve"> </w:t>
      </w:r>
      <w:r>
        <w:tab/>
        <w:t xml:space="preserve">Duquesne Light and BFMA also improperly rely upon the ruling in </w:t>
      </w:r>
      <w:r>
        <w:rPr>
          <w:i/>
        </w:rPr>
        <w:t>Freehold Cogeneration Assocs., L.P. v. Board of Regulatory Comm’rs</w:t>
      </w:r>
      <w:r>
        <w:t xml:space="preserve">, 44 F.3d 1178 (3d Cir. 1995).  This case is distinguishable from the present proceeding for the same reasons that </w:t>
      </w:r>
      <w:r>
        <w:rPr>
          <w:i/>
        </w:rPr>
        <w:t>Scrubgrass</w:t>
      </w:r>
      <w:r>
        <w:t xml:space="preserve"> is distinguishable.  In </w:t>
      </w:r>
      <w:r>
        <w:rPr>
          <w:i/>
        </w:rPr>
        <w:t>Freehold</w:t>
      </w:r>
      <w:r>
        <w:t xml:space="preserve"> the contract term and rate were set forth in the PPA and the Board of Regulatory Commissioner of the State of New Jersey had approved the PPA.</w:t>
      </w:r>
    </w:p>
    <w:p w:rsidR="006746FB" w:rsidRDefault="006746FB" w:rsidP="00B537D4">
      <w:pPr>
        <w:pStyle w:val="FootnoteText"/>
        <w:ind w:firstLine="720"/>
      </w:pPr>
      <w:r>
        <w:t xml:space="preserve"> </w:t>
      </w:r>
    </w:p>
  </w:footnote>
  <w:footnote w:id="13">
    <w:p w:rsidR="006746FB" w:rsidRDefault="006746FB" w:rsidP="00B537D4">
      <w:pPr>
        <w:pStyle w:val="FootnoteText"/>
      </w:pPr>
      <w:r>
        <w:tab/>
      </w:r>
      <w:r>
        <w:rPr>
          <w:rStyle w:val="FootnoteReference"/>
        </w:rPr>
        <w:footnoteRef/>
      </w:r>
      <w:r>
        <w:t xml:space="preserve">   </w:t>
      </w:r>
      <w:r>
        <w:tab/>
        <w:t>52 Pa.Code § 57.31, et seq.</w:t>
      </w:r>
    </w:p>
    <w:p w:rsidR="006746FB" w:rsidRDefault="006746FB" w:rsidP="00B537D4">
      <w:pPr>
        <w:pStyle w:val="FootnoteText"/>
      </w:pPr>
      <w:r>
        <w:t xml:space="preserve"> </w:t>
      </w:r>
    </w:p>
  </w:footnote>
  <w:footnote w:id="14">
    <w:p w:rsidR="006746FB" w:rsidRDefault="006746FB" w:rsidP="00B537D4">
      <w:pPr>
        <w:pStyle w:val="FootnoteText"/>
      </w:pPr>
      <w:r>
        <w:tab/>
      </w:r>
      <w:r>
        <w:rPr>
          <w:rStyle w:val="FootnoteReference"/>
        </w:rPr>
        <w:footnoteRef/>
      </w:r>
      <w:r>
        <w:t xml:space="preserve"> </w:t>
      </w:r>
      <w:r>
        <w:tab/>
        <w:t>Ms. Lango, a registered Professional Engineer in New York and New Jersey, is the Vice President of Asset Management for NRG Energy, Inc.’s Eastern Region (NRG).  She has more than 25 years of experience in the power industry in engineering and asset management, and she has been employed by NRG since 2001.  She is responsible for managing more than 20,000 MW of generation assets.  NRG St. No 1, pp. 1-2.</w:t>
      </w:r>
    </w:p>
    <w:p w:rsidR="006746FB" w:rsidRDefault="006746FB" w:rsidP="00B537D4">
      <w:pPr>
        <w:pStyle w:val="FootnoteText"/>
      </w:pPr>
    </w:p>
  </w:footnote>
  <w:footnote w:id="15">
    <w:p w:rsidR="006746FB" w:rsidRDefault="006746FB" w:rsidP="00B537D4">
      <w:pPr>
        <w:pStyle w:val="FootnoteText"/>
      </w:pPr>
      <w:r>
        <w:tab/>
      </w:r>
      <w:r>
        <w:rPr>
          <w:rStyle w:val="FootnoteReference"/>
        </w:rPr>
        <w:footnoteRef/>
      </w:r>
      <w:r>
        <w:t xml:space="preserve"> </w:t>
      </w:r>
      <w:r>
        <w:tab/>
        <w:t>See Finding of Fact No. 55 above for the comparison table.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9B23F9"/>
    <w:multiLevelType w:val="hybridMultilevel"/>
    <w:tmpl w:val="B640326E"/>
    <w:lvl w:ilvl="0" w:tplc="72D494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C5425"/>
    <w:multiLevelType w:val="hybridMultilevel"/>
    <w:tmpl w:val="2432F6AC"/>
    <w:lvl w:ilvl="0" w:tplc="82B83B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56316B"/>
    <w:multiLevelType w:val="hybridMultilevel"/>
    <w:tmpl w:val="55E4A7BA"/>
    <w:lvl w:ilvl="0" w:tplc="F63C277E">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9D6A9C"/>
    <w:multiLevelType w:val="hybridMultilevel"/>
    <w:tmpl w:val="8B84D328"/>
    <w:lvl w:ilvl="0" w:tplc="BDD42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08686F"/>
    <w:multiLevelType w:val="multilevel"/>
    <w:tmpl w:val="A8402B3C"/>
    <w:lvl w:ilvl="0">
      <w:start w:val="1"/>
      <w:numFmt w:val="decimal"/>
      <w:pStyle w:val="ListNumber"/>
      <w:lvlText w:val="%1."/>
      <w:lvlJc w:val="left"/>
      <w:pPr>
        <w:tabs>
          <w:tab w:val="num" w:pos="1440"/>
        </w:tabs>
        <w:ind w:left="1440" w:hanging="720"/>
      </w:pPr>
      <w:rPr>
        <w:rFonts w:hint="default"/>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AFA"/>
    <w:rsid w:val="000162E0"/>
    <w:rsid w:val="00024D56"/>
    <w:rsid w:val="00055317"/>
    <w:rsid w:val="000659E4"/>
    <w:rsid w:val="0007334F"/>
    <w:rsid w:val="000769A4"/>
    <w:rsid w:val="000770F0"/>
    <w:rsid w:val="000836E9"/>
    <w:rsid w:val="00086662"/>
    <w:rsid w:val="00093BB7"/>
    <w:rsid w:val="000B6F14"/>
    <w:rsid w:val="000F3868"/>
    <w:rsid w:val="000F677F"/>
    <w:rsid w:val="001125F8"/>
    <w:rsid w:val="00113FBF"/>
    <w:rsid w:val="001168C0"/>
    <w:rsid w:val="00157E2F"/>
    <w:rsid w:val="00161D2F"/>
    <w:rsid w:val="00164C4C"/>
    <w:rsid w:val="00165093"/>
    <w:rsid w:val="00167BAC"/>
    <w:rsid w:val="00171F72"/>
    <w:rsid w:val="00185DE2"/>
    <w:rsid w:val="00191430"/>
    <w:rsid w:val="001B7EAE"/>
    <w:rsid w:val="0022381B"/>
    <w:rsid w:val="002409CB"/>
    <w:rsid w:val="00256535"/>
    <w:rsid w:val="00291F72"/>
    <w:rsid w:val="002925FB"/>
    <w:rsid w:val="002A70BB"/>
    <w:rsid w:val="002B5B57"/>
    <w:rsid w:val="002C1C8D"/>
    <w:rsid w:val="002C703B"/>
    <w:rsid w:val="002D2592"/>
    <w:rsid w:val="002F16BA"/>
    <w:rsid w:val="00300898"/>
    <w:rsid w:val="00302299"/>
    <w:rsid w:val="0030748A"/>
    <w:rsid w:val="003122BA"/>
    <w:rsid w:val="00313F58"/>
    <w:rsid w:val="0034410B"/>
    <w:rsid w:val="003554B9"/>
    <w:rsid w:val="00355AFA"/>
    <w:rsid w:val="00356FEB"/>
    <w:rsid w:val="00361585"/>
    <w:rsid w:val="0037343A"/>
    <w:rsid w:val="00375B42"/>
    <w:rsid w:val="00386315"/>
    <w:rsid w:val="00391BB3"/>
    <w:rsid w:val="00393A99"/>
    <w:rsid w:val="00395100"/>
    <w:rsid w:val="003B5D2D"/>
    <w:rsid w:val="003D3C06"/>
    <w:rsid w:val="003F5B0A"/>
    <w:rsid w:val="00406D10"/>
    <w:rsid w:val="0043714A"/>
    <w:rsid w:val="00443636"/>
    <w:rsid w:val="004463AE"/>
    <w:rsid w:val="00454B98"/>
    <w:rsid w:val="00454DB1"/>
    <w:rsid w:val="00465A44"/>
    <w:rsid w:val="00472FE0"/>
    <w:rsid w:val="00473CD0"/>
    <w:rsid w:val="00480609"/>
    <w:rsid w:val="00490875"/>
    <w:rsid w:val="00493B56"/>
    <w:rsid w:val="004B4643"/>
    <w:rsid w:val="004C7B3B"/>
    <w:rsid w:val="004E3CC8"/>
    <w:rsid w:val="0050182E"/>
    <w:rsid w:val="0051315F"/>
    <w:rsid w:val="0051399E"/>
    <w:rsid w:val="0052530C"/>
    <w:rsid w:val="00533D3E"/>
    <w:rsid w:val="0053463A"/>
    <w:rsid w:val="00541146"/>
    <w:rsid w:val="005432C1"/>
    <w:rsid w:val="00546C79"/>
    <w:rsid w:val="0056179A"/>
    <w:rsid w:val="00582134"/>
    <w:rsid w:val="005A7935"/>
    <w:rsid w:val="005B0E1E"/>
    <w:rsid w:val="005B3E9C"/>
    <w:rsid w:val="005D347A"/>
    <w:rsid w:val="005E446B"/>
    <w:rsid w:val="005F46D3"/>
    <w:rsid w:val="005F6F58"/>
    <w:rsid w:val="00604F57"/>
    <w:rsid w:val="00610610"/>
    <w:rsid w:val="006154CE"/>
    <w:rsid w:val="00620F90"/>
    <w:rsid w:val="00637730"/>
    <w:rsid w:val="00645225"/>
    <w:rsid w:val="0065168B"/>
    <w:rsid w:val="00655B70"/>
    <w:rsid w:val="00656719"/>
    <w:rsid w:val="00660950"/>
    <w:rsid w:val="006746FB"/>
    <w:rsid w:val="00676517"/>
    <w:rsid w:val="006845F5"/>
    <w:rsid w:val="0069285A"/>
    <w:rsid w:val="00694910"/>
    <w:rsid w:val="0069527C"/>
    <w:rsid w:val="006A4DF9"/>
    <w:rsid w:val="006B33C4"/>
    <w:rsid w:val="006B6CFA"/>
    <w:rsid w:val="006C7B7B"/>
    <w:rsid w:val="007059DB"/>
    <w:rsid w:val="00716E8F"/>
    <w:rsid w:val="00722D00"/>
    <w:rsid w:val="00730865"/>
    <w:rsid w:val="0075299D"/>
    <w:rsid w:val="007572D7"/>
    <w:rsid w:val="00780F71"/>
    <w:rsid w:val="00781AB9"/>
    <w:rsid w:val="00783CBC"/>
    <w:rsid w:val="007851B5"/>
    <w:rsid w:val="0078663F"/>
    <w:rsid w:val="00787259"/>
    <w:rsid w:val="00791ECA"/>
    <w:rsid w:val="007A017C"/>
    <w:rsid w:val="007B5D6B"/>
    <w:rsid w:val="007C42EA"/>
    <w:rsid w:val="007C5058"/>
    <w:rsid w:val="007C52F9"/>
    <w:rsid w:val="007C6622"/>
    <w:rsid w:val="007D3ACF"/>
    <w:rsid w:val="007E2308"/>
    <w:rsid w:val="0081628E"/>
    <w:rsid w:val="008233D8"/>
    <w:rsid w:val="00831E39"/>
    <w:rsid w:val="00845465"/>
    <w:rsid w:val="008661A7"/>
    <w:rsid w:val="00885E1B"/>
    <w:rsid w:val="008A0567"/>
    <w:rsid w:val="008A5318"/>
    <w:rsid w:val="008B131A"/>
    <w:rsid w:val="008C57F7"/>
    <w:rsid w:val="008D0358"/>
    <w:rsid w:val="008D0DD1"/>
    <w:rsid w:val="008D7FC3"/>
    <w:rsid w:val="008E2E51"/>
    <w:rsid w:val="008F7E57"/>
    <w:rsid w:val="00904F67"/>
    <w:rsid w:val="009161DD"/>
    <w:rsid w:val="00917F9E"/>
    <w:rsid w:val="00927574"/>
    <w:rsid w:val="0093273E"/>
    <w:rsid w:val="0093339A"/>
    <w:rsid w:val="00937F6D"/>
    <w:rsid w:val="009528E0"/>
    <w:rsid w:val="0095356D"/>
    <w:rsid w:val="0095574E"/>
    <w:rsid w:val="00983054"/>
    <w:rsid w:val="009A3822"/>
    <w:rsid w:val="009A3D61"/>
    <w:rsid w:val="009B6E01"/>
    <w:rsid w:val="009D2253"/>
    <w:rsid w:val="009E46EB"/>
    <w:rsid w:val="00A23EF2"/>
    <w:rsid w:val="00A25D40"/>
    <w:rsid w:val="00A541CA"/>
    <w:rsid w:val="00A64090"/>
    <w:rsid w:val="00A77667"/>
    <w:rsid w:val="00AA2022"/>
    <w:rsid w:val="00AB493E"/>
    <w:rsid w:val="00AD1F4F"/>
    <w:rsid w:val="00AD7597"/>
    <w:rsid w:val="00AE2501"/>
    <w:rsid w:val="00AF253B"/>
    <w:rsid w:val="00AF61CF"/>
    <w:rsid w:val="00B32FC9"/>
    <w:rsid w:val="00B4101E"/>
    <w:rsid w:val="00B469E4"/>
    <w:rsid w:val="00B46A86"/>
    <w:rsid w:val="00B537D4"/>
    <w:rsid w:val="00B64A5B"/>
    <w:rsid w:val="00B657D7"/>
    <w:rsid w:val="00B6637A"/>
    <w:rsid w:val="00B71E0D"/>
    <w:rsid w:val="00B73B82"/>
    <w:rsid w:val="00B82580"/>
    <w:rsid w:val="00BA0B7D"/>
    <w:rsid w:val="00BA1094"/>
    <w:rsid w:val="00BA1836"/>
    <w:rsid w:val="00BC37DE"/>
    <w:rsid w:val="00BC4DBC"/>
    <w:rsid w:val="00BC6133"/>
    <w:rsid w:val="00BC7784"/>
    <w:rsid w:val="00BE2302"/>
    <w:rsid w:val="00C02090"/>
    <w:rsid w:val="00C02B63"/>
    <w:rsid w:val="00C03A0A"/>
    <w:rsid w:val="00C20805"/>
    <w:rsid w:val="00C30180"/>
    <w:rsid w:val="00C340B2"/>
    <w:rsid w:val="00C462A5"/>
    <w:rsid w:val="00C56B05"/>
    <w:rsid w:val="00C71874"/>
    <w:rsid w:val="00CA1D9B"/>
    <w:rsid w:val="00CA4CC1"/>
    <w:rsid w:val="00CB137C"/>
    <w:rsid w:val="00CB4799"/>
    <w:rsid w:val="00CB6100"/>
    <w:rsid w:val="00CE6170"/>
    <w:rsid w:val="00D01E66"/>
    <w:rsid w:val="00D11D02"/>
    <w:rsid w:val="00D17123"/>
    <w:rsid w:val="00D1798E"/>
    <w:rsid w:val="00D20EDE"/>
    <w:rsid w:val="00D21B67"/>
    <w:rsid w:val="00D37D18"/>
    <w:rsid w:val="00D6024F"/>
    <w:rsid w:val="00D6104F"/>
    <w:rsid w:val="00D6169A"/>
    <w:rsid w:val="00D63B5B"/>
    <w:rsid w:val="00D67C48"/>
    <w:rsid w:val="00D715D1"/>
    <w:rsid w:val="00D7191B"/>
    <w:rsid w:val="00D73035"/>
    <w:rsid w:val="00D8385A"/>
    <w:rsid w:val="00DA1C4E"/>
    <w:rsid w:val="00DA618A"/>
    <w:rsid w:val="00DC20D9"/>
    <w:rsid w:val="00DC2589"/>
    <w:rsid w:val="00DC3CB9"/>
    <w:rsid w:val="00DE47AE"/>
    <w:rsid w:val="00DE4D20"/>
    <w:rsid w:val="00E00241"/>
    <w:rsid w:val="00E0243A"/>
    <w:rsid w:val="00E04C4B"/>
    <w:rsid w:val="00E220B7"/>
    <w:rsid w:val="00E2713E"/>
    <w:rsid w:val="00E40ECC"/>
    <w:rsid w:val="00E54BB4"/>
    <w:rsid w:val="00E72041"/>
    <w:rsid w:val="00E824E8"/>
    <w:rsid w:val="00EB711C"/>
    <w:rsid w:val="00ED3FDE"/>
    <w:rsid w:val="00ED6CA8"/>
    <w:rsid w:val="00EE1375"/>
    <w:rsid w:val="00EE2704"/>
    <w:rsid w:val="00EE4115"/>
    <w:rsid w:val="00EE6126"/>
    <w:rsid w:val="00EF0EF8"/>
    <w:rsid w:val="00EF2A30"/>
    <w:rsid w:val="00F07E1D"/>
    <w:rsid w:val="00F23D59"/>
    <w:rsid w:val="00F63912"/>
    <w:rsid w:val="00F70FE8"/>
    <w:rsid w:val="00F7135F"/>
    <w:rsid w:val="00F742D4"/>
    <w:rsid w:val="00F77275"/>
    <w:rsid w:val="00F847EA"/>
    <w:rsid w:val="00FC1F0A"/>
    <w:rsid w:val="00FC48A2"/>
    <w:rsid w:val="00FC7484"/>
    <w:rsid w:val="00FD3027"/>
    <w:rsid w:val="00FD7C66"/>
    <w:rsid w:val="00FE1A8C"/>
    <w:rsid w:val="00FF0096"/>
    <w:rsid w:val="00FF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5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AFA"/>
    <w:rPr>
      <w:sz w:val="20"/>
      <w:szCs w:val="20"/>
    </w:rPr>
  </w:style>
  <w:style w:type="character" w:styleId="FootnoteReference">
    <w:name w:val="footnote reference"/>
    <w:aliases w:val="o,fr"/>
    <w:basedOn w:val="DefaultParagraphFont"/>
    <w:uiPriority w:val="99"/>
    <w:rsid w:val="00355AFA"/>
    <w:rPr>
      <w:vertAlign w:val="superscript"/>
    </w:rPr>
  </w:style>
  <w:style w:type="paragraph" w:customStyle="1" w:styleId="Level1">
    <w:name w:val="Level 1"/>
    <w:uiPriority w:val="99"/>
    <w:rsid w:val="00355AFA"/>
    <w:pPr>
      <w:widowControl w:val="0"/>
      <w:autoSpaceDE w:val="0"/>
      <w:autoSpaceDN w:val="0"/>
      <w:adjustRightInd w:val="0"/>
      <w:spacing w:after="0" w:line="240" w:lineRule="auto"/>
      <w:ind w:left="720"/>
      <w:jc w:val="both"/>
    </w:pPr>
    <w:rPr>
      <w:rFonts w:eastAsia="Times New Roman"/>
      <w:szCs w:val="24"/>
    </w:rPr>
  </w:style>
  <w:style w:type="paragraph" w:styleId="ListParagraph">
    <w:name w:val="List Paragraph"/>
    <w:basedOn w:val="Normal"/>
    <w:uiPriority w:val="34"/>
    <w:qFormat/>
    <w:rsid w:val="00355AFA"/>
    <w:pPr>
      <w:ind w:left="720"/>
      <w:contextualSpacing/>
    </w:pPr>
  </w:style>
  <w:style w:type="paragraph" w:styleId="ListNumber">
    <w:name w:val="List Number"/>
    <w:basedOn w:val="Normal"/>
    <w:qFormat/>
    <w:rsid w:val="00355AFA"/>
    <w:pPr>
      <w:widowControl w:val="0"/>
      <w:numPr>
        <w:numId w:val="1"/>
      </w:numPr>
      <w:spacing w:after="0" w:line="480" w:lineRule="auto"/>
      <w:ind w:left="0" w:firstLine="720"/>
      <w:contextualSpacing/>
      <w:jc w:val="both"/>
    </w:pPr>
    <w:rPr>
      <w:rFonts w:eastAsia="Times New Roman"/>
      <w:snapToGrid w:val="0"/>
      <w:szCs w:val="20"/>
    </w:rPr>
  </w:style>
  <w:style w:type="paragraph" w:styleId="BodyText">
    <w:name w:val="Body Text"/>
    <w:basedOn w:val="Normal"/>
    <w:link w:val="BodyTextChar"/>
    <w:uiPriority w:val="99"/>
    <w:unhideWhenUsed/>
    <w:rsid w:val="00355AFA"/>
    <w:pPr>
      <w:spacing w:after="120"/>
    </w:pPr>
  </w:style>
  <w:style w:type="character" w:customStyle="1" w:styleId="BodyTextChar">
    <w:name w:val="Body Text Char"/>
    <w:basedOn w:val="DefaultParagraphFont"/>
    <w:link w:val="BodyText"/>
    <w:uiPriority w:val="99"/>
    <w:rsid w:val="00355AFA"/>
  </w:style>
  <w:style w:type="paragraph" w:styleId="Header">
    <w:name w:val="header"/>
    <w:basedOn w:val="Normal"/>
    <w:link w:val="HeaderChar"/>
    <w:uiPriority w:val="99"/>
    <w:unhideWhenUsed/>
    <w:rsid w:val="00C0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A0A"/>
  </w:style>
  <w:style w:type="paragraph" w:styleId="Footer">
    <w:name w:val="footer"/>
    <w:basedOn w:val="Normal"/>
    <w:link w:val="FooterChar"/>
    <w:uiPriority w:val="99"/>
    <w:unhideWhenUsed/>
    <w:rsid w:val="00C0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A0A"/>
  </w:style>
  <w:style w:type="paragraph" w:customStyle="1" w:styleId="C50A1E338645446787DBF6C2E23A5736">
    <w:name w:val="C50A1E338645446787DBF6C2E23A5736"/>
    <w:rsid w:val="00C03A0A"/>
    <w:rPr>
      <w:rFonts w:asciiTheme="minorHAnsi" w:eastAsiaTheme="minorEastAsia" w:hAnsiTheme="minorHAnsi" w:cstheme="minorBidi"/>
      <w:sz w:val="22"/>
    </w:rPr>
  </w:style>
  <w:style w:type="paragraph" w:styleId="BalloonText">
    <w:name w:val="Balloon Text"/>
    <w:basedOn w:val="Normal"/>
    <w:link w:val="BalloonTextChar"/>
    <w:uiPriority w:val="99"/>
    <w:semiHidden/>
    <w:unhideWhenUsed/>
    <w:rsid w:val="00C0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0A"/>
    <w:rPr>
      <w:rFonts w:ascii="Tahoma" w:hAnsi="Tahoma" w:cs="Tahoma"/>
      <w:sz w:val="16"/>
      <w:szCs w:val="16"/>
    </w:rPr>
  </w:style>
  <w:style w:type="character" w:styleId="Hyperlink">
    <w:name w:val="Hyperlink"/>
    <w:basedOn w:val="DefaultParagraphFont"/>
    <w:uiPriority w:val="99"/>
    <w:semiHidden/>
    <w:unhideWhenUsed/>
    <w:rsid w:val="00AE2501"/>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5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AFA"/>
    <w:rPr>
      <w:sz w:val="20"/>
      <w:szCs w:val="20"/>
    </w:rPr>
  </w:style>
  <w:style w:type="character" w:styleId="FootnoteReference">
    <w:name w:val="footnote reference"/>
    <w:aliases w:val="o,fr"/>
    <w:basedOn w:val="DefaultParagraphFont"/>
    <w:uiPriority w:val="99"/>
    <w:rsid w:val="00355AFA"/>
    <w:rPr>
      <w:vertAlign w:val="superscript"/>
    </w:rPr>
  </w:style>
  <w:style w:type="paragraph" w:customStyle="1" w:styleId="Level1">
    <w:name w:val="Level 1"/>
    <w:uiPriority w:val="99"/>
    <w:rsid w:val="00355AFA"/>
    <w:pPr>
      <w:widowControl w:val="0"/>
      <w:autoSpaceDE w:val="0"/>
      <w:autoSpaceDN w:val="0"/>
      <w:adjustRightInd w:val="0"/>
      <w:spacing w:after="0" w:line="240" w:lineRule="auto"/>
      <w:ind w:left="720"/>
      <w:jc w:val="both"/>
    </w:pPr>
    <w:rPr>
      <w:rFonts w:eastAsia="Times New Roman"/>
      <w:szCs w:val="24"/>
    </w:rPr>
  </w:style>
  <w:style w:type="paragraph" w:styleId="ListParagraph">
    <w:name w:val="List Paragraph"/>
    <w:basedOn w:val="Normal"/>
    <w:uiPriority w:val="34"/>
    <w:qFormat/>
    <w:rsid w:val="00355AFA"/>
    <w:pPr>
      <w:ind w:left="720"/>
      <w:contextualSpacing/>
    </w:pPr>
  </w:style>
  <w:style w:type="paragraph" w:styleId="ListNumber">
    <w:name w:val="List Number"/>
    <w:basedOn w:val="Normal"/>
    <w:qFormat/>
    <w:rsid w:val="00355AFA"/>
    <w:pPr>
      <w:widowControl w:val="0"/>
      <w:numPr>
        <w:numId w:val="1"/>
      </w:numPr>
      <w:spacing w:after="0" w:line="480" w:lineRule="auto"/>
      <w:ind w:left="0" w:firstLine="720"/>
      <w:contextualSpacing/>
      <w:jc w:val="both"/>
    </w:pPr>
    <w:rPr>
      <w:rFonts w:eastAsia="Times New Roman"/>
      <w:snapToGrid w:val="0"/>
      <w:szCs w:val="20"/>
    </w:rPr>
  </w:style>
  <w:style w:type="paragraph" w:styleId="BodyText">
    <w:name w:val="Body Text"/>
    <w:basedOn w:val="Normal"/>
    <w:link w:val="BodyTextChar"/>
    <w:uiPriority w:val="99"/>
    <w:unhideWhenUsed/>
    <w:rsid w:val="00355AFA"/>
    <w:pPr>
      <w:spacing w:after="120"/>
    </w:pPr>
  </w:style>
  <w:style w:type="character" w:customStyle="1" w:styleId="BodyTextChar">
    <w:name w:val="Body Text Char"/>
    <w:basedOn w:val="DefaultParagraphFont"/>
    <w:link w:val="BodyText"/>
    <w:uiPriority w:val="99"/>
    <w:rsid w:val="00355AFA"/>
  </w:style>
  <w:style w:type="paragraph" w:styleId="Header">
    <w:name w:val="header"/>
    <w:basedOn w:val="Normal"/>
    <w:link w:val="HeaderChar"/>
    <w:uiPriority w:val="99"/>
    <w:unhideWhenUsed/>
    <w:rsid w:val="00C0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A0A"/>
  </w:style>
  <w:style w:type="paragraph" w:styleId="Footer">
    <w:name w:val="footer"/>
    <w:basedOn w:val="Normal"/>
    <w:link w:val="FooterChar"/>
    <w:uiPriority w:val="99"/>
    <w:unhideWhenUsed/>
    <w:rsid w:val="00C0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A0A"/>
  </w:style>
  <w:style w:type="paragraph" w:customStyle="1" w:styleId="C50A1E338645446787DBF6C2E23A5736">
    <w:name w:val="C50A1E338645446787DBF6C2E23A5736"/>
    <w:rsid w:val="00C03A0A"/>
    <w:rPr>
      <w:rFonts w:asciiTheme="minorHAnsi" w:eastAsiaTheme="minorEastAsia" w:hAnsiTheme="minorHAnsi" w:cstheme="minorBidi"/>
      <w:sz w:val="22"/>
    </w:rPr>
  </w:style>
  <w:style w:type="paragraph" w:styleId="BalloonText">
    <w:name w:val="Balloon Text"/>
    <w:basedOn w:val="Normal"/>
    <w:link w:val="BalloonTextChar"/>
    <w:uiPriority w:val="99"/>
    <w:semiHidden/>
    <w:unhideWhenUsed/>
    <w:rsid w:val="00C03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0A"/>
    <w:rPr>
      <w:rFonts w:ascii="Tahoma" w:hAnsi="Tahoma" w:cs="Tahoma"/>
      <w:sz w:val="16"/>
      <w:szCs w:val="16"/>
    </w:rPr>
  </w:style>
  <w:style w:type="character" w:styleId="Hyperlink">
    <w:name w:val="Hyperlink"/>
    <w:basedOn w:val="DefaultParagraphFont"/>
    <w:uiPriority w:val="99"/>
    <w:semiHidden/>
    <w:unhideWhenUsed/>
    <w:rsid w:val="00AE2501"/>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6053">
      <w:bodyDiv w:val="1"/>
      <w:marLeft w:val="0"/>
      <w:marRight w:val="0"/>
      <w:marTop w:val="0"/>
      <w:marBottom w:val="0"/>
      <w:divBdr>
        <w:top w:val="none" w:sz="0" w:space="0" w:color="auto"/>
        <w:left w:val="none" w:sz="0" w:space="0" w:color="auto"/>
        <w:bottom w:val="none" w:sz="0" w:space="0" w:color="auto"/>
        <w:right w:val="none" w:sz="0" w:space="0" w:color="auto"/>
      </w:divBdr>
    </w:div>
    <w:div w:id="8421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xis.com/research/buttonTFLink?_m=37c107d7258db50570330ab9b28067c1&amp;_xfercite=%3ccite%20cc%3d%22USA%22%3e%3c%21%5bCDATA%5b119%20Pa.%20Commw.%20608%5d%5d%3e%3c%2fcite%3e&amp;_butType=4&amp;_butStat=0&amp;_butNum=12&amp;_butInline=1&amp;_butinfo=52%20PA%20CODE%2057.31&amp;_fmtstr=FULL&amp;docnum=1&amp;_startdoc=1&amp;wchp=dGLbVzB-zSkAW&amp;_md5=1d62a40c12613cfd291c59b318a98b9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1A40-1CAC-461C-A54C-1E6E2899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45</Pages>
  <Words>12098</Words>
  <Characters>68961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shoffner</cp:lastModifiedBy>
  <cp:revision>6</cp:revision>
  <cp:lastPrinted>2014-06-03T19:37:00Z</cp:lastPrinted>
  <dcterms:created xsi:type="dcterms:W3CDTF">2014-06-02T19:25:00Z</dcterms:created>
  <dcterms:modified xsi:type="dcterms:W3CDTF">2014-06-03T19:38:00Z</dcterms:modified>
</cp:coreProperties>
</file>