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5061FF" w:rsidRDefault="00A01330" w:rsidP="00C81100">
      <w:pPr>
        <w:jc w:val="center"/>
        <w:rPr>
          <w:b/>
          <w:sz w:val="24"/>
          <w:szCs w:val="24"/>
        </w:rPr>
      </w:pPr>
      <w:bookmarkStart w:id="0" w:name="_GoBack"/>
      <w:bookmarkEnd w:id="0"/>
      <w:r w:rsidRPr="005061FF">
        <w:rPr>
          <w:b/>
          <w:sz w:val="24"/>
          <w:szCs w:val="24"/>
        </w:rPr>
        <w:t>BEFORE THE</w:t>
      </w:r>
    </w:p>
    <w:p w:rsidR="00A01330" w:rsidRPr="005061FF" w:rsidRDefault="00A01330" w:rsidP="00C81100">
      <w:pPr>
        <w:jc w:val="center"/>
        <w:rPr>
          <w:b/>
          <w:sz w:val="24"/>
          <w:szCs w:val="24"/>
        </w:rPr>
      </w:pPr>
      <w:r w:rsidRPr="005061FF">
        <w:rPr>
          <w:b/>
          <w:sz w:val="24"/>
          <w:szCs w:val="24"/>
        </w:rPr>
        <w:t>PENNSYLVANIA PUBLIC UTILITY COMMISSION</w:t>
      </w:r>
    </w:p>
    <w:p w:rsidR="00A01330" w:rsidRDefault="00A01330" w:rsidP="005061FF">
      <w:pPr>
        <w:jc w:val="center"/>
        <w:rPr>
          <w:sz w:val="24"/>
          <w:szCs w:val="24"/>
        </w:rPr>
      </w:pPr>
    </w:p>
    <w:p w:rsidR="005061FF" w:rsidRPr="005061FF" w:rsidRDefault="005061FF" w:rsidP="005061FF">
      <w:pPr>
        <w:jc w:val="center"/>
        <w:rPr>
          <w:sz w:val="24"/>
          <w:szCs w:val="24"/>
        </w:rPr>
      </w:pPr>
    </w:p>
    <w:p w:rsidR="00A01330" w:rsidRPr="005061FF" w:rsidRDefault="00A01330" w:rsidP="00C81100">
      <w:pPr>
        <w:jc w:val="center"/>
        <w:rPr>
          <w:sz w:val="24"/>
          <w:szCs w:val="24"/>
        </w:rPr>
      </w:pPr>
    </w:p>
    <w:p w:rsidR="003B1503" w:rsidRPr="005061FF" w:rsidRDefault="007E5B8D" w:rsidP="005061FF">
      <w:pPr>
        <w:rPr>
          <w:sz w:val="24"/>
          <w:szCs w:val="24"/>
        </w:rPr>
      </w:pPr>
      <w:r w:rsidRPr="005061FF">
        <w:rPr>
          <w:sz w:val="24"/>
          <w:szCs w:val="24"/>
        </w:rPr>
        <w:t>Pennsylvania Public Utility Commission</w:t>
      </w:r>
      <w:r w:rsidR="003B1503" w:rsidRPr="005061FF">
        <w:rPr>
          <w:sz w:val="24"/>
          <w:szCs w:val="24"/>
        </w:rPr>
        <w:tab/>
      </w:r>
      <w:r w:rsidR="003B1503" w:rsidRPr="005061FF">
        <w:rPr>
          <w:sz w:val="24"/>
          <w:szCs w:val="24"/>
        </w:rPr>
        <w:tab/>
        <w:t>:</w:t>
      </w:r>
    </w:p>
    <w:p w:rsidR="00047AC4" w:rsidRPr="005061FF" w:rsidRDefault="00047AC4" w:rsidP="005061FF">
      <w:pPr>
        <w:rPr>
          <w:sz w:val="24"/>
          <w:szCs w:val="24"/>
        </w:rPr>
      </w:pPr>
      <w:r w:rsidRPr="005061FF">
        <w:rPr>
          <w:sz w:val="24"/>
          <w:szCs w:val="24"/>
        </w:rPr>
        <w:t>Bureau of Investigation and Enforcement</w:t>
      </w:r>
      <w:r w:rsidRPr="005061FF">
        <w:rPr>
          <w:sz w:val="24"/>
          <w:szCs w:val="24"/>
        </w:rPr>
        <w:tab/>
      </w:r>
      <w:r w:rsidRPr="005061FF">
        <w:rPr>
          <w:sz w:val="24"/>
          <w:szCs w:val="24"/>
        </w:rPr>
        <w:tab/>
        <w:t>:</w:t>
      </w:r>
    </w:p>
    <w:p w:rsidR="003B1503" w:rsidRPr="005061FF" w:rsidRDefault="007E5B8D" w:rsidP="005061FF">
      <w:pPr>
        <w:rPr>
          <w:sz w:val="24"/>
          <w:szCs w:val="24"/>
        </w:rPr>
      </w:pPr>
      <w:r w:rsidRPr="005061FF">
        <w:rPr>
          <w:sz w:val="24"/>
          <w:szCs w:val="24"/>
        </w:rPr>
        <w:tab/>
      </w:r>
      <w:r w:rsidRPr="005061FF">
        <w:rPr>
          <w:sz w:val="24"/>
          <w:szCs w:val="24"/>
        </w:rPr>
        <w:tab/>
      </w:r>
      <w:r w:rsidRPr="005061FF">
        <w:rPr>
          <w:sz w:val="24"/>
          <w:szCs w:val="24"/>
        </w:rPr>
        <w:tab/>
      </w:r>
      <w:r w:rsidRPr="005061FF">
        <w:rPr>
          <w:sz w:val="24"/>
          <w:szCs w:val="24"/>
        </w:rPr>
        <w:tab/>
      </w:r>
      <w:r w:rsidRPr="005061FF">
        <w:rPr>
          <w:sz w:val="24"/>
          <w:szCs w:val="24"/>
        </w:rPr>
        <w:tab/>
      </w:r>
      <w:r w:rsidRPr="005061FF">
        <w:rPr>
          <w:sz w:val="24"/>
          <w:szCs w:val="24"/>
        </w:rPr>
        <w:tab/>
      </w:r>
      <w:r w:rsidR="003B1503" w:rsidRPr="005061FF">
        <w:rPr>
          <w:sz w:val="24"/>
          <w:szCs w:val="24"/>
        </w:rPr>
        <w:tab/>
        <w:t>:</w:t>
      </w:r>
    </w:p>
    <w:p w:rsidR="003B1503" w:rsidRPr="005061FF" w:rsidRDefault="007E5B8D" w:rsidP="005061FF">
      <w:pPr>
        <w:rPr>
          <w:sz w:val="24"/>
          <w:szCs w:val="24"/>
        </w:rPr>
      </w:pPr>
      <w:r w:rsidRPr="005061FF">
        <w:rPr>
          <w:sz w:val="24"/>
          <w:szCs w:val="24"/>
        </w:rPr>
        <w:tab/>
      </w:r>
      <w:r w:rsidRPr="005061FF">
        <w:rPr>
          <w:sz w:val="24"/>
          <w:szCs w:val="24"/>
        </w:rPr>
        <w:tab/>
        <w:t>v.</w:t>
      </w:r>
      <w:r w:rsidRPr="005061FF">
        <w:rPr>
          <w:sz w:val="24"/>
          <w:szCs w:val="24"/>
        </w:rPr>
        <w:tab/>
      </w:r>
      <w:r w:rsidRPr="005061FF">
        <w:rPr>
          <w:sz w:val="24"/>
          <w:szCs w:val="24"/>
        </w:rPr>
        <w:tab/>
      </w:r>
      <w:r w:rsidRPr="005061FF">
        <w:rPr>
          <w:sz w:val="24"/>
          <w:szCs w:val="24"/>
        </w:rPr>
        <w:tab/>
      </w:r>
      <w:r w:rsidRPr="005061FF">
        <w:rPr>
          <w:sz w:val="24"/>
          <w:szCs w:val="24"/>
        </w:rPr>
        <w:tab/>
      </w:r>
      <w:r w:rsidR="003B1503" w:rsidRPr="005061FF">
        <w:rPr>
          <w:sz w:val="24"/>
          <w:szCs w:val="24"/>
        </w:rPr>
        <w:tab/>
        <w:t>:</w:t>
      </w:r>
      <w:r w:rsidRPr="005061FF">
        <w:rPr>
          <w:sz w:val="24"/>
          <w:szCs w:val="24"/>
        </w:rPr>
        <w:tab/>
      </w:r>
      <w:r w:rsidR="005061FF">
        <w:rPr>
          <w:sz w:val="24"/>
          <w:szCs w:val="24"/>
        </w:rPr>
        <w:tab/>
      </w:r>
      <w:r w:rsidRPr="005061FF">
        <w:rPr>
          <w:sz w:val="24"/>
          <w:szCs w:val="24"/>
        </w:rPr>
        <w:t>C-20</w:t>
      </w:r>
      <w:r w:rsidR="00047AC4" w:rsidRPr="005061FF">
        <w:rPr>
          <w:sz w:val="24"/>
          <w:szCs w:val="24"/>
        </w:rPr>
        <w:t>13</w:t>
      </w:r>
      <w:r w:rsidRPr="005061FF">
        <w:rPr>
          <w:sz w:val="24"/>
          <w:szCs w:val="24"/>
        </w:rPr>
        <w:t>-2</w:t>
      </w:r>
      <w:r w:rsidR="00047AC4" w:rsidRPr="005061FF">
        <w:rPr>
          <w:sz w:val="24"/>
          <w:szCs w:val="24"/>
        </w:rPr>
        <w:t>354805</w:t>
      </w:r>
      <w:r w:rsidRPr="005061FF">
        <w:rPr>
          <w:sz w:val="24"/>
          <w:szCs w:val="24"/>
        </w:rPr>
        <w:tab/>
      </w:r>
      <w:r w:rsidRPr="005061FF">
        <w:rPr>
          <w:sz w:val="24"/>
          <w:szCs w:val="24"/>
        </w:rPr>
        <w:tab/>
      </w:r>
      <w:r w:rsidRPr="005061FF">
        <w:rPr>
          <w:sz w:val="24"/>
          <w:szCs w:val="24"/>
        </w:rPr>
        <w:tab/>
      </w:r>
      <w:r w:rsidRPr="005061FF">
        <w:rPr>
          <w:sz w:val="24"/>
          <w:szCs w:val="24"/>
        </w:rPr>
        <w:tab/>
      </w:r>
      <w:r w:rsidRPr="005061FF">
        <w:rPr>
          <w:sz w:val="24"/>
          <w:szCs w:val="24"/>
        </w:rPr>
        <w:tab/>
      </w:r>
      <w:r w:rsidRPr="005061FF">
        <w:rPr>
          <w:sz w:val="24"/>
          <w:szCs w:val="24"/>
        </w:rPr>
        <w:tab/>
      </w:r>
      <w:r w:rsidR="003B1503" w:rsidRPr="005061FF">
        <w:rPr>
          <w:sz w:val="24"/>
          <w:szCs w:val="24"/>
        </w:rPr>
        <w:tab/>
      </w:r>
      <w:r w:rsidR="00047AC4" w:rsidRPr="005061FF">
        <w:rPr>
          <w:sz w:val="24"/>
          <w:szCs w:val="24"/>
        </w:rPr>
        <w:tab/>
      </w:r>
      <w:r w:rsidR="00047AC4" w:rsidRPr="005061FF">
        <w:rPr>
          <w:sz w:val="24"/>
          <w:szCs w:val="24"/>
        </w:rPr>
        <w:tab/>
      </w:r>
      <w:r w:rsidR="003B1503" w:rsidRPr="005061FF">
        <w:rPr>
          <w:sz w:val="24"/>
          <w:szCs w:val="24"/>
        </w:rPr>
        <w:t xml:space="preserve">: </w:t>
      </w:r>
      <w:r w:rsidR="003B1503" w:rsidRPr="005061FF">
        <w:rPr>
          <w:sz w:val="24"/>
          <w:szCs w:val="24"/>
        </w:rPr>
        <w:tab/>
      </w:r>
    </w:p>
    <w:p w:rsidR="003B1503" w:rsidRPr="005061FF" w:rsidRDefault="00047AC4" w:rsidP="005061FF">
      <w:pPr>
        <w:rPr>
          <w:sz w:val="24"/>
          <w:szCs w:val="24"/>
        </w:rPr>
      </w:pPr>
      <w:r w:rsidRPr="005061FF">
        <w:rPr>
          <w:sz w:val="24"/>
          <w:szCs w:val="24"/>
        </w:rPr>
        <w:t>Gholston Paratransit Service, LLC</w:t>
      </w:r>
      <w:r w:rsidR="007E5B8D" w:rsidRPr="005061FF">
        <w:rPr>
          <w:sz w:val="24"/>
          <w:szCs w:val="24"/>
        </w:rPr>
        <w:tab/>
      </w:r>
      <w:r w:rsidR="007E5B8D" w:rsidRPr="005061FF">
        <w:rPr>
          <w:sz w:val="24"/>
          <w:szCs w:val="24"/>
        </w:rPr>
        <w:tab/>
      </w:r>
      <w:r w:rsidR="003B1503" w:rsidRPr="005061FF">
        <w:rPr>
          <w:sz w:val="24"/>
          <w:szCs w:val="24"/>
        </w:rPr>
        <w:tab/>
        <w:t>:</w:t>
      </w:r>
    </w:p>
    <w:p w:rsidR="00466F8B" w:rsidRPr="005061FF" w:rsidRDefault="00466F8B" w:rsidP="005061FF">
      <w:pPr>
        <w:rPr>
          <w:sz w:val="24"/>
          <w:szCs w:val="24"/>
        </w:rPr>
      </w:pPr>
    </w:p>
    <w:p w:rsidR="00A01330" w:rsidRPr="005061FF" w:rsidRDefault="00A01330" w:rsidP="00C81100">
      <w:pPr>
        <w:rPr>
          <w:sz w:val="24"/>
          <w:szCs w:val="24"/>
        </w:rPr>
      </w:pPr>
    </w:p>
    <w:p w:rsidR="00976C68" w:rsidRPr="005061FF" w:rsidRDefault="00976C68" w:rsidP="00C81100">
      <w:pPr>
        <w:rPr>
          <w:sz w:val="24"/>
          <w:szCs w:val="24"/>
        </w:rPr>
      </w:pPr>
    </w:p>
    <w:p w:rsidR="00976C68" w:rsidRPr="005061FF" w:rsidRDefault="00976C68" w:rsidP="00976C68">
      <w:pPr>
        <w:jc w:val="center"/>
        <w:rPr>
          <w:sz w:val="24"/>
          <w:szCs w:val="24"/>
          <w:u w:val="single"/>
        </w:rPr>
      </w:pPr>
      <w:r w:rsidRPr="005061FF">
        <w:rPr>
          <w:b/>
          <w:sz w:val="24"/>
          <w:szCs w:val="24"/>
          <w:u w:val="single"/>
        </w:rPr>
        <w:t>RECOMMENDED DECISION</w:t>
      </w:r>
    </w:p>
    <w:p w:rsidR="00976C68" w:rsidRDefault="00976C68" w:rsidP="005061FF">
      <w:pPr>
        <w:rPr>
          <w:sz w:val="24"/>
          <w:szCs w:val="24"/>
        </w:rPr>
      </w:pPr>
    </w:p>
    <w:p w:rsidR="005061FF" w:rsidRPr="005061FF" w:rsidRDefault="005061FF" w:rsidP="005061FF">
      <w:pPr>
        <w:rPr>
          <w:sz w:val="24"/>
          <w:szCs w:val="24"/>
        </w:rPr>
      </w:pPr>
    </w:p>
    <w:p w:rsidR="00976C68" w:rsidRPr="005061FF" w:rsidRDefault="00976C68" w:rsidP="00976C68">
      <w:pPr>
        <w:jc w:val="center"/>
        <w:rPr>
          <w:sz w:val="24"/>
          <w:szCs w:val="24"/>
        </w:rPr>
      </w:pPr>
      <w:r w:rsidRPr="005061FF">
        <w:rPr>
          <w:sz w:val="24"/>
          <w:szCs w:val="24"/>
        </w:rPr>
        <w:t>Before</w:t>
      </w:r>
    </w:p>
    <w:p w:rsidR="00976C68" w:rsidRPr="005061FF" w:rsidRDefault="00976C68" w:rsidP="00976C68">
      <w:pPr>
        <w:jc w:val="center"/>
        <w:rPr>
          <w:sz w:val="24"/>
          <w:szCs w:val="24"/>
        </w:rPr>
      </w:pPr>
      <w:r w:rsidRPr="005061FF">
        <w:rPr>
          <w:sz w:val="24"/>
          <w:szCs w:val="24"/>
        </w:rPr>
        <w:t>Dennis J. Buckley</w:t>
      </w:r>
    </w:p>
    <w:p w:rsidR="00976C68" w:rsidRPr="005061FF" w:rsidRDefault="00976C68" w:rsidP="00976C68">
      <w:pPr>
        <w:jc w:val="center"/>
        <w:rPr>
          <w:sz w:val="24"/>
          <w:szCs w:val="24"/>
        </w:rPr>
      </w:pPr>
      <w:r w:rsidRPr="005061FF">
        <w:rPr>
          <w:sz w:val="24"/>
          <w:szCs w:val="24"/>
        </w:rPr>
        <w:t>Administrative Law Judge</w:t>
      </w:r>
    </w:p>
    <w:p w:rsidR="00DB74ED" w:rsidRPr="005061FF" w:rsidRDefault="00DB74ED" w:rsidP="005061FF">
      <w:pPr>
        <w:jc w:val="center"/>
        <w:rPr>
          <w:sz w:val="24"/>
          <w:szCs w:val="24"/>
        </w:rPr>
      </w:pPr>
    </w:p>
    <w:p w:rsidR="00976C68" w:rsidRPr="005061FF" w:rsidRDefault="00976C68" w:rsidP="005061FF">
      <w:pPr>
        <w:rPr>
          <w:sz w:val="24"/>
          <w:szCs w:val="24"/>
        </w:rPr>
      </w:pPr>
    </w:p>
    <w:p w:rsidR="00976C68" w:rsidRPr="005061FF" w:rsidRDefault="00822F55" w:rsidP="005061FF">
      <w:pPr>
        <w:spacing w:line="360" w:lineRule="auto"/>
        <w:rPr>
          <w:sz w:val="24"/>
          <w:szCs w:val="24"/>
        </w:rPr>
      </w:pPr>
      <w:r w:rsidRPr="005061FF">
        <w:rPr>
          <w:sz w:val="24"/>
          <w:szCs w:val="24"/>
        </w:rPr>
        <w:tab/>
      </w:r>
      <w:r w:rsidRPr="005061FF">
        <w:rPr>
          <w:sz w:val="24"/>
          <w:szCs w:val="24"/>
        </w:rPr>
        <w:tab/>
        <w:t>This decision recommends the cancellation of the certificate of public convenience held by Gholston Paratransit Service, LLC (Gholston or Respondent) and the imposition of a $500 civil penalty.</w:t>
      </w:r>
      <w:r w:rsidR="00147191" w:rsidRPr="005061FF">
        <w:rPr>
          <w:rStyle w:val="FootnoteReference"/>
          <w:sz w:val="24"/>
          <w:szCs w:val="24"/>
        </w:rPr>
        <w:footnoteReference w:id="1"/>
      </w:r>
      <w:r w:rsidRPr="005061FF">
        <w:rPr>
          <w:sz w:val="24"/>
          <w:szCs w:val="24"/>
        </w:rPr>
        <w:t xml:space="preserve">  The reason for this recommendation is that Gholston has not maintained proof of insurance coverage as required by the Commission.</w:t>
      </w:r>
    </w:p>
    <w:p w:rsidR="00822F55" w:rsidRDefault="00822F55" w:rsidP="005061FF">
      <w:pPr>
        <w:rPr>
          <w:sz w:val="24"/>
          <w:szCs w:val="24"/>
        </w:rPr>
      </w:pPr>
    </w:p>
    <w:p w:rsidR="005061FF" w:rsidRPr="005061FF" w:rsidRDefault="005061FF" w:rsidP="005061FF">
      <w:pPr>
        <w:rPr>
          <w:sz w:val="24"/>
          <w:szCs w:val="24"/>
        </w:rPr>
      </w:pPr>
    </w:p>
    <w:p w:rsidR="00822F55" w:rsidRPr="005061FF" w:rsidRDefault="00822F55" w:rsidP="005061FF">
      <w:pPr>
        <w:jc w:val="center"/>
        <w:rPr>
          <w:sz w:val="24"/>
          <w:szCs w:val="24"/>
        </w:rPr>
      </w:pPr>
      <w:r w:rsidRPr="005061FF">
        <w:rPr>
          <w:sz w:val="24"/>
          <w:szCs w:val="24"/>
          <w:u w:val="single"/>
        </w:rPr>
        <w:t>HISTORY</w:t>
      </w:r>
    </w:p>
    <w:p w:rsidR="00822F55" w:rsidRDefault="00822F55" w:rsidP="005061FF">
      <w:pPr>
        <w:jc w:val="center"/>
        <w:rPr>
          <w:sz w:val="24"/>
          <w:szCs w:val="24"/>
        </w:rPr>
      </w:pPr>
    </w:p>
    <w:p w:rsidR="005061FF" w:rsidRPr="005061FF" w:rsidRDefault="005061FF" w:rsidP="005061FF">
      <w:pPr>
        <w:jc w:val="center"/>
        <w:rPr>
          <w:sz w:val="24"/>
          <w:szCs w:val="24"/>
        </w:rPr>
      </w:pPr>
    </w:p>
    <w:p w:rsidR="00147191" w:rsidRPr="005061FF" w:rsidRDefault="00822F55" w:rsidP="00822F55">
      <w:pPr>
        <w:spacing w:line="360" w:lineRule="auto"/>
        <w:rPr>
          <w:sz w:val="24"/>
          <w:szCs w:val="24"/>
        </w:rPr>
      </w:pPr>
      <w:r w:rsidRPr="005061FF">
        <w:rPr>
          <w:sz w:val="24"/>
          <w:szCs w:val="24"/>
        </w:rPr>
        <w:tab/>
      </w:r>
      <w:r w:rsidRPr="005061FF">
        <w:rPr>
          <w:sz w:val="24"/>
          <w:szCs w:val="24"/>
        </w:rPr>
        <w:tab/>
      </w:r>
      <w:r w:rsidR="00147191" w:rsidRPr="005061FF">
        <w:rPr>
          <w:sz w:val="24"/>
          <w:szCs w:val="24"/>
        </w:rPr>
        <w:t xml:space="preserve">On April 3, 2013, the Commission’s </w:t>
      </w:r>
      <w:r w:rsidR="00DB74ED" w:rsidRPr="005061FF">
        <w:rPr>
          <w:sz w:val="24"/>
          <w:szCs w:val="24"/>
        </w:rPr>
        <w:t xml:space="preserve">Bureau </w:t>
      </w:r>
      <w:r w:rsidR="009768DA" w:rsidRPr="005061FF">
        <w:rPr>
          <w:sz w:val="24"/>
          <w:szCs w:val="24"/>
        </w:rPr>
        <w:t>of Investigation and Enforcement (BIE</w:t>
      </w:r>
      <w:proofErr w:type="gramStart"/>
      <w:r w:rsidR="009768DA" w:rsidRPr="005061FF">
        <w:rPr>
          <w:sz w:val="24"/>
          <w:szCs w:val="24"/>
        </w:rPr>
        <w:t>)</w:t>
      </w:r>
      <w:r w:rsidR="00DB74ED" w:rsidRPr="005061FF">
        <w:rPr>
          <w:sz w:val="24"/>
          <w:szCs w:val="24"/>
        </w:rPr>
        <w:t>,</w:t>
      </w:r>
      <w:proofErr w:type="gramEnd"/>
      <w:r w:rsidR="00DB74ED" w:rsidRPr="005061FF">
        <w:rPr>
          <w:sz w:val="24"/>
          <w:szCs w:val="24"/>
        </w:rPr>
        <w:t xml:space="preserve"> </w:t>
      </w:r>
      <w:r w:rsidR="00147191" w:rsidRPr="005061FF">
        <w:rPr>
          <w:sz w:val="24"/>
          <w:szCs w:val="24"/>
        </w:rPr>
        <w:t>filed a formal Complaint against Gholston alleging that Gholston had failed to maintain evidence of insurance in violat</w:t>
      </w:r>
      <w:r w:rsidR="002D7ACE">
        <w:rPr>
          <w:sz w:val="24"/>
          <w:szCs w:val="24"/>
        </w:rPr>
        <w:t>ion of 66 Pa.</w:t>
      </w:r>
      <w:r w:rsidR="005061FF">
        <w:rPr>
          <w:sz w:val="24"/>
          <w:szCs w:val="24"/>
        </w:rPr>
        <w:t>C.S. §</w:t>
      </w:r>
      <w:r w:rsidR="00E777EA">
        <w:rPr>
          <w:sz w:val="24"/>
          <w:szCs w:val="24"/>
        </w:rPr>
        <w:t xml:space="preserve"> </w:t>
      </w:r>
      <w:r w:rsidR="005061FF">
        <w:rPr>
          <w:sz w:val="24"/>
          <w:szCs w:val="24"/>
        </w:rPr>
        <w:t>512, 52 Pa.</w:t>
      </w:r>
      <w:r w:rsidR="00147191" w:rsidRPr="005061FF">
        <w:rPr>
          <w:sz w:val="24"/>
          <w:szCs w:val="24"/>
        </w:rPr>
        <w:t>Code §</w:t>
      </w:r>
      <w:r w:rsidR="005061FF">
        <w:rPr>
          <w:sz w:val="24"/>
          <w:szCs w:val="24"/>
        </w:rPr>
        <w:t xml:space="preserve"> 32.2(c), and 52 Pa.</w:t>
      </w:r>
      <w:r w:rsidR="00147191" w:rsidRPr="005061FF">
        <w:rPr>
          <w:sz w:val="24"/>
          <w:szCs w:val="24"/>
        </w:rPr>
        <w:t xml:space="preserve">Code </w:t>
      </w:r>
    </w:p>
    <w:p w:rsidR="00822F55" w:rsidRPr="005061FF" w:rsidRDefault="00147191" w:rsidP="00822F55">
      <w:pPr>
        <w:spacing w:line="360" w:lineRule="auto"/>
        <w:rPr>
          <w:sz w:val="24"/>
          <w:szCs w:val="24"/>
        </w:rPr>
      </w:pPr>
      <w:r w:rsidRPr="005061FF">
        <w:rPr>
          <w:sz w:val="24"/>
          <w:szCs w:val="24"/>
        </w:rPr>
        <w:t>§ 32.11(a) or 32.13(a).  The Complaint demanded that Gholston pay a civil penalty of $500 and file evidence of insurance within twenty days of service of the Complaint</w:t>
      </w:r>
      <w:r w:rsidR="00192824" w:rsidRPr="005061FF">
        <w:rPr>
          <w:sz w:val="24"/>
          <w:szCs w:val="24"/>
        </w:rPr>
        <w:t xml:space="preserve"> or face cancellation of its authority and any other remedies the Commission might think appropriate.</w:t>
      </w:r>
    </w:p>
    <w:p w:rsidR="00192824" w:rsidRPr="005061FF" w:rsidRDefault="00192824" w:rsidP="00822F55">
      <w:pPr>
        <w:spacing w:line="360" w:lineRule="auto"/>
        <w:rPr>
          <w:sz w:val="24"/>
          <w:szCs w:val="24"/>
        </w:rPr>
      </w:pPr>
    </w:p>
    <w:p w:rsidR="00192824" w:rsidRPr="005061FF" w:rsidRDefault="00192824" w:rsidP="00822F55">
      <w:pPr>
        <w:spacing w:line="360" w:lineRule="auto"/>
        <w:rPr>
          <w:sz w:val="24"/>
          <w:szCs w:val="24"/>
        </w:rPr>
      </w:pPr>
      <w:r w:rsidRPr="005061FF">
        <w:rPr>
          <w:sz w:val="24"/>
          <w:szCs w:val="24"/>
        </w:rPr>
        <w:tab/>
      </w:r>
      <w:r w:rsidRPr="005061FF">
        <w:rPr>
          <w:sz w:val="24"/>
          <w:szCs w:val="24"/>
        </w:rPr>
        <w:tab/>
        <w:t>The Secretary of the Commission served the formal Complaint on April 3, 2013.</w:t>
      </w:r>
    </w:p>
    <w:p w:rsidR="00192824" w:rsidRPr="005061FF" w:rsidRDefault="00192824" w:rsidP="00822F55">
      <w:pPr>
        <w:spacing w:line="360" w:lineRule="auto"/>
        <w:rPr>
          <w:sz w:val="24"/>
          <w:szCs w:val="24"/>
        </w:rPr>
      </w:pPr>
    </w:p>
    <w:p w:rsidR="00192824" w:rsidRPr="005061FF" w:rsidRDefault="00192824" w:rsidP="00822F55">
      <w:pPr>
        <w:spacing w:line="360" w:lineRule="auto"/>
        <w:rPr>
          <w:sz w:val="24"/>
          <w:szCs w:val="24"/>
        </w:rPr>
      </w:pPr>
      <w:r w:rsidRPr="005061FF">
        <w:rPr>
          <w:sz w:val="24"/>
          <w:szCs w:val="24"/>
        </w:rPr>
        <w:tab/>
      </w:r>
      <w:r w:rsidRPr="005061FF">
        <w:rPr>
          <w:sz w:val="24"/>
          <w:szCs w:val="24"/>
        </w:rPr>
        <w:tab/>
        <w:t>On April 22, 2013, Gholston filed an Answer to the Complaint denying the allegation and claiming that it did have insurance.</w:t>
      </w:r>
      <w:r w:rsidRPr="005061FF">
        <w:rPr>
          <w:rStyle w:val="FootnoteReference"/>
          <w:sz w:val="24"/>
          <w:szCs w:val="24"/>
        </w:rPr>
        <w:footnoteReference w:id="2"/>
      </w:r>
      <w:r w:rsidR="00554484" w:rsidRPr="005061FF">
        <w:rPr>
          <w:sz w:val="24"/>
          <w:szCs w:val="24"/>
        </w:rPr>
        <w:t xml:space="preserve">  However, no evidence of such coverage was filed with the Answer.</w:t>
      </w:r>
    </w:p>
    <w:p w:rsidR="00554484" w:rsidRPr="005061FF" w:rsidRDefault="00554484" w:rsidP="00822F55">
      <w:pPr>
        <w:spacing w:line="360" w:lineRule="auto"/>
        <w:rPr>
          <w:sz w:val="24"/>
          <w:szCs w:val="24"/>
        </w:rPr>
      </w:pPr>
    </w:p>
    <w:p w:rsidR="00554484" w:rsidRPr="005061FF" w:rsidRDefault="00554484" w:rsidP="00822F55">
      <w:pPr>
        <w:spacing w:line="360" w:lineRule="auto"/>
        <w:rPr>
          <w:sz w:val="24"/>
          <w:szCs w:val="24"/>
        </w:rPr>
      </w:pPr>
      <w:r w:rsidRPr="005061FF">
        <w:rPr>
          <w:sz w:val="24"/>
          <w:szCs w:val="24"/>
        </w:rPr>
        <w:tab/>
      </w:r>
      <w:r w:rsidRPr="005061FF">
        <w:rPr>
          <w:sz w:val="24"/>
          <w:szCs w:val="24"/>
        </w:rPr>
        <w:tab/>
        <w:t xml:space="preserve">On February 6, 2014, a hearing notice was issued setting March 26, 2014 as the date for an evidentiary hearing in this case at the Commission’s office in Harrisburg, Pennsylvania.  On that same date, I was assigned this case as presiding officer. </w:t>
      </w:r>
      <w:r w:rsidR="00921F2B">
        <w:rPr>
          <w:sz w:val="24"/>
          <w:szCs w:val="24"/>
        </w:rPr>
        <w:t xml:space="preserve"> </w:t>
      </w:r>
      <w:r w:rsidRPr="005061FF">
        <w:rPr>
          <w:sz w:val="24"/>
          <w:szCs w:val="24"/>
        </w:rPr>
        <w:t>The notice was duly served on both parties and was not returned by the postal service.</w:t>
      </w:r>
    </w:p>
    <w:p w:rsidR="00554484" w:rsidRPr="005061FF" w:rsidRDefault="00554484" w:rsidP="00822F55">
      <w:pPr>
        <w:spacing w:line="360" w:lineRule="auto"/>
        <w:rPr>
          <w:sz w:val="24"/>
          <w:szCs w:val="24"/>
        </w:rPr>
      </w:pPr>
    </w:p>
    <w:p w:rsidR="00554484" w:rsidRPr="005061FF" w:rsidRDefault="00554484" w:rsidP="00822F55">
      <w:pPr>
        <w:spacing w:line="360" w:lineRule="auto"/>
        <w:rPr>
          <w:sz w:val="24"/>
          <w:szCs w:val="24"/>
        </w:rPr>
      </w:pPr>
      <w:r w:rsidRPr="005061FF">
        <w:rPr>
          <w:sz w:val="24"/>
          <w:szCs w:val="24"/>
        </w:rPr>
        <w:tab/>
      </w:r>
      <w:r w:rsidRPr="005061FF">
        <w:rPr>
          <w:sz w:val="24"/>
          <w:szCs w:val="24"/>
        </w:rPr>
        <w:tab/>
        <w:t xml:space="preserve">On March 4, 2014, I issued a standard form prehearing Order in which I requested a prehearing memorandum from each of the parties.  </w:t>
      </w:r>
      <w:r w:rsidR="00DB74ED" w:rsidRPr="005061FF">
        <w:rPr>
          <w:sz w:val="24"/>
          <w:szCs w:val="24"/>
        </w:rPr>
        <w:t xml:space="preserve">BIE </w:t>
      </w:r>
      <w:r w:rsidRPr="005061FF">
        <w:rPr>
          <w:sz w:val="24"/>
          <w:szCs w:val="24"/>
        </w:rPr>
        <w:t>timel</w:t>
      </w:r>
      <w:r w:rsidR="00065F11">
        <w:rPr>
          <w:sz w:val="24"/>
          <w:szCs w:val="24"/>
        </w:rPr>
        <w:t>y filed its memorandum on March 19, </w:t>
      </w:r>
      <w:r w:rsidRPr="005061FF">
        <w:rPr>
          <w:sz w:val="24"/>
          <w:szCs w:val="24"/>
        </w:rPr>
        <w:t>2014.  Gholston filed nothing.</w:t>
      </w:r>
    </w:p>
    <w:p w:rsidR="00554484" w:rsidRPr="005061FF" w:rsidRDefault="00554484" w:rsidP="00822F55">
      <w:pPr>
        <w:spacing w:line="360" w:lineRule="auto"/>
        <w:rPr>
          <w:sz w:val="24"/>
          <w:szCs w:val="24"/>
        </w:rPr>
      </w:pPr>
    </w:p>
    <w:p w:rsidR="00554484" w:rsidRPr="005061FF" w:rsidRDefault="00554484" w:rsidP="00822F55">
      <w:pPr>
        <w:spacing w:line="360" w:lineRule="auto"/>
        <w:rPr>
          <w:sz w:val="24"/>
          <w:szCs w:val="24"/>
        </w:rPr>
      </w:pPr>
      <w:r w:rsidRPr="005061FF">
        <w:rPr>
          <w:sz w:val="24"/>
          <w:szCs w:val="24"/>
        </w:rPr>
        <w:tab/>
      </w:r>
      <w:r w:rsidRPr="005061FF">
        <w:rPr>
          <w:sz w:val="24"/>
          <w:szCs w:val="24"/>
        </w:rPr>
        <w:tab/>
        <w:t xml:space="preserve">On March 26, 2014, the hearing in this case took place as scheduled.  Gholston did not appear, nor did the Office of Administrative Law Judge (OALJ) receive any contact from anyone associated with Gholston with respect to the hearing.  BIE was represented by its counsel, Adam D. Young, Esquire, who presented the testimony of Robert Bingaman, the Compliance Office Manager </w:t>
      </w:r>
      <w:r w:rsidR="004659DD" w:rsidRPr="005061FF">
        <w:rPr>
          <w:sz w:val="24"/>
          <w:szCs w:val="24"/>
        </w:rPr>
        <w:t>of the Commission’s Bureau of Technical Utility Services (TUS), and four exhibits: Exhibit No. 1, a Form E Certificate of Insurance effective from November 27, 2012; Exhibit No. 2, a Form K Cancellation of Insurance effective January 31, 2013; Exhibit No. 3, a Notice of Suspension of Gholston’s operating authority effective January 31, 2013; and, Exhibit No. 4, a United States Postal Service (USPS) Tracking Receipt for April 13, 2013.</w:t>
      </w:r>
    </w:p>
    <w:p w:rsidR="004659DD" w:rsidRPr="005061FF" w:rsidRDefault="004659DD" w:rsidP="00822F55">
      <w:pPr>
        <w:spacing w:line="360" w:lineRule="auto"/>
        <w:rPr>
          <w:sz w:val="24"/>
          <w:szCs w:val="24"/>
        </w:rPr>
      </w:pPr>
    </w:p>
    <w:p w:rsidR="004659DD" w:rsidRPr="005061FF" w:rsidRDefault="004659DD" w:rsidP="00822F55">
      <w:pPr>
        <w:spacing w:line="360" w:lineRule="auto"/>
        <w:rPr>
          <w:sz w:val="24"/>
          <w:szCs w:val="24"/>
        </w:rPr>
      </w:pPr>
      <w:r w:rsidRPr="005061FF">
        <w:rPr>
          <w:sz w:val="24"/>
          <w:szCs w:val="24"/>
        </w:rPr>
        <w:tab/>
      </w:r>
      <w:r w:rsidRPr="005061FF">
        <w:rPr>
          <w:sz w:val="24"/>
          <w:szCs w:val="24"/>
        </w:rPr>
        <w:tab/>
      </w:r>
      <w:r w:rsidR="00D24A4D" w:rsidRPr="005061FF">
        <w:rPr>
          <w:sz w:val="24"/>
          <w:szCs w:val="24"/>
        </w:rPr>
        <w:t>The record in this matter consists of a twenty page transcript filed with the Secretary of the Commission on April 7, 2014, and BIE Exhibit Nos. 1-4.  The record closed on April 7, 2014, and this case is ready for decision.</w:t>
      </w:r>
    </w:p>
    <w:p w:rsidR="00BD7173" w:rsidRPr="005061FF" w:rsidRDefault="00BD7173" w:rsidP="002D4C8F">
      <w:pPr>
        <w:rPr>
          <w:sz w:val="24"/>
          <w:szCs w:val="24"/>
        </w:rPr>
      </w:pPr>
    </w:p>
    <w:p w:rsidR="00373677" w:rsidRPr="005061FF" w:rsidRDefault="00373677" w:rsidP="002D4C8F">
      <w:pPr>
        <w:rPr>
          <w:sz w:val="24"/>
          <w:szCs w:val="24"/>
        </w:rPr>
      </w:pPr>
    </w:p>
    <w:p w:rsidR="00373677" w:rsidRPr="005061FF" w:rsidRDefault="00373677" w:rsidP="002D4C8F">
      <w:pPr>
        <w:spacing w:line="360" w:lineRule="auto"/>
        <w:jc w:val="center"/>
        <w:rPr>
          <w:sz w:val="24"/>
          <w:szCs w:val="24"/>
        </w:rPr>
      </w:pPr>
      <w:r w:rsidRPr="005061FF">
        <w:rPr>
          <w:sz w:val="24"/>
          <w:szCs w:val="24"/>
          <w:u w:val="single"/>
        </w:rPr>
        <w:t>FINDINGS OF FACT</w:t>
      </w:r>
    </w:p>
    <w:p w:rsidR="00373677" w:rsidRPr="005061FF" w:rsidRDefault="00373677" w:rsidP="002D4C8F">
      <w:pPr>
        <w:spacing w:line="360" w:lineRule="auto"/>
        <w:rPr>
          <w:sz w:val="24"/>
          <w:szCs w:val="24"/>
        </w:rPr>
      </w:pPr>
    </w:p>
    <w:p w:rsidR="00373677" w:rsidRPr="005061FF" w:rsidRDefault="001D7E72" w:rsidP="00373677">
      <w:pPr>
        <w:spacing w:line="360" w:lineRule="auto"/>
        <w:rPr>
          <w:sz w:val="24"/>
          <w:szCs w:val="24"/>
        </w:rPr>
      </w:pPr>
      <w:r w:rsidRPr="005061FF">
        <w:rPr>
          <w:sz w:val="24"/>
          <w:szCs w:val="24"/>
        </w:rPr>
        <w:tab/>
      </w:r>
      <w:r w:rsidRPr="005061FF">
        <w:rPr>
          <w:sz w:val="24"/>
          <w:szCs w:val="24"/>
        </w:rPr>
        <w:tab/>
        <w:t>1.</w:t>
      </w:r>
      <w:r w:rsidRPr="005061FF">
        <w:rPr>
          <w:sz w:val="24"/>
          <w:szCs w:val="24"/>
        </w:rPr>
        <w:tab/>
        <w:t xml:space="preserve">Gholston Paratransit Service LLC is a paratransit operator that holds authority from the Commission under a certificate of public convenience at Docket No. </w:t>
      </w:r>
      <w:proofErr w:type="gramStart"/>
      <w:r w:rsidRPr="005061FF">
        <w:rPr>
          <w:sz w:val="24"/>
          <w:szCs w:val="24"/>
        </w:rPr>
        <w:t>A-2012-2301439.</w:t>
      </w:r>
      <w:proofErr w:type="gramEnd"/>
    </w:p>
    <w:p w:rsidR="001D7E72" w:rsidRPr="005061FF" w:rsidRDefault="001D7E72" w:rsidP="00373677">
      <w:pPr>
        <w:spacing w:line="360" w:lineRule="auto"/>
        <w:rPr>
          <w:sz w:val="24"/>
          <w:szCs w:val="24"/>
        </w:rPr>
      </w:pPr>
    </w:p>
    <w:p w:rsidR="001D7E72" w:rsidRPr="005061FF" w:rsidRDefault="001D7E72" w:rsidP="00373677">
      <w:pPr>
        <w:spacing w:line="360" w:lineRule="auto"/>
        <w:rPr>
          <w:sz w:val="24"/>
          <w:szCs w:val="24"/>
        </w:rPr>
      </w:pPr>
      <w:r w:rsidRPr="005061FF">
        <w:rPr>
          <w:sz w:val="24"/>
          <w:szCs w:val="24"/>
        </w:rPr>
        <w:tab/>
      </w:r>
      <w:r w:rsidRPr="005061FF">
        <w:rPr>
          <w:sz w:val="24"/>
          <w:szCs w:val="24"/>
        </w:rPr>
        <w:tab/>
        <w:t>2.</w:t>
      </w:r>
      <w:r w:rsidRPr="005061FF">
        <w:rPr>
          <w:sz w:val="24"/>
          <w:szCs w:val="24"/>
        </w:rPr>
        <w:tab/>
        <w:t>On December 28, 2012, United Financial Casualty Company filed a Form K, Notice of Cancellation of Motor Carrier Insurance Policy advising of the cancellation of the policy issued to Gholston Paratransit Service LLC effective January 31, 2013.</w:t>
      </w:r>
      <w:r w:rsidR="002D4C8F">
        <w:rPr>
          <w:sz w:val="24"/>
          <w:szCs w:val="24"/>
        </w:rPr>
        <w:t xml:space="preserve">  BIE Exhibit No. </w:t>
      </w:r>
      <w:r w:rsidR="00BD7173" w:rsidRPr="005061FF">
        <w:rPr>
          <w:sz w:val="24"/>
          <w:szCs w:val="24"/>
        </w:rPr>
        <w:t>2; Tr. at 10-12.</w:t>
      </w:r>
    </w:p>
    <w:p w:rsidR="00BD7173" w:rsidRPr="005061FF" w:rsidRDefault="00BD7173" w:rsidP="00373677">
      <w:pPr>
        <w:spacing w:line="360" w:lineRule="auto"/>
        <w:rPr>
          <w:sz w:val="24"/>
          <w:szCs w:val="24"/>
        </w:rPr>
      </w:pPr>
    </w:p>
    <w:p w:rsidR="00BD7173" w:rsidRPr="005061FF" w:rsidRDefault="00BD7173" w:rsidP="00373677">
      <w:pPr>
        <w:spacing w:line="360" w:lineRule="auto"/>
        <w:rPr>
          <w:sz w:val="24"/>
          <w:szCs w:val="24"/>
        </w:rPr>
      </w:pPr>
      <w:r w:rsidRPr="005061FF">
        <w:rPr>
          <w:sz w:val="24"/>
          <w:szCs w:val="24"/>
        </w:rPr>
        <w:tab/>
      </w:r>
      <w:r w:rsidRPr="005061FF">
        <w:rPr>
          <w:sz w:val="24"/>
          <w:szCs w:val="24"/>
        </w:rPr>
        <w:tab/>
        <w:t>3.</w:t>
      </w:r>
      <w:r w:rsidRPr="005061FF">
        <w:rPr>
          <w:sz w:val="24"/>
          <w:szCs w:val="24"/>
        </w:rPr>
        <w:tab/>
        <w:t>On March 28, 2013, the Secretary of the Commission issued to Gholston a Notice of Suspension of operating authority effective January 31, 2013 for expiration/cancelation of Gholston’s liability insurance.  BIE Exhibit No. 3; Tr. at 12-13.</w:t>
      </w:r>
    </w:p>
    <w:p w:rsidR="001D7E72" w:rsidRPr="005061FF" w:rsidRDefault="001D7E72" w:rsidP="00373677">
      <w:pPr>
        <w:spacing w:line="360" w:lineRule="auto"/>
        <w:rPr>
          <w:sz w:val="24"/>
          <w:szCs w:val="24"/>
        </w:rPr>
      </w:pPr>
    </w:p>
    <w:p w:rsidR="001D7E72" w:rsidRPr="005061FF" w:rsidRDefault="001D7E72" w:rsidP="001D7E72">
      <w:pPr>
        <w:spacing w:line="360" w:lineRule="auto"/>
        <w:rPr>
          <w:sz w:val="24"/>
          <w:szCs w:val="24"/>
        </w:rPr>
      </w:pPr>
      <w:r w:rsidRPr="005061FF">
        <w:rPr>
          <w:sz w:val="24"/>
          <w:szCs w:val="24"/>
        </w:rPr>
        <w:tab/>
      </w:r>
      <w:r w:rsidRPr="005061FF">
        <w:rPr>
          <w:sz w:val="24"/>
          <w:szCs w:val="24"/>
        </w:rPr>
        <w:tab/>
      </w:r>
      <w:r w:rsidR="00BD7173" w:rsidRPr="005061FF">
        <w:rPr>
          <w:sz w:val="24"/>
          <w:szCs w:val="24"/>
        </w:rPr>
        <w:t>4</w:t>
      </w:r>
      <w:r w:rsidRPr="005061FF">
        <w:rPr>
          <w:sz w:val="24"/>
          <w:szCs w:val="24"/>
        </w:rPr>
        <w:t>.</w:t>
      </w:r>
      <w:r w:rsidRPr="005061FF">
        <w:rPr>
          <w:sz w:val="24"/>
          <w:szCs w:val="24"/>
        </w:rPr>
        <w:tab/>
        <w:t>On April 3, 2013, the Commission’s Bureau of Investigation and Enforcement filed a formal Complaint against Gholston alleging that Gholston had failed to maintain evidence of insurance in violat</w:t>
      </w:r>
      <w:r w:rsidR="002D7ACE">
        <w:rPr>
          <w:sz w:val="24"/>
          <w:szCs w:val="24"/>
        </w:rPr>
        <w:t>ion of 66 Pa.</w:t>
      </w:r>
      <w:r w:rsidR="006B001F">
        <w:rPr>
          <w:sz w:val="24"/>
          <w:szCs w:val="24"/>
        </w:rPr>
        <w:t>C.S. §</w:t>
      </w:r>
      <w:r w:rsidR="00E777EA">
        <w:rPr>
          <w:sz w:val="24"/>
          <w:szCs w:val="24"/>
        </w:rPr>
        <w:t xml:space="preserve"> </w:t>
      </w:r>
      <w:r w:rsidR="006B001F">
        <w:rPr>
          <w:sz w:val="24"/>
          <w:szCs w:val="24"/>
        </w:rPr>
        <w:t>512, 52 Pa.</w:t>
      </w:r>
      <w:r w:rsidRPr="005061FF">
        <w:rPr>
          <w:sz w:val="24"/>
          <w:szCs w:val="24"/>
        </w:rPr>
        <w:t>Code §</w:t>
      </w:r>
      <w:r w:rsidR="006B001F">
        <w:rPr>
          <w:sz w:val="24"/>
          <w:szCs w:val="24"/>
        </w:rPr>
        <w:t xml:space="preserve"> 32.2(c), and 52 Pa.</w:t>
      </w:r>
      <w:r w:rsidRPr="005061FF">
        <w:rPr>
          <w:sz w:val="24"/>
          <w:szCs w:val="24"/>
        </w:rPr>
        <w:t>Code §§ 32.11(a) or 32.13(a).</w:t>
      </w:r>
    </w:p>
    <w:p w:rsidR="001D7E72" w:rsidRPr="005061FF" w:rsidRDefault="001D7E72" w:rsidP="00BF1A00">
      <w:pPr>
        <w:spacing w:line="360" w:lineRule="auto"/>
        <w:rPr>
          <w:sz w:val="24"/>
          <w:szCs w:val="24"/>
        </w:rPr>
      </w:pPr>
    </w:p>
    <w:p w:rsidR="001D7E72" w:rsidRPr="005061FF" w:rsidRDefault="001D7E72" w:rsidP="001D7E72">
      <w:pPr>
        <w:spacing w:line="360" w:lineRule="auto"/>
        <w:rPr>
          <w:sz w:val="24"/>
          <w:szCs w:val="24"/>
        </w:rPr>
      </w:pPr>
      <w:r w:rsidRPr="005061FF">
        <w:rPr>
          <w:sz w:val="24"/>
          <w:szCs w:val="24"/>
        </w:rPr>
        <w:tab/>
      </w:r>
      <w:r w:rsidRPr="005061FF">
        <w:rPr>
          <w:sz w:val="24"/>
          <w:szCs w:val="24"/>
        </w:rPr>
        <w:tab/>
      </w:r>
      <w:r w:rsidR="00BD7173" w:rsidRPr="005061FF">
        <w:rPr>
          <w:sz w:val="24"/>
          <w:szCs w:val="24"/>
        </w:rPr>
        <w:t>5</w:t>
      </w:r>
      <w:r w:rsidRPr="005061FF">
        <w:rPr>
          <w:sz w:val="24"/>
          <w:szCs w:val="24"/>
        </w:rPr>
        <w:t>.</w:t>
      </w:r>
      <w:r w:rsidRPr="005061FF">
        <w:rPr>
          <w:sz w:val="24"/>
          <w:szCs w:val="24"/>
        </w:rPr>
        <w:tab/>
      </w:r>
      <w:r w:rsidR="00BD7173" w:rsidRPr="005061FF">
        <w:rPr>
          <w:sz w:val="24"/>
          <w:szCs w:val="24"/>
        </w:rPr>
        <w:t>On April 22, 2013, Gholston filed an Answer to the Complaint denying the allegation and claiming that it did have insurance, but provided no proof of the same.</w:t>
      </w:r>
    </w:p>
    <w:p w:rsidR="00BD7173" w:rsidRPr="005061FF" w:rsidRDefault="00BD7173" w:rsidP="001D7E72">
      <w:pPr>
        <w:spacing w:line="360" w:lineRule="auto"/>
        <w:rPr>
          <w:sz w:val="24"/>
          <w:szCs w:val="24"/>
        </w:rPr>
      </w:pPr>
    </w:p>
    <w:p w:rsidR="00D24A4D" w:rsidRPr="005061FF" w:rsidRDefault="00104D8D" w:rsidP="0093591C">
      <w:pPr>
        <w:spacing w:line="360" w:lineRule="auto"/>
        <w:jc w:val="center"/>
        <w:rPr>
          <w:sz w:val="24"/>
          <w:szCs w:val="24"/>
        </w:rPr>
      </w:pPr>
      <w:r w:rsidRPr="005061FF">
        <w:rPr>
          <w:sz w:val="24"/>
          <w:szCs w:val="24"/>
          <w:u w:val="single"/>
        </w:rPr>
        <w:t>DISCUSSION</w:t>
      </w:r>
    </w:p>
    <w:p w:rsidR="00104D8D" w:rsidRPr="005061FF" w:rsidRDefault="00104D8D" w:rsidP="00104D8D">
      <w:pPr>
        <w:spacing w:line="360" w:lineRule="auto"/>
        <w:jc w:val="center"/>
        <w:rPr>
          <w:sz w:val="24"/>
          <w:szCs w:val="24"/>
        </w:rPr>
      </w:pPr>
    </w:p>
    <w:p w:rsidR="00A9498C" w:rsidRPr="005061FF" w:rsidRDefault="00A9498C" w:rsidP="00A9498C">
      <w:pPr>
        <w:spacing w:line="360" w:lineRule="auto"/>
        <w:rPr>
          <w:sz w:val="24"/>
          <w:szCs w:val="24"/>
        </w:rPr>
      </w:pPr>
      <w:r w:rsidRPr="005061FF">
        <w:rPr>
          <w:sz w:val="24"/>
          <w:szCs w:val="24"/>
        </w:rPr>
        <w:tab/>
      </w:r>
      <w:r w:rsidRPr="005061FF">
        <w:rPr>
          <w:sz w:val="24"/>
          <w:szCs w:val="24"/>
        </w:rPr>
        <w:tab/>
        <w:t>As the proponent of a rule or order, a complainant has the burden of proof in this matter pursuant to 66 Pa.C.S.A. § 332(a).</w:t>
      </w:r>
    </w:p>
    <w:p w:rsidR="00A9498C" w:rsidRPr="005061FF" w:rsidRDefault="00A9498C" w:rsidP="00A9498C">
      <w:pPr>
        <w:spacing w:line="360" w:lineRule="auto"/>
        <w:rPr>
          <w:sz w:val="24"/>
          <w:szCs w:val="24"/>
        </w:rPr>
      </w:pPr>
    </w:p>
    <w:p w:rsidR="00A9498C" w:rsidRPr="005061FF" w:rsidRDefault="00A9498C" w:rsidP="00A9498C">
      <w:pPr>
        <w:spacing w:line="360" w:lineRule="auto"/>
        <w:rPr>
          <w:sz w:val="24"/>
          <w:szCs w:val="24"/>
        </w:rPr>
      </w:pPr>
      <w:r w:rsidRPr="005061FF">
        <w:rPr>
          <w:sz w:val="24"/>
          <w:szCs w:val="24"/>
        </w:rPr>
        <w:tab/>
      </w:r>
      <w:r w:rsidRPr="005061FF">
        <w:rPr>
          <w:sz w:val="24"/>
          <w:szCs w:val="24"/>
        </w:rPr>
        <w:tab/>
        <w:t xml:space="preserve">To establish a sufficient case and satisfy the burden of proof, a complainant must show that the respondent public utility is responsible or accountable for the problem described in the Complaint.  </w:t>
      </w:r>
      <w:proofErr w:type="gramStart"/>
      <w:r w:rsidRPr="005061FF">
        <w:rPr>
          <w:i/>
          <w:sz w:val="24"/>
          <w:szCs w:val="24"/>
        </w:rPr>
        <w:t>Patterson v. Bell Telephone Company of Pennsylvania</w:t>
      </w:r>
      <w:r w:rsidRPr="005061FF">
        <w:rPr>
          <w:sz w:val="24"/>
          <w:szCs w:val="24"/>
        </w:rPr>
        <w:t xml:space="preserve">, 72 Pa. PUC 196 (1990); </w:t>
      </w:r>
      <w:r w:rsidRPr="005061FF">
        <w:rPr>
          <w:i/>
          <w:sz w:val="24"/>
          <w:szCs w:val="24"/>
        </w:rPr>
        <w:t>Feinstein v. Philadelphia Suburban Water Company</w:t>
      </w:r>
      <w:r w:rsidRPr="005061FF">
        <w:rPr>
          <w:sz w:val="24"/>
          <w:szCs w:val="24"/>
        </w:rPr>
        <w:t>, 50 Pa. PUC 300 (1976).</w:t>
      </w:r>
      <w:proofErr w:type="gramEnd"/>
      <w:r w:rsidRPr="005061FF">
        <w:rPr>
          <w:sz w:val="24"/>
          <w:szCs w:val="24"/>
        </w:rPr>
        <w:t xml:space="preserve">  Such a showing </w:t>
      </w:r>
      <w:r w:rsidRPr="005061FF">
        <w:rPr>
          <w:sz w:val="24"/>
          <w:szCs w:val="24"/>
        </w:rPr>
        <w:lastRenderedPageBreak/>
        <w:t xml:space="preserve">must be by a preponderance of the evidence.  </w:t>
      </w:r>
      <w:proofErr w:type="gramStart"/>
      <w:r w:rsidRPr="005061FF">
        <w:rPr>
          <w:i/>
          <w:sz w:val="24"/>
          <w:szCs w:val="24"/>
        </w:rPr>
        <w:t>Samuel J. Lansberry, Inc. v. Pa. Pub.</w:t>
      </w:r>
      <w:proofErr w:type="gramEnd"/>
      <w:r w:rsidRPr="005061FF">
        <w:rPr>
          <w:i/>
          <w:sz w:val="24"/>
          <w:szCs w:val="24"/>
        </w:rPr>
        <w:t xml:space="preserve"> Util. Comm’n</w:t>
      </w:r>
      <w:r w:rsidRPr="005061FF">
        <w:rPr>
          <w:sz w:val="24"/>
          <w:szCs w:val="24"/>
        </w:rPr>
        <w:t>, </w:t>
      </w:r>
      <w:proofErr w:type="gramStart"/>
      <w:r w:rsidRPr="005061FF">
        <w:rPr>
          <w:sz w:val="24"/>
          <w:szCs w:val="24"/>
        </w:rPr>
        <w:t>134 Pa.Cmwlth</w:t>
      </w:r>
      <w:proofErr w:type="gramEnd"/>
      <w:r w:rsidRPr="005061FF">
        <w:rPr>
          <w:sz w:val="24"/>
          <w:szCs w:val="24"/>
        </w:rPr>
        <w:t>. 218</w:t>
      </w:r>
      <w:r w:rsidR="00E777EA">
        <w:rPr>
          <w:sz w:val="24"/>
          <w:szCs w:val="24"/>
        </w:rPr>
        <w:t>,</w:t>
      </w:r>
      <w:r w:rsidRPr="005061FF">
        <w:rPr>
          <w:sz w:val="24"/>
          <w:szCs w:val="24"/>
        </w:rPr>
        <w:t xml:space="preserve"> 221-222</w:t>
      </w:r>
      <w:r w:rsidR="00E777EA">
        <w:rPr>
          <w:sz w:val="24"/>
          <w:szCs w:val="24"/>
        </w:rPr>
        <w:t>;</w:t>
      </w:r>
      <w:r w:rsidRPr="005061FF">
        <w:rPr>
          <w:sz w:val="24"/>
          <w:szCs w:val="24"/>
        </w:rPr>
        <w:t xml:space="preserve"> 578 A.2d 600</w:t>
      </w:r>
      <w:r w:rsidR="00E777EA">
        <w:rPr>
          <w:sz w:val="24"/>
          <w:szCs w:val="24"/>
        </w:rPr>
        <w:t>,</w:t>
      </w:r>
      <w:r w:rsidRPr="005061FF">
        <w:rPr>
          <w:sz w:val="24"/>
          <w:szCs w:val="24"/>
        </w:rPr>
        <w:t xml:space="preserve"> 602 (1990), </w:t>
      </w:r>
      <w:r w:rsidRPr="005061FF">
        <w:rPr>
          <w:iCs/>
          <w:sz w:val="24"/>
          <w:szCs w:val="24"/>
        </w:rPr>
        <w:t>app. denied,</w:t>
      </w:r>
      <w:r w:rsidRPr="005061FF">
        <w:rPr>
          <w:sz w:val="24"/>
          <w:szCs w:val="24"/>
        </w:rPr>
        <w:t xml:space="preserve"> 602 A.2d 863 (1992).  A preponderance of the evidence is established by presenting evidence more convincing, by even the smallest amount, than that presented by the other party.  </w:t>
      </w:r>
      <w:proofErr w:type="gramStart"/>
      <w:r w:rsidRPr="005061FF">
        <w:rPr>
          <w:i/>
          <w:sz w:val="24"/>
          <w:szCs w:val="24"/>
        </w:rPr>
        <w:t>Se-Ling Hosiery v. Margulies</w:t>
      </w:r>
      <w:r w:rsidRPr="005061FF">
        <w:rPr>
          <w:sz w:val="24"/>
          <w:szCs w:val="24"/>
        </w:rPr>
        <w:t>, 364 Pa. 45, 70 A.2d 854 (1950).</w:t>
      </w:r>
      <w:proofErr w:type="gramEnd"/>
      <w:r w:rsidRPr="005061FF">
        <w:rPr>
          <w:sz w:val="24"/>
          <w:szCs w:val="24"/>
        </w:rPr>
        <w:t xml:space="preserve">  Additionally, any finding of fact necessary to support the Commission’s adjudication must be based upon substantial evidence.  </w:t>
      </w:r>
      <w:proofErr w:type="gramStart"/>
      <w:r w:rsidRPr="005061FF">
        <w:rPr>
          <w:i/>
          <w:sz w:val="24"/>
          <w:szCs w:val="24"/>
        </w:rPr>
        <w:t>Mill v. Pa. Pub.</w:t>
      </w:r>
      <w:proofErr w:type="gramEnd"/>
      <w:r w:rsidRPr="005061FF">
        <w:rPr>
          <w:i/>
          <w:sz w:val="24"/>
          <w:szCs w:val="24"/>
        </w:rPr>
        <w:t xml:space="preserve"> Util. Comm’n</w:t>
      </w:r>
      <w:r w:rsidRPr="005061FF">
        <w:rPr>
          <w:sz w:val="24"/>
          <w:szCs w:val="24"/>
        </w:rPr>
        <w:t xml:space="preserve">, </w:t>
      </w:r>
      <w:proofErr w:type="gramStart"/>
      <w:r w:rsidRPr="005061FF">
        <w:rPr>
          <w:sz w:val="24"/>
          <w:szCs w:val="24"/>
        </w:rPr>
        <w:t>67 Pa.Cmwlth</w:t>
      </w:r>
      <w:proofErr w:type="gramEnd"/>
      <w:r w:rsidRPr="005061FF">
        <w:rPr>
          <w:sz w:val="24"/>
          <w:szCs w:val="24"/>
        </w:rPr>
        <w:t xml:space="preserve">. </w:t>
      </w:r>
      <w:proofErr w:type="gramStart"/>
      <w:r w:rsidRPr="005061FF">
        <w:rPr>
          <w:sz w:val="24"/>
          <w:szCs w:val="24"/>
        </w:rPr>
        <w:t xml:space="preserve">597, 447 A.2d 1100 (1982); </w:t>
      </w:r>
      <w:r w:rsidRPr="005061FF">
        <w:rPr>
          <w:i/>
          <w:sz w:val="24"/>
          <w:szCs w:val="24"/>
        </w:rPr>
        <w:t>Edan Transportation Corp. v. Pa. Pub.</w:t>
      </w:r>
      <w:proofErr w:type="gramEnd"/>
      <w:r w:rsidRPr="005061FF">
        <w:rPr>
          <w:i/>
          <w:sz w:val="24"/>
          <w:szCs w:val="24"/>
        </w:rPr>
        <w:t xml:space="preserve"> Util. Comm’n</w:t>
      </w:r>
      <w:r w:rsidRPr="005061FF">
        <w:rPr>
          <w:sz w:val="24"/>
          <w:szCs w:val="24"/>
        </w:rPr>
        <w:t xml:space="preserve">, </w:t>
      </w:r>
      <w:proofErr w:type="gramStart"/>
      <w:r w:rsidRPr="005061FF">
        <w:rPr>
          <w:sz w:val="24"/>
          <w:szCs w:val="24"/>
        </w:rPr>
        <w:t>154 Pa.Cmwlth</w:t>
      </w:r>
      <w:proofErr w:type="gramEnd"/>
      <w:r w:rsidRPr="005061FF">
        <w:rPr>
          <w:sz w:val="24"/>
          <w:szCs w:val="24"/>
        </w:rPr>
        <w:t xml:space="preserve">. </w:t>
      </w:r>
      <w:proofErr w:type="gramStart"/>
      <w:r w:rsidRPr="005061FF">
        <w:rPr>
          <w:sz w:val="24"/>
          <w:szCs w:val="24"/>
        </w:rPr>
        <w:t>21, 623 A.2d 6 (1993), 2 Pa.C.S.</w:t>
      </w:r>
      <w:proofErr w:type="gramEnd"/>
      <w:r w:rsidRPr="005061FF">
        <w:rPr>
          <w:sz w:val="24"/>
          <w:szCs w:val="24"/>
        </w:rPr>
        <w:t xml:space="preserve"> § 704.  Substantial evidence has been defined as such relevant evidence as a reasonable mind might accept as adequate to support a conclusion.  </w:t>
      </w:r>
      <w:proofErr w:type="gramStart"/>
      <w:r w:rsidRPr="005061FF">
        <w:rPr>
          <w:i/>
          <w:sz w:val="24"/>
          <w:szCs w:val="24"/>
        </w:rPr>
        <w:t>Bethenergy Mines, Inc. v. Workmen’s Compensation Appeal Bd. (</w:t>
      </w:r>
      <w:proofErr w:type="spellStart"/>
      <w:r w:rsidRPr="005061FF">
        <w:rPr>
          <w:i/>
          <w:sz w:val="24"/>
          <w:szCs w:val="24"/>
        </w:rPr>
        <w:t>Skirpan</w:t>
      </w:r>
      <w:proofErr w:type="spellEnd"/>
      <w:r w:rsidRPr="005061FF">
        <w:rPr>
          <w:i/>
          <w:sz w:val="24"/>
          <w:szCs w:val="24"/>
        </w:rPr>
        <w:t>)</w:t>
      </w:r>
      <w:r w:rsidR="002D7ACE">
        <w:rPr>
          <w:sz w:val="24"/>
          <w:szCs w:val="24"/>
        </w:rPr>
        <w:t xml:space="preserve">, 531 Pa. </w:t>
      </w:r>
      <w:r w:rsidRPr="005061FF">
        <w:rPr>
          <w:sz w:val="24"/>
          <w:szCs w:val="24"/>
        </w:rPr>
        <w:t>287, 612 A.2d 434 (1992).</w:t>
      </w:r>
      <w:proofErr w:type="gramEnd"/>
      <w:r w:rsidRPr="005061FF">
        <w:rPr>
          <w:sz w:val="24"/>
          <w:szCs w:val="24"/>
        </w:rPr>
        <w:t xml:space="preserve">  More is required than a mere trace of evidence or a suspicion of the existence of a fact sought to be established.  </w:t>
      </w:r>
      <w:proofErr w:type="gramStart"/>
      <w:r w:rsidRPr="005061FF">
        <w:rPr>
          <w:i/>
          <w:sz w:val="24"/>
          <w:szCs w:val="24"/>
        </w:rPr>
        <w:t>Norfolk and Western Ry. v. Pa. Pub.</w:t>
      </w:r>
      <w:proofErr w:type="gramEnd"/>
      <w:r w:rsidRPr="005061FF">
        <w:rPr>
          <w:i/>
          <w:sz w:val="24"/>
          <w:szCs w:val="24"/>
        </w:rPr>
        <w:t xml:space="preserve"> </w:t>
      </w:r>
      <w:proofErr w:type="gramStart"/>
      <w:r w:rsidRPr="005061FF">
        <w:rPr>
          <w:i/>
          <w:sz w:val="24"/>
          <w:szCs w:val="24"/>
        </w:rPr>
        <w:t>Util. Comm’n</w:t>
      </w:r>
      <w:r w:rsidR="005D0806">
        <w:rPr>
          <w:sz w:val="24"/>
          <w:szCs w:val="24"/>
        </w:rPr>
        <w:t xml:space="preserve">, </w:t>
      </w:r>
      <w:r w:rsidRPr="005061FF">
        <w:rPr>
          <w:sz w:val="24"/>
          <w:szCs w:val="24"/>
        </w:rPr>
        <w:t xml:space="preserve">489 Pa. 109, 413 A.2d 1037 (1980); </w:t>
      </w:r>
      <w:r w:rsidRPr="005061FF">
        <w:rPr>
          <w:i/>
          <w:sz w:val="24"/>
          <w:szCs w:val="24"/>
        </w:rPr>
        <w:t>Erie Resistor Corp. v. Unemployment Compensation Bd. of Review</w:t>
      </w:r>
      <w:r w:rsidRPr="005061FF">
        <w:rPr>
          <w:sz w:val="24"/>
          <w:szCs w:val="24"/>
        </w:rPr>
        <w:t>, 194 Pa.Super.</w:t>
      </w:r>
      <w:proofErr w:type="gramEnd"/>
      <w:r w:rsidRPr="005061FF">
        <w:rPr>
          <w:sz w:val="24"/>
          <w:szCs w:val="24"/>
        </w:rPr>
        <w:t xml:space="preserve"> </w:t>
      </w:r>
      <w:proofErr w:type="gramStart"/>
      <w:r w:rsidRPr="005061FF">
        <w:rPr>
          <w:sz w:val="24"/>
          <w:szCs w:val="24"/>
        </w:rPr>
        <w:t xml:space="preserve">278, 166 A.2d 96 (1960); </w:t>
      </w:r>
      <w:r w:rsidRPr="005061FF">
        <w:rPr>
          <w:i/>
          <w:sz w:val="24"/>
          <w:szCs w:val="24"/>
        </w:rPr>
        <w:t>Murphy v. Dep’t.</w:t>
      </w:r>
      <w:proofErr w:type="gramEnd"/>
      <w:r w:rsidRPr="005061FF">
        <w:rPr>
          <w:i/>
          <w:sz w:val="24"/>
          <w:szCs w:val="24"/>
        </w:rPr>
        <w:t xml:space="preserve"> </w:t>
      </w:r>
      <w:proofErr w:type="gramStart"/>
      <w:r w:rsidRPr="005061FF">
        <w:rPr>
          <w:i/>
          <w:sz w:val="24"/>
          <w:szCs w:val="24"/>
        </w:rPr>
        <w:t>of</w:t>
      </w:r>
      <w:proofErr w:type="gramEnd"/>
      <w:r w:rsidRPr="005061FF">
        <w:rPr>
          <w:i/>
          <w:sz w:val="24"/>
          <w:szCs w:val="24"/>
        </w:rPr>
        <w:t xml:space="preserve"> Public Welfare, White Haven Center</w:t>
      </w:r>
      <w:r w:rsidRPr="005061FF">
        <w:rPr>
          <w:sz w:val="24"/>
          <w:szCs w:val="24"/>
        </w:rPr>
        <w:t xml:space="preserve">, 85 Pa.Cmwlth. </w:t>
      </w:r>
      <w:proofErr w:type="gramStart"/>
      <w:r w:rsidRPr="005061FF">
        <w:rPr>
          <w:sz w:val="24"/>
          <w:szCs w:val="24"/>
        </w:rPr>
        <w:t>23, 480 A.2d 382 (1984).</w:t>
      </w:r>
      <w:proofErr w:type="gramEnd"/>
    </w:p>
    <w:p w:rsidR="00104D8D" w:rsidRPr="005061FF" w:rsidRDefault="00104D8D" w:rsidP="00104D8D">
      <w:pPr>
        <w:spacing w:line="360" w:lineRule="auto"/>
        <w:rPr>
          <w:sz w:val="24"/>
          <w:szCs w:val="24"/>
        </w:rPr>
      </w:pPr>
    </w:p>
    <w:p w:rsidR="00104D8D" w:rsidRPr="005061FF" w:rsidRDefault="0093591C" w:rsidP="00104D8D">
      <w:pPr>
        <w:spacing w:line="360" w:lineRule="auto"/>
        <w:rPr>
          <w:sz w:val="24"/>
          <w:szCs w:val="24"/>
        </w:rPr>
      </w:pPr>
      <w:r w:rsidRPr="005061FF">
        <w:rPr>
          <w:sz w:val="24"/>
          <w:szCs w:val="24"/>
        </w:rPr>
        <w:tab/>
      </w:r>
      <w:r w:rsidRPr="005061FF">
        <w:rPr>
          <w:sz w:val="24"/>
          <w:szCs w:val="24"/>
        </w:rPr>
        <w:tab/>
        <w:t xml:space="preserve">The Commission’s Bureau of Investigation and Enforcement presented evidence in the form of exhibits and testimony that established that Gholston Paratransit Service, LLC, has not maintained evidence of insurance as required by the Commission.  Gholston did not appear at the hearing on March 26, 2014, and its contention in the Answer filed on April 22, 2013, that it has insurance was not supported by any evidence.  BIE has met its burden of proof, </w:t>
      </w:r>
      <w:r w:rsidR="00954C71" w:rsidRPr="005061FF">
        <w:rPr>
          <w:sz w:val="24"/>
          <w:szCs w:val="24"/>
        </w:rPr>
        <w:t xml:space="preserve">and </w:t>
      </w:r>
      <w:r w:rsidR="00C1391B" w:rsidRPr="005061FF">
        <w:rPr>
          <w:sz w:val="24"/>
          <w:szCs w:val="24"/>
        </w:rPr>
        <w:t xml:space="preserve">I agree with BIE’s request that </w:t>
      </w:r>
      <w:r w:rsidR="00954C71" w:rsidRPr="005061FF">
        <w:rPr>
          <w:sz w:val="24"/>
          <w:szCs w:val="24"/>
        </w:rPr>
        <w:t>Gholston’s operating authority be cancelled.</w:t>
      </w:r>
      <w:r w:rsidR="00954C71" w:rsidRPr="005061FF">
        <w:rPr>
          <w:rStyle w:val="FootnoteReference"/>
          <w:sz w:val="24"/>
          <w:szCs w:val="24"/>
        </w:rPr>
        <w:footnoteReference w:id="3"/>
      </w:r>
      <w:r w:rsidR="00954C71" w:rsidRPr="005061FF">
        <w:rPr>
          <w:sz w:val="24"/>
          <w:szCs w:val="24"/>
        </w:rPr>
        <w:t xml:space="preserve">  Further, I agree with BIE that Gholston should pay a $500 civil penalty for its failure to maintain evidence of insurance.</w:t>
      </w:r>
    </w:p>
    <w:p w:rsidR="00104D8D" w:rsidRPr="005061FF" w:rsidRDefault="00104D8D" w:rsidP="00822F55">
      <w:pPr>
        <w:spacing w:line="360" w:lineRule="auto"/>
        <w:rPr>
          <w:sz w:val="24"/>
          <w:szCs w:val="24"/>
        </w:rPr>
      </w:pPr>
    </w:p>
    <w:p w:rsidR="00104D8D" w:rsidRDefault="00A9498C" w:rsidP="00EA0D9A">
      <w:pPr>
        <w:autoSpaceDE/>
        <w:autoSpaceDN/>
        <w:spacing w:line="360" w:lineRule="auto"/>
        <w:ind w:firstLine="720"/>
        <w:rPr>
          <w:rFonts w:eastAsia="Calibri"/>
          <w:sz w:val="24"/>
          <w:szCs w:val="24"/>
        </w:rPr>
      </w:pPr>
      <w:r w:rsidRPr="005061FF">
        <w:rPr>
          <w:rFonts w:eastAsia="Calibri"/>
          <w:sz w:val="24"/>
          <w:szCs w:val="24"/>
        </w:rPr>
        <w:tab/>
      </w:r>
      <w:r w:rsidR="00104D8D" w:rsidRPr="005061FF">
        <w:rPr>
          <w:rFonts w:eastAsia="Calibri"/>
          <w:sz w:val="24"/>
          <w:szCs w:val="24"/>
        </w:rPr>
        <w:t xml:space="preserve">The present standard </w:t>
      </w:r>
      <w:r w:rsidR="00954C71" w:rsidRPr="005061FF">
        <w:rPr>
          <w:rFonts w:eastAsia="Calibri"/>
          <w:sz w:val="24"/>
          <w:szCs w:val="24"/>
        </w:rPr>
        <w:t xml:space="preserve">for the imposition of a civil penalty </w:t>
      </w:r>
      <w:r w:rsidR="00104D8D" w:rsidRPr="005061FF">
        <w:rPr>
          <w:rFonts w:eastAsia="Calibri"/>
          <w:sz w:val="24"/>
          <w:szCs w:val="24"/>
        </w:rPr>
        <w:t xml:space="preserve">was developed in </w:t>
      </w:r>
      <w:r w:rsidR="00104D8D" w:rsidRPr="005061FF">
        <w:rPr>
          <w:rFonts w:eastAsia="Calibri"/>
          <w:i/>
          <w:sz w:val="24"/>
          <w:szCs w:val="24"/>
        </w:rPr>
        <w:t>Rosi v. Bell-Atlantic – Pennsylvania, Inc. and Sprint Communications, L.P.</w:t>
      </w:r>
      <w:r w:rsidR="00104D8D" w:rsidRPr="005061FF">
        <w:rPr>
          <w:rFonts w:eastAsia="Calibri"/>
          <w:sz w:val="24"/>
          <w:szCs w:val="24"/>
        </w:rPr>
        <w:t xml:space="preserve">, Docket No. C-00992409 (Order entered March 16, 2000) and in </w:t>
      </w:r>
      <w:r w:rsidR="00104D8D" w:rsidRPr="005061FF">
        <w:rPr>
          <w:rFonts w:eastAsia="Calibri"/>
          <w:i/>
          <w:sz w:val="24"/>
          <w:szCs w:val="24"/>
        </w:rPr>
        <w:t>Pa. Pub. Util. Comm'n v. NCIC Operator Serv.</w:t>
      </w:r>
      <w:r w:rsidR="00104D8D" w:rsidRPr="005061FF">
        <w:rPr>
          <w:rFonts w:eastAsia="Calibri"/>
          <w:sz w:val="24"/>
          <w:szCs w:val="24"/>
        </w:rPr>
        <w:t xml:space="preserve">, Docket No. M-00001440 (Order entered December 21, 2000), where the Commission held that violations would be subject to the </w:t>
      </w:r>
      <w:r w:rsidR="00104D8D" w:rsidRPr="005061FF">
        <w:rPr>
          <w:rFonts w:eastAsia="Calibri"/>
          <w:i/>
          <w:sz w:val="24"/>
          <w:szCs w:val="24"/>
        </w:rPr>
        <w:t>Rosi</w:t>
      </w:r>
      <w:r w:rsidR="00104D8D" w:rsidRPr="005061FF">
        <w:rPr>
          <w:rFonts w:eastAsia="Calibri"/>
          <w:sz w:val="24"/>
          <w:szCs w:val="24"/>
        </w:rPr>
        <w:t xml:space="preserve"> standards.  Subsequently, the Commission adopted the policy statement enumerating the same standards.  Through case law, the Commission has </w:t>
      </w:r>
      <w:r w:rsidR="00104D8D" w:rsidRPr="005061FF">
        <w:rPr>
          <w:rFonts w:eastAsia="Calibri"/>
          <w:sz w:val="24"/>
          <w:szCs w:val="24"/>
        </w:rPr>
        <w:lastRenderedPageBreak/>
        <w:t>directed that litigated proceedings seeking to impose a civil penalty include an analysis of these standards:</w:t>
      </w:r>
    </w:p>
    <w:p w:rsidR="00EA0D9A" w:rsidRPr="005061FF" w:rsidRDefault="00EA0D9A" w:rsidP="00EA0D9A">
      <w:pPr>
        <w:autoSpaceDE/>
        <w:autoSpaceDN/>
        <w:spacing w:line="360" w:lineRule="auto"/>
        <w:ind w:firstLine="720"/>
        <w:rPr>
          <w:rFonts w:eastAsia="Calibri"/>
          <w:sz w:val="24"/>
          <w:szCs w:val="24"/>
        </w:rPr>
      </w:pPr>
    </w:p>
    <w:p w:rsidR="00104D8D" w:rsidRPr="005061FF" w:rsidRDefault="00104D8D" w:rsidP="00104D8D">
      <w:pPr>
        <w:autoSpaceDE/>
        <w:autoSpaceDN/>
        <w:spacing w:before="100" w:beforeAutospacing="1" w:after="100" w:afterAutospacing="1"/>
        <w:ind w:left="1440" w:right="1440"/>
        <w:outlineLvl w:val="3"/>
        <w:rPr>
          <w:bCs/>
          <w:i/>
          <w:sz w:val="24"/>
          <w:szCs w:val="24"/>
        </w:rPr>
      </w:pPr>
      <w:bookmarkStart w:id="1" w:name="69.1201."/>
      <w:r w:rsidRPr="005061FF">
        <w:rPr>
          <w:bCs/>
          <w:i/>
          <w:sz w:val="24"/>
          <w:szCs w:val="24"/>
        </w:rPr>
        <w:t>§ 69.1201. Factors and standards for evaluating litigated and settled proceedings involving violations of the Public Utility Code and Commission regulations—statement of policy.</w:t>
      </w:r>
    </w:p>
    <w:p w:rsidR="00954C71" w:rsidRPr="005061FF" w:rsidRDefault="00954C71" w:rsidP="00954C71">
      <w:pPr>
        <w:autoSpaceDE/>
        <w:autoSpaceDN/>
        <w:spacing w:before="100" w:beforeAutospacing="1" w:after="100" w:afterAutospacing="1"/>
        <w:ind w:left="1440" w:right="1440"/>
        <w:jc w:val="center"/>
        <w:rPr>
          <w:sz w:val="24"/>
          <w:szCs w:val="24"/>
        </w:rPr>
      </w:pPr>
      <w:r w:rsidRPr="005061FF">
        <w:rPr>
          <w:sz w:val="24"/>
          <w:szCs w:val="24"/>
        </w:rPr>
        <w:t>*</w:t>
      </w:r>
      <w:r w:rsidRPr="005061FF">
        <w:rPr>
          <w:sz w:val="24"/>
          <w:szCs w:val="24"/>
        </w:rPr>
        <w:tab/>
        <w:t>*</w:t>
      </w:r>
      <w:r w:rsidRPr="005061FF">
        <w:rPr>
          <w:sz w:val="24"/>
          <w:szCs w:val="24"/>
        </w:rPr>
        <w:tab/>
        <w:t>*</w:t>
      </w:r>
    </w:p>
    <w:p w:rsidR="00104D8D" w:rsidRPr="005061FF" w:rsidRDefault="00104D8D" w:rsidP="00104D8D">
      <w:pPr>
        <w:autoSpaceDE/>
        <w:autoSpaceDN/>
        <w:spacing w:before="100" w:beforeAutospacing="1" w:after="100" w:afterAutospacing="1"/>
        <w:ind w:left="1440" w:right="1440"/>
        <w:rPr>
          <w:sz w:val="24"/>
          <w:szCs w:val="24"/>
        </w:rPr>
      </w:pPr>
      <w:r w:rsidRPr="005061FF">
        <w:rPr>
          <w:sz w:val="24"/>
          <w:szCs w:val="24"/>
        </w:rPr>
        <w:t> (c)  The factors and standards that will be considered by the Commission include the following:</w:t>
      </w:r>
    </w:p>
    <w:p w:rsidR="00104D8D" w:rsidRPr="005061FF" w:rsidRDefault="00104D8D" w:rsidP="00104D8D">
      <w:pPr>
        <w:autoSpaceDE/>
        <w:autoSpaceDN/>
        <w:spacing w:before="100" w:beforeAutospacing="1" w:after="100" w:afterAutospacing="1"/>
        <w:ind w:left="1440" w:right="1440"/>
        <w:rPr>
          <w:sz w:val="24"/>
          <w:szCs w:val="24"/>
        </w:rPr>
      </w:pPr>
      <w:r w:rsidRPr="005061FF">
        <w:rPr>
          <w:sz w:val="24"/>
          <w:szCs w:val="24"/>
        </w:rPr>
        <w:t>   (1)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104D8D" w:rsidRPr="005061FF" w:rsidRDefault="00104D8D" w:rsidP="00104D8D">
      <w:pPr>
        <w:autoSpaceDE/>
        <w:autoSpaceDN/>
        <w:spacing w:before="100" w:beforeAutospacing="1" w:after="100" w:afterAutospacing="1"/>
        <w:ind w:left="1440" w:right="1440"/>
        <w:rPr>
          <w:sz w:val="24"/>
          <w:szCs w:val="24"/>
        </w:rPr>
      </w:pPr>
      <w:r w:rsidRPr="005061FF">
        <w:rPr>
          <w:sz w:val="24"/>
          <w:szCs w:val="24"/>
        </w:rPr>
        <w:t>   (2)  Whether the resulting consequences of the conduct at issue were of a serious nature.  When consequences of a serious nature are involved, such as personal injury or property damage, the consequences may warrant a higher penalty.</w:t>
      </w:r>
    </w:p>
    <w:p w:rsidR="00104D8D" w:rsidRPr="005061FF" w:rsidRDefault="00104D8D" w:rsidP="00104D8D">
      <w:pPr>
        <w:autoSpaceDE/>
        <w:autoSpaceDN/>
        <w:spacing w:before="100" w:beforeAutospacing="1" w:after="100" w:afterAutospacing="1"/>
        <w:ind w:left="1440" w:right="1440"/>
        <w:rPr>
          <w:sz w:val="24"/>
          <w:szCs w:val="24"/>
        </w:rPr>
      </w:pPr>
      <w:r w:rsidRPr="005061FF">
        <w:rPr>
          <w:sz w:val="24"/>
          <w:szCs w:val="24"/>
        </w:rPr>
        <w:t>   (3)  Whether the conduct at issue was deemed intentional or negligent.  This factor may only be considered in evaluating litigated cases.  When conduct has been deemed intentional, the conduct may result in a higher penalty.</w:t>
      </w:r>
    </w:p>
    <w:p w:rsidR="00104D8D" w:rsidRPr="005061FF" w:rsidRDefault="00104D8D" w:rsidP="00104D8D">
      <w:pPr>
        <w:autoSpaceDE/>
        <w:autoSpaceDN/>
        <w:spacing w:before="100" w:beforeAutospacing="1" w:after="100" w:afterAutospacing="1"/>
        <w:ind w:left="1440" w:right="1440"/>
        <w:rPr>
          <w:sz w:val="24"/>
          <w:szCs w:val="24"/>
        </w:rPr>
      </w:pPr>
      <w:r w:rsidRPr="005061FF">
        <w:rPr>
          <w:sz w:val="24"/>
          <w:szCs w:val="24"/>
        </w:rPr>
        <w:t>   (4)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104D8D" w:rsidRPr="005061FF" w:rsidRDefault="00104D8D" w:rsidP="00104D8D">
      <w:pPr>
        <w:autoSpaceDE/>
        <w:autoSpaceDN/>
        <w:spacing w:before="100" w:beforeAutospacing="1" w:after="100" w:afterAutospacing="1"/>
        <w:ind w:left="1440" w:right="1440"/>
        <w:rPr>
          <w:sz w:val="24"/>
          <w:szCs w:val="24"/>
        </w:rPr>
      </w:pPr>
      <w:r w:rsidRPr="005061FF">
        <w:rPr>
          <w:sz w:val="24"/>
          <w:szCs w:val="24"/>
        </w:rPr>
        <w:t>   (5)  The number of customers affected and the duration of the violation.</w:t>
      </w:r>
    </w:p>
    <w:p w:rsidR="00104D8D" w:rsidRPr="005061FF" w:rsidRDefault="00104D8D" w:rsidP="00104D8D">
      <w:pPr>
        <w:autoSpaceDE/>
        <w:autoSpaceDN/>
        <w:spacing w:before="100" w:beforeAutospacing="1" w:after="100" w:afterAutospacing="1"/>
        <w:ind w:left="1440" w:right="1440"/>
        <w:rPr>
          <w:sz w:val="24"/>
          <w:szCs w:val="24"/>
        </w:rPr>
      </w:pPr>
      <w:r w:rsidRPr="005061FF">
        <w:rPr>
          <w:sz w:val="24"/>
          <w:szCs w:val="24"/>
        </w:rPr>
        <w:t>   (6)  The compliance history of the regulated entity which committed the violation.  An isolated incident from an otherwise compliant utility may result in a lower penalty, whereas frequent, recurrent violations by a utility may result in a higher penalty.</w:t>
      </w:r>
    </w:p>
    <w:p w:rsidR="00104D8D" w:rsidRPr="005061FF" w:rsidRDefault="00104D8D" w:rsidP="00104D8D">
      <w:pPr>
        <w:autoSpaceDE/>
        <w:autoSpaceDN/>
        <w:spacing w:before="100" w:beforeAutospacing="1" w:after="100" w:afterAutospacing="1"/>
        <w:ind w:left="1440" w:right="1440"/>
        <w:rPr>
          <w:sz w:val="24"/>
          <w:szCs w:val="24"/>
        </w:rPr>
      </w:pPr>
      <w:r w:rsidRPr="005061FF">
        <w:rPr>
          <w:sz w:val="24"/>
          <w:szCs w:val="24"/>
        </w:rPr>
        <w:lastRenderedPageBreak/>
        <w:t>   (7)  Whether the regulated entity cooperated with the Commission’s investigation.  Facts establishing bad faith, active concealment of violations, or attempts to interfere with Commission investigations may result in a higher penalty.</w:t>
      </w:r>
    </w:p>
    <w:p w:rsidR="00104D8D" w:rsidRPr="005061FF" w:rsidRDefault="00104D8D" w:rsidP="00104D8D">
      <w:pPr>
        <w:autoSpaceDE/>
        <w:autoSpaceDN/>
        <w:spacing w:before="100" w:beforeAutospacing="1" w:after="100" w:afterAutospacing="1"/>
        <w:ind w:left="1440" w:right="1440"/>
        <w:rPr>
          <w:sz w:val="24"/>
          <w:szCs w:val="24"/>
        </w:rPr>
      </w:pPr>
      <w:r w:rsidRPr="005061FF">
        <w:rPr>
          <w:sz w:val="24"/>
          <w:szCs w:val="24"/>
        </w:rPr>
        <w:t>   (8)  The amount of the civil penalty or fine necessary to deter future violations.  The size of the utility may be considered to determine an appropriate penalty amount.</w:t>
      </w:r>
    </w:p>
    <w:p w:rsidR="00104D8D" w:rsidRPr="005061FF" w:rsidRDefault="00104D8D" w:rsidP="00104D8D">
      <w:pPr>
        <w:autoSpaceDE/>
        <w:autoSpaceDN/>
        <w:spacing w:before="100" w:beforeAutospacing="1" w:after="100" w:afterAutospacing="1"/>
        <w:ind w:left="1440" w:right="1440"/>
        <w:rPr>
          <w:sz w:val="24"/>
          <w:szCs w:val="24"/>
        </w:rPr>
      </w:pPr>
      <w:r w:rsidRPr="005061FF">
        <w:rPr>
          <w:sz w:val="24"/>
          <w:szCs w:val="24"/>
        </w:rPr>
        <w:t>   (9)  Past Commission decisions in similar situations.</w:t>
      </w:r>
    </w:p>
    <w:p w:rsidR="00104D8D" w:rsidRPr="005061FF" w:rsidRDefault="00104D8D" w:rsidP="00EA0D9A">
      <w:pPr>
        <w:autoSpaceDE/>
        <w:autoSpaceDN/>
        <w:spacing w:before="100" w:beforeAutospacing="1"/>
        <w:ind w:left="1440" w:right="1440"/>
        <w:rPr>
          <w:sz w:val="24"/>
          <w:szCs w:val="24"/>
        </w:rPr>
      </w:pPr>
      <w:r w:rsidRPr="005061FF">
        <w:rPr>
          <w:sz w:val="24"/>
          <w:szCs w:val="24"/>
        </w:rPr>
        <w:t>   (10)  Other relevant factors.</w:t>
      </w:r>
    </w:p>
    <w:p w:rsidR="000E1DD4" w:rsidRPr="005061FF" w:rsidRDefault="000E1DD4" w:rsidP="00EA0D9A">
      <w:pPr>
        <w:autoSpaceDE/>
        <w:autoSpaceDN/>
        <w:spacing w:before="100" w:beforeAutospacing="1"/>
        <w:ind w:left="1440" w:right="1440"/>
        <w:rPr>
          <w:sz w:val="24"/>
          <w:szCs w:val="24"/>
        </w:rPr>
      </w:pPr>
    </w:p>
    <w:bookmarkEnd w:id="1"/>
    <w:p w:rsidR="00104D8D" w:rsidRPr="005061FF" w:rsidRDefault="00104D8D" w:rsidP="00104D8D">
      <w:pPr>
        <w:autoSpaceDE/>
        <w:autoSpaceDN/>
        <w:spacing w:after="200" w:line="276" w:lineRule="auto"/>
        <w:rPr>
          <w:rFonts w:eastAsia="Calibri"/>
          <w:sz w:val="24"/>
          <w:szCs w:val="24"/>
        </w:rPr>
      </w:pPr>
      <w:proofErr w:type="gramStart"/>
      <w:r w:rsidRPr="005061FF">
        <w:rPr>
          <w:rFonts w:eastAsia="Calibri"/>
          <w:sz w:val="24"/>
          <w:szCs w:val="24"/>
        </w:rPr>
        <w:t>52 Pa.Code § 69.1201</w:t>
      </w:r>
      <w:r w:rsidR="00954C71" w:rsidRPr="005061FF">
        <w:rPr>
          <w:rFonts w:eastAsia="Calibri"/>
          <w:sz w:val="24"/>
          <w:szCs w:val="24"/>
        </w:rPr>
        <w:t>(c)</w:t>
      </w:r>
      <w:r w:rsidRPr="005061FF">
        <w:rPr>
          <w:rFonts w:eastAsia="Calibri"/>
          <w:sz w:val="24"/>
          <w:szCs w:val="24"/>
        </w:rPr>
        <w:t>.</w:t>
      </w:r>
      <w:proofErr w:type="gramEnd"/>
    </w:p>
    <w:p w:rsidR="00C33F97" w:rsidRPr="005061FF" w:rsidRDefault="00C33F97" w:rsidP="00EA0D9A">
      <w:pPr>
        <w:autoSpaceDE/>
        <w:autoSpaceDN/>
        <w:spacing w:line="360" w:lineRule="auto"/>
        <w:rPr>
          <w:rFonts w:eastAsia="Calibri"/>
          <w:sz w:val="24"/>
          <w:szCs w:val="24"/>
        </w:rPr>
      </w:pPr>
    </w:p>
    <w:p w:rsidR="008C1685" w:rsidRDefault="00C33F97" w:rsidP="00ED753E">
      <w:pPr>
        <w:autoSpaceDE/>
        <w:autoSpaceDN/>
        <w:spacing w:line="360" w:lineRule="auto"/>
        <w:rPr>
          <w:rFonts w:eastAsia="Calibri"/>
          <w:sz w:val="24"/>
          <w:szCs w:val="24"/>
        </w:rPr>
      </w:pPr>
      <w:r w:rsidRPr="005061FF">
        <w:rPr>
          <w:rFonts w:eastAsia="Calibri"/>
          <w:i/>
          <w:sz w:val="24"/>
          <w:szCs w:val="24"/>
        </w:rPr>
        <w:tab/>
      </w:r>
      <w:r w:rsidRPr="005061FF">
        <w:rPr>
          <w:rFonts w:eastAsia="Calibri"/>
          <w:i/>
          <w:sz w:val="24"/>
          <w:szCs w:val="24"/>
        </w:rPr>
        <w:tab/>
      </w:r>
      <w:r w:rsidR="008C1685" w:rsidRPr="005061FF">
        <w:rPr>
          <w:rFonts w:eastAsia="Calibri"/>
          <w:sz w:val="24"/>
          <w:szCs w:val="24"/>
        </w:rPr>
        <w:t>Applying the factors set forth in Section 69.1201(c), I conclude the following:</w:t>
      </w:r>
    </w:p>
    <w:p w:rsidR="00E777EA" w:rsidRPr="005061FF" w:rsidRDefault="00E777EA" w:rsidP="00ED753E">
      <w:pPr>
        <w:autoSpaceDE/>
        <w:autoSpaceDN/>
        <w:spacing w:line="360" w:lineRule="auto"/>
        <w:rPr>
          <w:rFonts w:eastAsia="Calibri"/>
          <w:sz w:val="24"/>
          <w:szCs w:val="24"/>
        </w:rPr>
      </w:pPr>
    </w:p>
    <w:p w:rsidR="00C33F97" w:rsidRPr="005061FF" w:rsidRDefault="00E777EA" w:rsidP="00ED753E">
      <w:pPr>
        <w:autoSpaceDE/>
        <w:autoSpaceDN/>
        <w:spacing w:line="360" w:lineRule="auto"/>
        <w:rPr>
          <w:rFonts w:eastAsia="Calibri"/>
          <w:sz w:val="24"/>
          <w:szCs w:val="24"/>
        </w:rPr>
      </w:pPr>
      <w:r>
        <w:rPr>
          <w:rFonts w:eastAsia="Calibri"/>
          <w:i/>
          <w:sz w:val="24"/>
          <w:szCs w:val="24"/>
        </w:rPr>
        <w:tab/>
      </w:r>
      <w:r>
        <w:rPr>
          <w:rFonts w:eastAsia="Calibri"/>
          <w:i/>
          <w:sz w:val="24"/>
          <w:szCs w:val="24"/>
        </w:rPr>
        <w:tab/>
      </w:r>
      <w:proofErr w:type="gramStart"/>
      <w:r w:rsidR="00C33F97" w:rsidRPr="005061FF">
        <w:rPr>
          <w:rFonts w:eastAsia="Calibri"/>
          <w:i/>
          <w:sz w:val="24"/>
          <w:szCs w:val="24"/>
        </w:rPr>
        <w:t>Whether the conduct at issue was of a serious nature</w:t>
      </w:r>
      <w:r w:rsidR="00C33F97" w:rsidRPr="005061FF">
        <w:rPr>
          <w:rFonts w:eastAsia="Calibri"/>
          <w:sz w:val="24"/>
          <w:szCs w:val="24"/>
        </w:rPr>
        <w:t>.</w:t>
      </w:r>
      <w:proofErr w:type="gramEnd"/>
      <w:r w:rsidR="00C33F97" w:rsidRPr="005061FF">
        <w:rPr>
          <w:rFonts w:eastAsia="Calibri"/>
          <w:sz w:val="24"/>
          <w:szCs w:val="24"/>
        </w:rPr>
        <w:t xml:space="preserve">  The failure of a motor carrier to maintain insurance is a serious matter.  The likelihood of serious or catastrophic injury in a motor vehicle accident requires that motor carriers maintain adequate insurance to protect their passengers and the public.</w:t>
      </w:r>
    </w:p>
    <w:p w:rsidR="00C33F97" w:rsidRPr="005061FF" w:rsidRDefault="00C33F97" w:rsidP="00ED753E">
      <w:pPr>
        <w:autoSpaceDE/>
        <w:autoSpaceDN/>
        <w:spacing w:line="360" w:lineRule="auto"/>
        <w:rPr>
          <w:rFonts w:eastAsia="Calibri"/>
          <w:sz w:val="24"/>
          <w:szCs w:val="24"/>
        </w:rPr>
      </w:pPr>
    </w:p>
    <w:p w:rsidR="00C33F97" w:rsidRPr="005061FF" w:rsidRDefault="00C33F97" w:rsidP="00ED753E">
      <w:pPr>
        <w:autoSpaceDE/>
        <w:autoSpaceDN/>
        <w:spacing w:line="360" w:lineRule="auto"/>
        <w:rPr>
          <w:rFonts w:eastAsia="Calibri"/>
          <w:sz w:val="24"/>
          <w:szCs w:val="24"/>
        </w:rPr>
      </w:pPr>
      <w:r w:rsidRPr="005061FF">
        <w:rPr>
          <w:rFonts w:eastAsia="Calibri"/>
          <w:i/>
          <w:sz w:val="24"/>
          <w:szCs w:val="24"/>
        </w:rPr>
        <w:tab/>
      </w:r>
      <w:r w:rsidRPr="005061FF">
        <w:rPr>
          <w:rFonts w:eastAsia="Calibri"/>
          <w:i/>
          <w:sz w:val="24"/>
          <w:szCs w:val="24"/>
        </w:rPr>
        <w:tab/>
      </w:r>
      <w:proofErr w:type="gramStart"/>
      <w:r w:rsidRPr="005061FF">
        <w:rPr>
          <w:rFonts w:eastAsia="Calibri"/>
          <w:i/>
          <w:sz w:val="24"/>
          <w:szCs w:val="24"/>
        </w:rPr>
        <w:t>Whether the resulting consequences of the conduct at issue were of a serious nature</w:t>
      </w:r>
      <w:r w:rsidRPr="005061FF">
        <w:rPr>
          <w:rFonts w:eastAsia="Calibri"/>
          <w:sz w:val="24"/>
          <w:szCs w:val="24"/>
        </w:rPr>
        <w:t>.</w:t>
      </w:r>
      <w:proofErr w:type="gramEnd"/>
      <w:r w:rsidRPr="005061FF">
        <w:rPr>
          <w:rFonts w:eastAsia="Calibri"/>
          <w:sz w:val="24"/>
          <w:szCs w:val="24"/>
        </w:rPr>
        <w:t xml:space="preserve">  There is no evidence that any patrons of Gholston were directly harmed by the failure to maintain insurance, but it is foreseeable that harm could have occurred.  A valid claim for loss must be paid, and a certificate holder must have the means to pay such a claim.</w:t>
      </w:r>
    </w:p>
    <w:p w:rsidR="00C33F97" w:rsidRPr="005061FF" w:rsidRDefault="00C33F97" w:rsidP="00ED753E">
      <w:pPr>
        <w:autoSpaceDE/>
        <w:autoSpaceDN/>
        <w:spacing w:line="360" w:lineRule="auto"/>
        <w:rPr>
          <w:rFonts w:eastAsia="Calibri"/>
          <w:sz w:val="24"/>
          <w:szCs w:val="24"/>
        </w:rPr>
      </w:pPr>
    </w:p>
    <w:p w:rsidR="00C33F97" w:rsidRPr="005061FF" w:rsidRDefault="00C33F97" w:rsidP="00ED753E">
      <w:pPr>
        <w:autoSpaceDE/>
        <w:autoSpaceDN/>
        <w:spacing w:line="360" w:lineRule="auto"/>
        <w:rPr>
          <w:rFonts w:eastAsia="Calibri"/>
          <w:sz w:val="24"/>
          <w:szCs w:val="24"/>
        </w:rPr>
      </w:pPr>
      <w:r w:rsidRPr="005061FF">
        <w:rPr>
          <w:rFonts w:eastAsia="Calibri"/>
          <w:i/>
          <w:sz w:val="24"/>
          <w:szCs w:val="24"/>
        </w:rPr>
        <w:tab/>
      </w:r>
      <w:r w:rsidRPr="005061FF">
        <w:rPr>
          <w:rFonts w:eastAsia="Calibri"/>
          <w:i/>
          <w:sz w:val="24"/>
          <w:szCs w:val="24"/>
        </w:rPr>
        <w:tab/>
      </w:r>
      <w:proofErr w:type="gramStart"/>
      <w:r w:rsidRPr="005061FF">
        <w:rPr>
          <w:rFonts w:eastAsia="Calibri"/>
          <w:i/>
          <w:sz w:val="24"/>
          <w:szCs w:val="24"/>
        </w:rPr>
        <w:t>Whether the conduct at issue was deemed intentional or negligent</w:t>
      </w:r>
      <w:r w:rsidRPr="005061FF">
        <w:rPr>
          <w:rFonts w:eastAsia="Calibri"/>
          <w:sz w:val="24"/>
          <w:szCs w:val="24"/>
        </w:rPr>
        <w:t>.</w:t>
      </w:r>
      <w:proofErr w:type="gramEnd"/>
      <w:r w:rsidRPr="005061FF">
        <w:rPr>
          <w:rFonts w:eastAsia="Calibri"/>
          <w:sz w:val="24"/>
          <w:szCs w:val="24"/>
        </w:rPr>
        <w:t xml:space="preserve">  Gholston was placed on notice that its insurance had been cancelled.  The conduct at issue, failure to maintain insurance coverage, was therefore intentional.</w:t>
      </w:r>
    </w:p>
    <w:p w:rsidR="00C33F97" w:rsidRPr="005061FF" w:rsidRDefault="00C33F97" w:rsidP="00ED753E">
      <w:pPr>
        <w:autoSpaceDE/>
        <w:autoSpaceDN/>
        <w:spacing w:line="360" w:lineRule="auto"/>
        <w:rPr>
          <w:rFonts w:eastAsia="Calibri"/>
          <w:sz w:val="24"/>
          <w:szCs w:val="24"/>
        </w:rPr>
      </w:pPr>
    </w:p>
    <w:p w:rsidR="00C33F97" w:rsidRPr="005061FF" w:rsidRDefault="00C33F97" w:rsidP="00ED753E">
      <w:pPr>
        <w:autoSpaceDE/>
        <w:autoSpaceDN/>
        <w:spacing w:line="360" w:lineRule="auto"/>
        <w:rPr>
          <w:rFonts w:eastAsia="Calibri"/>
          <w:sz w:val="24"/>
          <w:szCs w:val="24"/>
        </w:rPr>
      </w:pPr>
      <w:r w:rsidRPr="005061FF">
        <w:rPr>
          <w:rFonts w:eastAsia="Calibri"/>
          <w:i/>
          <w:sz w:val="24"/>
          <w:szCs w:val="24"/>
        </w:rPr>
        <w:tab/>
      </w:r>
      <w:r w:rsidRPr="005061FF">
        <w:rPr>
          <w:rFonts w:eastAsia="Calibri"/>
          <w:i/>
          <w:sz w:val="24"/>
          <w:szCs w:val="24"/>
        </w:rPr>
        <w:tab/>
        <w:t>Whether the regulated entity made efforts to modify internal practices and procedures to address the conduct at issue and prevent similar conduct in the future</w:t>
      </w:r>
      <w:r w:rsidR="00C32828">
        <w:rPr>
          <w:rFonts w:eastAsia="Calibri"/>
          <w:sz w:val="24"/>
          <w:szCs w:val="24"/>
        </w:rPr>
        <w:t xml:space="preserve">.  </w:t>
      </w:r>
      <w:r w:rsidRPr="005061FF">
        <w:rPr>
          <w:rFonts w:eastAsia="Calibri"/>
          <w:sz w:val="24"/>
          <w:szCs w:val="24"/>
        </w:rPr>
        <w:t xml:space="preserve">Strictly speaking this factor is not relevant in that it is not an issue whether Gholston’s internal practices </w:t>
      </w:r>
      <w:r w:rsidRPr="005061FF">
        <w:rPr>
          <w:rFonts w:eastAsia="Calibri"/>
          <w:sz w:val="24"/>
          <w:szCs w:val="24"/>
        </w:rPr>
        <w:lastRenderedPageBreak/>
        <w:t>and procedures caused the lapse of insurance coverage.  That might have been a matter in mitigation, but Gholston did not appear at hearing and offered no defense.</w:t>
      </w:r>
    </w:p>
    <w:p w:rsidR="00C33F97" w:rsidRPr="005061FF" w:rsidRDefault="00C33F97" w:rsidP="00ED753E">
      <w:pPr>
        <w:autoSpaceDE/>
        <w:autoSpaceDN/>
        <w:spacing w:line="360" w:lineRule="auto"/>
        <w:rPr>
          <w:rFonts w:eastAsia="Calibri"/>
          <w:sz w:val="24"/>
          <w:szCs w:val="24"/>
        </w:rPr>
      </w:pPr>
    </w:p>
    <w:p w:rsidR="00C33F97" w:rsidRPr="005061FF" w:rsidRDefault="00C33F97" w:rsidP="00ED753E">
      <w:pPr>
        <w:autoSpaceDE/>
        <w:autoSpaceDN/>
        <w:spacing w:line="360" w:lineRule="auto"/>
        <w:rPr>
          <w:rFonts w:eastAsia="Calibri"/>
          <w:sz w:val="24"/>
          <w:szCs w:val="24"/>
        </w:rPr>
      </w:pPr>
      <w:r w:rsidRPr="005061FF">
        <w:rPr>
          <w:rFonts w:eastAsia="Calibri"/>
          <w:i/>
          <w:sz w:val="24"/>
          <w:szCs w:val="24"/>
        </w:rPr>
        <w:tab/>
      </w:r>
      <w:r w:rsidRPr="005061FF">
        <w:rPr>
          <w:rFonts w:eastAsia="Calibri"/>
          <w:i/>
          <w:sz w:val="24"/>
          <w:szCs w:val="24"/>
        </w:rPr>
        <w:tab/>
      </w:r>
      <w:proofErr w:type="gramStart"/>
      <w:r w:rsidRPr="005061FF">
        <w:rPr>
          <w:rFonts w:eastAsia="Calibri"/>
          <w:i/>
          <w:sz w:val="24"/>
          <w:szCs w:val="24"/>
        </w:rPr>
        <w:t>The number of customers affected and the duration of the violation</w:t>
      </w:r>
      <w:r w:rsidRPr="005061FF">
        <w:rPr>
          <w:rFonts w:eastAsia="Calibri"/>
          <w:sz w:val="24"/>
          <w:szCs w:val="24"/>
        </w:rPr>
        <w:t>.</w:t>
      </w:r>
      <w:proofErr w:type="gramEnd"/>
      <w:r w:rsidRPr="005061FF">
        <w:rPr>
          <w:rFonts w:eastAsia="Calibri"/>
          <w:sz w:val="24"/>
          <w:szCs w:val="24"/>
        </w:rPr>
        <w:t xml:space="preserve">  While it is not known how many customers were potentially affected, any customer could have been affected.  Given that Gholston is still certificated, the violation continues right up to the presen</w:t>
      </w:r>
      <w:r w:rsidR="00E777EA">
        <w:rPr>
          <w:rFonts w:eastAsia="Calibri"/>
          <w:sz w:val="24"/>
          <w:szCs w:val="24"/>
        </w:rPr>
        <w:t>t</w:t>
      </w:r>
      <w:r w:rsidRPr="005061FF">
        <w:rPr>
          <w:rFonts w:eastAsia="Calibri"/>
          <w:sz w:val="24"/>
          <w:szCs w:val="24"/>
        </w:rPr>
        <w:t xml:space="preserve"> as Gholston has not petitioned to abandon its authority.</w:t>
      </w:r>
    </w:p>
    <w:p w:rsidR="00C33F97" w:rsidRPr="005061FF" w:rsidRDefault="00C33F97" w:rsidP="00ED753E">
      <w:pPr>
        <w:autoSpaceDE/>
        <w:autoSpaceDN/>
        <w:spacing w:line="360" w:lineRule="auto"/>
        <w:rPr>
          <w:rFonts w:eastAsia="Calibri"/>
          <w:sz w:val="24"/>
          <w:szCs w:val="24"/>
        </w:rPr>
      </w:pPr>
    </w:p>
    <w:p w:rsidR="00C33F97" w:rsidRPr="005061FF" w:rsidRDefault="00C33F97" w:rsidP="00ED753E">
      <w:pPr>
        <w:autoSpaceDE/>
        <w:autoSpaceDN/>
        <w:spacing w:line="360" w:lineRule="auto"/>
        <w:rPr>
          <w:rFonts w:eastAsia="Calibri"/>
          <w:sz w:val="24"/>
          <w:szCs w:val="24"/>
        </w:rPr>
      </w:pPr>
      <w:r w:rsidRPr="005061FF">
        <w:rPr>
          <w:rFonts w:eastAsia="Calibri"/>
          <w:i/>
          <w:sz w:val="24"/>
          <w:szCs w:val="24"/>
        </w:rPr>
        <w:tab/>
      </w:r>
      <w:r w:rsidRPr="005061FF">
        <w:rPr>
          <w:rFonts w:eastAsia="Calibri"/>
          <w:i/>
          <w:sz w:val="24"/>
          <w:szCs w:val="24"/>
        </w:rPr>
        <w:tab/>
      </w:r>
      <w:proofErr w:type="gramStart"/>
      <w:r w:rsidRPr="005061FF">
        <w:rPr>
          <w:rFonts w:eastAsia="Calibri"/>
          <w:i/>
          <w:sz w:val="24"/>
          <w:szCs w:val="24"/>
        </w:rPr>
        <w:t>The compliance history of the regulated entity which committed the violation</w:t>
      </w:r>
      <w:r w:rsidR="00ED753E">
        <w:rPr>
          <w:rFonts w:eastAsia="Calibri"/>
          <w:sz w:val="24"/>
          <w:szCs w:val="24"/>
        </w:rPr>
        <w:t>.</w:t>
      </w:r>
      <w:proofErr w:type="gramEnd"/>
      <w:r w:rsidR="00ED753E">
        <w:rPr>
          <w:rFonts w:eastAsia="Calibri"/>
          <w:sz w:val="24"/>
          <w:szCs w:val="24"/>
        </w:rPr>
        <w:t xml:space="preserve">  </w:t>
      </w:r>
      <w:r w:rsidRPr="005061FF">
        <w:rPr>
          <w:rFonts w:eastAsia="Calibri"/>
          <w:sz w:val="24"/>
          <w:szCs w:val="24"/>
        </w:rPr>
        <w:t>There is no evidence of record of prior violations by Gholston.</w:t>
      </w:r>
    </w:p>
    <w:p w:rsidR="00C33F97" w:rsidRPr="005061FF" w:rsidRDefault="00C33F97" w:rsidP="00ED4D55">
      <w:pPr>
        <w:autoSpaceDE/>
        <w:autoSpaceDN/>
        <w:spacing w:after="200" w:line="360" w:lineRule="auto"/>
        <w:rPr>
          <w:rFonts w:eastAsia="Calibri"/>
          <w:sz w:val="24"/>
          <w:szCs w:val="24"/>
        </w:rPr>
      </w:pPr>
    </w:p>
    <w:p w:rsidR="00C33F97" w:rsidRPr="005061FF" w:rsidRDefault="00C33F97" w:rsidP="00F7461B">
      <w:pPr>
        <w:autoSpaceDE/>
        <w:autoSpaceDN/>
        <w:spacing w:line="360" w:lineRule="auto"/>
        <w:rPr>
          <w:rFonts w:eastAsia="Calibri"/>
          <w:sz w:val="24"/>
          <w:szCs w:val="24"/>
        </w:rPr>
      </w:pPr>
      <w:r w:rsidRPr="005061FF">
        <w:rPr>
          <w:rFonts w:eastAsia="Calibri"/>
          <w:i/>
          <w:sz w:val="24"/>
          <w:szCs w:val="24"/>
        </w:rPr>
        <w:tab/>
      </w:r>
      <w:r w:rsidRPr="005061FF">
        <w:rPr>
          <w:rFonts w:eastAsia="Calibri"/>
          <w:i/>
          <w:sz w:val="24"/>
          <w:szCs w:val="24"/>
        </w:rPr>
        <w:tab/>
      </w:r>
      <w:proofErr w:type="gramStart"/>
      <w:r w:rsidRPr="005061FF">
        <w:rPr>
          <w:rFonts w:eastAsia="Calibri"/>
          <w:i/>
          <w:sz w:val="24"/>
          <w:szCs w:val="24"/>
        </w:rPr>
        <w:t>Whether the regulated entity cooperated with the Commission’s investigation</w:t>
      </w:r>
      <w:r w:rsidR="00ED753E">
        <w:rPr>
          <w:rFonts w:eastAsia="Calibri"/>
          <w:sz w:val="24"/>
          <w:szCs w:val="24"/>
        </w:rPr>
        <w:t>.</w:t>
      </w:r>
      <w:proofErr w:type="gramEnd"/>
      <w:r w:rsidR="00ED753E">
        <w:rPr>
          <w:rFonts w:eastAsia="Calibri"/>
          <w:sz w:val="24"/>
          <w:szCs w:val="24"/>
        </w:rPr>
        <w:t xml:space="preserve">  </w:t>
      </w:r>
      <w:r w:rsidRPr="005061FF">
        <w:rPr>
          <w:rFonts w:eastAsia="Calibri"/>
          <w:sz w:val="24"/>
          <w:szCs w:val="24"/>
        </w:rPr>
        <w:t>Though an extensive investigation was not necessary, the case having been established by notice from Gholston’s former insurance carrier, Gholston’s Answer to the formal Complaint appears to have been misleading as proof of the claimed insurance coverage was never provided.</w:t>
      </w:r>
    </w:p>
    <w:p w:rsidR="00C33F97" w:rsidRPr="005061FF" w:rsidRDefault="00C33F97" w:rsidP="00F7461B">
      <w:pPr>
        <w:autoSpaceDE/>
        <w:autoSpaceDN/>
        <w:spacing w:line="360" w:lineRule="auto"/>
        <w:rPr>
          <w:rFonts w:eastAsia="Calibri"/>
          <w:sz w:val="24"/>
          <w:szCs w:val="24"/>
        </w:rPr>
      </w:pPr>
    </w:p>
    <w:p w:rsidR="00C33F97" w:rsidRPr="005061FF" w:rsidRDefault="00C33F97" w:rsidP="00EB018A">
      <w:pPr>
        <w:autoSpaceDE/>
        <w:autoSpaceDN/>
        <w:spacing w:line="360" w:lineRule="auto"/>
        <w:rPr>
          <w:rFonts w:eastAsia="Calibri"/>
          <w:sz w:val="24"/>
          <w:szCs w:val="24"/>
        </w:rPr>
      </w:pPr>
      <w:r w:rsidRPr="005061FF">
        <w:rPr>
          <w:rFonts w:eastAsia="Calibri"/>
          <w:i/>
          <w:sz w:val="24"/>
          <w:szCs w:val="24"/>
        </w:rPr>
        <w:tab/>
      </w:r>
      <w:r w:rsidRPr="005061FF">
        <w:rPr>
          <w:rFonts w:eastAsia="Calibri"/>
          <w:i/>
          <w:sz w:val="24"/>
          <w:szCs w:val="24"/>
        </w:rPr>
        <w:tab/>
      </w:r>
      <w:proofErr w:type="gramStart"/>
      <w:r w:rsidRPr="005061FF">
        <w:rPr>
          <w:rFonts w:eastAsia="Calibri"/>
          <w:i/>
          <w:sz w:val="24"/>
          <w:szCs w:val="24"/>
        </w:rPr>
        <w:t>The amount of the civil penalty or fine necessary to deter future violations</w:t>
      </w:r>
      <w:r w:rsidR="00F7461B">
        <w:rPr>
          <w:rFonts w:eastAsia="Calibri"/>
          <w:sz w:val="24"/>
          <w:szCs w:val="24"/>
        </w:rPr>
        <w:t>.</w:t>
      </w:r>
      <w:proofErr w:type="gramEnd"/>
      <w:r w:rsidR="00F7461B">
        <w:rPr>
          <w:rFonts w:eastAsia="Calibri"/>
          <w:sz w:val="24"/>
          <w:szCs w:val="24"/>
        </w:rPr>
        <w:t xml:space="preserve">  </w:t>
      </w:r>
      <w:r w:rsidRPr="005061FF">
        <w:rPr>
          <w:rFonts w:eastAsia="Calibri"/>
          <w:sz w:val="24"/>
          <w:szCs w:val="24"/>
        </w:rPr>
        <w:t xml:space="preserve">Given that it is recommended that Gholston’s operating authority be cancelled, future violations by Gholston </w:t>
      </w:r>
      <w:r w:rsidRPr="005061FF">
        <w:rPr>
          <w:rFonts w:eastAsia="Calibri"/>
          <w:i/>
          <w:sz w:val="24"/>
          <w:szCs w:val="24"/>
        </w:rPr>
        <w:t>as a certificated carrier</w:t>
      </w:r>
      <w:r w:rsidR="00FD419E">
        <w:rPr>
          <w:rFonts w:eastAsia="Calibri"/>
          <w:sz w:val="24"/>
          <w:szCs w:val="24"/>
        </w:rPr>
        <w:t xml:space="preserve"> are unlikely.  </w:t>
      </w:r>
      <w:r w:rsidRPr="005061FF">
        <w:rPr>
          <w:rFonts w:eastAsia="Calibri"/>
          <w:sz w:val="24"/>
          <w:szCs w:val="24"/>
        </w:rPr>
        <w:t>However, it is recommended that a $500 civil penalty be imposed given the potentially serious consequences of a lapse in motor carrier insurance coverage.</w:t>
      </w:r>
    </w:p>
    <w:p w:rsidR="00C33F97" w:rsidRPr="005061FF" w:rsidRDefault="00C33F97" w:rsidP="00EB018A">
      <w:pPr>
        <w:autoSpaceDE/>
        <w:autoSpaceDN/>
        <w:spacing w:line="360" w:lineRule="auto"/>
        <w:rPr>
          <w:rFonts w:eastAsia="Calibri"/>
          <w:sz w:val="24"/>
          <w:szCs w:val="24"/>
        </w:rPr>
      </w:pPr>
    </w:p>
    <w:p w:rsidR="00C33F97" w:rsidRPr="005061FF" w:rsidRDefault="00C33F97" w:rsidP="00F01C69">
      <w:pPr>
        <w:autoSpaceDE/>
        <w:autoSpaceDN/>
        <w:spacing w:line="360" w:lineRule="auto"/>
        <w:rPr>
          <w:rFonts w:eastAsia="Calibri"/>
          <w:sz w:val="24"/>
          <w:szCs w:val="24"/>
        </w:rPr>
      </w:pPr>
      <w:r w:rsidRPr="005061FF">
        <w:rPr>
          <w:rFonts w:eastAsia="Calibri"/>
          <w:i/>
          <w:sz w:val="24"/>
          <w:szCs w:val="24"/>
        </w:rPr>
        <w:tab/>
      </w:r>
      <w:r w:rsidRPr="005061FF">
        <w:rPr>
          <w:rFonts w:eastAsia="Calibri"/>
          <w:i/>
          <w:sz w:val="24"/>
          <w:szCs w:val="24"/>
        </w:rPr>
        <w:tab/>
        <w:t>Past Commission decisions in similar situations/</w:t>
      </w:r>
      <w:proofErr w:type="gramStart"/>
      <w:r w:rsidRPr="005061FF">
        <w:rPr>
          <w:rFonts w:eastAsia="Calibri"/>
          <w:i/>
          <w:sz w:val="24"/>
          <w:szCs w:val="24"/>
        </w:rPr>
        <w:t>Other</w:t>
      </w:r>
      <w:proofErr w:type="gramEnd"/>
      <w:r w:rsidRPr="005061FF">
        <w:rPr>
          <w:rFonts w:eastAsia="Calibri"/>
          <w:i/>
          <w:sz w:val="24"/>
          <w:szCs w:val="24"/>
        </w:rPr>
        <w:t xml:space="preserve"> relevant factors</w:t>
      </w:r>
      <w:r w:rsidRPr="005061FF">
        <w:rPr>
          <w:rFonts w:eastAsia="Calibri"/>
          <w:sz w:val="24"/>
          <w:szCs w:val="24"/>
        </w:rPr>
        <w:t>.  A review of past cases indicates that motor carriers with lapsed insurance coverage usually request that their operating authority be cancelled, or they make no answer and that authority is cancelled expeditiously.  In this case, Gholston filed an Answer claiming that it has insurance, thereby putting BIE to the proof and requiring a formal hearing which Gholston did not attend despite having received notice of the same.  This needless expenditure of Commission resources warrants a penalty.</w:t>
      </w:r>
    </w:p>
    <w:p w:rsidR="00C33F97" w:rsidRPr="005061FF" w:rsidRDefault="00C33F97" w:rsidP="00F01C69">
      <w:pPr>
        <w:autoSpaceDE/>
        <w:autoSpaceDN/>
        <w:spacing w:line="360" w:lineRule="auto"/>
        <w:rPr>
          <w:rFonts w:eastAsia="Calibri"/>
          <w:sz w:val="24"/>
          <w:szCs w:val="24"/>
        </w:rPr>
      </w:pPr>
    </w:p>
    <w:p w:rsidR="00104D8D" w:rsidRPr="005061FF" w:rsidRDefault="008736AE" w:rsidP="00C746EB">
      <w:pPr>
        <w:spacing w:line="360" w:lineRule="auto"/>
        <w:rPr>
          <w:sz w:val="24"/>
          <w:szCs w:val="24"/>
        </w:rPr>
      </w:pPr>
      <w:r w:rsidRPr="005061FF">
        <w:rPr>
          <w:sz w:val="24"/>
          <w:szCs w:val="24"/>
        </w:rPr>
        <w:lastRenderedPageBreak/>
        <w:tab/>
      </w:r>
      <w:r w:rsidRPr="005061FF">
        <w:rPr>
          <w:sz w:val="24"/>
          <w:szCs w:val="24"/>
        </w:rPr>
        <w:tab/>
        <w:t xml:space="preserve">In sum, BIE has met its burden of proof, and </w:t>
      </w:r>
      <w:r w:rsidR="00DB74ED" w:rsidRPr="005061FF">
        <w:rPr>
          <w:sz w:val="24"/>
          <w:szCs w:val="24"/>
        </w:rPr>
        <w:t xml:space="preserve">it is recommended that </w:t>
      </w:r>
      <w:r w:rsidRPr="005061FF">
        <w:rPr>
          <w:sz w:val="24"/>
          <w:szCs w:val="24"/>
        </w:rPr>
        <w:t>Gholston’s oper</w:t>
      </w:r>
      <w:r w:rsidR="00F01C69">
        <w:rPr>
          <w:sz w:val="24"/>
          <w:szCs w:val="24"/>
        </w:rPr>
        <w:t xml:space="preserve">ating authority be cancelled.  </w:t>
      </w:r>
      <w:r w:rsidRPr="005061FF">
        <w:rPr>
          <w:sz w:val="24"/>
          <w:szCs w:val="24"/>
        </w:rPr>
        <w:t xml:space="preserve">I </w:t>
      </w:r>
      <w:r w:rsidR="00DB74ED" w:rsidRPr="005061FF">
        <w:rPr>
          <w:sz w:val="24"/>
          <w:szCs w:val="24"/>
        </w:rPr>
        <w:t xml:space="preserve">also </w:t>
      </w:r>
      <w:r w:rsidRPr="005061FF">
        <w:rPr>
          <w:sz w:val="24"/>
          <w:szCs w:val="24"/>
        </w:rPr>
        <w:t xml:space="preserve">agree with BIE </w:t>
      </w:r>
      <w:r w:rsidR="00DB74ED" w:rsidRPr="005061FF">
        <w:rPr>
          <w:sz w:val="24"/>
          <w:szCs w:val="24"/>
        </w:rPr>
        <w:t xml:space="preserve">and recommend </w:t>
      </w:r>
      <w:r w:rsidRPr="005061FF">
        <w:rPr>
          <w:sz w:val="24"/>
          <w:szCs w:val="24"/>
        </w:rPr>
        <w:t>that Gholston should pay a $500 civil penalty for its failure to maintain evidence of insurance.</w:t>
      </w:r>
    </w:p>
    <w:p w:rsidR="008736AE" w:rsidRPr="005061FF" w:rsidRDefault="008736AE" w:rsidP="00C746EB">
      <w:pPr>
        <w:spacing w:line="360" w:lineRule="auto"/>
        <w:rPr>
          <w:sz w:val="24"/>
          <w:szCs w:val="24"/>
        </w:rPr>
      </w:pPr>
    </w:p>
    <w:p w:rsidR="0093591C" w:rsidRPr="005061FF" w:rsidRDefault="0093591C" w:rsidP="0093591C">
      <w:pPr>
        <w:spacing w:line="360" w:lineRule="auto"/>
        <w:jc w:val="center"/>
        <w:rPr>
          <w:sz w:val="24"/>
          <w:szCs w:val="24"/>
        </w:rPr>
      </w:pPr>
      <w:r w:rsidRPr="005061FF">
        <w:rPr>
          <w:sz w:val="24"/>
          <w:szCs w:val="24"/>
          <w:u w:val="single"/>
        </w:rPr>
        <w:t>CONCLUSIONS OF LAW</w:t>
      </w:r>
    </w:p>
    <w:p w:rsidR="0093591C" w:rsidRPr="005061FF" w:rsidRDefault="0093591C" w:rsidP="0093591C">
      <w:pPr>
        <w:spacing w:line="360" w:lineRule="auto"/>
        <w:rPr>
          <w:sz w:val="24"/>
          <w:szCs w:val="24"/>
        </w:rPr>
      </w:pPr>
    </w:p>
    <w:p w:rsidR="0093591C" w:rsidRPr="005061FF" w:rsidRDefault="0093591C" w:rsidP="0093591C">
      <w:pPr>
        <w:spacing w:line="360" w:lineRule="auto"/>
        <w:rPr>
          <w:sz w:val="24"/>
          <w:szCs w:val="24"/>
        </w:rPr>
      </w:pPr>
      <w:r w:rsidRPr="005061FF">
        <w:rPr>
          <w:sz w:val="24"/>
          <w:szCs w:val="24"/>
        </w:rPr>
        <w:tab/>
      </w:r>
      <w:r w:rsidRPr="005061FF">
        <w:rPr>
          <w:sz w:val="24"/>
          <w:szCs w:val="24"/>
        </w:rPr>
        <w:tab/>
        <w:t>1.</w:t>
      </w:r>
      <w:r w:rsidRPr="005061FF">
        <w:rPr>
          <w:sz w:val="24"/>
          <w:szCs w:val="24"/>
        </w:rPr>
        <w:tab/>
        <w:t>The Commission has jurisdiction over this matter.</w:t>
      </w:r>
      <w:r w:rsidR="00C746EB">
        <w:rPr>
          <w:sz w:val="24"/>
          <w:szCs w:val="24"/>
        </w:rPr>
        <w:t xml:space="preserve">  </w:t>
      </w:r>
      <w:proofErr w:type="gramStart"/>
      <w:r w:rsidR="00C746EB">
        <w:rPr>
          <w:sz w:val="24"/>
          <w:szCs w:val="24"/>
        </w:rPr>
        <w:t>66 Pa.</w:t>
      </w:r>
      <w:r w:rsidR="008736AE" w:rsidRPr="005061FF">
        <w:rPr>
          <w:sz w:val="24"/>
          <w:szCs w:val="24"/>
        </w:rPr>
        <w:t>C.S.</w:t>
      </w:r>
      <w:proofErr w:type="gramEnd"/>
      <w:r w:rsidR="008736AE" w:rsidRPr="005061FF">
        <w:rPr>
          <w:sz w:val="24"/>
          <w:szCs w:val="24"/>
        </w:rPr>
        <w:t xml:space="preserve"> </w:t>
      </w:r>
      <w:proofErr w:type="gramStart"/>
      <w:r w:rsidR="00F70B3A" w:rsidRPr="005061FF">
        <w:rPr>
          <w:sz w:val="24"/>
          <w:szCs w:val="24"/>
        </w:rPr>
        <w:t>§</w:t>
      </w:r>
      <w:r w:rsidR="00C746EB">
        <w:rPr>
          <w:sz w:val="24"/>
          <w:szCs w:val="24"/>
        </w:rPr>
        <w:t>§ 701; </w:t>
      </w:r>
      <w:r w:rsidR="00F70B3A" w:rsidRPr="005061FF">
        <w:rPr>
          <w:sz w:val="24"/>
          <w:szCs w:val="24"/>
        </w:rPr>
        <w:t>512.</w:t>
      </w:r>
      <w:proofErr w:type="gramEnd"/>
    </w:p>
    <w:p w:rsidR="008736AE" w:rsidRPr="005061FF" w:rsidRDefault="008736AE" w:rsidP="0093591C">
      <w:pPr>
        <w:spacing w:line="360" w:lineRule="auto"/>
        <w:rPr>
          <w:sz w:val="24"/>
          <w:szCs w:val="24"/>
        </w:rPr>
      </w:pPr>
    </w:p>
    <w:p w:rsidR="00F70B3A" w:rsidRPr="005061FF" w:rsidRDefault="008736AE" w:rsidP="00F70B3A">
      <w:pPr>
        <w:spacing w:line="360" w:lineRule="auto"/>
        <w:rPr>
          <w:sz w:val="24"/>
          <w:szCs w:val="24"/>
        </w:rPr>
      </w:pPr>
      <w:r w:rsidRPr="005061FF">
        <w:rPr>
          <w:sz w:val="24"/>
          <w:szCs w:val="24"/>
        </w:rPr>
        <w:tab/>
      </w:r>
      <w:r w:rsidRPr="005061FF">
        <w:rPr>
          <w:sz w:val="24"/>
          <w:szCs w:val="24"/>
        </w:rPr>
        <w:tab/>
        <w:t>2.</w:t>
      </w:r>
      <w:r w:rsidRPr="005061FF">
        <w:rPr>
          <w:sz w:val="24"/>
          <w:szCs w:val="24"/>
        </w:rPr>
        <w:tab/>
      </w:r>
      <w:r w:rsidR="0093591C" w:rsidRPr="005061FF">
        <w:rPr>
          <w:sz w:val="24"/>
          <w:szCs w:val="24"/>
        </w:rPr>
        <w:t>It is the responsibility of a certificate holder to coordinate with its insurance carrier to see that the documents verifying proof of adequate insurance are filed with the Commission.</w:t>
      </w:r>
      <w:r w:rsidR="00F70B3A" w:rsidRPr="005061FF">
        <w:rPr>
          <w:sz w:val="24"/>
          <w:szCs w:val="24"/>
        </w:rPr>
        <w:t xml:space="preserve">  </w:t>
      </w:r>
      <w:r w:rsidR="00615EB8">
        <w:rPr>
          <w:sz w:val="24"/>
          <w:szCs w:val="24"/>
        </w:rPr>
        <w:t>52 Pa.</w:t>
      </w:r>
      <w:r w:rsidR="00F70B3A" w:rsidRPr="005061FF">
        <w:rPr>
          <w:sz w:val="24"/>
          <w:szCs w:val="24"/>
        </w:rPr>
        <w:t>Code §</w:t>
      </w:r>
      <w:r w:rsidR="00615EB8">
        <w:rPr>
          <w:sz w:val="24"/>
          <w:szCs w:val="24"/>
        </w:rPr>
        <w:t xml:space="preserve"> </w:t>
      </w:r>
      <w:r w:rsidR="00F70B3A" w:rsidRPr="005061FF">
        <w:rPr>
          <w:sz w:val="24"/>
          <w:szCs w:val="24"/>
        </w:rPr>
        <w:t>32.2(c)</w:t>
      </w:r>
    </w:p>
    <w:p w:rsidR="00F70B3A" w:rsidRPr="005061FF" w:rsidRDefault="00F70B3A" w:rsidP="00F70B3A">
      <w:pPr>
        <w:spacing w:line="360" w:lineRule="auto"/>
        <w:rPr>
          <w:sz w:val="24"/>
          <w:szCs w:val="24"/>
        </w:rPr>
      </w:pPr>
    </w:p>
    <w:p w:rsidR="00104D8D" w:rsidRPr="005061FF" w:rsidRDefault="00F70B3A" w:rsidP="00F70B3A">
      <w:pPr>
        <w:spacing w:line="360" w:lineRule="auto"/>
        <w:rPr>
          <w:sz w:val="24"/>
          <w:szCs w:val="24"/>
        </w:rPr>
      </w:pPr>
      <w:r w:rsidRPr="005061FF">
        <w:rPr>
          <w:sz w:val="24"/>
          <w:szCs w:val="24"/>
        </w:rPr>
        <w:tab/>
      </w:r>
      <w:r w:rsidRPr="005061FF">
        <w:rPr>
          <w:sz w:val="24"/>
          <w:szCs w:val="24"/>
        </w:rPr>
        <w:tab/>
        <w:t>3.</w:t>
      </w:r>
      <w:r w:rsidRPr="005061FF">
        <w:rPr>
          <w:sz w:val="24"/>
          <w:szCs w:val="24"/>
        </w:rPr>
        <w:tab/>
        <w:t>A common carrier or contract carrier of passengers may not engage in intrastate commerce and a certificate or permit will not be issued, or remain in force, except as provided in §</w:t>
      </w:r>
      <w:r w:rsidR="007C3319">
        <w:rPr>
          <w:sz w:val="24"/>
          <w:szCs w:val="24"/>
        </w:rPr>
        <w:t xml:space="preserve"> </w:t>
      </w:r>
      <w:r w:rsidRPr="005061FF">
        <w:rPr>
          <w:sz w:val="24"/>
          <w:szCs w:val="24"/>
        </w:rPr>
        <w:t xml:space="preserve">32.15 (relating to applications to self-insure) until there has been filed with and approved by the Commission a certificate of insurance by an insurer authorized to do business in this Commonwealth, to provide for the payment of valid accident claims against the insured for bodily injury to or the death of a person, or the loss of or damage to property of others resulting from the operation, maintenance or use of a motor vehicle in the insured authorized service. </w:t>
      </w:r>
      <w:r w:rsidR="00E32C7B">
        <w:rPr>
          <w:sz w:val="24"/>
          <w:szCs w:val="24"/>
        </w:rPr>
        <w:t xml:space="preserve"> </w:t>
      </w:r>
      <w:proofErr w:type="gramStart"/>
      <w:r w:rsidR="00E32C7B">
        <w:rPr>
          <w:sz w:val="24"/>
          <w:szCs w:val="24"/>
        </w:rPr>
        <w:t>52 Pa.</w:t>
      </w:r>
      <w:r w:rsidRPr="005061FF">
        <w:rPr>
          <w:sz w:val="24"/>
          <w:szCs w:val="24"/>
        </w:rPr>
        <w:t>Code §</w:t>
      </w:r>
      <w:r w:rsidR="00E32C7B">
        <w:rPr>
          <w:sz w:val="24"/>
          <w:szCs w:val="24"/>
        </w:rPr>
        <w:t xml:space="preserve"> </w:t>
      </w:r>
      <w:r w:rsidRPr="005061FF">
        <w:rPr>
          <w:sz w:val="24"/>
          <w:szCs w:val="24"/>
        </w:rPr>
        <w:t>32.11(a).</w:t>
      </w:r>
      <w:proofErr w:type="gramEnd"/>
    </w:p>
    <w:p w:rsidR="00104D8D" w:rsidRPr="005061FF" w:rsidRDefault="00104D8D" w:rsidP="00822F55">
      <w:pPr>
        <w:spacing w:line="360" w:lineRule="auto"/>
        <w:rPr>
          <w:sz w:val="24"/>
          <w:szCs w:val="24"/>
        </w:rPr>
      </w:pPr>
    </w:p>
    <w:p w:rsidR="00F70B3A" w:rsidRPr="005061FF" w:rsidRDefault="005D0132" w:rsidP="00F70B3A">
      <w:pPr>
        <w:spacing w:line="360" w:lineRule="auto"/>
        <w:jc w:val="center"/>
        <w:rPr>
          <w:sz w:val="24"/>
          <w:szCs w:val="24"/>
        </w:rPr>
      </w:pPr>
      <w:r w:rsidRPr="005061FF">
        <w:rPr>
          <w:sz w:val="24"/>
          <w:szCs w:val="24"/>
          <w:u w:val="single"/>
        </w:rPr>
        <w:t xml:space="preserve">RECOMMENDED </w:t>
      </w:r>
      <w:r w:rsidR="00F70B3A" w:rsidRPr="005061FF">
        <w:rPr>
          <w:sz w:val="24"/>
          <w:szCs w:val="24"/>
          <w:u w:val="single"/>
        </w:rPr>
        <w:t>ORDER</w:t>
      </w:r>
    </w:p>
    <w:p w:rsidR="00F70B3A" w:rsidRDefault="00F70B3A" w:rsidP="0050772E">
      <w:pPr>
        <w:spacing w:line="360" w:lineRule="auto"/>
        <w:jc w:val="center"/>
        <w:rPr>
          <w:sz w:val="24"/>
          <w:szCs w:val="24"/>
        </w:rPr>
      </w:pPr>
    </w:p>
    <w:p w:rsidR="0050772E" w:rsidRPr="005061FF" w:rsidRDefault="0050772E" w:rsidP="0050772E">
      <w:pPr>
        <w:spacing w:line="360" w:lineRule="auto"/>
        <w:jc w:val="center"/>
        <w:rPr>
          <w:sz w:val="24"/>
          <w:szCs w:val="24"/>
        </w:rPr>
      </w:pPr>
    </w:p>
    <w:p w:rsidR="00F70B3A" w:rsidRPr="005061FF" w:rsidRDefault="00F70B3A" w:rsidP="00F70B3A">
      <w:pPr>
        <w:spacing w:line="360" w:lineRule="auto"/>
        <w:rPr>
          <w:sz w:val="24"/>
          <w:szCs w:val="24"/>
        </w:rPr>
      </w:pPr>
      <w:r w:rsidRPr="005061FF">
        <w:rPr>
          <w:sz w:val="24"/>
          <w:szCs w:val="24"/>
        </w:rPr>
        <w:tab/>
      </w:r>
      <w:r w:rsidRPr="005061FF">
        <w:rPr>
          <w:sz w:val="24"/>
          <w:szCs w:val="24"/>
        </w:rPr>
        <w:tab/>
        <w:t>THEREFORE;</w:t>
      </w:r>
    </w:p>
    <w:p w:rsidR="00F70B3A" w:rsidRPr="005061FF" w:rsidRDefault="00F70B3A" w:rsidP="0050772E">
      <w:pPr>
        <w:spacing w:line="360" w:lineRule="auto"/>
        <w:rPr>
          <w:sz w:val="24"/>
          <w:szCs w:val="24"/>
        </w:rPr>
      </w:pPr>
    </w:p>
    <w:p w:rsidR="00F70B3A" w:rsidRPr="005061FF" w:rsidRDefault="00F70B3A" w:rsidP="00F70B3A">
      <w:pPr>
        <w:spacing w:line="360" w:lineRule="auto"/>
        <w:rPr>
          <w:sz w:val="24"/>
          <w:szCs w:val="24"/>
        </w:rPr>
      </w:pPr>
      <w:r w:rsidRPr="005061FF">
        <w:rPr>
          <w:sz w:val="24"/>
          <w:szCs w:val="24"/>
        </w:rPr>
        <w:tab/>
      </w:r>
      <w:r w:rsidRPr="005061FF">
        <w:rPr>
          <w:sz w:val="24"/>
          <w:szCs w:val="24"/>
        </w:rPr>
        <w:tab/>
        <w:t xml:space="preserve">IT IS </w:t>
      </w:r>
      <w:r w:rsidR="005D0132" w:rsidRPr="005061FF">
        <w:rPr>
          <w:sz w:val="24"/>
          <w:szCs w:val="24"/>
        </w:rPr>
        <w:t>RECOMMENDED</w:t>
      </w:r>
      <w:r w:rsidRPr="005061FF">
        <w:rPr>
          <w:sz w:val="24"/>
          <w:szCs w:val="24"/>
        </w:rPr>
        <w:t>:</w:t>
      </w:r>
    </w:p>
    <w:p w:rsidR="00104D8D" w:rsidRPr="005061FF" w:rsidRDefault="00104D8D" w:rsidP="0050772E">
      <w:pPr>
        <w:spacing w:line="360" w:lineRule="auto"/>
        <w:rPr>
          <w:sz w:val="24"/>
          <w:szCs w:val="24"/>
        </w:rPr>
      </w:pPr>
    </w:p>
    <w:p w:rsidR="005D0132" w:rsidRPr="005061FF" w:rsidRDefault="005D0132" w:rsidP="00822F55">
      <w:pPr>
        <w:spacing w:line="360" w:lineRule="auto"/>
        <w:rPr>
          <w:sz w:val="24"/>
          <w:szCs w:val="24"/>
        </w:rPr>
      </w:pPr>
      <w:r w:rsidRPr="005061FF">
        <w:rPr>
          <w:sz w:val="24"/>
          <w:szCs w:val="24"/>
        </w:rPr>
        <w:tab/>
      </w:r>
      <w:r w:rsidRPr="005061FF">
        <w:rPr>
          <w:sz w:val="24"/>
          <w:szCs w:val="24"/>
        </w:rPr>
        <w:tab/>
        <w:t>1.</w:t>
      </w:r>
      <w:r w:rsidRPr="005061FF">
        <w:rPr>
          <w:sz w:val="24"/>
          <w:szCs w:val="24"/>
        </w:rPr>
        <w:tab/>
        <w:t xml:space="preserve">That the formal Complaint filed by the Commission’s Bureau of Investigation and Enforcement at Docket No. C-2013-2354805 </w:t>
      </w:r>
      <w:proofErr w:type="gramStart"/>
      <w:r w:rsidRPr="005061FF">
        <w:rPr>
          <w:sz w:val="24"/>
          <w:szCs w:val="24"/>
        </w:rPr>
        <w:t>be</w:t>
      </w:r>
      <w:proofErr w:type="gramEnd"/>
      <w:r w:rsidRPr="005061FF">
        <w:rPr>
          <w:sz w:val="24"/>
          <w:szCs w:val="24"/>
        </w:rPr>
        <w:t xml:space="preserve"> sustained.</w:t>
      </w:r>
    </w:p>
    <w:p w:rsidR="005D0132" w:rsidRPr="005061FF" w:rsidRDefault="005D0132" w:rsidP="0050772E">
      <w:pPr>
        <w:spacing w:line="360" w:lineRule="auto"/>
        <w:rPr>
          <w:sz w:val="24"/>
          <w:szCs w:val="24"/>
        </w:rPr>
      </w:pPr>
    </w:p>
    <w:p w:rsidR="005D0132" w:rsidRPr="005061FF" w:rsidRDefault="005D0132" w:rsidP="00822F55">
      <w:pPr>
        <w:spacing w:line="360" w:lineRule="auto"/>
        <w:rPr>
          <w:sz w:val="24"/>
          <w:szCs w:val="24"/>
        </w:rPr>
      </w:pPr>
      <w:r w:rsidRPr="005061FF">
        <w:rPr>
          <w:sz w:val="24"/>
          <w:szCs w:val="24"/>
        </w:rPr>
        <w:tab/>
      </w:r>
      <w:r w:rsidRPr="005061FF">
        <w:rPr>
          <w:sz w:val="24"/>
          <w:szCs w:val="24"/>
        </w:rPr>
        <w:tab/>
        <w:t>2.</w:t>
      </w:r>
      <w:r w:rsidRPr="005061FF">
        <w:rPr>
          <w:sz w:val="24"/>
          <w:szCs w:val="24"/>
        </w:rPr>
        <w:tab/>
        <w:t xml:space="preserve">That the paratransit operator authority of Gholston Paratransit Service LLC under the certificate of public convenience at Docket No. A-2012-2301439 </w:t>
      </w:r>
      <w:proofErr w:type="gramStart"/>
      <w:r w:rsidRPr="005061FF">
        <w:rPr>
          <w:sz w:val="24"/>
          <w:szCs w:val="24"/>
        </w:rPr>
        <w:t>be</w:t>
      </w:r>
      <w:proofErr w:type="gramEnd"/>
      <w:r w:rsidRPr="005061FF">
        <w:rPr>
          <w:sz w:val="24"/>
          <w:szCs w:val="24"/>
        </w:rPr>
        <w:t xml:space="preserve"> cancelled.</w:t>
      </w:r>
    </w:p>
    <w:p w:rsidR="005D0132" w:rsidRPr="005061FF" w:rsidRDefault="005D0132" w:rsidP="0050772E">
      <w:pPr>
        <w:spacing w:line="360" w:lineRule="auto"/>
        <w:rPr>
          <w:sz w:val="24"/>
          <w:szCs w:val="24"/>
        </w:rPr>
      </w:pPr>
    </w:p>
    <w:p w:rsidR="00104D8D" w:rsidRPr="005061FF" w:rsidRDefault="00104D8D" w:rsidP="0050772E">
      <w:pPr>
        <w:autoSpaceDE/>
        <w:autoSpaceDN/>
        <w:spacing w:line="360" w:lineRule="auto"/>
        <w:ind w:firstLine="720"/>
        <w:rPr>
          <w:rFonts w:eastAsia="Calibri"/>
          <w:sz w:val="24"/>
          <w:szCs w:val="24"/>
        </w:rPr>
      </w:pPr>
      <w:r w:rsidRPr="005061FF">
        <w:rPr>
          <w:rFonts w:eastAsia="Calibri"/>
          <w:sz w:val="24"/>
          <w:szCs w:val="24"/>
        </w:rPr>
        <w:tab/>
      </w:r>
      <w:r w:rsidR="005D0132" w:rsidRPr="005061FF">
        <w:rPr>
          <w:rFonts w:eastAsia="Calibri"/>
          <w:sz w:val="24"/>
          <w:szCs w:val="24"/>
        </w:rPr>
        <w:t>3.</w:t>
      </w:r>
      <w:r w:rsidR="005D0132" w:rsidRPr="005061FF">
        <w:rPr>
          <w:rFonts w:eastAsia="Calibri"/>
          <w:sz w:val="24"/>
          <w:szCs w:val="24"/>
        </w:rPr>
        <w:tab/>
      </w:r>
      <w:r w:rsidRPr="005061FF">
        <w:rPr>
          <w:rFonts w:eastAsia="Calibri"/>
          <w:sz w:val="24"/>
          <w:szCs w:val="24"/>
        </w:rPr>
        <w:t xml:space="preserve">That </w:t>
      </w:r>
      <w:r w:rsidR="000E1DD4" w:rsidRPr="005061FF">
        <w:rPr>
          <w:rFonts w:eastAsia="Calibri"/>
          <w:sz w:val="24"/>
          <w:szCs w:val="24"/>
        </w:rPr>
        <w:t>Gholston Paratrans</w:t>
      </w:r>
      <w:r w:rsidR="00373677" w:rsidRPr="005061FF">
        <w:rPr>
          <w:rFonts w:eastAsia="Calibri"/>
          <w:sz w:val="24"/>
          <w:szCs w:val="24"/>
        </w:rPr>
        <w:t>i</w:t>
      </w:r>
      <w:r w:rsidR="000E1DD4" w:rsidRPr="005061FF">
        <w:rPr>
          <w:rFonts w:eastAsia="Calibri"/>
          <w:sz w:val="24"/>
          <w:szCs w:val="24"/>
        </w:rPr>
        <w:t xml:space="preserve">t Service LLC </w:t>
      </w:r>
      <w:r w:rsidRPr="005061FF">
        <w:rPr>
          <w:rFonts w:eastAsia="Calibri"/>
          <w:sz w:val="24"/>
          <w:szCs w:val="24"/>
        </w:rPr>
        <w:t xml:space="preserve">pay a </w:t>
      </w:r>
      <w:r w:rsidR="000E1DD4" w:rsidRPr="005061FF">
        <w:rPr>
          <w:rFonts w:eastAsia="Calibri"/>
          <w:sz w:val="24"/>
          <w:szCs w:val="24"/>
        </w:rPr>
        <w:t>civil penalty</w:t>
      </w:r>
      <w:r w:rsidRPr="005061FF">
        <w:rPr>
          <w:rFonts w:eastAsia="Calibri"/>
          <w:sz w:val="24"/>
          <w:szCs w:val="24"/>
        </w:rPr>
        <w:t xml:space="preserve"> of $5</w:t>
      </w:r>
      <w:r w:rsidR="000E1DD4" w:rsidRPr="005061FF">
        <w:rPr>
          <w:rFonts w:eastAsia="Calibri"/>
          <w:sz w:val="24"/>
          <w:szCs w:val="24"/>
        </w:rPr>
        <w:t>00</w:t>
      </w:r>
      <w:r w:rsidRPr="005061FF">
        <w:rPr>
          <w:rFonts w:eastAsia="Calibri"/>
          <w:sz w:val="24"/>
          <w:szCs w:val="24"/>
        </w:rPr>
        <w:t xml:space="preserve"> by sending a certified check or money order payable to the Commonwealth of Pennsylvania, within thirty (30) days from entry of the Final Commission </w:t>
      </w:r>
      <w:r w:rsidR="0050772E">
        <w:rPr>
          <w:rFonts w:eastAsia="Calibri"/>
          <w:sz w:val="24"/>
          <w:szCs w:val="24"/>
        </w:rPr>
        <w:t>Order to:</w:t>
      </w:r>
    </w:p>
    <w:p w:rsidR="00ED4D55" w:rsidRPr="005061FF" w:rsidRDefault="00ED4D55" w:rsidP="0050772E">
      <w:pPr>
        <w:autoSpaceDE/>
        <w:autoSpaceDN/>
        <w:spacing w:line="360" w:lineRule="auto"/>
        <w:ind w:firstLine="720"/>
        <w:rPr>
          <w:rFonts w:eastAsia="Calibri"/>
          <w:sz w:val="24"/>
          <w:szCs w:val="24"/>
        </w:rPr>
      </w:pPr>
    </w:p>
    <w:p w:rsidR="00104D8D" w:rsidRPr="005061FF" w:rsidRDefault="00104D8D" w:rsidP="00104D8D">
      <w:pPr>
        <w:autoSpaceDE/>
        <w:autoSpaceDN/>
        <w:jc w:val="center"/>
        <w:rPr>
          <w:rFonts w:eastAsia="Calibri"/>
          <w:sz w:val="24"/>
          <w:szCs w:val="24"/>
        </w:rPr>
      </w:pPr>
      <w:r w:rsidRPr="005061FF">
        <w:rPr>
          <w:rFonts w:eastAsia="Calibri"/>
          <w:sz w:val="24"/>
          <w:szCs w:val="24"/>
        </w:rPr>
        <w:t>Secretary</w:t>
      </w:r>
    </w:p>
    <w:p w:rsidR="00104D8D" w:rsidRPr="005061FF" w:rsidRDefault="00104D8D" w:rsidP="00104D8D">
      <w:pPr>
        <w:autoSpaceDE/>
        <w:autoSpaceDN/>
        <w:jc w:val="center"/>
        <w:rPr>
          <w:rFonts w:eastAsia="Calibri"/>
          <w:sz w:val="24"/>
          <w:szCs w:val="24"/>
        </w:rPr>
      </w:pPr>
      <w:r w:rsidRPr="005061FF">
        <w:rPr>
          <w:rFonts w:eastAsia="Calibri"/>
          <w:sz w:val="24"/>
          <w:szCs w:val="24"/>
        </w:rPr>
        <w:t>Pennsylvania Public Utility Commission</w:t>
      </w:r>
    </w:p>
    <w:p w:rsidR="00104D8D" w:rsidRPr="005061FF" w:rsidRDefault="00104D8D" w:rsidP="00104D8D">
      <w:pPr>
        <w:autoSpaceDE/>
        <w:autoSpaceDN/>
        <w:jc w:val="center"/>
        <w:rPr>
          <w:rFonts w:eastAsia="Calibri"/>
          <w:sz w:val="24"/>
          <w:szCs w:val="24"/>
        </w:rPr>
      </w:pPr>
      <w:r w:rsidRPr="005061FF">
        <w:rPr>
          <w:rFonts w:eastAsia="Calibri"/>
          <w:sz w:val="24"/>
          <w:szCs w:val="24"/>
        </w:rPr>
        <w:t>P.O. Box 3265</w:t>
      </w:r>
    </w:p>
    <w:p w:rsidR="00104D8D" w:rsidRPr="005061FF" w:rsidRDefault="00104D8D" w:rsidP="00104D8D">
      <w:pPr>
        <w:autoSpaceDE/>
        <w:autoSpaceDN/>
        <w:jc w:val="center"/>
        <w:rPr>
          <w:rFonts w:eastAsia="Calibri"/>
          <w:sz w:val="24"/>
          <w:szCs w:val="24"/>
        </w:rPr>
      </w:pPr>
      <w:r w:rsidRPr="005061FF">
        <w:rPr>
          <w:rFonts w:eastAsia="Calibri"/>
          <w:sz w:val="24"/>
          <w:szCs w:val="24"/>
        </w:rPr>
        <w:t>Harrisburg, PA, 17105-3265</w:t>
      </w:r>
    </w:p>
    <w:p w:rsidR="00104D8D" w:rsidRPr="005061FF" w:rsidRDefault="00104D8D" w:rsidP="0050772E">
      <w:pPr>
        <w:spacing w:line="360" w:lineRule="auto"/>
        <w:rPr>
          <w:sz w:val="24"/>
          <w:szCs w:val="24"/>
        </w:rPr>
      </w:pPr>
    </w:p>
    <w:p w:rsidR="00104D8D" w:rsidRPr="005061FF" w:rsidRDefault="005D0132" w:rsidP="00822F55">
      <w:pPr>
        <w:spacing w:line="360" w:lineRule="auto"/>
        <w:rPr>
          <w:sz w:val="24"/>
          <w:szCs w:val="24"/>
        </w:rPr>
      </w:pPr>
      <w:r w:rsidRPr="005061FF">
        <w:rPr>
          <w:sz w:val="24"/>
          <w:szCs w:val="24"/>
        </w:rPr>
        <w:tab/>
      </w:r>
      <w:r w:rsidRPr="005061FF">
        <w:rPr>
          <w:sz w:val="24"/>
          <w:szCs w:val="24"/>
        </w:rPr>
        <w:tab/>
        <w:t>4.</w:t>
      </w:r>
      <w:r w:rsidRPr="005061FF">
        <w:rPr>
          <w:sz w:val="24"/>
          <w:szCs w:val="24"/>
        </w:rPr>
        <w:tab/>
        <w:t>That this case be marked closed.</w:t>
      </w:r>
    </w:p>
    <w:p w:rsidR="005D0132" w:rsidRPr="005061FF" w:rsidRDefault="005D0132" w:rsidP="0050772E">
      <w:pPr>
        <w:spacing w:line="360" w:lineRule="auto"/>
        <w:rPr>
          <w:sz w:val="24"/>
          <w:szCs w:val="24"/>
        </w:rPr>
      </w:pPr>
    </w:p>
    <w:p w:rsidR="005D0132" w:rsidRPr="005061FF" w:rsidRDefault="005D0132" w:rsidP="0050772E">
      <w:pPr>
        <w:spacing w:line="360" w:lineRule="auto"/>
        <w:rPr>
          <w:sz w:val="24"/>
          <w:szCs w:val="24"/>
        </w:rPr>
      </w:pPr>
    </w:p>
    <w:p w:rsidR="005D0132" w:rsidRPr="005061FF" w:rsidRDefault="005D0132" w:rsidP="005D0132">
      <w:pPr>
        <w:autoSpaceDE/>
        <w:autoSpaceDN/>
        <w:rPr>
          <w:sz w:val="24"/>
          <w:szCs w:val="24"/>
        </w:rPr>
      </w:pPr>
      <w:r w:rsidRPr="005061FF">
        <w:rPr>
          <w:sz w:val="24"/>
          <w:szCs w:val="24"/>
        </w:rPr>
        <w:t>DATED:</w:t>
      </w:r>
      <w:r w:rsidRPr="005061FF">
        <w:rPr>
          <w:sz w:val="24"/>
          <w:szCs w:val="24"/>
        </w:rPr>
        <w:tab/>
      </w:r>
      <w:r w:rsidRPr="005061FF">
        <w:rPr>
          <w:sz w:val="24"/>
          <w:szCs w:val="24"/>
          <w:u w:val="single"/>
        </w:rPr>
        <w:t>May 23, 2014</w:t>
      </w:r>
      <w:r w:rsidR="003E3F38" w:rsidRPr="005061FF">
        <w:rPr>
          <w:sz w:val="24"/>
          <w:szCs w:val="24"/>
        </w:rPr>
        <w:tab/>
      </w:r>
      <w:r w:rsidRPr="005061FF">
        <w:rPr>
          <w:sz w:val="24"/>
          <w:szCs w:val="24"/>
        </w:rPr>
        <w:tab/>
      </w:r>
      <w:r w:rsidRPr="005061FF">
        <w:rPr>
          <w:sz w:val="24"/>
          <w:szCs w:val="24"/>
        </w:rPr>
        <w:tab/>
      </w:r>
      <w:r w:rsidRPr="005061FF">
        <w:rPr>
          <w:sz w:val="24"/>
          <w:szCs w:val="24"/>
        </w:rPr>
        <w:tab/>
      </w:r>
      <w:r w:rsidRPr="005061FF">
        <w:rPr>
          <w:sz w:val="24"/>
          <w:szCs w:val="24"/>
        </w:rPr>
        <w:tab/>
      </w:r>
      <w:r w:rsidRPr="005061FF">
        <w:rPr>
          <w:sz w:val="24"/>
          <w:szCs w:val="24"/>
          <w:u w:val="single"/>
        </w:rPr>
        <w:tab/>
        <w:t>/s/</w:t>
      </w:r>
      <w:r w:rsidRPr="005061FF">
        <w:rPr>
          <w:sz w:val="24"/>
          <w:szCs w:val="24"/>
          <w:u w:val="single"/>
        </w:rPr>
        <w:tab/>
      </w:r>
      <w:r w:rsidRPr="005061FF">
        <w:rPr>
          <w:sz w:val="24"/>
          <w:szCs w:val="24"/>
          <w:u w:val="single"/>
        </w:rPr>
        <w:tab/>
      </w:r>
      <w:r w:rsidRPr="005061FF">
        <w:rPr>
          <w:sz w:val="24"/>
          <w:szCs w:val="24"/>
          <w:u w:val="single"/>
        </w:rPr>
        <w:tab/>
      </w:r>
    </w:p>
    <w:p w:rsidR="005D0132" w:rsidRPr="005061FF" w:rsidRDefault="005D0132" w:rsidP="005D0132">
      <w:pPr>
        <w:autoSpaceDE/>
        <w:autoSpaceDN/>
        <w:rPr>
          <w:sz w:val="24"/>
          <w:szCs w:val="24"/>
        </w:rPr>
      </w:pPr>
      <w:r w:rsidRPr="005061FF">
        <w:rPr>
          <w:sz w:val="24"/>
          <w:szCs w:val="24"/>
        </w:rPr>
        <w:tab/>
      </w:r>
      <w:r w:rsidRPr="005061FF">
        <w:rPr>
          <w:sz w:val="24"/>
          <w:szCs w:val="24"/>
        </w:rPr>
        <w:tab/>
      </w:r>
      <w:r w:rsidRPr="005061FF">
        <w:rPr>
          <w:sz w:val="24"/>
          <w:szCs w:val="24"/>
        </w:rPr>
        <w:tab/>
      </w:r>
      <w:r w:rsidRPr="005061FF">
        <w:rPr>
          <w:sz w:val="24"/>
          <w:szCs w:val="24"/>
        </w:rPr>
        <w:tab/>
      </w:r>
      <w:r w:rsidRPr="005061FF">
        <w:rPr>
          <w:sz w:val="24"/>
          <w:szCs w:val="24"/>
        </w:rPr>
        <w:tab/>
      </w:r>
      <w:r w:rsidRPr="005061FF">
        <w:rPr>
          <w:sz w:val="24"/>
          <w:szCs w:val="24"/>
        </w:rPr>
        <w:tab/>
      </w:r>
      <w:r w:rsidRPr="005061FF">
        <w:rPr>
          <w:sz w:val="24"/>
          <w:szCs w:val="24"/>
        </w:rPr>
        <w:tab/>
      </w:r>
      <w:r w:rsidRPr="005061FF">
        <w:rPr>
          <w:sz w:val="24"/>
          <w:szCs w:val="24"/>
        </w:rPr>
        <w:tab/>
        <w:t>Dennis J. Buckley</w:t>
      </w:r>
    </w:p>
    <w:p w:rsidR="005D0132" w:rsidRPr="005061FF" w:rsidRDefault="005D0132" w:rsidP="005D0132">
      <w:pPr>
        <w:autoSpaceDE/>
        <w:autoSpaceDN/>
        <w:rPr>
          <w:sz w:val="24"/>
          <w:szCs w:val="24"/>
        </w:rPr>
      </w:pPr>
      <w:r w:rsidRPr="005061FF">
        <w:rPr>
          <w:sz w:val="24"/>
          <w:szCs w:val="24"/>
        </w:rPr>
        <w:tab/>
      </w:r>
      <w:r w:rsidRPr="005061FF">
        <w:rPr>
          <w:sz w:val="24"/>
          <w:szCs w:val="24"/>
        </w:rPr>
        <w:tab/>
      </w:r>
      <w:r w:rsidRPr="005061FF">
        <w:rPr>
          <w:sz w:val="24"/>
          <w:szCs w:val="24"/>
        </w:rPr>
        <w:tab/>
      </w:r>
      <w:r w:rsidRPr="005061FF">
        <w:rPr>
          <w:sz w:val="24"/>
          <w:szCs w:val="24"/>
        </w:rPr>
        <w:tab/>
      </w:r>
      <w:r w:rsidRPr="005061FF">
        <w:rPr>
          <w:sz w:val="24"/>
          <w:szCs w:val="24"/>
        </w:rPr>
        <w:tab/>
      </w:r>
      <w:r w:rsidRPr="005061FF">
        <w:rPr>
          <w:sz w:val="24"/>
          <w:szCs w:val="24"/>
        </w:rPr>
        <w:tab/>
      </w:r>
      <w:r w:rsidRPr="005061FF">
        <w:rPr>
          <w:sz w:val="24"/>
          <w:szCs w:val="24"/>
        </w:rPr>
        <w:tab/>
      </w:r>
      <w:r w:rsidRPr="005061FF">
        <w:rPr>
          <w:sz w:val="24"/>
          <w:szCs w:val="24"/>
        </w:rPr>
        <w:tab/>
        <w:t>Administrative Law Judge</w:t>
      </w:r>
    </w:p>
    <w:p w:rsidR="005D0132" w:rsidRPr="005061FF" w:rsidRDefault="005D0132" w:rsidP="005D0132">
      <w:pPr>
        <w:spacing w:line="360" w:lineRule="auto"/>
        <w:jc w:val="center"/>
        <w:rPr>
          <w:sz w:val="24"/>
          <w:szCs w:val="24"/>
        </w:rPr>
      </w:pPr>
    </w:p>
    <w:p w:rsidR="005D0132" w:rsidRPr="005061FF" w:rsidRDefault="005D0132" w:rsidP="00822F55">
      <w:pPr>
        <w:spacing w:line="360" w:lineRule="auto"/>
        <w:rPr>
          <w:sz w:val="24"/>
          <w:szCs w:val="24"/>
        </w:rPr>
      </w:pPr>
    </w:p>
    <w:sectPr w:rsidR="005D0132" w:rsidRPr="005061FF" w:rsidSect="006B08C2">
      <w:footerReference w:type="even" r:id="rId9"/>
      <w:footerReference w:type="default" r:id="rId10"/>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DF4" w:rsidRDefault="009D5DF4">
      <w:r>
        <w:separator/>
      </w:r>
    </w:p>
  </w:endnote>
  <w:endnote w:type="continuationSeparator" w:id="0">
    <w:p w:rsidR="009D5DF4" w:rsidRDefault="009D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2407">
      <w:rPr>
        <w:rStyle w:val="PageNumber"/>
        <w:noProof/>
      </w:rPr>
      <w:t>9</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DF4" w:rsidRDefault="009D5DF4">
      <w:r>
        <w:separator/>
      </w:r>
    </w:p>
  </w:footnote>
  <w:footnote w:type="continuationSeparator" w:id="0">
    <w:p w:rsidR="009D5DF4" w:rsidRDefault="009D5DF4">
      <w:r>
        <w:continuationSeparator/>
      </w:r>
    </w:p>
  </w:footnote>
  <w:footnote w:id="1">
    <w:p w:rsidR="00147191" w:rsidRDefault="00147191">
      <w:pPr>
        <w:pStyle w:val="FootnoteText"/>
      </w:pPr>
      <w:r>
        <w:rPr>
          <w:rStyle w:val="FootnoteReference"/>
        </w:rPr>
        <w:footnoteRef/>
      </w:r>
      <w:r>
        <w:t xml:space="preserve"> </w:t>
      </w:r>
      <w:r>
        <w:tab/>
        <w:t xml:space="preserve">The certificate of public convenience was issued at Docket No. </w:t>
      </w:r>
      <w:proofErr w:type="gramStart"/>
      <w:r>
        <w:t>A-2012-2301439.</w:t>
      </w:r>
      <w:proofErr w:type="gramEnd"/>
    </w:p>
  </w:footnote>
  <w:footnote w:id="2">
    <w:p w:rsidR="00192824" w:rsidRDefault="00192824">
      <w:pPr>
        <w:pStyle w:val="FootnoteText"/>
      </w:pPr>
      <w:r>
        <w:rPr>
          <w:rStyle w:val="FootnoteReference"/>
        </w:rPr>
        <w:footnoteRef/>
      </w:r>
      <w:r>
        <w:t xml:space="preserve"> </w:t>
      </w:r>
      <w:r>
        <w:tab/>
        <w:t xml:space="preserve">The Answer was filed by the principal of Gholston, </w:t>
      </w:r>
      <w:r w:rsidR="00554484">
        <w:t>Jarrad M. Gholston, not by an attorney as required by the Commission’s regulations at 52 Pa.Code §§ 1.21-1.22.</w:t>
      </w:r>
    </w:p>
  </w:footnote>
  <w:footnote w:id="3">
    <w:p w:rsidR="00954C71" w:rsidRDefault="00954C71">
      <w:pPr>
        <w:pStyle w:val="FootnoteText"/>
      </w:pPr>
      <w:r>
        <w:rPr>
          <w:rStyle w:val="FootnoteReference"/>
        </w:rPr>
        <w:footnoteRef/>
      </w:r>
      <w:r>
        <w:t xml:space="preserve"> </w:t>
      </w:r>
      <w:r>
        <w:tab/>
        <w:t>BIE does not believe that Gholston is presently operating.  Tr. at 15-17.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47AC4"/>
    <w:rsid w:val="00065F11"/>
    <w:rsid w:val="000819E5"/>
    <w:rsid w:val="000B40DB"/>
    <w:rsid w:val="000C29CA"/>
    <w:rsid w:val="000D39CD"/>
    <w:rsid w:val="000D3BED"/>
    <w:rsid w:val="000E1DD4"/>
    <w:rsid w:val="000E64D7"/>
    <w:rsid w:val="00104D8D"/>
    <w:rsid w:val="001109E2"/>
    <w:rsid w:val="00115DAF"/>
    <w:rsid w:val="00122DFB"/>
    <w:rsid w:val="00147191"/>
    <w:rsid w:val="00150EB1"/>
    <w:rsid w:val="001600B8"/>
    <w:rsid w:val="0016688B"/>
    <w:rsid w:val="00166B0E"/>
    <w:rsid w:val="001765C3"/>
    <w:rsid w:val="00192824"/>
    <w:rsid w:val="001C5B6F"/>
    <w:rsid w:val="001D7E72"/>
    <w:rsid w:val="001E1C95"/>
    <w:rsid w:val="001F7F8A"/>
    <w:rsid w:val="00212490"/>
    <w:rsid w:val="00251B56"/>
    <w:rsid w:val="002B0937"/>
    <w:rsid w:val="002D4C8F"/>
    <w:rsid w:val="002D7ACE"/>
    <w:rsid w:val="003112BF"/>
    <w:rsid w:val="003212B2"/>
    <w:rsid w:val="00337F8B"/>
    <w:rsid w:val="00355692"/>
    <w:rsid w:val="00361125"/>
    <w:rsid w:val="00373677"/>
    <w:rsid w:val="00382D05"/>
    <w:rsid w:val="003A6970"/>
    <w:rsid w:val="003B1503"/>
    <w:rsid w:val="003C1F8F"/>
    <w:rsid w:val="003E3F38"/>
    <w:rsid w:val="003F2366"/>
    <w:rsid w:val="003F6F58"/>
    <w:rsid w:val="004032CE"/>
    <w:rsid w:val="00405714"/>
    <w:rsid w:val="00407A27"/>
    <w:rsid w:val="00415A1D"/>
    <w:rsid w:val="0042765B"/>
    <w:rsid w:val="004659DD"/>
    <w:rsid w:val="00466F8B"/>
    <w:rsid w:val="00496408"/>
    <w:rsid w:val="00496B51"/>
    <w:rsid w:val="004C0371"/>
    <w:rsid w:val="005031B5"/>
    <w:rsid w:val="005061FF"/>
    <w:rsid w:val="0050701F"/>
    <w:rsid w:val="0050772E"/>
    <w:rsid w:val="0051502A"/>
    <w:rsid w:val="00524411"/>
    <w:rsid w:val="00554484"/>
    <w:rsid w:val="005560D2"/>
    <w:rsid w:val="00571EDD"/>
    <w:rsid w:val="005A7648"/>
    <w:rsid w:val="005B1756"/>
    <w:rsid w:val="005D0132"/>
    <w:rsid w:val="005D0806"/>
    <w:rsid w:val="005E4B6D"/>
    <w:rsid w:val="005F5D10"/>
    <w:rsid w:val="00613248"/>
    <w:rsid w:val="00615EB8"/>
    <w:rsid w:val="00650F97"/>
    <w:rsid w:val="006521C7"/>
    <w:rsid w:val="006619C6"/>
    <w:rsid w:val="00664952"/>
    <w:rsid w:val="0067197F"/>
    <w:rsid w:val="00673F5D"/>
    <w:rsid w:val="00685397"/>
    <w:rsid w:val="006905F4"/>
    <w:rsid w:val="006A416B"/>
    <w:rsid w:val="006A75B3"/>
    <w:rsid w:val="006B001F"/>
    <w:rsid w:val="006B08C2"/>
    <w:rsid w:val="006B789F"/>
    <w:rsid w:val="006E0F54"/>
    <w:rsid w:val="00700589"/>
    <w:rsid w:val="00701ABD"/>
    <w:rsid w:val="00712615"/>
    <w:rsid w:val="00736CC4"/>
    <w:rsid w:val="00771959"/>
    <w:rsid w:val="0077461C"/>
    <w:rsid w:val="007751E5"/>
    <w:rsid w:val="00777417"/>
    <w:rsid w:val="007C3319"/>
    <w:rsid w:val="007C4C3B"/>
    <w:rsid w:val="007E11A3"/>
    <w:rsid w:val="007E2723"/>
    <w:rsid w:val="007E5B8D"/>
    <w:rsid w:val="007E5F82"/>
    <w:rsid w:val="007E6BA7"/>
    <w:rsid w:val="007F29A5"/>
    <w:rsid w:val="008011FE"/>
    <w:rsid w:val="008032DA"/>
    <w:rsid w:val="00806F7E"/>
    <w:rsid w:val="00807CE1"/>
    <w:rsid w:val="00822F55"/>
    <w:rsid w:val="00833A51"/>
    <w:rsid w:val="008417C9"/>
    <w:rsid w:val="00855704"/>
    <w:rsid w:val="008675F2"/>
    <w:rsid w:val="0087075E"/>
    <w:rsid w:val="008736AE"/>
    <w:rsid w:val="008745A3"/>
    <w:rsid w:val="00882840"/>
    <w:rsid w:val="008C1685"/>
    <w:rsid w:val="008F2448"/>
    <w:rsid w:val="009119CA"/>
    <w:rsid w:val="009152CE"/>
    <w:rsid w:val="009157C0"/>
    <w:rsid w:val="00921F2B"/>
    <w:rsid w:val="00922407"/>
    <w:rsid w:val="0093282A"/>
    <w:rsid w:val="00933192"/>
    <w:rsid w:val="0093591C"/>
    <w:rsid w:val="00940F50"/>
    <w:rsid w:val="0094378D"/>
    <w:rsid w:val="00954C71"/>
    <w:rsid w:val="009768DA"/>
    <w:rsid w:val="00976C68"/>
    <w:rsid w:val="009D205E"/>
    <w:rsid w:val="009D5DF4"/>
    <w:rsid w:val="009D67F1"/>
    <w:rsid w:val="009E7BFB"/>
    <w:rsid w:val="009F1C01"/>
    <w:rsid w:val="00A01330"/>
    <w:rsid w:val="00A07660"/>
    <w:rsid w:val="00A4149A"/>
    <w:rsid w:val="00A47726"/>
    <w:rsid w:val="00A66698"/>
    <w:rsid w:val="00A9498C"/>
    <w:rsid w:val="00AB2A2D"/>
    <w:rsid w:val="00AC1591"/>
    <w:rsid w:val="00AE6262"/>
    <w:rsid w:val="00AF288A"/>
    <w:rsid w:val="00B218EC"/>
    <w:rsid w:val="00B23652"/>
    <w:rsid w:val="00B4086D"/>
    <w:rsid w:val="00B66AD6"/>
    <w:rsid w:val="00B86061"/>
    <w:rsid w:val="00BB63B5"/>
    <w:rsid w:val="00BD15FD"/>
    <w:rsid w:val="00BD2D47"/>
    <w:rsid w:val="00BD7173"/>
    <w:rsid w:val="00BE332A"/>
    <w:rsid w:val="00BE5464"/>
    <w:rsid w:val="00BF0ABC"/>
    <w:rsid w:val="00BF1A00"/>
    <w:rsid w:val="00C07D26"/>
    <w:rsid w:val="00C1391B"/>
    <w:rsid w:val="00C170D9"/>
    <w:rsid w:val="00C32828"/>
    <w:rsid w:val="00C33F97"/>
    <w:rsid w:val="00C743BB"/>
    <w:rsid w:val="00C746EB"/>
    <w:rsid w:val="00C751CE"/>
    <w:rsid w:val="00C81100"/>
    <w:rsid w:val="00C851DD"/>
    <w:rsid w:val="00C85CA5"/>
    <w:rsid w:val="00CC2590"/>
    <w:rsid w:val="00CF2C2D"/>
    <w:rsid w:val="00D24A4D"/>
    <w:rsid w:val="00D52DAE"/>
    <w:rsid w:val="00D55527"/>
    <w:rsid w:val="00DB036A"/>
    <w:rsid w:val="00DB273F"/>
    <w:rsid w:val="00DB74ED"/>
    <w:rsid w:val="00DD1D22"/>
    <w:rsid w:val="00DF0230"/>
    <w:rsid w:val="00E01DD4"/>
    <w:rsid w:val="00E04142"/>
    <w:rsid w:val="00E32C7B"/>
    <w:rsid w:val="00E5495C"/>
    <w:rsid w:val="00E777EA"/>
    <w:rsid w:val="00E8717B"/>
    <w:rsid w:val="00EA0D9A"/>
    <w:rsid w:val="00EB018A"/>
    <w:rsid w:val="00ED4D55"/>
    <w:rsid w:val="00ED5209"/>
    <w:rsid w:val="00ED753E"/>
    <w:rsid w:val="00F01C69"/>
    <w:rsid w:val="00F10EDB"/>
    <w:rsid w:val="00F17EFA"/>
    <w:rsid w:val="00F2122C"/>
    <w:rsid w:val="00F25149"/>
    <w:rsid w:val="00F26904"/>
    <w:rsid w:val="00F278E4"/>
    <w:rsid w:val="00F44AA0"/>
    <w:rsid w:val="00F70B3A"/>
    <w:rsid w:val="00F7461B"/>
    <w:rsid w:val="00F81994"/>
    <w:rsid w:val="00F9166E"/>
    <w:rsid w:val="00FD419E"/>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147191"/>
  </w:style>
  <w:style w:type="character" w:customStyle="1" w:styleId="FootnoteTextChar">
    <w:name w:val="Footnote Text Char"/>
    <w:basedOn w:val="DefaultParagraphFont"/>
    <w:link w:val="FootnoteText"/>
    <w:rsid w:val="00147191"/>
  </w:style>
  <w:style w:type="character" w:styleId="FootnoteReference">
    <w:name w:val="footnote reference"/>
    <w:rsid w:val="00147191"/>
    <w:rPr>
      <w:vertAlign w:val="superscript"/>
    </w:rPr>
  </w:style>
  <w:style w:type="paragraph" w:styleId="Header">
    <w:name w:val="header"/>
    <w:basedOn w:val="Normal"/>
    <w:link w:val="HeaderChar"/>
    <w:rsid w:val="002D7ACE"/>
    <w:pPr>
      <w:tabs>
        <w:tab w:val="center" w:pos="4680"/>
        <w:tab w:val="right" w:pos="9360"/>
      </w:tabs>
    </w:pPr>
  </w:style>
  <w:style w:type="character" w:customStyle="1" w:styleId="HeaderChar">
    <w:name w:val="Header Char"/>
    <w:basedOn w:val="DefaultParagraphFont"/>
    <w:link w:val="Header"/>
    <w:rsid w:val="002D7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147191"/>
  </w:style>
  <w:style w:type="character" w:customStyle="1" w:styleId="FootnoteTextChar">
    <w:name w:val="Footnote Text Char"/>
    <w:basedOn w:val="DefaultParagraphFont"/>
    <w:link w:val="FootnoteText"/>
    <w:rsid w:val="00147191"/>
  </w:style>
  <w:style w:type="character" w:styleId="FootnoteReference">
    <w:name w:val="footnote reference"/>
    <w:rsid w:val="00147191"/>
    <w:rPr>
      <w:vertAlign w:val="superscript"/>
    </w:rPr>
  </w:style>
  <w:style w:type="paragraph" w:styleId="Header">
    <w:name w:val="header"/>
    <w:basedOn w:val="Normal"/>
    <w:link w:val="HeaderChar"/>
    <w:rsid w:val="002D7ACE"/>
    <w:pPr>
      <w:tabs>
        <w:tab w:val="center" w:pos="4680"/>
        <w:tab w:val="right" w:pos="9360"/>
      </w:tabs>
    </w:pPr>
  </w:style>
  <w:style w:type="character" w:customStyle="1" w:styleId="HeaderChar">
    <w:name w:val="Header Char"/>
    <w:basedOn w:val="DefaultParagraphFont"/>
    <w:link w:val="Header"/>
    <w:rsid w:val="002D7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CE73F-D622-4172-9D17-B0907379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2243</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2</cp:revision>
  <cp:lastPrinted>2014-05-27T12:52:00Z</cp:lastPrinted>
  <dcterms:created xsi:type="dcterms:W3CDTF">2014-06-03T20:08:00Z</dcterms:created>
  <dcterms:modified xsi:type="dcterms:W3CDTF">2014-06-03T20:08:00Z</dcterms:modified>
</cp:coreProperties>
</file>