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A31" w:rsidRPr="00794977" w:rsidRDefault="004A0A31" w:rsidP="004A0A31">
      <w:pPr>
        <w:rPr>
          <w:b/>
        </w:rPr>
      </w:pPr>
      <w:bookmarkStart w:id="0" w:name="_GoBack"/>
      <w:bookmarkEnd w:id="0"/>
      <w:r w:rsidRPr="00794977">
        <w:rPr>
          <w:b/>
        </w:rPr>
        <w:t>BEFORE THE</w:t>
      </w:r>
    </w:p>
    <w:p w:rsidR="004A0A31" w:rsidRPr="00794977" w:rsidRDefault="004A0A31" w:rsidP="00794977">
      <w:pPr>
        <w:spacing w:line="240" w:lineRule="auto"/>
        <w:rPr>
          <w:b/>
        </w:rPr>
      </w:pPr>
      <w:r w:rsidRPr="00794977">
        <w:rPr>
          <w:b/>
        </w:rPr>
        <w:t>PENNSYLVANIA PUBLIC UTILITY COMMISSION</w:t>
      </w:r>
    </w:p>
    <w:p w:rsidR="004A0A31" w:rsidRDefault="004A0A31" w:rsidP="00794977">
      <w:pPr>
        <w:spacing w:line="240" w:lineRule="auto"/>
        <w:rPr>
          <w:b/>
        </w:rPr>
      </w:pPr>
    </w:p>
    <w:p w:rsidR="00794977" w:rsidRDefault="00794977" w:rsidP="00794977">
      <w:pPr>
        <w:spacing w:line="240" w:lineRule="auto"/>
        <w:rPr>
          <w:b/>
        </w:rPr>
      </w:pPr>
    </w:p>
    <w:p w:rsidR="00794977" w:rsidRPr="00794977" w:rsidRDefault="00794977" w:rsidP="00794977">
      <w:pPr>
        <w:spacing w:line="240" w:lineRule="auto"/>
        <w:rPr>
          <w:b/>
        </w:rPr>
      </w:pPr>
    </w:p>
    <w:p w:rsidR="004A0A31" w:rsidRPr="00794977" w:rsidRDefault="004A0A31" w:rsidP="004A0A31">
      <w:pPr>
        <w:spacing w:line="240" w:lineRule="auto"/>
        <w:jc w:val="left"/>
      </w:pPr>
      <w:r w:rsidRPr="00794977">
        <w:t>Darryl Rodgers</w:t>
      </w:r>
      <w:r w:rsidRPr="00794977">
        <w:tab/>
      </w:r>
      <w:r w:rsidRPr="00794977">
        <w:tab/>
      </w:r>
      <w:r w:rsidRPr="00794977">
        <w:tab/>
      </w:r>
      <w:r w:rsidRPr="00794977">
        <w:tab/>
      </w:r>
      <w:r w:rsidRPr="00794977">
        <w:tab/>
        <w:t>:</w:t>
      </w:r>
    </w:p>
    <w:p w:rsidR="004A0A31" w:rsidRPr="00794977" w:rsidRDefault="004A0A31" w:rsidP="004A0A31">
      <w:pPr>
        <w:spacing w:line="240" w:lineRule="auto"/>
        <w:jc w:val="left"/>
      </w:pPr>
      <w:r w:rsidRPr="00794977">
        <w:tab/>
      </w:r>
      <w:r w:rsidRPr="00794977">
        <w:tab/>
      </w:r>
      <w:r w:rsidRPr="00794977">
        <w:tab/>
      </w:r>
      <w:r w:rsidRPr="00794977">
        <w:tab/>
      </w:r>
      <w:r w:rsidRPr="00794977">
        <w:tab/>
      </w:r>
      <w:r w:rsidRPr="00794977">
        <w:tab/>
      </w:r>
      <w:r w:rsidRPr="00794977">
        <w:tab/>
        <w:t>:</w:t>
      </w:r>
    </w:p>
    <w:p w:rsidR="004A0A31" w:rsidRPr="00794977" w:rsidRDefault="004A0A31" w:rsidP="004A0A31">
      <w:pPr>
        <w:spacing w:line="240" w:lineRule="auto"/>
        <w:jc w:val="left"/>
      </w:pPr>
      <w:r w:rsidRPr="00794977">
        <w:tab/>
        <w:t>v.</w:t>
      </w:r>
      <w:r w:rsidRPr="00794977">
        <w:tab/>
      </w:r>
      <w:r w:rsidRPr="00794977">
        <w:tab/>
      </w:r>
      <w:r w:rsidRPr="00794977">
        <w:tab/>
      </w:r>
      <w:r w:rsidRPr="00794977">
        <w:tab/>
      </w:r>
      <w:r w:rsidRPr="00794977">
        <w:tab/>
      </w:r>
      <w:r w:rsidRPr="00794977">
        <w:tab/>
        <w:t>:</w:t>
      </w:r>
      <w:r w:rsidRPr="00794977">
        <w:tab/>
      </w:r>
      <w:r w:rsidRPr="00794977">
        <w:tab/>
        <w:t>F-2013-2386456</w:t>
      </w:r>
    </w:p>
    <w:p w:rsidR="004A0A31" w:rsidRPr="00794977" w:rsidRDefault="004A0A31" w:rsidP="004A0A31">
      <w:pPr>
        <w:spacing w:line="240" w:lineRule="auto"/>
        <w:jc w:val="left"/>
      </w:pPr>
      <w:r w:rsidRPr="00794977">
        <w:tab/>
      </w:r>
      <w:r w:rsidRPr="00794977">
        <w:tab/>
      </w:r>
      <w:r w:rsidRPr="00794977">
        <w:tab/>
      </w:r>
      <w:r w:rsidRPr="00794977">
        <w:tab/>
      </w:r>
      <w:r w:rsidRPr="00794977">
        <w:tab/>
      </w:r>
      <w:r w:rsidRPr="00794977">
        <w:tab/>
      </w:r>
      <w:r w:rsidRPr="00794977">
        <w:tab/>
        <w:t>:</w:t>
      </w:r>
    </w:p>
    <w:p w:rsidR="004A0A31" w:rsidRPr="00794977" w:rsidRDefault="004A0A31" w:rsidP="004A0A31">
      <w:pPr>
        <w:spacing w:line="240" w:lineRule="auto"/>
        <w:jc w:val="left"/>
      </w:pPr>
      <w:r w:rsidRPr="00794977">
        <w:t>Philadelphia Gas Works</w:t>
      </w:r>
      <w:r w:rsidRPr="00794977">
        <w:tab/>
      </w:r>
      <w:r w:rsidRPr="00794977">
        <w:tab/>
      </w:r>
      <w:r w:rsidRPr="00794977">
        <w:tab/>
      </w:r>
      <w:r w:rsidRPr="00794977">
        <w:tab/>
        <w:t>:</w:t>
      </w:r>
    </w:p>
    <w:p w:rsidR="004A0A31" w:rsidRPr="00794977" w:rsidRDefault="004A0A31" w:rsidP="00794977">
      <w:pPr>
        <w:spacing w:line="240" w:lineRule="auto"/>
        <w:jc w:val="left"/>
      </w:pPr>
    </w:p>
    <w:p w:rsidR="004A0A31" w:rsidRDefault="004A0A31" w:rsidP="00794977">
      <w:pPr>
        <w:spacing w:line="240" w:lineRule="auto"/>
      </w:pPr>
    </w:p>
    <w:p w:rsidR="00794977" w:rsidRPr="00794977" w:rsidRDefault="00794977" w:rsidP="00794977">
      <w:pPr>
        <w:spacing w:line="240" w:lineRule="auto"/>
      </w:pPr>
    </w:p>
    <w:p w:rsidR="00C04960" w:rsidRDefault="004A0A31" w:rsidP="00794977">
      <w:pPr>
        <w:spacing w:line="240" w:lineRule="auto"/>
        <w:rPr>
          <w:b/>
          <w:u w:val="single"/>
        </w:rPr>
      </w:pPr>
      <w:r w:rsidRPr="00794977">
        <w:rPr>
          <w:b/>
          <w:u w:val="single"/>
        </w:rPr>
        <w:t>INITIAL DECISION</w:t>
      </w:r>
    </w:p>
    <w:p w:rsidR="00794977" w:rsidRPr="00794977" w:rsidRDefault="00794977" w:rsidP="00794977">
      <w:pPr>
        <w:spacing w:line="240" w:lineRule="auto"/>
        <w:rPr>
          <w:b/>
          <w:u w:val="single"/>
        </w:rPr>
      </w:pPr>
    </w:p>
    <w:p w:rsidR="004A0A31" w:rsidRPr="00794977" w:rsidRDefault="004A0A31" w:rsidP="004A0A31">
      <w:pPr>
        <w:spacing w:line="240" w:lineRule="auto"/>
        <w:rPr>
          <w:b/>
          <w:u w:val="single"/>
        </w:rPr>
      </w:pPr>
    </w:p>
    <w:p w:rsidR="004A0A31" w:rsidRPr="00794977" w:rsidRDefault="004A0A31" w:rsidP="004A0A31">
      <w:pPr>
        <w:spacing w:line="240" w:lineRule="auto"/>
      </w:pPr>
      <w:r w:rsidRPr="00794977">
        <w:t>Before</w:t>
      </w:r>
    </w:p>
    <w:p w:rsidR="004A0A31" w:rsidRPr="00794977" w:rsidRDefault="004A0A31" w:rsidP="004A0A31">
      <w:pPr>
        <w:spacing w:line="240" w:lineRule="auto"/>
      </w:pPr>
      <w:r w:rsidRPr="00794977">
        <w:t>Susan D. Colwell</w:t>
      </w:r>
    </w:p>
    <w:p w:rsidR="004A0A31" w:rsidRPr="00794977" w:rsidRDefault="004A0A31" w:rsidP="004A0A31">
      <w:pPr>
        <w:spacing w:line="240" w:lineRule="auto"/>
      </w:pPr>
      <w:r w:rsidRPr="00794977">
        <w:t>Administrative Law Judge</w:t>
      </w:r>
    </w:p>
    <w:p w:rsidR="004A0A31" w:rsidRPr="00794977" w:rsidRDefault="004A0A31" w:rsidP="004A0A31">
      <w:pPr>
        <w:spacing w:line="240" w:lineRule="auto"/>
        <w:jc w:val="left"/>
      </w:pPr>
    </w:p>
    <w:p w:rsidR="004A0A31" w:rsidRPr="00794977" w:rsidRDefault="004A0A31" w:rsidP="00794977">
      <w:pPr>
        <w:spacing w:line="240" w:lineRule="auto"/>
        <w:jc w:val="left"/>
      </w:pPr>
    </w:p>
    <w:p w:rsidR="004A0A31" w:rsidRPr="00794977" w:rsidRDefault="004A0A31" w:rsidP="00794977">
      <w:pPr>
        <w:spacing w:line="240" w:lineRule="auto"/>
        <w:rPr>
          <w:u w:val="single"/>
        </w:rPr>
      </w:pPr>
      <w:r w:rsidRPr="00794977">
        <w:rPr>
          <w:u w:val="single"/>
        </w:rPr>
        <w:t>HISTORY OF THE PROCEEDING</w:t>
      </w:r>
    </w:p>
    <w:p w:rsidR="004A0A31" w:rsidRDefault="004A0A31" w:rsidP="00794977">
      <w:pPr>
        <w:spacing w:line="240" w:lineRule="auto"/>
        <w:rPr>
          <w:u w:val="single"/>
        </w:rPr>
      </w:pPr>
    </w:p>
    <w:p w:rsidR="00794977" w:rsidRPr="00794977" w:rsidRDefault="00794977" w:rsidP="00794977">
      <w:pPr>
        <w:spacing w:line="240" w:lineRule="auto"/>
        <w:rPr>
          <w:u w:val="single"/>
        </w:rPr>
      </w:pPr>
    </w:p>
    <w:p w:rsidR="00B00FFF" w:rsidRPr="00794977" w:rsidRDefault="00B00FFF" w:rsidP="00B00FFF">
      <w:pPr>
        <w:jc w:val="left"/>
      </w:pPr>
      <w:r w:rsidRPr="00794977">
        <w:tab/>
      </w:r>
      <w:r w:rsidRPr="00794977">
        <w:tab/>
        <w:t xml:space="preserve">The purpose of this Initial Decision is to </w:t>
      </w:r>
      <w:r w:rsidR="00D252A0">
        <w:t>sustain</w:t>
      </w:r>
      <w:r w:rsidR="00355C53" w:rsidRPr="00794977">
        <w:t xml:space="preserve"> a</w:t>
      </w:r>
      <w:r w:rsidRPr="00794977">
        <w:t xml:space="preserve"> </w:t>
      </w:r>
      <w:r w:rsidR="00355C53" w:rsidRPr="00794977">
        <w:t>c</w:t>
      </w:r>
      <w:r w:rsidRPr="00794977">
        <w:t xml:space="preserve">omplaint </w:t>
      </w:r>
      <w:r w:rsidR="00BD610C" w:rsidRPr="00794977">
        <w:t xml:space="preserve">seeking relief from a utility bill assessed for estimated </w:t>
      </w:r>
      <w:r w:rsidR="002875D5" w:rsidRPr="00794977">
        <w:t>usage during a time that</w:t>
      </w:r>
      <w:r w:rsidRPr="00794977">
        <w:t xml:space="preserve"> the customer did not live at the residence.</w:t>
      </w:r>
    </w:p>
    <w:p w:rsidR="00B00FFF" w:rsidRPr="00794977" w:rsidRDefault="00B00FFF" w:rsidP="00B00FFF">
      <w:pPr>
        <w:jc w:val="left"/>
      </w:pPr>
    </w:p>
    <w:p w:rsidR="00B00FFF" w:rsidRPr="00794977" w:rsidRDefault="00B00FFF" w:rsidP="00B00FFF">
      <w:pPr>
        <w:jc w:val="left"/>
      </w:pPr>
      <w:r w:rsidRPr="00794977">
        <w:tab/>
      </w:r>
      <w:r w:rsidRPr="00794977">
        <w:tab/>
        <w:t>On October 2, 2013, Darryl Rodgers (Complainant) filed a formal Complaint against Philadelphia Gas Works (PGW) alleging that he was not living at the subject residence</w:t>
      </w:r>
      <w:r w:rsidR="007C5405">
        <w:t>, </w:t>
      </w:r>
      <w:r w:rsidR="00BD610C" w:rsidRPr="00794977">
        <w:t>2547 North Bouvier Street,</w:t>
      </w:r>
      <w:r w:rsidRPr="00794977">
        <w:t xml:space="preserve"> until December</w:t>
      </w:r>
      <w:r w:rsidR="00962437">
        <w:t>,</w:t>
      </w:r>
      <w:r w:rsidRPr="00794977">
        <w:t xml:space="preserve"> 2012, and that there was no heat or hot water </w:t>
      </w:r>
      <w:r w:rsidR="002875D5" w:rsidRPr="00794977">
        <w:t>when he moved in</w:t>
      </w:r>
      <w:r w:rsidRPr="00794977">
        <w:t>.  He alleges that PGW placed a charge for $2,400 on his bill and requires payment before turning on the gas.</w:t>
      </w:r>
    </w:p>
    <w:p w:rsidR="00B00FFF" w:rsidRPr="00794977" w:rsidRDefault="00B00FFF" w:rsidP="00B00FFF">
      <w:pPr>
        <w:jc w:val="left"/>
      </w:pPr>
    </w:p>
    <w:p w:rsidR="00780370" w:rsidRPr="00794977" w:rsidRDefault="00B00FFF" w:rsidP="00B00FFF">
      <w:pPr>
        <w:jc w:val="left"/>
      </w:pPr>
      <w:r w:rsidRPr="00794977">
        <w:tab/>
      </w:r>
      <w:r w:rsidRPr="00794977">
        <w:tab/>
        <w:t xml:space="preserve">The Complaint was served by the Commission's Secretary on October 4, 2013. </w:t>
      </w:r>
      <w:r w:rsidR="00F302CB">
        <w:t xml:space="preserve"> </w:t>
      </w:r>
      <w:r w:rsidRPr="00794977">
        <w:t>PGW filed its Answer on October 24, 2013,</w:t>
      </w:r>
      <w:r w:rsidR="00BF1C00" w:rsidRPr="00794977">
        <w:t xml:space="preserve"> denying that there are incorrect charges and </w:t>
      </w:r>
      <w:r w:rsidRPr="00794977">
        <w:t>stating that</w:t>
      </w:r>
      <w:r w:rsidR="00BF1C00" w:rsidRPr="00794977">
        <w:t xml:space="preserve"> </w:t>
      </w:r>
      <w:r w:rsidR="009A6DF2">
        <w:t>Complainant</w:t>
      </w:r>
      <w:r w:rsidR="00780370" w:rsidRPr="00794977">
        <w:t xml:space="preserve"> was found to be responsible for usage from Nove</w:t>
      </w:r>
      <w:r w:rsidR="002C1538">
        <w:t>mber 1, 2011 t</w:t>
      </w:r>
      <w:r w:rsidR="00470BDF">
        <w:t>hrough August </w:t>
      </w:r>
      <w:r w:rsidR="002C1538">
        <w:t>19,</w:t>
      </w:r>
      <w:r w:rsidR="00470BDF">
        <w:t> </w:t>
      </w:r>
      <w:r w:rsidR="00780370" w:rsidRPr="00794977">
        <w:t xml:space="preserve">2013, and that his grandfather would be held responsible for usage from June 18, </w:t>
      </w:r>
      <w:r w:rsidR="00780370" w:rsidRPr="00794977">
        <w:lastRenderedPageBreak/>
        <w:t>2010 through November 1, 2011.  PGW billed the Complainant in the amount of $2,235.41, based on historical usage from August 11, 2005 through August 14, 2006.</w:t>
      </w:r>
    </w:p>
    <w:p w:rsidR="00780370" w:rsidRPr="00794977" w:rsidRDefault="00780370" w:rsidP="00B00FFF">
      <w:pPr>
        <w:jc w:val="left"/>
      </w:pPr>
    </w:p>
    <w:p w:rsidR="00780370" w:rsidRPr="00794977" w:rsidRDefault="00780370" w:rsidP="00B00FFF">
      <w:pPr>
        <w:jc w:val="left"/>
      </w:pPr>
      <w:r w:rsidRPr="00794977">
        <w:tab/>
      </w:r>
      <w:r w:rsidRPr="00794977">
        <w:tab/>
        <w:t>Further, this is a timely appeal from a Bureau of Consumer Services informal decision date</w:t>
      </w:r>
      <w:r w:rsidR="007431DB">
        <w:t>d</w:t>
      </w:r>
      <w:r w:rsidRPr="00794977">
        <w:t xml:space="preserve"> September 9, 2013, at BCS No. 3143891.</w:t>
      </w:r>
    </w:p>
    <w:p w:rsidR="00780370" w:rsidRPr="00794977" w:rsidRDefault="00780370" w:rsidP="00B00FFF">
      <w:pPr>
        <w:jc w:val="left"/>
      </w:pPr>
    </w:p>
    <w:p w:rsidR="00780370" w:rsidRPr="00794977" w:rsidRDefault="00780370" w:rsidP="00B00FFF">
      <w:pPr>
        <w:jc w:val="left"/>
      </w:pPr>
      <w:r w:rsidRPr="00794977">
        <w:tab/>
      </w:r>
      <w:r w:rsidRPr="00794977">
        <w:tab/>
        <w:t>A hearing notice was issued on October 31, 2013, which set the telephonic hearing for Monday, January 27, 2014, and assigned the matter to me.  I issued a prehearing order on November 6, 201</w:t>
      </w:r>
      <w:r w:rsidR="007431DB">
        <w:t>3</w:t>
      </w:r>
      <w:r w:rsidRPr="00794977">
        <w:t>, which set forth some of the requirements for a formal hearing before the Commission.</w:t>
      </w:r>
    </w:p>
    <w:p w:rsidR="00780370" w:rsidRPr="00794977" w:rsidRDefault="00780370" w:rsidP="00B00FFF">
      <w:pPr>
        <w:jc w:val="left"/>
      </w:pPr>
    </w:p>
    <w:p w:rsidR="00C62298" w:rsidRPr="00794977" w:rsidRDefault="00780370" w:rsidP="00B00FFF">
      <w:pPr>
        <w:jc w:val="left"/>
      </w:pPr>
      <w:r w:rsidRPr="00794977">
        <w:tab/>
      </w:r>
      <w:r w:rsidRPr="00794977">
        <w:tab/>
        <w:t xml:space="preserve">The hearing convened as scheduled.  Complainant represented himself and submitted three exhibits, </w:t>
      </w:r>
      <w:r w:rsidR="00133087" w:rsidRPr="00794977">
        <w:t xml:space="preserve">C-1 through C-3, </w:t>
      </w:r>
      <w:r w:rsidRPr="00794977">
        <w:t xml:space="preserve">and PGW was represented by Laureto Farinas, Esq., who presented the testimony of Cynthia Garner and submitted six exhibits.  </w:t>
      </w:r>
      <w:r w:rsidR="00133087" w:rsidRPr="00794977">
        <w:t xml:space="preserve">All exhibits were admitted to the record.  </w:t>
      </w:r>
      <w:r w:rsidRPr="00794977">
        <w:t xml:space="preserve">A transcript of </w:t>
      </w:r>
      <w:r w:rsidR="00C62298" w:rsidRPr="00794977">
        <w:t>77 pages was gen</w:t>
      </w:r>
      <w:r w:rsidR="00021666">
        <w:t>erated and was filed on January 30, </w:t>
      </w:r>
      <w:r w:rsidR="00C62298" w:rsidRPr="00794977">
        <w:t>2014.  The record was left open for the submission of additional exhibits.</w:t>
      </w:r>
    </w:p>
    <w:p w:rsidR="00C62298" w:rsidRPr="00794977" w:rsidRDefault="00C62298" w:rsidP="00B00FFF">
      <w:pPr>
        <w:jc w:val="left"/>
      </w:pPr>
    </w:p>
    <w:p w:rsidR="00C62298" w:rsidRPr="00794977" w:rsidRDefault="00C62298" w:rsidP="00B00FFF">
      <w:pPr>
        <w:jc w:val="left"/>
      </w:pPr>
      <w:r w:rsidRPr="00794977">
        <w:tab/>
      </w:r>
      <w:r w:rsidRPr="00794977">
        <w:tab/>
        <w:t>By Order issued January 27, 2014, the parties were directed to file the additional proposed exhibits on or befo</w:t>
      </w:r>
      <w:r w:rsidR="008A4A9F" w:rsidRPr="00794977">
        <w:t>re February 3, 2014, and</w:t>
      </w:r>
      <w:r w:rsidRPr="00794977">
        <w:t xml:space="preserve"> the deadline for objections</w:t>
      </w:r>
      <w:r w:rsidR="008A4A9F" w:rsidRPr="00794977">
        <w:t xml:space="preserve"> to those exhibits</w:t>
      </w:r>
      <w:r w:rsidRPr="00794977">
        <w:t xml:space="preserve"> </w:t>
      </w:r>
      <w:r w:rsidR="008A4A9F" w:rsidRPr="00794977">
        <w:t xml:space="preserve">was set </w:t>
      </w:r>
      <w:r w:rsidRPr="00794977">
        <w:t>as February 14, 2014.  Both sides submitted additional documents, and by hearing notice issued March 13, 2014, a second hearing was scheduled for April 28, 2014.</w:t>
      </w:r>
    </w:p>
    <w:p w:rsidR="00C62298" w:rsidRPr="00794977" w:rsidRDefault="00C62298" w:rsidP="00B00FFF">
      <w:pPr>
        <w:jc w:val="left"/>
      </w:pPr>
    </w:p>
    <w:p w:rsidR="00C62298" w:rsidRPr="00794977" w:rsidRDefault="00C62298" w:rsidP="00B00FFF">
      <w:pPr>
        <w:jc w:val="left"/>
      </w:pPr>
      <w:r w:rsidRPr="00794977">
        <w:tab/>
      </w:r>
      <w:r w:rsidRPr="00794977">
        <w:tab/>
        <w:t>The hearing was held as scheduled, with Complainant submitting Complainant exhibits C-4 through C-10</w:t>
      </w:r>
      <w:r w:rsidR="00133087" w:rsidRPr="00794977">
        <w:t>, which were admitted into the record</w:t>
      </w:r>
      <w:r w:rsidRPr="00794977">
        <w:t>.  A second transcript was generated, and the record closed upon its receipt on April 29, 2014.</w:t>
      </w:r>
    </w:p>
    <w:p w:rsidR="00C62298" w:rsidRPr="00794977" w:rsidRDefault="00C62298" w:rsidP="00B00FFF">
      <w:pPr>
        <w:jc w:val="left"/>
      </w:pPr>
    </w:p>
    <w:p w:rsidR="004A0A31" w:rsidRPr="00794977" w:rsidRDefault="00C62298" w:rsidP="00C62298">
      <w:pPr>
        <w:jc w:val="left"/>
        <w:rPr>
          <w:u w:val="single"/>
        </w:rPr>
      </w:pPr>
      <w:r w:rsidRPr="00794977">
        <w:tab/>
      </w:r>
      <w:r w:rsidRPr="00794977">
        <w:tab/>
        <w:t>The matter is ripe for disposition.</w:t>
      </w:r>
    </w:p>
    <w:p w:rsidR="004A0A31" w:rsidRDefault="004A0A31" w:rsidP="009A1545">
      <w:pPr>
        <w:spacing w:line="240" w:lineRule="auto"/>
        <w:jc w:val="left"/>
      </w:pPr>
    </w:p>
    <w:p w:rsidR="009A1545" w:rsidRPr="00794977" w:rsidRDefault="009A1545" w:rsidP="009A1545">
      <w:pPr>
        <w:spacing w:line="240" w:lineRule="auto"/>
        <w:jc w:val="left"/>
      </w:pPr>
    </w:p>
    <w:p w:rsidR="009A1545" w:rsidRDefault="009A1545" w:rsidP="00655E07">
      <w:pPr>
        <w:rPr>
          <w:u w:val="single"/>
        </w:rPr>
      </w:pPr>
      <w:r>
        <w:rPr>
          <w:u w:val="single"/>
        </w:rPr>
        <w:br w:type="page"/>
      </w:r>
    </w:p>
    <w:p w:rsidR="00655E07" w:rsidRPr="00794977" w:rsidRDefault="00655E07" w:rsidP="00655E07">
      <w:pPr>
        <w:rPr>
          <w:u w:val="single"/>
        </w:rPr>
      </w:pPr>
      <w:r w:rsidRPr="00794977">
        <w:rPr>
          <w:u w:val="single"/>
        </w:rPr>
        <w:lastRenderedPageBreak/>
        <w:t>FINDINGS OF FACT</w:t>
      </w:r>
    </w:p>
    <w:p w:rsidR="00655E07" w:rsidRPr="00794977" w:rsidRDefault="00655E07" w:rsidP="00655E07">
      <w:pPr>
        <w:rPr>
          <w:u w:val="single"/>
        </w:rPr>
      </w:pPr>
    </w:p>
    <w:p w:rsidR="00655E07" w:rsidRPr="00794977" w:rsidRDefault="00655E07" w:rsidP="00655E07">
      <w:pPr>
        <w:jc w:val="left"/>
      </w:pPr>
      <w:r w:rsidRPr="00794977">
        <w:tab/>
      </w:r>
      <w:r w:rsidRPr="00794977">
        <w:tab/>
        <w:t>1.</w:t>
      </w:r>
      <w:r w:rsidRPr="00794977">
        <w:tab/>
        <w:t>Complainant is Darryl Rodgers, 2547 North Bouvier Street, Philadelphia PA 19132.  Tr. 7.</w:t>
      </w:r>
    </w:p>
    <w:p w:rsidR="00655E07" w:rsidRPr="00794977" w:rsidRDefault="00655E07" w:rsidP="00655E07">
      <w:pPr>
        <w:jc w:val="left"/>
      </w:pPr>
    </w:p>
    <w:p w:rsidR="00655E07" w:rsidRPr="00794977" w:rsidRDefault="00655E07" w:rsidP="00655E07">
      <w:pPr>
        <w:jc w:val="left"/>
      </w:pPr>
      <w:r w:rsidRPr="00794977">
        <w:tab/>
      </w:r>
      <w:r w:rsidRPr="00794977">
        <w:tab/>
        <w:t>2.</w:t>
      </w:r>
      <w:r w:rsidRPr="00794977">
        <w:tab/>
        <w:t>Respondent is Philadelphia Gas Works, a jurisdictional public utility providing residential gas service in the Commonwealth of Pennsylvania.</w:t>
      </w:r>
    </w:p>
    <w:p w:rsidR="00655E07" w:rsidRPr="00794977" w:rsidRDefault="00655E07" w:rsidP="00655E07">
      <w:pPr>
        <w:jc w:val="left"/>
      </w:pPr>
    </w:p>
    <w:p w:rsidR="00655E07" w:rsidRPr="00794977" w:rsidRDefault="00655E07" w:rsidP="00655E07">
      <w:pPr>
        <w:jc w:val="left"/>
      </w:pPr>
      <w:r w:rsidRPr="00794977">
        <w:tab/>
      </w:r>
      <w:r w:rsidRPr="00794977">
        <w:tab/>
        <w:t>3.</w:t>
      </w:r>
      <w:r w:rsidRPr="00794977">
        <w:tab/>
      </w:r>
      <w:r w:rsidR="0039354A" w:rsidRPr="00794977">
        <w:t xml:space="preserve">Complainant </w:t>
      </w:r>
      <w:r w:rsidRPr="00794977">
        <w:t xml:space="preserve">Exhibit C-1 is a </w:t>
      </w:r>
      <w:r w:rsidR="002875D5" w:rsidRPr="00794977">
        <w:t xml:space="preserve">two-page photocopy of Complainant's </w:t>
      </w:r>
      <w:r w:rsidRPr="00794977">
        <w:t>W</w:t>
      </w:r>
      <w:r w:rsidR="002875D5" w:rsidRPr="00794977">
        <w:t>-</w:t>
      </w:r>
      <w:r w:rsidRPr="00794977">
        <w:t xml:space="preserve">2 </w:t>
      </w:r>
      <w:r w:rsidR="008A4A9F" w:rsidRPr="00794977">
        <w:t>tax form</w:t>
      </w:r>
      <w:r w:rsidR="002875D5" w:rsidRPr="00794977">
        <w:t>s for calendar years 2010 and 2011</w:t>
      </w:r>
      <w:r w:rsidR="008A4A9F" w:rsidRPr="00794977">
        <w:t xml:space="preserve"> </w:t>
      </w:r>
      <w:r w:rsidRPr="00794977">
        <w:t>showing the</w:t>
      </w:r>
      <w:r w:rsidR="008A4A9F" w:rsidRPr="00794977">
        <w:t xml:space="preserve"> Complainant's name and the</w:t>
      </w:r>
      <w:r w:rsidR="00FC7971">
        <w:t xml:space="preserve"> address of </w:t>
      </w:r>
      <w:r w:rsidRPr="00794977">
        <w:t>839 North Fifth Street.  Tr. 8.</w:t>
      </w:r>
    </w:p>
    <w:p w:rsidR="00655E07" w:rsidRPr="00794977" w:rsidRDefault="00655E07" w:rsidP="00655E07">
      <w:pPr>
        <w:jc w:val="left"/>
      </w:pPr>
    </w:p>
    <w:p w:rsidR="00655E07" w:rsidRPr="00794977" w:rsidRDefault="00655E07" w:rsidP="00655E07">
      <w:pPr>
        <w:jc w:val="left"/>
      </w:pPr>
      <w:r w:rsidRPr="00794977">
        <w:tab/>
      </w:r>
      <w:r w:rsidRPr="00794977">
        <w:tab/>
        <w:t>4.</w:t>
      </w:r>
      <w:r w:rsidRPr="00794977">
        <w:tab/>
      </w:r>
      <w:r w:rsidR="0039354A" w:rsidRPr="00794977">
        <w:t xml:space="preserve">Complainant </w:t>
      </w:r>
      <w:r w:rsidRPr="00794977">
        <w:t>Exhibit C-2 is a W</w:t>
      </w:r>
      <w:r w:rsidR="007431DB">
        <w:t>-</w:t>
      </w:r>
      <w:r w:rsidRPr="00794977">
        <w:t xml:space="preserve">2 </w:t>
      </w:r>
      <w:r w:rsidR="00F70B6F" w:rsidRPr="00794977">
        <w:t xml:space="preserve">for 2012 </w:t>
      </w:r>
      <w:r w:rsidRPr="00794977">
        <w:t>showing the</w:t>
      </w:r>
      <w:r w:rsidR="008A4A9F" w:rsidRPr="00794977">
        <w:t xml:space="preserve"> Complainant's name and the</w:t>
      </w:r>
      <w:r w:rsidRPr="00794977">
        <w:t xml:space="preserve"> address of 33 Tidewater</w:t>
      </w:r>
      <w:r w:rsidR="00133087" w:rsidRPr="00794977">
        <w:t xml:space="preserve"> Lane</w:t>
      </w:r>
      <w:r w:rsidRPr="00794977">
        <w:t>,</w:t>
      </w:r>
      <w:r w:rsidR="00133087" w:rsidRPr="00794977">
        <w:t xml:space="preserve"> Willingboro</w:t>
      </w:r>
      <w:r w:rsidRPr="00794977">
        <w:t xml:space="preserve"> New Jersey in December</w:t>
      </w:r>
      <w:r w:rsidR="006F42F5">
        <w:t>,</w:t>
      </w:r>
      <w:r w:rsidRPr="00794977">
        <w:t xml:space="preserve"> 2012.  Tr. 8.</w:t>
      </w:r>
    </w:p>
    <w:p w:rsidR="00655E07" w:rsidRPr="00794977" w:rsidRDefault="00655E07" w:rsidP="00655E07">
      <w:pPr>
        <w:jc w:val="left"/>
      </w:pPr>
    </w:p>
    <w:p w:rsidR="00655E07" w:rsidRPr="00794977" w:rsidRDefault="00655E07" w:rsidP="00655E07">
      <w:pPr>
        <w:jc w:val="left"/>
      </w:pPr>
      <w:r w:rsidRPr="00794977">
        <w:tab/>
      </w:r>
      <w:r w:rsidRPr="00794977">
        <w:tab/>
        <w:t>5.</w:t>
      </w:r>
      <w:r w:rsidRPr="00794977">
        <w:tab/>
      </w:r>
      <w:r w:rsidR="0039354A" w:rsidRPr="00794977">
        <w:t xml:space="preserve">Complainant </w:t>
      </w:r>
      <w:r w:rsidRPr="00794977">
        <w:t xml:space="preserve">Exhibit C-3 </w:t>
      </w:r>
      <w:r w:rsidR="00133087" w:rsidRPr="00794977">
        <w:t>is a form from Roxborough Memorial Hospital Emergency Department, Philadelphia PA, dated July 9, 2013, entitled "After Care Instructions," for an episode of syncope.  Ex. C-3.</w:t>
      </w:r>
    </w:p>
    <w:p w:rsidR="00655E07" w:rsidRPr="00794977" w:rsidRDefault="00655E07" w:rsidP="00655E07">
      <w:pPr>
        <w:jc w:val="left"/>
      </w:pPr>
    </w:p>
    <w:p w:rsidR="00655E07" w:rsidRPr="00794977" w:rsidRDefault="00655E07" w:rsidP="00655E07">
      <w:pPr>
        <w:jc w:val="left"/>
      </w:pPr>
      <w:r w:rsidRPr="00794977">
        <w:tab/>
      </w:r>
      <w:r w:rsidRPr="00794977">
        <w:tab/>
        <w:t>6.</w:t>
      </w:r>
      <w:r w:rsidRPr="00794977">
        <w:tab/>
        <w:t>Complainant began to clean out the subject property in December</w:t>
      </w:r>
      <w:r w:rsidR="00FA1C1F">
        <w:t>,</w:t>
      </w:r>
      <w:r w:rsidRPr="00794977">
        <w:t xml:space="preserve"> 2012, at which time he moved into the house located there.  Tr. 9.</w:t>
      </w:r>
    </w:p>
    <w:p w:rsidR="00655E07" w:rsidRPr="00794977" w:rsidRDefault="00655E07" w:rsidP="00655E07">
      <w:pPr>
        <w:jc w:val="left"/>
      </w:pPr>
    </w:p>
    <w:p w:rsidR="00655E07" w:rsidRPr="00794977" w:rsidRDefault="00655E07" w:rsidP="00655E07">
      <w:pPr>
        <w:jc w:val="left"/>
      </w:pPr>
      <w:r w:rsidRPr="00794977">
        <w:tab/>
      </w:r>
      <w:r w:rsidRPr="00794977">
        <w:tab/>
        <w:t>7.</w:t>
      </w:r>
      <w:r w:rsidRPr="00794977">
        <w:tab/>
        <w:t>At the time that he moved in, there was no hot water and the furnace was not operational.  Tr. 9.</w:t>
      </w:r>
    </w:p>
    <w:p w:rsidR="00655E07" w:rsidRPr="00794977" w:rsidRDefault="00655E07" w:rsidP="00655E07">
      <w:pPr>
        <w:jc w:val="left"/>
      </w:pPr>
    </w:p>
    <w:p w:rsidR="00655E07" w:rsidRPr="00794977" w:rsidRDefault="00655E07" w:rsidP="00655E07">
      <w:pPr>
        <w:jc w:val="left"/>
      </w:pPr>
      <w:r w:rsidRPr="00794977">
        <w:tab/>
      </w:r>
      <w:r w:rsidRPr="00794977">
        <w:tab/>
        <w:t>8.</w:t>
      </w:r>
      <w:r w:rsidRPr="00794977">
        <w:tab/>
        <w:t>Prior to moving in, Complainant checked on the house and its contents numerous times.  Tr. 11.</w:t>
      </w:r>
    </w:p>
    <w:p w:rsidR="00655E07" w:rsidRPr="00794977" w:rsidRDefault="00655E07" w:rsidP="00655E07">
      <w:pPr>
        <w:jc w:val="left"/>
      </w:pPr>
    </w:p>
    <w:p w:rsidR="00655E07" w:rsidRPr="00794977" w:rsidRDefault="00655E07" w:rsidP="00655E07">
      <w:pPr>
        <w:jc w:val="left"/>
      </w:pPr>
      <w:r w:rsidRPr="00794977">
        <w:tab/>
      </w:r>
      <w:r w:rsidRPr="00794977">
        <w:tab/>
        <w:t>9.</w:t>
      </w:r>
      <w:r w:rsidRPr="00794977">
        <w:tab/>
      </w:r>
      <w:r w:rsidR="008A3680" w:rsidRPr="00794977">
        <w:t>During the time period just prior to December</w:t>
      </w:r>
      <w:r w:rsidR="00FA1C1F">
        <w:t>,</w:t>
      </w:r>
      <w:r w:rsidR="008A3680" w:rsidRPr="00794977">
        <w:t xml:space="preserve"> 2012, he was undergoing chemotherapy and needed to be living with someone who could provide assistance if necessary, which is why he was in New Jersey with his daughter's mother.  Tr. 12-13.</w:t>
      </w:r>
    </w:p>
    <w:p w:rsidR="008A3680" w:rsidRPr="00794977" w:rsidRDefault="008A3680" w:rsidP="00655E07">
      <w:pPr>
        <w:jc w:val="left"/>
      </w:pPr>
    </w:p>
    <w:p w:rsidR="008A3680" w:rsidRPr="00794977" w:rsidRDefault="008A3680" w:rsidP="00655E07">
      <w:pPr>
        <w:jc w:val="left"/>
      </w:pPr>
      <w:r w:rsidRPr="00794977">
        <w:tab/>
      </w:r>
      <w:r w:rsidRPr="00794977">
        <w:tab/>
        <w:t>10.</w:t>
      </w:r>
      <w:r w:rsidRPr="00794977">
        <w:tab/>
        <w:t>He began employment with the City of Philadelphia in 2011, in the Office of Addiction Services.  Tr. 13-14.</w:t>
      </w:r>
    </w:p>
    <w:p w:rsidR="008A3680" w:rsidRPr="00794977" w:rsidRDefault="008A3680" w:rsidP="00655E07">
      <w:pPr>
        <w:jc w:val="left"/>
      </w:pPr>
    </w:p>
    <w:p w:rsidR="008A3680" w:rsidRPr="00794977" w:rsidRDefault="008A3680" w:rsidP="00655E07">
      <w:pPr>
        <w:jc w:val="left"/>
      </w:pPr>
      <w:r w:rsidRPr="00794977">
        <w:tab/>
      </w:r>
      <w:r w:rsidRPr="00794977">
        <w:tab/>
        <w:t>11.</w:t>
      </w:r>
      <w:r w:rsidRPr="00794977">
        <w:tab/>
        <w:t>He is not bound by a requirement that he live in the City of Philadelphia as his employer contracts with the City.  Tr. 12-15.</w:t>
      </w:r>
    </w:p>
    <w:p w:rsidR="008A3680" w:rsidRPr="00794977" w:rsidRDefault="008A3680" w:rsidP="00655E07">
      <w:pPr>
        <w:jc w:val="left"/>
      </w:pPr>
    </w:p>
    <w:p w:rsidR="008A3680" w:rsidRPr="00794977" w:rsidRDefault="008A3680" w:rsidP="00655E07">
      <w:pPr>
        <w:jc w:val="left"/>
      </w:pPr>
      <w:r w:rsidRPr="00794977">
        <w:tab/>
      </w:r>
      <w:r w:rsidRPr="00794977">
        <w:tab/>
        <w:t>12.</w:t>
      </w:r>
      <w:r w:rsidRPr="00794977">
        <w:tab/>
        <w:t>He submitted a copy of his lease to PGW in order to have the gas turned on.  Tr. 15.</w:t>
      </w:r>
    </w:p>
    <w:p w:rsidR="008A3680" w:rsidRPr="00794977" w:rsidRDefault="008A3680" w:rsidP="00655E07">
      <w:pPr>
        <w:jc w:val="left"/>
      </w:pPr>
    </w:p>
    <w:p w:rsidR="008A3680" w:rsidRPr="00794977" w:rsidRDefault="008A3680" w:rsidP="00655E07">
      <w:pPr>
        <w:jc w:val="left"/>
      </w:pPr>
      <w:r w:rsidRPr="00794977">
        <w:tab/>
      </w:r>
      <w:r w:rsidRPr="00794977">
        <w:tab/>
        <w:t>13.</w:t>
      </w:r>
      <w:r w:rsidRPr="00794977">
        <w:tab/>
        <w:t xml:space="preserve">PGW Exhibit 3 </w:t>
      </w:r>
      <w:r w:rsidR="00D138A9" w:rsidRPr="00794977">
        <w:t xml:space="preserve">includes </w:t>
      </w:r>
      <w:r w:rsidRPr="00794977">
        <w:t>a copy of the lease provided for the Bouvier Street address.  Tr. 16.</w:t>
      </w:r>
    </w:p>
    <w:p w:rsidR="008A3680" w:rsidRPr="00794977" w:rsidRDefault="008A3680" w:rsidP="00655E07">
      <w:pPr>
        <w:jc w:val="left"/>
      </w:pPr>
    </w:p>
    <w:p w:rsidR="008A3680" w:rsidRPr="00794977" w:rsidRDefault="008A3680" w:rsidP="00655E07">
      <w:pPr>
        <w:jc w:val="left"/>
      </w:pPr>
      <w:r w:rsidRPr="00794977">
        <w:tab/>
      </w:r>
      <w:r w:rsidRPr="00794977">
        <w:tab/>
        <w:t>14.</w:t>
      </w:r>
      <w:r w:rsidRPr="00794977">
        <w:tab/>
        <w:t>Complainant signed his grandmother and grandfather's names to the lease on August 19, 2013.  Tr. 17.</w:t>
      </w:r>
    </w:p>
    <w:p w:rsidR="008A3680" w:rsidRPr="00794977" w:rsidRDefault="008A3680" w:rsidP="00655E07">
      <w:pPr>
        <w:jc w:val="left"/>
      </w:pPr>
    </w:p>
    <w:p w:rsidR="008A3680" w:rsidRPr="00794977" w:rsidRDefault="008A3680" w:rsidP="00655E07">
      <w:pPr>
        <w:jc w:val="left"/>
      </w:pPr>
      <w:r w:rsidRPr="00794977">
        <w:tab/>
      </w:r>
      <w:r w:rsidRPr="00794977">
        <w:tab/>
        <w:t>15.</w:t>
      </w:r>
      <w:r w:rsidRPr="00794977">
        <w:tab/>
        <w:t>Both grandparents were deceased at the time that Complainant signed their names to the lease.  Tr. 18.</w:t>
      </w:r>
    </w:p>
    <w:p w:rsidR="008A3680" w:rsidRPr="00794977" w:rsidRDefault="008A3680" w:rsidP="00655E07">
      <w:pPr>
        <w:jc w:val="left"/>
      </w:pPr>
    </w:p>
    <w:p w:rsidR="008A3680" w:rsidRPr="00794977" w:rsidRDefault="008A3680" w:rsidP="00655E07">
      <w:pPr>
        <w:jc w:val="left"/>
      </w:pPr>
      <w:r w:rsidRPr="00794977">
        <w:tab/>
      </w:r>
      <w:r w:rsidRPr="00794977">
        <w:tab/>
        <w:t>16.</w:t>
      </w:r>
      <w:r w:rsidRPr="00794977">
        <w:tab/>
        <w:t>The property is still in the names of the grandparents.  Tr. 19.</w:t>
      </w:r>
    </w:p>
    <w:p w:rsidR="008A3680" w:rsidRPr="00794977" w:rsidRDefault="008A3680" w:rsidP="00655E07">
      <w:pPr>
        <w:jc w:val="left"/>
      </w:pPr>
    </w:p>
    <w:p w:rsidR="00256D0C" w:rsidRPr="00794977" w:rsidRDefault="008A3680" w:rsidP="00655E07">
      <w:pPr>
        <w:jc w:val="left"/>
      </w:pPr>
      <w:r w:rsidRPr="00794977">
        <w:tab/>
      </w:r>
      <w:r w:rsidRPr="00794977">
        <w:tab/>
        <w:t>17.</w:t>
      </w:r>
      <w:r w:rsidRPr="00794977">
        <w:tab/>
      </w:r>
      <w:r w:rsidR="00256D0C" w:rsidRPr="00794977">
        <w:t>Cynthia Garner, customer review unit officer for PGW, appeared an</w:t>
      </w:r>
      <w:r w:rsidR="008A4A9F" w:rsidRPr="00794977">
        <w:t>d</w:t>
      </w:r>
      <w:r w:rsidR="00256D0C" w:rsidRPr="00794977">
        <w:t xml:space="preserve"> testified on behalf of the Respondent.  Tr. 22.</w:t>
      </w:r>
    </w:p>
    <w:p w:rsidR="00256D0C" w:rsidRPr="00794977" w:rsidRDefault="00256D0C" w:rsidP="00655E07">
      <w:pPr>
        <w:jc w:val="left"/>
      </w:pPr>
    </w:p>
    <w:p w:rsidR="00256D0C" w:rsidRPr="00794977" w:rsidRDefault="00256D0C" w:rsidP="00655E07">
      <w:pPr>
        <w:jc w:val="left"/>
      </w:pPr>
      <w:r w:rsidRPr="00794977">
        <w:tab/>
      </w:r>
      <w:r w:rsidRPr="00794977">
        <w:tab/>
        <w:t>18.</w:t>
      </w:r>
      <w:r w:rsidRPr="00794977">
        <w:tab/>
        <w:t>PGW Exhibit 1 is a five-page document e</w:t>
      </w:r>
      <w:r w:rsidR="00DE3953">
        <w:t>ntitled "Contacts for Premises, </w:t>
      </w:r>
      <w:r w:rsidRPr="00794977">
        <w:t>2547 North Bouvier Street, in Phil</w:t>
      </w:r>
      <w:r w:rsidR="00F70B6F" w:rsidRPr="00794977">
        <w:t>a</w:t>
      </w:r>
      <w:r w:rsidRPr="00794977">
        <w:t>delphia."  Tr. 24.</w:t>
      </w:r>
    </w:p>
    <w:p w:rsidR="00256D0C" w:rsidRPr="00794977" w:rsidRDefault="00256D0C" w:rsidP="00655E07">
      <w:pPr>
        <w:jc w:val="left"/>
      </w:pPr>
    </w:p>
    <w:p w:rsidR="00256D0C" w:rsidRPr="00794977" w:rsidRDefault="00256D0C" w:rsidP="00655E07">
      <w:pPr>
        <w:jc w:val="left"/>
      </w:pPr>
      <w:r w:rsidRPr="00794977">
        <w:tab/>
      </w:r>
      <w:r w:rsidRPr="00794977">
        <w:tab/>
        <w:t>19.</w:t>
      </w:r>
      <w:r w:rsidRPr="00794977">
        <w:tab/>
        <w:t>PGW Exhibit 2 is a five-page document ent</w:t>
      </w:r>
      <w:r w:rsidR="00DE3953">
        <w:t>itled "Field Information."  Tr. </w:t>
      </w:r>
      <w:r w:rsidRPr="00794977">
        <w:t>24.</w:t>
      </w:r>
    </w:p>
    <w:p w:rsidR="00256D0C" w:rsidRPr="00794977" w:rsidRDefault="00256D0C" w:rsidP="00655E07">
      <w:pPr>
        <w:jc w:val="left"/>
      </w:pPr>
    </w:p>
    <w:p w:rsidR="00256D0C" w:rsidRPr="00794977" w:rsidRDefault="00256D0C" w:rsidP="00655E07">
      <w:pPr>
        <w:jc w:val="left"/>
      </w:pPr>
      <w:r w:rsidRPr="00794977">
        <w:lastRenderedPageBreak/>
        <w:tab/>
      </w:r>
      <w:r w:rsidRPr="00794977">
        <w:tab/>
        <w:t>20.</w:t>
      </w:r>
      <w:r w:rsidRPr="00794977">
        <w:tab/>
        <w:t>PGW Exhibit 3 is an eight-page document entitled "Theft Reporting Sheet."  Tr. 24.</w:t>
      </w:r>
    </w:p>
    <w:p w:rsidR="00256D0C" w:rsidRPr="00794977" w:rsidRDefault="00256D0C" w:rsidP="00655E07">
      <w:pPr>
        <w:jc w:val="left"/>
      </w:pPr>
    </w:p>
    <w:p w:rsidR="00256D0C" w:rsidRPr="00794977" w:rsidRDefault="00256D0C" w:rsidP="00655E07">
      <w:pPr>
        <w:jc w:val="left"/>
      </w:pPr>
      <w:r w:rsidRPr="00794977">
        <w:tab/>
      </w:r>
      <w:r w:rsidRPr="00794977">
        <w:tab/>
        <w:t>21.</w:t>
      </w:r>
      <w:r w:rsidRPr="00794977">
        <w:tab/>
        <w:t>PGW Exhibit 4 is a single-page document entitled "Statement of Account," for the bill in this case.  Tr. 25.</w:t>
      </w:r>
    </w:p>
    <w:p w:rsidR="00256D0C" w:rsidRPr="00794977" w:rsidRDefault="00256D0C" w:rsidP="00655E07">
      <w:pPr>
        <w:jc w:val="left"/>
      </w:pPr>
    </w:p>
    <w:p w:rsidR="00256D0C" w:rsidRPr="00794977" w:rsidRDefault="00256D0C" w:rsidP="00655E07">
      <w:pPr>
        <w:jc w:val="left"/>
      </w:pPr>
      <w:r w:rsidRPr="00794977">
        <w:tab/>
      </w:r>
      <w:r w:rsidRPr="00794977">
        <w:tab/>
        <w:t>22.</w:t>
      </w:r>
      <w:r w:rsidRPr="00794977">
        <w:tab/>
        <w:t>PGW Exhibit 5 is the BCS decision.  Tr. 25.</w:t>
      </w:r>
    </w:p>
    <w:p w:rsidR="00256D0C" w:rsidRPr="00794977" w:rsidRDefault="00256D0C" w:rsidP="00655E07">
      <w:pPr>
        <w:jc w:val="left"/>
      </w:pPr>
    </w:p>
    <w:p w:rsidR="00A23185" w:rsidRPr="00794977" w:rsidRDefault="00256D0C" w:rsidP="00655E07">
      <w:pPr>
        <w:jc w:val="left"/>
      </w:pPr>
      <w:r w:rsidRPr="00794977">
        <w:tab/>
      </w:r>
      <w:r w:rsidRPr="00794977">
        <w:tab/>
        <w:t>23.</w:t>
      </w:r>
      <w:r w:rsidRPr="00794977">
        <w:tab/>
      </w:r>
      <w:r w:rsidR="00A23185" w:rsidRPr="00794977">
        <w:t>PGW Exhibit 6 is entitled "Contact for Premise."  Tr. 32.</w:t>
      </w:r>
    </w:p>
    <w:p w:rsidR="00A23185" w:rsidRPr="00794977" w:rsidRDefault="00A23185" w:rsidP="00655E07">
      <w:pPr>
        <w:jc w:val="left"/>
      </w:pPr>
    </w:p>
    <w:p w:rsidR="00A23185" w:rsidRPr="00794977" w:rsidRDefault="00A23185" w:rsidP="00655E07">
      <w:pPr>
        <w:jc w:val="left"/>
      </w:pPr>
      <w:r w:rsidRPr="00794977">
        <w:tab/>
      </w:r>
      <w:r w:rsidRPr="00794977">
        <w:tab/>
        <w:t>24.</w:t>
      </w:r>
      <w:r w:rsidRPr="00794977">
        <w:tab/>
        <w:t>PGW Exhibit 6 shows that on December 14, 2011, the service to the address was terminated for nonpayment under Joseph Smith, at an index of 2221 but that there was unauthorized usa</w:t>
      </w:r>
      <w:r w:rsidR="00216F58">
        <w:t xml:space="preserve">ge following termination.  Tr. </w:t>
      </w:r>
      <w:r w:rsidRPr="00794977">
        <w:t>33.</w:t>
      </w:r>
    </w:p>
    <w:p w:rsidR="00A23185" w:rsidRPr="00794977" w:rsidRDefault="00A23185" w:rsidP="00655E07">
      <w:pPr>
        <w:jc w:val="left"/>
      </w:pPr>
    </w:p>
    <w:p w:rsidR="00A23185" w:rsidRPr="00794977" w:rsidRDefault="00A23185" w:rsidP="00655E07">
      <w:pPr>
        <w:jc w:val="left"/>
      </w:pPr>
      <w:r w:rsidRPr="00794977">
        <w:tab/>
      </w:r>
      <w:r w:rsidRPr="00794977">
        <w:tab/>
        <w:t>25.</w:t>
      </w:r>
      <w:r w:rsidRPr="00794977">
        <w:tab/>
        <w:t>A PGW employee left a 72 Hours Meter Access Notice at the property on December 21, 2011.  Tr. 34; PGW Ex. 6.</w:t>
      </w:r>
    </w:p>
    <w:p w:rsidR="00A23185" w:rsidRPr="00794977" w:rsidRDefault="00A23185" w:rsidP="00655E07">
      <w:pPr>
        <w:jc w:val="left"/>
      </w:pPr>
    </w:p>
    <w:p w:rsidR="00A23185" w:rsidRPr="00794977" w:rsidRDefault="00A23185" w:rsidP="00655E07">
      <w:pPr>
        <w:jc w:val="left"/>
      </w:pPr>
      <w:r w:rsidRPr="00794977">
        <w:tab/>
      </w:r>
      <w:r w:rsidRPr="00794977">
        <w:tab/>
        <w:t>26.</w:t>
      </w:r>
      <w:r w:rsidRPr="00794977">
        <w:tab/>
        <w:t>On January 3, 2012, another PGW employee visited the premise</w:t>
      </w:r>
      <w:r w:rsidR="007431DB">
        <w:t>s</w:t>
      </w:r>
      <w:r w:rsidRPr="00794977">
        <w:t xml:space="preserve"> for an Unauthorized Usage Investigation Order, and when </w:t>
      </w:r>
      <w:r w:rsidR="00F45F26" w:rsidRPr="00794977">
        <w:t>an individual identified only as "</w:t>
      </w:r>
      <w:r w:rsidRPr="00794977">
        <w:t>the customer</w:t>
      </w:r>
      <w:r w:rsidR="00F45F26" w:rsidRPr="00794977">
        <w:t>"</w:t>
      </w:r>
      <w:r w:rsidRPr="00794977">
        <w:t xml:space="preserve"> refused access to the property, he turned off the servic</w:t>
      </w:r>
      <w:r w:rsidR="00C611B5">
        <w:t>e at the curb.  Tr. 34; PGW Ex. </w:t>
      </w:r>
      <w:r w:rsidRPr="00794977">
        <w:t>6.</w:t>
      </w:r>
    </w:p>
    <w:p w:rsidR="00A23185" w:rsidRPr="00794977" w:rsidRDefault="00A23185" w:rsidP="00655E07">
      <w:pPr>
        <w:jc w:val="left"/>
      </w:pPr>
    </w:p>
    <w:p w:rsidR="009E7033" w:rsidRPr="00794977" w:rsidRDefault="00A23185" w:rsidP="00655E07">
      <w:pPr>
        <w:jc w:val="left"/>
      </w:pPr>
      <w:r w:rsidRPr="00794977">
        <w:tab/>
      </w:r>
      <w:r w:rsidRPr="00794977">
        <w:tab/>
        <w:t>27.</w:t>
      </w:r>
      <w:r w:rsidRPr="00794977">
        <w:tab/>
        <w:t>Complainant contacted PGW, which ran an Accurint search on him and assigned a new account number</w:t>
      </w:r>
      <w:r w:rsidR="009E7033" w:rsidRPr="00794977">
        <w:t>.  Tr. 35.</w:t>
      </w:r>
    </w:p>
    <w:p w:rsidR="009E7033" w:rsidRPr="00794977" w:rsidRDefault="009E7033" w:rsidP="00655E07">
      <w:pPr>
        <w:jc w:val="left"/>
      </w:pPr>
    </w:p>
    <w:p w:rsidR="009E7033" w:rsidRPr="00794977" w:rsidRDefault="009E7033" w:rsidP="00655E07">
      <w:pPr>
        <w:jc w:val="left"/>
      </w:pPr>
      <w:r w:rsidRPr="00794977">
        <w:tab/>
      </w:r>
      <w:r w:rsidRPr="00794977">
        <w:tab/>
        <w:t>28.</w:t>
      </w:r>
      <w:r w:rsidRPr="00794977">
        <w:tab/>
        <w:t>Owner Joseph Smith was billed from June 18, 20</w:t>
      </w:r>
      <w:r w:rsidR="00752EF0" w:rsidRPr="00794977">
        <w:t>09</w:t>
      </w:r>
      <w:r w:rsidRPr="00794977">
        <w:t xml:space="preserve"> to November 1, 2011, and Complainant was billed from November 1, 2011 to the present.  Tr. 35; PGW Ex. 6.</w:t>
      </w:r>
    </w:p>
    <w:p w:rsidR="009E7033" w:rsidRPr="00794977" w:rsidRDefault="009E7033" w:rsidP="00655E07">
      <w:pPr>
        <w:jc w:val="left"/>
      </w:pPr>
    </w:p>
    <w:p w:rsidR="00752EF0" w:rsidRPr="00794977" w:rsidRDefault="009E7033" w:rsidP="00655E07">
      <w:pPr>
        <w:jc w:val="left"/>
      </w:pPr>
      <w:r w:rsidRPr="00794977">
        <w:tab/>
      </w:r>
      <w:r w:rsidRPr="00794977">
        <w:tab/>
        <w:t>29.</w:t>
      </w:r>
      <w:r w:rsidRPr="00794977">
        <w:tab/>
      </w:r>
      <w:r w:rsidR="00752EF0" w:rsidRPr="00794977">
        <w:t>PGW Ex. 2 is a field service order received from its employee, Christopher Cunningham, Jr., for a visit to the premise</w:t>
      </w:r>
      <w:r w:rsidR="007431DB">
        <w:t>s</w:t>
      </w:r>
      <w:r w:rsidR="00752EF0" w:rsidRPr="00794977">
        <w:t xml:space="preserve"> on January 3, 2012 for an unauthorized usage investigation.  Tr. 3-38; PGW Ex. 2.</w:t>
      </w:r>
    </w:p>
    <w:p w:rsidR="00752EF0" w:rsidRPr="00794977" w:rsidRDefault="00752EF0" w:rsidP="00655E07">
      <w:pPr>
        <w:jc w:val="left"/>
      </w:pPr>
    </w:p>
    <w:p w:rsidR="00752EF0" w:rsidRPr="00794977" w:rsidRDefault="00752EF0" w:rsidP="00655E07">
      <w:pPr>
        <w:jc w:val="left"/>
      </w:pPr>
      <w:r w:rsidRPr="00794977">
        <w:tab/>
      </w:r>
      <w:r w:rsidRPr="00794977">
        <w:tab/>
        <w:t>30.</w:t>
      </w:r>
      <w:r w:rsidRPr="00794977">
        <w:tab/>
        <w:t>PGW Ex. 2 shows that the gas was on at the premise</w:t>
      </w:r>
      <w:r w:rsidR="007431DB">
        <w:t>s</w:t>
      </w:r>
      <w:r w:rsidR="00F45F26" w:rsidRPr="00794977">
        <w:t xml:space="preserve"> on January 3, 2012</w:t>
      </w:r>
      <w:r w:rsidRPr="00794977">
        <w:t xml:space="preserve"> and that the PGW employee left it off at the curb.  Tr. 38; PGW Ex. 2.</w:t>
      </w:r>
    </w:p>
    <w:p w:rsidR="00BB7A4B" w:rsidRPr="00794977" w:rsidRDefault="00BB7A4B" w:rsidP="00655E07">
      <w:pPr>
        <w:jc w:val="left"/>
      </w:pPr>
    </w:p>
    <w:p w:rsidR="00752EF0" w:rsidRPr="00794977" w:rsidRDefault="00BB7A4B" w:rsidP="00655E07">
      <w:pPr>
        <w:jc w:val="left"/>
      </w:pPr>
      <w:r w:rsidRPr="00794977">
        <w:tab/>
      </w:r>
      <w:r w:rsidRPr="00794977">
        <w:tab/>
      </w:r>
      <w:r w:rsidR="00752EF0" w:rsidRPr="00794977">
        <w:t>31.</w:t>
      </w:r>
      <w:r w:rsidR="00752EF0" w:rsidRPr="00794977">
        <w:tab/>
        <w:t>PGW sent its employee, Richard Macready, to the premises for a cold weather survey on October 21, 2012, where he found the curb valve on.  Tr. 38; PGW Ex. 2.</w:t>
      </w:r>
    </w:p>
    <w:p w:rsidR="00752EF0" w:rsidRPr="00794977" w:rsidRDefault="00752EF0" w:rsidP="00655E07">
      <w:pPr>
        <w:jc w:val="left"/>
      </w:pPr>
    </w:p>
    <w:p w:rsidR="00752EF0" w:rsidRPr="00794977" w:rsidRDefault="00752EF0" w:rsidP="00655E07">
      <w:pPr>
        <w:jc w:val="left"/>
      </w:pPr>
      <w:r w:rsidRPr="00794977">
        <w:tab/>
      </w:r>
      <w:r w:rsidRPr="00794977">
        <w:tab/>
        <w:t>32.</w:t>
      </w:r>
      <w:r w:rsidRPr="00794977">
        <w:tab/>
        <w:t xml:space="preserve">PGW employee Zane Weeks </w:t>
      </w:r>
      <w:r w:rsidR="007431DB">
        <w:t xml:space="preserve">was </w:t>
      </w:r>
      <w:r w:rsidRPr="00794977">
        <w:t>sent to the premise</w:t>
      </w:r>
      <w:r w:rsidR="007431DB">
        <w:t>s</w:t>
      </w:r>
      <w:r w:rsidRPr="00794977">
        <w:t xml:space="preserve"> on August 19, 2013, when he found the gas on at the curb box, and he left it off.  Tr. 38; PGW Ex. 2.</w:t>
      </w:r>
    </w:p>
    <w:p w:rsidR="00752EF0" w:rsidRPr="00794977" w:rsidRDefault="00752EF0" w:rsidP="00655E07">
      <w:pPr>
        <w:jc w:val="left"/>
      </w:pPr>
    </w:p>
    <w:p w:rsidR="00360613" w:rsidRPr="00794977" w:rsidRDefault="00752EF0" w:rsidP="00655E07">
      <w:pPr>
        <w:jc w:val="left"/>
      </w:pPr>
      <w:r w:rsidRPr="00794977">
        <w:tab/>
      </w:r>
      <w:r w:rsidRPr="00794977">
        <w:tab/>
        <w:t>33.</w:t>
      </w:r>
      <w:r w:rsidRPr="00794977">
        <w:tab/>
        <w:t xml:space="preserve">On August 23, 2013, </w:t>
      </w:r>
      <w:r w:rsidR="00360613" w:rsidRPr="00794977">
        <w:t xml:space="preserve">Eric Lopez, </w:t>
      </w:r>
      <w:r w:rsidRPr="00794977">
        <w:t>a PGW serviceman</w:t>
      </w:r>
      <w:r w:rsidR="00360613" w:rsidRPr="00794977">
        <w:t>, visited the property for an unauthorized usage investigation.  Tr. 38-39; PGW Ex. 2.</w:t>
      </w:r>
    </w:p>
    <w:p w:rsidR="00360613" w:rsidRPr="00794977" w:rsidRDefault="00360613" w:rsidP="00655E07">
      <w:pPr>
        <w:jc w:val="left"/>
      </w:pPr>
    </w:p>
    <w:p w:rsidR="00360613" w:rsidRPr="00794977" w:rsidRDefault="00360613" w:rsidP="00655E07">
      <w:pPr>
        <w:jc w:val="left"/>
      </w:pPr>
      <w:r w:rsidRPr="00794977">
        <w:tab/>
      </w:r>
      <w:r w:rsidRPr="00794977">
        <w:tab/>
        <w:t>34.</w:t>
      </w:r>
      <w:r w:rsidRPr="00794977">
        <w:tab/>
        <w:t>Mr. Lopez found the gas off and left it off and removed the meter.  Tr. 39; PGW Ex. 2.</w:t>
      </w:r>
    </w:p>
    <w:p w:rsidR="00360613" w:rsidRPr="00794977" w:rsidRDefault="00360613" w:rsidP="00655E07">
      <w:pPr>
        <w:jc w:val="left"/>
      </w:pPr>
    </w:p>
    <w:p w:rsidR="00BB7A4B" w:rsidRPr="00794977" w:rsidRDefault="00360613" w:rsidP="00BB7A4B">
      <w:pPr>
        <w:jc w:val="left"/>
      </w:pPr>
      <w:r w:rsidRPr="00794977">
        <w:tab/>
      </w:r>
      <w:r w:rsidRPr="00794977">
        <w:tab/>
        <w:t>35.</w:t>
      </w:r>
      <w:r w:rsidRPr="00794977">
        <w:tab/>
      </w:r>
      <w:r w:rsidR="00BB7A4B" w:rsidRPr="00794977">
        <w:t>PGW estimated the usage during the time that there was no active account at the premise</w:t>
      </w:r>
      <w:r w:rsidR="007431DB">
        <w:t>s</w:t>
      </w:r>
      <w:r w:rsidR="00BB7A4B" w:rsidRPr="00794977">
        <w:t>.  Tr. 40; PGW Ex. 3.</w:t>
      </w:r>
    </w:p>
    <w:p w:rsidR="00BB7A4B" w:rsidRPr="00794977" w:rsidRDefault="00BB7A4B" w:rsidP="00BB7A4B">
      <w:pPr>
        <w:jc w:val="left"/>
      </w:pPr>
    </w:p>
    <w:p w:rsidR="00BB7A4B" w:rsidRPr="00794977" w:rsidRDefault="00BB7A4B" w:rsidP="00BB7A4B">
      <w:pPr>
        <w:jc w:val="left"/>
      </w:pPr>
      <w:r w:rsidRPr="00794977">
        <w:tab/>
      </w:r>
      <w:r w:rsidRPr="00794977">
        <w:tab/>
        <w:t>36.</w:t>
      </w:r>
      <w:r w:rsidRPr="00794977">
        <w:tab/>
      </w:r>
      <w:r w:rsidR="008A4A9F" w:rsidRPr="00794977">
        <w:t>The estimation was based on the historical usage at the property which is explained on PGW Exhibit 3.  Tr. 40; PGW Ex. 3.</w:t>
      </w:r>
    </w:p>
    <w:p w:rsidR="008A4A9F" w:rsidRPr="00794977" w:rsidRDefault="008A4A9F" w:rsidP="00BB7A4B">
      <w:pPr>
        <w:jc w:val="left"/>
      </w:pPr>
    </w:p>
    <w:p w:rsidR="003048EC" w:rsidRPr="00794977" w:rsidRDefault="008A4A9F" w:rsidP="00BB7A4B">
      <w:pPr>
        <w:jc w:val="left"/>
      </w:pPr>
      <w:r w:rsidRPr="00794977">
        <w:tab/>
      </w:r>
      <w:r w:rsidRPr="00794977">
        <w:tab/>
        <w:t>37.</w:t>
      </w:r>
      <w:r w:rsidRPr="00794977">
        <w:tab/>
      </w:r>
      <w:r w:rsidR="003048EC" w:rsidRPr="00794977">
        <w:t>PGW chose a sample year (2006) and took the same time frame for Complainant's billed-for period to estimate usage.  Tr. 41.</w:t>
      </w:r>
    </w:p>
    <w:p w:rsidR="003048EC" w:rsidRPr="00794977" w:rsidRDefault="003048EC" w:rsidP="00BB7A4B">
      <w:pPr>
        <w:jc w:val="left"/>
      </w:pPr>
    </w:p>
    <w:p w:rsidR="003048EC" w:rsidRPr="00794977" w:rsidRDefault="003048EC" w:rsidP="00BB7A4B">
      <w:pPr>
        <w:jc w:val="left"/>
      </w:pPr>
      <w:r w:rsidRPr="00794977">
        <w:tab/>
      </w:r>
      <w:r w:rsidRPr="00794977">
        <w:tab/>
        <w:t>38.</w:t>
      </w:r>
      <w:r w:rsidRPr="00794977">
        <w:tab/>
        <w:t>The estimate takes into account the degree days during the actual time period of the estimated bill.  Tr. 42; PGW Ex. 3.</w:t>
      </w:r>
    </w:p>
    <w:p w:rsidR="003048EC" w:rsidRPr="00794977" w:rsidRDefault="003048EC" w:rsidP="00BB7A4B">
      <w:pPr>
        <w:jc w:val="left"/>
      </w:pPr>
    </w:p>
    <w:p w:rsidR="008A4A9F" w:rsidRPr="00794977" w:rsidRDefault="003048EC" w:rsidP="00BB7A4B">
      <w:pPr>
        <w:jc w:val="left"/>
      </w:pPr>
      <w:r w:rsidRPr="00794977">
        <w:tab/>
      </w:r>
      <w:r w:rsidRPr="00794977">
        <w:tab/>
        <w:t xml:space="preserve">39. </w:t>
      </w:r>
      <w:r w:rsidRPr="00794977">
        <w:tab/>
      </w:r>
      <w:r w:rsidR="00A07535" w:rsidRPr="00794977">
        <w:t>PGW took the sample year total amount, divided it by 12 months to determine the average cubic feet of gas used per month, which was 57, and multiplied 57 by 23 months, for a total of 1,311 cubic feet of gas used.  Tr. 43.</w:t>
      </w:r>
    </w:p>
    <w:p w:rsidR="00A07535" w:rsidRPr="00794977" w:rsidRDefault="00A07535" w:rsidP="00BB7A4B">
      <w:pPr>
        <w:jc w:val="left"/>
      </w:pPr>
    </w:p>
    <w:p w:rsidR="00A07535" w:rsidRPr="00794977" w:rsidRDefault="00A07535" w:rsidP="00BB7A4B">
      <w:pPr>
        <w:jc w:val="left"/>
      </w:pPr>
      <w:r w:rsidRPr="00794977">
        <w:tab/>
      </w:r>
      <w:r w:rsidRPr="00794977">
        <w:tab/>
        <w:t>40.</w:t>
      </w:r>
      <w:r w:rsidRPr="00794977">
        <w:tab/>
        <w:t>The end date for the estimate was August 19, 2013, when PGW ensured that the service was off, and ended up with a total of $2,235.41 due.  Tr. 43.</w:t>
      </w:r>
    </w:p>
    <w:p w:rsidR="00A07535" w:rsidRPr="00794977" w:rsidRDefault="00A07535" w:rsidP="00BB7A4B">
      <w:pPr>
        <w:jc w:val="left"/>
      </w:pPr>
    </w:p>
    <w:p w:rsidR="00A07535" w:rsidRPr="00794977" w:rsidRDefault="00A07535" w:rsidP="00BB7A4B">
      <w:pPr>
        <w:jc w:val="left"/>
      </w:pPr>
      <w:r w:rsidRPr="00794977">
        <w:tab/>
      </w:r>
      <w:r w:rsidRPr="00794977">
        <w:tab/>
        <w:t>41.</w:t>
      </w:r>
      <w:r w:rsidRPr="00794977">
        <w:tab/>
        <w:t xml:space="preserve">The house was equipped with a heater, a </w:t>
      </w:r>
      <w:r w:rsidR="00AB30FA">
        <w:t>water heater, and a range.  Tr. </w:t>
      </w:r>
      <w:r w:rsidRPr="00794977">
        <w:t>43-44.</w:t>
      </w:r>
    </w:p>
    <w:p w:rsidR="00A07535" w:rsidRPr="00794977" w:rsidRDefault="00A07535" w:rsidP="00BB7A4B">
      <w:pPr>
        <w:jc w:val="left"/>
      </w:pPr>
    </w:p>
    <w:p w:rsidR="00A07535" w:rsidRPr="00794977" w:rsidRDefault="00A07535" w:rsidP="00BB7A4B">
      <w:pPr>
        <w:jc w:val="left"/>
      </w:pPr>
      <w:r w:rsidRPr="00794977">
        <w:tab/>
      </w:r>
      <w:r w:rsidRPr="00794977">
        <w:tab/>
        <w:t>42.</w:t>
      </w:r>
      <w:r w:rsidRPr="00794977">
        <w:tab/>
        <w:t>PGW Exhibit 5 is the report of the BCS informal investigation.  Tr. 44.</w:t>
      </w:r>
    </w:p>
    <w:p w:rsidR="00A07535" w:rsidRPr="00794977" w:rsidRDefault="00A07535" w:rsidP="00BB7A4B">
      <w:pPr>
        <w:jc w:val="left"/>
      </w:pPr>
    </w:p>
    <w:p w:rsidR="0039354A" w:rsidRPr="00794977" w:rsidRDefault="00A07535" w:rsidP="00BD610C">
      <w:pPr>
        <w:jc w:val="left"/>
      </w:pPr>
      <w:r w:rsidRPr="00794977">
        <w:tab/>
      </w:r>
      <w:r w:rsidRPr="00794977">
        <w:tab/>
        <w:t>43.</w:t>
      </w:r>
      <w:r w:rsidRPr="00794977">
        <w:tab/>
      </w:r>
      <w:r w:rsidR="0039354A" w:rsidRPr="00794977">
        <w:t xml:space="preserve">Complainant Exhibit 4 shows that Complainant's </w:t>
      </w:r>
      <w:r w:rsidR="00BD610C" w:rsidRPr="00794977">
        <w:t>2010 and 2011 W</w:t>
      </w:r>
      <w:r w:rsidR="007431DB">
        <w:t>-</w:t>
      </w:r>
      <w:r w:rsidR="00BD610C" w:rsidRPr="00794977">
        <w:t>2 forms were sent to 839 N. 5</w:t>
      </w:r>
      <w:r w:rsidR="00BD610C" w:rsidRPr="00794977">
        <w:rPr>
          <w:vertAlign w:val="superscript"/>
        </w:rPr>
        <w:t>th</w:t>
      </w:r>
      <w:r w:rsidR="00BD610C" w:rsidRPr="00794977">
        <w:t xml:space="preserve"> Street, Philadelphia</w:t>
      </w:r>
      <w:r w:rsidR="0039354A" w:rsidRPr="00794977">
        <w:t>.</w:t>
      </w:r>
    </w:p>
    <w:p w:rsidR="0039354A" w:rsidRPr="00794977" w:rsidRDefault="0039354A" w:rsidP="00BD610C">
      <w:pPr>
        <w:jc w:val="left"/>
      </w:pPr>
    </w:p>
    <w:p w:rsidR="00BD610C" w:rsidRPr="00794977" w:rsidRDefault="0039354A" w:rsidP="00BD610C">
      <w:pPr>
        <w:jc w:val="left"/>
      </w:pPr>
      <w:r w:rsidRPr="00794977">
        <w:tab/>
      </w:r>
      <w:r w:rsidRPr="00794977">
        <w:tab/>
        <w:t>4</w:t>
      </w:r>
      <w:r w:rsidR="00D85B4A" w:rsidRPr="00794977">
        <w:t>4</w:t>
      </w:r>
      <w:r w:rsidRPr="00794977">
        <w:t>.</w:t>
      </w:r>
      <w:r w:rsidRPr="00794977">
        <w:tab/>
        <w:t xml:space="preserve">Complainant Exhibit </w:t>
      </w:r>
      <w:r w:rsidR="00F47B17" w:rsidRPr="00794977">
        <w:t>4</w:t>
      </w:r>
      <w:r w:rsidRPr="00794977">
        <w:t xml:space="preserve"> shows that Complainant's </w:t>
      </w:r>
      <w:r w:rsidR="00BD610C" w:rsidRPr="00794977">
        <w:t>voters registration card with April 27, 2010 enrollment date and the address of 839 N. 5</w:t>
      </w:r>
      <w:r w:rsidR="00BD610C" w:rsidRPr="00794977">
        <w:rPr>
          <w:vertAlign w:val="superscript"/>
        </w:rPr>
        <w:t>th</w:t>
      </w:r>
      <w:r w:rsidR="00BD610C" w:rsidRPr="00794977">
        <w:t xml:space="preserve"> Street</w:t>
      </w:r>
      <w:r w:rsidRPr="00794977">
        <w:t>.</w:t>
      </w:r>
    </w:p>
    <w:p w:rsidR="0039354A" w:rsidRPr="00794977" w:rsidRDefault="0039354A" w:rsidP="00BD610C">
      <w:pPr>
        <w:jc w:val="left"/>
      </w:pPr>
    </w:p>
    <w:p w:rsidR="00BD610C" w:rsidRPr="00794977" w:rsidRDefault="0039354A" w:rsidP="00BD610C">
      <w:pPr>
        <w:jc w:val="left"/>
      </w:pPr>
      <w:r w:rsidRPr="00794977">
        <w:tab/>
      </w:r>
      <w:r w:rsidRPr="00794977">
        <w:tab/>
        <w:t>4</w:t>
      </w:r>
      <w:r w:rsidR="00D85B4A" w:rsidRPr="00794977">
        <w:t>5</w:t>
      </w:r>
      <w:r w:rsidRPr="00794977">
        <w:t>.</w:t>
      </w:r>
      <w:r w:rsidRPr="00794977">
        <w:tab/>
        <w:t xml:space="preserve">Complainant Exhibit </w:t>
      </w:r>
      <w:r w:rsidR="00F47B17" w:rsidRPr="00794977">
        <w:t>5</w:t>
      </w:r>
      <w:r w:rsidRPr="00794977">
        <w:t xml:space="preserve"> is a</w:t>
      </w:r>
      <w:r w:rsidR="00BD610C" w:rsidRPr="00794977">
        <w:t xml:space="preserve"> 2010 W</w:t>
      </w:r>
      <w:r w:rsidR="007431DB">
        <w:t>-</w:t>
      </w:r>
      <w:r w:rsidR="00BD610C" w:rsidRPr="00794977">
        <w:t>2 form from Southwest Nu Stop</w:t>
      </w:r>
      <w:r w:rsidR="00C152A9" w:rsidRPr="00794977">
        <w:t>, Inc.,</w:t>
      </w:r>
      <w:r w:rsidR="00BD610C" w:rsidRPr="00794977">
        <w:t xml:space="preserve"> with the </w:t>
      </w:r>
      <w:r w:rsidR="00F47B17" w:rsidRPr="00794977">
        <w:t>mailing a</w:t>
      </w:r>
      <w:r w:rsidR="00BD610C" w:rsidRPr="00794977">
        <w:t xml:space="preserve">ddress </w:t>
      </w:r>
      <w:r w:rsidR="00F47B17" w:rsidRPr="00794977">
        <w:t>listed as</w:t>
      </w:r>
      <w:r w:rsidR="00BD610C" w:rsidRPr="00794977">
        <w:t xml:space="preserve"> 839 N. 5</w:t>
      </w:r>
      <w:r w:rsidR="00BD610C" w:rsidRPr="00794977">
        <w:rPr>
          <w:vertAlign w:val="superscript"/>
        </w:rPr>
        <w:t>th</w:t>
      </w:r>
      <w:r w:rsidR="00BD610C" w:rsidRPr="00794977">
        <w:t xml:space="preserve"> Street</w:t>
      </w:r>
      <w:r w:rsidR="00F47B17" w:rsidRPr="00794977">
        <w:t>, Philadelphia</w:t>
      </w:r>
      <w:r w:rsidRPr="00794977">
        <w:t>.</w:t>
      </w:r>
    </w:p>
    <w:p w:rsidR="0039354A" w:rsidRPr="00794977" w:rsidRDefault="0039354A" w:rsidP="00BD610C">
      <w:pPr>
        <w:jc w:val="left"/>
      </w:pPr>
    </w:p>
    <w:p w:rsidR="00BD610C" w:rsidRPr="00794977" w:rsidRDefault="0039354A" w:rsidP="00BD610C">
      <w:pPr>
        <w:jc w:val="left"/>
      </w:pPr>
      <w:r w:rsidRPr="00794977">
        <w:tab/>
      </w:r>
      <w:r w:rsidRPr="00794977">
        <w:tab/>
        <w:t>4</w:t>
      </w:r>
      <w:r w:rsidR="00D85B4A" w:rsidRPr="00794977">
        <w:t>6</w:t>
      </w:r>
      <w:r w:rsidRPr="00794977">
        <w:t>.</w:t>
      </w:r>
      <w:r w:rsidRPr="00794977">
        <w:tab/>
      </w:r>
      <w:r w:rsidR="00F47B17" w:rsidRPr="00794977">
        <w:t xml:space="preserve">Complainant Exhibit 6 is </w:t>
      </w:r>
      <w:r w:rsidR="00BD610C" w:rsidRPr="00794977">
        <w:t>Horizon House, Inc.,</w:t>
      </w:r>
      <w:r w:rsidR="00F47B17" w:rsidRPr="00794977">
        <w:t xml:space="preserve"> earnings statement</w:t>
      </w:r>
      <w:r w:rsidR="00BD610C" w:rsidRPr="00794977">
        <w:t xml:space="preserve"> from August 1-10, 2010, with the </w:t>
      </w:r>
      <w:r w:rsidR="00F47B17" w:rsidRPr="00794977">
        <w:t xml:space="preserve">Complainant's mailing </w:t>
      </w:r>
      <w:r w:rsidR="00BD610C" w:rsidRPr="00794977">
        <w:t xml:space="preserve">address </w:t>
      </w:r>
      <w:r w:rsidR="00F47B17" w:rsidRPr="00794977">
        <w:t>listed as</w:t>
      </w:r>
      <w:r w:rsidR="00BD610C" w:rsidRPr="00794977">
        <w:t xml:space="preserve"> 839 N. 5</w:t>
      </w:r>
      <w:r w:rsidR="00BD610C" w:rsidRPr="00794977">
        <w:rPr>
          <w:vertAlign w:val="superscript"/>
        </w:rPr>
        <w:t>th</w:t>
      </w:r>
      <w:r w:rsidR="00BD610C" w:rsidRPr="00794977">
        <w:t xml:space="preserve"> Street</w:t>
      </w:r>
      <w:r w:rsidR="00D85B4A" w:rsidRPr="00794977">
        <w:t>, Philadelphia</w:t>
      </w:r>
      <w:r w:rsidRPr="00794977">
        <w:t>.</w:t>
      </w:r>
    </w:p>
    <w:p w:rsidR="0039354A" w:rsidRPr="00794977" w:rsidRDefault="0039354A" w:rsidP="00BD610C">
      <w:pPr>
        <w:jc w:val="left"/>
      </w:pPr>
    </w:p>
    <w:p w:rsidR="00BD610C" w:rsidRPr="00794977" w:rsidRDefault="0039354A" w:rsidP="00BD610C">
      <w:pPr>
        <w:jc w:val="left"/>
      </w:pPr>
      <w:r w:rsidRPr="00794977">
        <w:tab/>
      </w:r>
      <w:r w:rsidRPr="00794977">
        <w:tab/>
        <w:t>4</w:t>
      </w:r>
      <w:r w:rsidR="00D85B4A" w:rsidRPr="00794977">
        <w:t>7</w:t>
      </w:r>
      <w:r w:rsidRPr="00794977">
        <w:t>.</w:t>
      </w:r>
      <w:r w:rsidRPr="00794977">
        <w:tab/>
      </w:r>
      <w:r w:rsidR="00F47B17" w:rsidRPr="00794977">
        <w:t xml:space="preserve">Complainant Exhibit </w:t>
      </w:r>
      <w:r w:rsidR="00D85B4A" w:rsidRPr="00794977">
        <w:t xml:space="preserve">7 is a </w:t>
      </w:r>
      <w:r w:rsidR="00BD610C" w:rsidRPr="00794977">
        <w:t>January 9, 2011 Notice of Financial Determination from the Commonwealth of Pennsylvania, Department of Labor and Industry, addressed to 839 N. 5</w:t>
      </w:r>
      <w:r w:rsidR="00BD610C" w:rsidRPr="00794977">
        <w:rPr>
          <w:vertAlign w:val="superscript"/>
        </w:rPr>
        <w:t>th</w:t>
      </w:r>
      <w:r w:rsidR="00BD610C" w:rsidRPr="00794977">
        <w:t xml:space="preserve"> Street</w:t>
      </w:r>
      <w:r w:rsidR="00D85B4A" w:rsidRPr="00794977">
        <w:t>, Philadelphia</w:t>
      </w:r>
      <w:r w:rsidRPr="00794977">
        <w:t>.</w:t>
      </w:r>
    </w:p>
    <w:p w:rsidR="0039354A" w:rsidRPr="00794977" w:rsidRDefault="0039354A" w:rsidP="00BD610C">
      <w:pPr>
        <w:jc w:val="left"/>
      </w:pPr>
    </w:p>
    <w:p w:rsidR="00BD610C" w:rsidRPr="00794977" w:rsidRDefault="0039354A" w:rsidP="00BD610C">
      <w:pPr>
        <w:jc w:val="left"/>
      </w:pPr>
      <w:r w:rsidRPr="00794977">
        <w:tab/>
      </w:r>
      <w:r w:rsidRPr="00794977">
        <w:tab/>
      </w:r>
      <w:r w:rsidR="00D85B4A" w:rsidRPr="00794977">
        <w:t>48</w:t>
      </w:r>
      <w:r w:rsidRPr="00794977">
        <w:t>.</w:t>
      </w:r>
      <w:r w:rsidRPr="00794977">
        <w:tab/>
      </w:r>
      <w:r w:rsidR="00F47B17" w:rsidRPr="00794977">
        <w:t xml:space="preserve">Complainant Exhibit </w:t>
      </w:r>
      <w:r w:rsidR="00D85B4A" w:rsidRPr="00794977">
        <w:t>8 is a</w:t>
      </w:r>
      <w:r w:rsidR="00F47B17" w:rsidRPr="00794977">
        <w:t xml:space="preserve"> </w:t>
      </w:r>
      <w:r w:rsidR="00BD610C" w:rsidRPr="00794977">
        <w:t>March 12, 2011 Pennsylvania Child Abuse History Clearance listing the 839 N. Fifth Street address</w:t>
      </w:r>
      <w:r w:rsidRPr="00794977">
        <w:t>.</w:t>
      </w:r>
    </w:p>
    <w:p w:rsidR="00D85B4A" w:rsidRPr="00794977" w:rsidRDefault="00D85B4A" w:rsidP="00BD610C">
      <w:pPr>
        <w:jc w:val="left"/>
      </w:pPr>
    </w:p>
    <w:p w:rsidR="00D85B4A" w:rsidRPr="00794977" w:rsidRDefault="00D85B4A" w:rsidP="00BD610C">
      <w:pPr>
        <w:jc w:val="left"/>
      </w:pPr>
      <w:r w:rsidRPr="00794977">
        <w:tab/>
      </w:r>
      <w:r w:rsidRPr="00794977">
        <w:tab/>
        <w:t>49.</w:t>
      </w:r>
      <w:r w:rsidRPr="00794977">
        <w:tab/>
        <w:t xml:space="preserve">Complainant Exhibit 9 is a 2012 W-2 form from the </w:t>
      </w:r>
      <w:r w:rsidR="00BD610C" w:rsidRPr="00794977">
        <w:t>Hartford Life Insurance Company</w:t>
      </w:r>
      <w:r w:rsidR="009B61D8">
        <w:t xml:space="preserve"> addressed to 33 Tidewater Lane</w:t>
      </w:r>
      <w:r w:rsidRPr="00794977">
        <w:t>.</w:t>
      </w:r>
    </w:p>
    <w:p w:rsidR="00D85B4A" w:rsidRPr="00794977" w:rsidRDefault="00D85B4A" w:rsidP="00BD610C">
      <w:pPr>
        <w:jc w:val="left"/>
      </w:pPr>
    </w:p>
    <w:p w:rsidR="00BD610C" w:rsidRPr="00794977" w:rsidRDefault="00D85B4A" w:rsidP="00BD610C">
      <w:pPr>
        <w:jc w:val="left"/>
      </w:pPr>
      <w:r w:rsidRPr="00794977">
        <w:tab/>
      </w:r>
      <w:r w:rsidRPr="00794977">
        <w:tab/>
        <w:t>50.</w:t>
      </w:r>
      <w:r w:rsidRPr="00794977">
        <w:tab/>
        <w:t>Complainant Exhibit 10 is a</w:t>
      </w:r>
      <w:r w:rsidR="00BD610C" w:rsidRPr="00794977">
        <w:t xml:space="preserve"> 2012 W-2 and earnings summary from PM</w:t>
      </w:r>
      <w:r w:rsidRPr="00794977">
        <w:t>H</w:t>
      </w:r>
      <w:r w:rsidR="00BD610C" w:rsidRPr="00794977">
        <w:t xml:space="preserve">CC, Inc., bearing the </w:t>
      </w:r>
      <w:r w:rsidRPr="00794977">
        <w:t xml:space="preserve">mailing </w:t>
      </w:r>
      <w:r w:rsidR="00BD610C" w:rsidRPr="00794977">
        <w:t>address of 33 Tidewater, Willingboro NJ.</w:t>
      </w:r>
    </w:p>
    <w:p w:rsidR="00A07535" w:rsidRPr="00794977" w:rsidRDefault="00655E07" w:rsidP="004909A4">
      <w:pPr>
        <w:jc w:val="left"/>
      </w:pPr>
      <w:r w:rsidRPr="00794977">
        <w:tab/>
      </w:r>
      <w:r w:rsidR="00A23185" w:rsidRPr="00794977">
        <w:tab/>
      </w:r>
    </w:p>
    <w:p w:rsidR="00A07535" w:rsidRPr="00794977" w:rsidRDefault="00A07535" w:rsidP="00A07535">
      <w:pPr>
        <w:rPr>
          <w:u w:val="single"/>
        </w:rPr>
      </w:pPr>
      <w:r w:rsidRPr="00794977">
        <w:rPr>
          <w:u w:val="single"/>
        </w:rPr>
        <w:t>DISCUSSION</w:t>
      </w:r>
    </w:p>
    <w:p w:rsidR="006E1E2D" w:rsidRPr="00794977" w:rsidRDefault="006E1E2D" w:rsidP="00A07535">
      <w:pPr>
        <w:rPr>
          <w:u w:val="single"/>
        </w:rPr>
      </w:pPr>
    </w:p>
    <w:p w:rsidR="004909A4" w:rsidRPr="00794977" w:rsidRDefault="004909A4" w:rsidP="004909A4">
      <w:pPr>
        <w:jc w:val="left"/>
      </w:pPr>
      <w:r w:rsidRPr="00794977">
        <w:tab/>
      </w:r>
      <w:r w:rsidRPr="00794977">
        <w:tab/>
        <w:t xml:space="preserve">Complainant moved into his </w:t>
      </w:r>
      <w:r w:rsidR="00F45F26" w:rsidRPr="00794977">
        <w:t xml:space="preserve">deceased </w:t>
      </w:r>
      <w:r w:rsidRPr="00794977">
        <w:t>grandparents' home in December</w:t>
      </w:r>
      <w:r w:rsidR="00DB6DA5">
        <w:t>, 2012, at </w:t>
      </w:r>
      <w:r w:rsidRPr="00794977">
        <w:t xml:space="preserve">2547 N. Bouvier Street in Philadelphia, after the gas service </w:t>
      </w:r>
      <w:r w:rsidR="00F1553A">
        <w:t>had been terminated.  In August, </w:t>
      </w:r>
      <w:r w:rsidRPr="00794977">
        <w:t>2013, Complainant sought to initiate gas service to the residence and was told by PGW that he was required to pay not only a reconnection fee but also a security deposit and full payment for unauthorized usage of gas from the date servic</w:t>
      </w:r>
      <w:r w:rsidR="00D84F58">
        <w:t>e had been terminated to August 19, </w:t>
      </w:r>
      <w:r w:rsidRPr="00794977">
        <w:t>2013, for a total of $2</w:t>
      </w:r>
      <w:r w:rsidR="009C51C1">
        <w:t>,</w:t>
      </w:r>
      <w:r w:rsidRPr="00794977">
        <w:t>472.64.  Complainant alleges that he did not live in the residence for part of that time, that there was no gas service while he lived there, and that he should not be responsible for these payments.</w:t>
      </w:r>
    </w:p>
    <w:p w:rsidR="004909A4" w:rsidRPr="00794977" w:rsidRDefault="004909A4" w:rsidP="00A07535">
      <w:pPr>
        <w:rPr>
          <w:u w:val="single"/>
        </w:rPr>
      </w:pPr>
    </w:p>
    <w:p w:rsidR="006E1E2D" w:rsidRPr="00794977" w:rsidRDefault="006E1E2D" w:rsidP="006E1E2D">
      <w:pPr>
        <w:jc w:val="left"/>
      </w:pPr>
      <w:r w:rsidRPr="00794977">
        <w:tab/>
      </w:r>
      <w:r w:rsidRPr="00794977">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794977">
        <w:rPr>
          <w:i/>
        </w:rPr>
        <w:t xml:space="preserve">Patterson v. Bell Tel. Co. of PA, </w:t>
      </w:r>
      <w:r w:rsidR="009A021D">
        <w:t>72 Pa. PUC</w:t>
      </w:r>
      <w:r w:rsidRPr="00794977">
        <w:t xml:space="preserve"> 196 (1990); </w:t>
      </w:r>
      <w:r w:rsidRPr="00794977">
        <w:rPr>
          <w:i/>
        </w:rPr>
        <w:t xml:space="preserve">Feinstein v. Phila. Suburban Water Co., </w:t>
      </w:r>
      <w:r w:rsidR="009A021D">
        <w:t>50 Pa. PUC</w:t>
      </w:r>
      <w:r w:rsidRPr="00794977">
        <w:t xml:space="preserve"> 300 (1976).  This must be shown by a preponderance of th</w:t>
      </w:r>
      <w:r w:rsidR="009A021D">
        <w:t xml:space="preserve">e evidence.  </w:t>
      </w:r>
      <w:r w:rsidRPr="00794977">
        <w:rPr>
          <w:i/>
        </w:rPr>
        <w:t xml:space="preserve">Samuel J. Lansberry, Inc. v. Pa. Pub. Util. Comm'n, </w:t>
      </w:r>
      <w:r w:rsidRPr="00794977">
        <w:t xml:space="preserve">578 A.2d 600 (1990), </w:t>
      </w:r>
      <w:r w:rsidRPr="00794977">
        <w:rPr>
          <w:i/>
        </w:rPr>
        <w:t>alloc, denied</w:t>
      </w:r>
      <w:r w:rsidRPr="00794977">
        <w:t xml:space="preserve">, 602 A.2d 863 (1992).  A preponderance of evidence is that which is more convincing, by even the smallest amount, than that presented by the other party.  </w:t>
      </w:r>
      <w:r w:rsidRPr="00794977">
        <w:rPr>
          <w:i/>
        </w:rPr>
        <w:t>Se-Ling Hosiery v. Margulies,</w:t>
      </w:r>
      <w:r w:rsidRPr="00794977">
        <w:t xml:space="preserve"> </w:t>
      </w:r>
      <w:r w:rsidRPr="00794977">
        <w:rPr>
          <w:color w:val="333333"/>
        </w:rPr>
        <w:t>364 Pa. 45, 70 A.2d 854, 1950 Pa. LEXIS 316 (1950)</w:t>
      </w:r>
      <w:r w:rsidRPr="00794977">
        <w:t>.</w:t>
      </w:r>
    </w:p>
    <w:p w:rsidR="006E1E2D" w:rsidRPr="00794977" w:rsidRDefault="006E1E2D" w:rsidP="006E1E2D">
      <w:pPr>
        <w:jc w:val="left"/>
      </w:pPr>
    </w:p>
    <w:p w:rsidR="006E1E2D" w:rsidRPr="00794977" w:rsidRDefault="006E1E2D" w:rsidP="006E1E2D">
      <w:pPr>
        <w:jc w:val="left"/>
      </w:pPr>
      <w:r w:rsidRPr="00794977">
        <w:tab/>
      </w:r>
      <w:r w:rsidRPr="00794977">
        <w:tab/>
        <w:t xml:space="preserve">Additionally, any finding of fact necessary to support the Commission's adjudication must be based upon substantial evidence.  </w:t>
      </w:r>
      <w:r w:rsidRPr="00794977">
        <w:rPr>
          <w:i/>
        </w:rPr>
        <w:t>Mill v. Pa. Pub. Util. Comm'n</w:t>
      </w:r>
      <w:r w:rsidR="001F550B">
        <w:t>, 447 A.2d </w:t>
      </w:r>
      <w:r w:rsidRPr="00794977">
        <w:t xml:space="preserve">1100 (Pa.Cmwlth. 1982); </w:t>
      </w:r>
      <w:r w:rsidRPr="00794977">
        <w:rPr>
          <w:i/>
        </w:rPr>
        <w:t xml:space="preserve">Edan Transportation Corp. v. Pa. Pub. Util. Comm'n, </w:t>
      </w:r>
      <w:r w:rsidRPr="00794977">
        <w:t xml:space="preserve">623 A.2d 6 (Pa. Cmwlth. 1993); 2 Pa.C.S. § 704.  More is required than a mere trace of evidence or a suspicion of the existence of a fact sought to be established.  </w:t>
      </w:r>
      <w:r w:rsidRPr="00794977">
        <w:rPr>
          <w:i/>
        </w:rPr>
        <w:t xml:space="preserve">Norfolk and Western Ry. v. Pa. Pub. Util. Comm'n, </w:t>
      </w:r>
      <w:r w:rsidRPr="00794977">
        <w:t xml:space="preserve">489 Pa. 109, 413 A.2d 1037 (1980); </w:t>
      </w:r>
      <w:r w:rsidRPr="00794977">
        <w:rPr>
          <w:i/>
        </w:rPr>
        <w:t xml:space="preserve">Erie Resistor Corp. v. Unemployment </w:t>
      </w:r>
      <w:r w:rsidRPr="00794977">
        <w:rPr>
          <w:i/>
        </w:rPr>
        <w:lastRenderedPageBreak/>
        <w:t xml:space="preserve">Compensation Bd. Of Review, </w:t>
      </w:r>
      <w:r w:rsidRPr="00794977">
        <w:t xml:space="preserve">166 A.2d 96 (Pa.Super. 1960); </w:t>
      </w:r>
      <w:r w:rsidRPr="00794977">
        <w:rPr>
          <w:i/>
        </w:rPr>
        <w:t xml:space="preserve">Murphy v. Dep't. of Public Welfare, White Haven Center, </w:t>
      </w:r>
      <w:r w:rsidRPr="00794977">
        <w:t>480 A.2d 382 (Pa. Cmwlth. 1984).</w:t>
      </w:r>
    </w:p>
    <w:p w:rsidR="006E1E2D" w:rsidRPr="00794977" w:rsidRDefault="006E1E2D" w:rsidP="006E1E2D">
      <w:pPr>
        <w:jc w:val="left"/>
      </w:pPr>
    </w:p>
    <w:p w:rsidR="006E1E2D" w:rsidRPr="00794977" w:rsidRDefault="006E1E2D" w:rsidP="006E1E2D">
      <w:pPr>
        <w:jc w:val="left"/>
      </w:pPr>
      <w:r w:rsidRPr="00794977">
        <w:tab/>
      </w:r>
      <w:r w:rsidRPr="00794977">
        <w:tab/>
        <w:t>The offense must be a violation of the Public Utility Code, the Commission's regulations, or an outstanding order of the Commission.  66 Pa.C.S. § 701.</w:t>
      </w:r>
    </w:p>
    <w:p w:rsidR="006E1E2D" w:rsidRPr="00794977" w:rsidRDefault="006E1E2D" w:rsidP="006E1E2D">
      <w:pPr>
        <w:jc w:val="left"/>
      </w:pPr>
    </w:p>
    <w:p w:rsidR="006E1E2D" w:rsidRPr="00794977" w:rsidRDefault="006E1E2D" w:rsidP="006E1E2D">
      <w:pPr>
        <w:ind w:firstLine="1440"/>
        <w:jc w:val="left"/>
      </w:pPr>
      <w:r w:rsidRPr="00794977">
        <w:t>As the proponent of a Commission order, Complainant has the burden of proof in this case.  66 Pa.C.S.A. § 332(a).</w:t>
      </w:r>
    </w:p>
    <w:p w:rsidR="006E1E2D" w:rsidRPr="00794977" w:rsidRDefault="006E1E2D" w:rsidP="006E1E2D">
      <w:pPr>
        <w:ind w:firstLine="1440"/>
      </w:pPr>
    </w:p>
    <w:p w:rsidR="006E1E2D" w:rsidRPr="00794977" w:rsidRDefault="006E1E2D" w:rsidP="006E1E2D">
      <w:pPr>
        <w:tabs>
          <w:tab w:val="left" w:pos="-1440"/>
          <w:tab w:val="left" w:pos="-720"/>
        </w:tabs>
        <w:suppressAutoHyphens/>
        <w:ind w:firstLine="1440"/>
        <w:jc w:val="left"/>
        <w:rPr>
          <w:spacing w:val="-3"/>
        </w:rPr>
      </w:pPr>
      <w:r w:rsidRPr="00794977">
        <w:rPr>
          <w:spacing w:val="-3"/>
        </w:rPr>
        <w:t xml:space="preserve">The “burden of proof” is composed of two distinct burdens: the burden of production and the burden of persuasion.  </w:t>
      </w:r>
      <w:r w:rsidRPr="00794977">
        <w:rPr>
          <w:i/>
          <w:spacing w:val="-3"/>
        </w:rPr>
        <w:t>Hurley v. Hurley</w:t>
      </w:r>
      <w:r w:rsidRPr="00794977">
        <w:rPr>
          <w:spacing w:val="-3"/>
        </w:rPr>
        <w:t>, 2000 Pa.Super. 178, 754 A.2d 1283 (2000).</w:t>
      </w:r>
    </w:p>
    <w:p w:rsidR="00A07535" w:rsidRPr="00794977" w:rsidRDefault="00A07535" w:rsidP="00A07535">
      <w:pPr>
        <w:jc w:val="left"/>
      </w:pPr>
    </w:p>
    <w:p w:rsidR="006E1E2D" w:rsidRPr="00794977" w:rsidRDefault="006E1E2D" w:rsidP="00A07535">
      <w:pPr>
        <w:jc w:val="left"/>
      </w:pPr>
      <w:r w:rsidRPr="00794977">
        <w:tab/>
      </w:r>
      <w:r w:rsidRPr="00794977">
        <w:tab/>
      </w:r>
      <w:r w:rsidR="004C0C3E" w:rsidRPr="00794977">
        <w:t>The subject residence at 2547 Bouvier Street was owned and occupied by the Complainant's grandparents until their deaths, and it is now owned by Complainant's mother but is still in the grandparents' names.</w:t>
      </w:r>
    </w:p>
    <w:p w:rsidR="006E1E2D" w:rsidRPr="00794977" w:rsidRDefault="006E1E2D" w:rsidP="00A07535">
      <w:pPr>
        <w:jc w:val="left"/>
      </w:pPr>
    </w:p>
    <w:p w:rsidR="00A07535" w:rsidRPr="00794977" w:rsidRDefault="00C152A9" w:rsidP="00A07535">
      <w:pPr>
        <w:jc w:val="left"/>
      </w:pPr>
      <w:r w:rsidRPr="00794977">
        <w:tab/>
      </w:r>
      <w:r w:rsidRPr="00794977">
        <w:tab/>
        <w:t>Evidence shows the following chronology of events:</w:t>
      </w:r>
    </w:p>
    <w:p w:rsidR="006E1E2D" w:rsidRPr="00794977" w:rsidRDefault="006E1E2D" w:rsidP="00A07535">
      <w:pPr>
        <w:jc w:val="left"/>
      </w:pPr>
    </w:p>
    <w:p w:rsidR="001A4A01" w:rsidRPr="00794977" w:rsidRDefault="00110827" w:rsidP="001A4A01">
      <w:pPr>
        <w:spacing w:line="240" w:lineRule="auto"/>
        <w:ind w:left="720"/>
        <w:jc w:val="left"/>
      </w:pPr>
      <w:r w:rsidRPr="00794977">
        <w:t>October 2009</w:t>
      </w:r>
      <w:r w:rsidRPr="00794977">
        <w:tab/>
      </w:r>
      <w:r w:rsidRPr="00794977">
        <w:tab/>
        <w:t>Complainant's grandfather passed away.  Tr. 18</w:t>
      </w:r>
      <w:r w:rsidR="007B03FE" w:rsidRPr="00794977">
        <w:t>, 28</w:t>
      </w:r>
      <w:r w:rsidRPr="00794977">
        <w:t>.</w:t>
      </w:r>
    </w:p>
    <w:p w:rsidR="00E72EDA" w:rsidRPr="00794977" w:rsidRDefault="00110827" w:rsidP="001A4A01">
      <w:pPr>
        <w:spacing w:line="240" w:lineRule="auto"/>
        <w:ind w:left="720"/>
        <w:jc w:val="left"/>
      </w:pPr>
      <w:r w:rsidRPr="00794977">
        <w:t xml:space="preserve"> </w:t>
      </w:r>
    </w:p>
    <w:p w:rsidR="00E72EDA" w:rsidRPr="00794977" w:rsidRDefault="00E72EDA" w:rsidP="001A4A01">
      <w:pPr>
        <w:spacing w:line="240" w:lineRule="auto"/>
        <w:ind w:left="720"/>
        <w:jc w:val="left"/>
      </w:pPr>
      <w:r w:rsidRPr="00794977">
        <w:t>April 27, 2010</w:t>
      </w:r>
      <w:r w:rsidRPr="00794977">
        <w:tab/>
      </w:r>
      <w:r w:rsidRPr="00794977">
        <w:tab/>
        <w:t>Complainant register</w:t>
      </w:r>
      <w:r w:rsidR="006C66A4" w:rsidRPr="00794977">
        <w:t>ed</w:t>
      </w:r>
      <w:r w:rsidRPr="00794977">
        <w:t xml:space="preserve"> to vote </w:t>
      </w:r>
      <w:r w:rsidR="006C66A4" w:rsidRPr="00794977">
        <w:t xml:space="preserve">with his residence listed </w:t>
      </w:r>
      <w:r w:rsidRPr="00794977">
        <w:t xml:space="preserve">at 839 N. </w:t>
      </w:r>
      <w:r w:rsidR="006C66A4" w:rsidRPr="00794977">
        <w:tab/>
      </w:r>
      <w:r w:rsidR="006C66A4" w:rsidRPr="00794977">
        <w:tab/>
      </w:r>
      <w:r w:rsidR="006C66A4" w:rsidRPr="00794977">
        <w:tab/>
      </w:r>
      <w:r w:rsidR="006C66A4" w:rsidRPr="00794977">
        <w:tab/>
      </w:r>
      <w:r w:rsidRPr="00794977">
        <w:t>5</w:t>
      </w:r>
      <w:r w:rsidRPr="00794977">
        <w:rPr>
          <w:vertAlign w:val="superscript"/>
        </w:rPr>
        <w:t>th</w:t>
      </w:r>
      <w:r w:rsidRPr="00794977">
        <w:t xml:space="preserve"> Street</w:t>
      </w:r>
      <w:r w:rsidR="006C66A4" w:rsidRPr="00794977">
        <w:t>, which is his mother's address</w:t>
      </w:r>
      <w:r w:rsidRPr="00794977">
        <w:t>.  Ex. C-4.</w:t>
      </w:r>
    </w:p>
    <w:p w:rsidR="001A4A01" w:rsidRPr="00794977" w:rsidRDefault="001A4A01" w:rsidP="001A4A01">
      <w:pPr>
        <w:spacing w:line="240" w:lineRule="auto"/>
        <w:ind w:left="720"/>
        <w:jc w:val="left"/>
      </w:pPr>
    </w:p>
    <w:p w:rsidR="001A4A01" w:rsidRPr="00794977" w:rsidRDefault="00254B0F" w:rsidP="001A4A01">
      <w:pPr>
        <w:spacing w:line="240" w:lineRule="auto"/>
        <w:ind w:left="720"/>
        <w:jc w:val="left"/>
      </w:pPr>
      <w:r w:rsidRPr="00794977">
        <w:t>December 2010</w:t>
      </w:r>
      <w:r w:rsidRPr="00794977">
        <w:tab/>
        <w:t xml:space="preserve">Complainant </w:t>
      </w:r>
      <w:r w:rsidR="001A4A01" w:rsidRPr="00794977">
        <w:t>testifie</w:t>
      </w:r>
      <w:r w:rsidR="006C66A4" w:rsidRPr="00794977">
        <w:t>d</w:t>
      </w:r>
      <w:r w:rsidR="001A4A01" w:rsidRPr="00794977">
        <w:t xml:space="preserve"> that he </w:t>
      </w:r>
      <w:r w:rsidRPr="00794977">
        <w:t>arrive</w:t>
      </w:r>
      <w:r w:rsidR="001A4A01" w:rsidRPr="00794977">
        <w:t>d</w:t>
      </w:r>
      <w:r w:rsidRPr="00794977">
        <w:t xml:space="preserve"> in Philadelphia to help </w:t>
      </w:r>
      <w:r w:rsidR="001A4A01" w:rsidRPr="00794977">
        <w:t xml:space="preserve">his </w:t>
      </w:r>
      <w:r w:rsidR="001A4A01" w:rsidRPr="00794977">
        <w:tab/>
      </w:r>
      <w:r w:rsidR="001A4A01" w:rsidRPr="00794977">
        <w:tab/>
      </w:r>
      <w:r w:rsidR="001A4A01" w:rsidRPr="00794977">
        <w:tab/>
      </w:r>
      <w:r w:rsidR="001A4A01" w:rsidRPr="00794977">
        <w:tab/>
        <w:t xml:space="preserve">mother take care of </w:t>
      </w:r>
      <w:r w:rsidRPr="00794977">
        <w:t>his grandmother</w:t>
      </w:r>
      <w:r w:rsidR="001A4A01" w:rsidRPr="00794977">
        <w:t xml:space="preserve"> </w:t>
      </w:r>
      <w:r w:rsidR="00110827" w:rsidRPr="00794977">
        <w:t>a</w:t>
      </w:r>
      <w:r w:rsidRPr="00794977">
        <w:t xml:space="preserve">fter his grandfather passed.  </w:t>
      </w:r>
      <w:r w:rsidR="001A4A01" w:rsidRPr="00794977">
        <w:tab/>
      </w:r>
      <w:r w:rsidR="001A4A01" w:rsidRPr="00794977">
        <w:tab/>
      </w:r>
      <w:r w:rsidR="001A4A01" w:rsidRPr="00794977">
        <w:tab/>
      </w:r>
      <w:r w:rsidR="001A4A01" w:rsidRPr="00794977">
        <w:tab/>
      </w:r>
      <w:r w:rsidRPr="00794977">
        <w:t>Tr. 8</w:t>
      </w:r>
      <w:r w:rsidR="00110827" w:rsidRPr="00794977">
        <w:t xml:space="preserve">.  He was </w:t>
      </w:r>
      <w:r w:rsidR="001A4A01" w:rsidRPr="00794977">
        <w:tab/>
      </w:r>
      <w:r w:rsidR="00110827" w:rsidRPr="00794977">
        <w:t>living with his mother at</w:t>
      </w:r>
      <w:r w:rsidR="001A4A01" w:rsidRPr="00794977">
        <w:t xml:space="preserve"> </w:t>
      </w:r>
      <w:r w:rsidR="00110827" w:rsidRPr="00794977">
        <w:t xml:space="preserve">839 North </w:t>
      </w:r>
      <w:r w:rsidR="0084288A">
        <w:t>5th</w:t>
      </w:r>
      <w:r w:rsidR="00110827" w:rsidRPr="00794977">
        <w:t xml:space="preserve"> Street.  </w:t>
      </w:r>
    </w:p>
    <w:p w:rsidR="00110827" w:rsidRPr="00794977" w:rsidRDefault="001A4A01" w:rsidP="001A4A01">
      <w:pPr>
        <w:spacing w:line="240" w:lineRule="auto"/>
        <w:ind w:left="720"/>
        <w:jc w:val="left"/>
      </w:pPr>
      <w:r w:rsidRPr="00794977">
        <w:tab/>
      </w:r>
      <w:r w:rsidRPr="00794977">
        <w:tab/>
      </w:r>
      <w:r w:rsidRPr="00794977">
        <w:tab/>
      </w:r>
      <w:r w:rsidR="00110827" w:rsidRPr="00794977">
        <w:t>Tr. 61, 67, 68-69.</w:t>
      </w:r>
    </w:p>
    <w:p w:rsidR="001A4A01" w:rsidRPr="00794977" w:rsidRDefault="001A4A01" w:rsidP="001A4A01">
      <w:pPr>
        <w:spacing w:line="240" w:lineRule="auto"/>
        <w:ind w:left="720"/>
        <w:jc w:val="left"/>
      </w:pPr>
    </w:p>
    <w:p w:rsidR="00E72EDA" w:rsidRPr="00794977" w:rsidRDefault="00E72EDA" w:rsidP="001A4A01">
      <w:pPr>
        <w:spacing w:line="240" w:lineRule="auto"/>
        <w:ind w:left="720"/>
        <w:jc w:val="left"/>
      </w:pPr>
      <w:r w:rsidRPr="00794977">
        <w:t>2010</w:t>
      </w:r>
      <w:r w:rsidR="00225322" w:rsidRPr="00794977">
        <w:t xml:space="preserve"> </w:t>
      </w:r>
      <w:r w:rsidR="006C66A4" w:rsidRPr="00794977">
        <w:tab/>
      </w:r>
      <w:r w:rsidR="006C66A4" w:rsidRPr="00794977">
        <w:tab/>
      </w:r>
      <w:r w:rsidR="006C66A4" w:rsidRPr="00794977">
        <w:tab/>
      </w:r>
      <w:r w:rsidR="00225322" w:rsidRPr="00794977">
        <w:t xml:space="preserve">W-2 forms </w:t>
      </w:r>
      <w:r w:rsidR="006C66A4" w:rsidRPr="00794977">
        <w:t>from Horizon House, Inc.</w:t>
      </w:r>
      <w:r w:rsidR="00FF0379" w:rsidRPr="00794977">
        <w:t xml:space="preserve">, and Southwest Nu Stop Inc., </w:t>
      </w:r>
      <w:r w:rsidR="006C66A4" w:rsidRPr="00794977">
        <w:t xml:space="preserve"> </w:t>
      </w:r>
      <w:r w:rsidR="00FF0379" w:rsidRPr="00794977">
        <w:tab/>
      </w:r>
      <w:r w:rsidR="00FF0379" w:rsidRPr="00794977">
        <w:tab/>
      </w:r>
      <w:r w:rsidR="00FF0379" w:rsidRPr="00794977">
        <w:tab/>
      </w:r>
      <w:r w:rsidR="00225322" w:rsidRPr="00794977">
        <w:t xml:space="preserve">show </w:t>
      </w:r>
      <w:r w:rsidR="00FF0379" w:rsidRPr="00794977">
        <w:t xml:space="preserve">the </w:t>
      </w:r>
      <w:r w:rsidR="00225322" w:rsidRPr="00794977">
        <w:t xml:space="preserve">839 North </w:t>
      </w:r>
      <w:r w:rsidR="00110827" w:rsidRPr="00794977">
        <w:t>5</w:t>
      </w:r>
      <w:r w:rsidR="00110827" w:rsidRPr="00794977">
        <w:rPr>
          <w:vertAlign w:val="superscript"/>
        </w:rPr>
        <w:t>th</w:t>
      </w:r>
      <w:r w:rsidR="00110827" w:rsidRPr="00794977">
        <w:t xml:space="preserve"> </w:t>
      </w:r>
      <w:r w:rsidR="00225322" w:rsidRPr="00794977">
        <w:t>Street address</w:t>
      </w:r>
      <w:r w:rsidR="006C66A4" w:rsidRPr="00794977">
        <w:t xml:space="preserve"> for Complainant</w:t>
      </w:r>
      <w:r w:rsidR="001A4A01" w:rsidRPr="00794977">
        <w:t>.</w:t>
      </w:r>
      <w:r w:rsidR="00225322" w:rsidRPr="00794977">
        <w:t xml:space="preserve"> </w:t>
      </w:r>
      <w:r w:rsidR="00440C1D">
        <w:t xml:space="preserve"> </w:t>
      </w:r>
      <w:r w:rsidR="00225322" w:rsidRPr="00794977">
        <w:t>Ex</w:t>
      </w:r>
      <w:r w:rsidR="00FF0379" w:rsidRPr="00794977">
        <w:t>s</w:t>
      </w:r>
      <w:r w:rsidR="00225322" w:rsidRPr="00794977">
        <w:t>. C-1</w:t>
      </w:r>
      <w:r w:rsidR="00FF0379" w:rsidRPr="00794977">
        <w:t xml:space="preserve">, </w:t>
      </w:r>
      <w:r w:rsidR="00FF0379" w:rsidRPr="00794977">
        <w:tab/>
      </w:r>
      <w:r w:rsidR="00FF0379" w:rsidRPr="00794977">
        <w:tab/>
      </w:r>
      <w:r w:rsidR="00FF0379" w:rsidRPr="00794977">
        <w:tab/>
      </w:r>
      <w:r w:rsidR="00FF0379" w:rsidRPr="00794977">
        <w:tab/>
        <w:t>C-5</w:t>
      </w:r>
      <w:r w:rsidR="001A4A01" w:rsidRPr="00794977">
        <w:t>.</w:t>
      </w:r>
    </w:p>
    <w:p w:rsidR="007B03FE" w:rsidRPr="00794977" w:rsidRDefault="007B03FE" w:rsidP="001A4A01">
      <w:pPr>
        <w:spacing w:line="240" w:lineRule="auto"/>
        <w:ind w:left="720"/>
        <w:jc w:val="left"/>
      </w:pPr>
    </w:p>
    <w:p w:rsidR="007B03FE" w:rsidRPr="00794977" w:rsidRDefault="007B03FE" w:rsidP="001A4A01">
      <w:pPr>
        <w:spacing w:line="240" w:lineRule="auto"/>
        <w:ind w:left="720"/>
        <w:jc w:val="left"/>
      </w:pPr>
      <w:r w:rsidRPr="00794977">
        <w:t>July 31, 2011</w:t>
      </w:r>
      <w:r w:rsidRPr="00794977">
        <w:tab/>
      </w:r>
      <w:r w:rsidRPr="00794977">
        <w:tab/>
        <w:t>Complainant's grandmother passed away.  Tr. 29.</w:t>
      </w:r>
    </w:p>
    <w:p w:rsidR="006C66A4" w:rsidRPr="00794977" w:rsidRDefault="006C66A4" w:rsidP="001A4A01">
      <w:pPr>
        <w:spacing w:line="240" w:lineRule="auto"/>
        <w:ind w:left="720"/>
        <w:jc w:val="left"/>
      </w:pPr>
    </w:p>
    <w:p w:rsidR="006C66A4" w:rsidRPr="00794977" w:rsidRDefault="006C66A4" w:rsidP="001A4A01">
      <w:pPr>
        <w:spacing w:line="240" w:lineRule="auto"/>
        <w:ind w:left="720"/>
        <w:jc w:val="left"/>
      </w:pPr>
      <w:r w:rsidRPr="00794977">
        <w:t>2011</w:t>
      </w:r>
      <w:r w:rsidRPr="00794977">
        <w:tab/>
      </w:r>
      <w:r w:rsidRPr="00794977">
        <w:tab/>
      </w:r>
      <w:r w:rsidRPr="00794977">
        <w:tab/>
        <w:t xml:space="preserve">W-2 forms from Crisis Management Services, Inc., show </w:t>
      </w:r>
      <w:r w:rsidR="00FF0379" w:rsidRPr="00794977">
        <w:t xml:space="preserve">the </w:t>
      </w:r>
      <w:r w:rsidRPr="00794977">
        <w:t>839</w:t>
      </w:r>
    </w:p>
    <w:p w:rsidR="006C66A4" w:rsidRPr="00794977" w:rsidRDefault="006C66A4" w:rsidP="001A4A01">
      <w:pPr>
        <w:spacing w:line="240" w:lineRule="auto"/>
        <w:ind w:left="720"/>
        <w:jc w:val="left"/>
      </w:pPr>
      <w:r w:rsidRPr="00794977">
        <w:tab/>
      </w:r>
      <w:r w:rsidRPr="00794977">
        <w:tab/>
      </w:r>
      <w:r w:rsidRPr="00794977">
        <w:tab/>
        <w:t>North 5</w:t>
      </w:r>
      <w:r w:rsidRPr="00794977">
        <w:rPr>
          <w:vertAlign w:val="superscript"/>
        </w:rPr>
        <w:t>th</w:t>
      </w:r>
      <w:r w:rsidRPr="00794977">
        <w:t xml:space="preserve"> Street address for Complainant.  Ex. C-1.</w:t>
      </w:r>
      <w:r w:rsidRPr="00794977">
        <w:tab/>
      </w:r>
    </w:p>
    <w:p w:rsidR="001A4A01" w:rsidRPr="00794977" w:rsidRDefault="001A4A01" w:rsidP="001A4A01">
      <w:pPr>
        <w:spacing w:line="240" w:lineRule="auto"/>
        <w:ind w:left="720"/>
        <w:jc w:val="left"/>
      </w:pPr>
    </w:p>
    <w:p w:rsidR="00225322" w:rsidRPr="00794977" w:rsidRDefault="00225322" w:rsidP="001A4A01">
      <w:pPr>
        <w:spacing w:line="240" w:lineRule="auto"/>
        <w:ind w:left="720"/>
        <w:jc w:val="left"/>
      </w:pPr>
      <w:r w:rsidRPr="00794977">
        <w:t>2011</w:t>
      </w:r>
      <w:r w:rsidRPr="00794977">
        <w:tab/>
      </w:r>
      <w:r w:rsidR="00E72EDA" w:rsidRPr="00794977">
        <w:tab/>
      </w:r>
      <w:r w:rsidR="00E72EDA" w:rsidRPr="00794977">
        <w:tab/>
      </w:r>
      <w:r w:rsidR="00110827" w:rsidRPr="00794977">
        <w:t>Complainant b</w:t>
      </w:r>
      <w:r w:rsidRPr="00794977">
        <w:t>egan employment with City of Phila</w:t>
      </w:r>
      <w:r w:rsidR="00181E7B" w:rsidRPr="00794977">
        <w:t>delphia</w:t>
      </w:r>
      <w:r w:rsidRPr="00794977">
        <w:t xml:space="preserve">, Office </w:t>
      </w:r>
      <w:r w:rsidR="00181E7B" w:rsidRPr="00794977">
        <w:tab/>
      </w:r>
      <w:r w:rsidR="00181E7B" w:rsidRPr="00794977">
        <w:tab/>
      </w:r>
      <w:r w:rsidR="00181E7B" w:rsidRPr="00794977">
        <w:tab/>
      </w:r>
      <w:r w:rsidR="00181E7B" w:rsidRPr="00794977">
        <w:tab/>
      </w:r>
      <w:r w:rsidRPr="00794977">
        <w:t>of Addiction Services</w:t>
      </w:r>
      <w:r w:rsidR="00181E7B" w:rsidRPr="00794977">
        <w:t>, using North 5</w:t>
      </w:r>
      <w:r w:rsidR="00181E7B" w:rsidRPr="00794977">
        <w:rPr>
          <w:vertAlign w:val="superscript"/>
        </w:rPr>
        <w:t>th</w:t>
      </w:r>
      <w:r w:rsidR="00181E7B" w:rsidRPr="00794977">
        <w:t xml:space="preserve"> Street address</w:t>
      </w:r>
      <w:r w:rsidRPr="00794977">
        <w:t>.  Tr.</w:t>
      </w:r>
      <w:r w:rsidR="00E72EDA" w:rsidRPr="00794977">
        <w:t xml:space="preserve"> </w:t>
      </w:r>
      <w:r w:rsidRPr="00794977">
        <w:t>13-14</w:t>
      </w:r>
      <w:r w:rsidR="00181E7B" w:rsidRPr="00794977">
        <w:t xml:space="preserve">; </w:t>
      </w:r>
    </w:p>
    <w:p w:rsidR="00181E7B" w:rsidRPr="00794977" w:rsidRDefault="00181E7B" w:rsidP="001A4A01">
      <w:pPr>
        <w:spacing w:line="240" w:lineRule="auto"/>
        <w:ind w:left="720"/>
        <w:jc w:val="left"/>
      </w:pPr>
      <w:r w:rsidRPr="00794977">
        <w:tab/>
      </w:r>
      <w:r w:rsidRPr="00794977">
        <w:tab/>
      </w:r>
      <w:r w:rsidRPr="00794977">
        <w:tab/>
        <w:t>Ex. C-1 (W-2 form).</w:t>
      </w:r>
      <w:r w:rsidRPr="00794977">
        <w:tab/>
      </w:r>
    </w:p>
    <w:p w:rsidR="001A4A01" w:rsidRPr="00794977" w:rsidRDefault="001A4A01" w:rsidP="001A4A01">
      <w:pPr>
        <w:spacing w:line="240" w:lineRule="auto"/>
        <w:ind w:left="720"/>
        <w:jc w:val="left"/>
      </w:pPr>
    </w:p>
    <w:p w:rsidR="00225322" w:rsidRPr="00794977" w:rsidRDefault="002526CA" w:rsidP="001A4A01">
      <w:pPr>
        <w:spacing w:line="240" w:lineRule="auto"/>
        <w:ind w:left="720"/>
        <w:jc w:val="left"/>
      </w:pPr>
      <w:r w:rsidRPr="00794977">
        <w:t>December 15</w:t>
      </w:r>
      <w:r w:rsidR="00E72EDA" w:rsidRPr="00794977">
        <w:t>, 2011</w:t>
      </w:r>
      <w:r w:rsidR="00E72EDA" w:rsidRPr="00794977">
        <w:tab/>
        <w:t xml:space="preserve">Service to premises terminated for lack of payment PGW Ex. 6; </w:t>
      </w:r>
      <w:r w:rsidR="001A4A01" w:rsidRPr="00794977">
        <w:tab/>
      </w:r>
      <w:r w:rsidR="001A4A01" w:rsidRPr="00794977">
        <w:tab/>
      </w:r>
      <w:r w:rsidR="001A4A01" w:rsidRPr="00794977">
        <w:tab/>
      </w:r>
      <w:r w:rsidR="001A4A01" w:rsidRPr="00794977">
        <w:tab/>
      </w:r>
      <w:r w:rsidR="00E72EDA" w:rsidRPr="00794977">
        <w:t>Tr. 33</w:t>
      </w:r>
      <w:r w:rsidR="001A4A01" w:rsidRPr="00794977">
        <w:t>.</w:t>
      </w:r>
    </w:p>
    <w:p w:rsidR="001A4A01" w:rsidRPr="00794977" w:rsidRDefault="001A4A01" w:rsidP="001A4A01">
      <w:pPr>
        <w:spacing w:line="240" w:lineRule="auto"/>
        <w:ind w:left="720"/>
        <w:jc w:val="left"/>
      </w:pPr>
    </w:p>
    <w:p w:rsidR="00181E7B" w:rsidRPr="00794977" w:rsidRDefault="00E72EDA" w:rsidP="001A4A01">
      <w:pPr>
        <w:spacing w:line="240" w:lineRule="auto"/>
        <w:ind w:left="720"/>
        <w:jc w:val="left"/>
      </w:pPr>
      <w:r w:rsidRPr="00794977">
        <w:t>December 21, 2011</w:t>
      </w:r>
      <w:r w:rsidRPr="00794977">
        <w:tab/>
        <w:t>PGW left a 72 Hours Meter Access Notice at premises</w:t>
      </w:r>
      <w:r w:rsidR="001A4A01" w:rsidRPr="00794977">
        <w:t>.</w:t>
      </w:r>
      <w:r w:rsidRPr="00794977">
        <w:t xml:space="preserve"> </w:t>
      </w:r>
      <w:r w:rsidR="00093413">
        <w:t xml:space="preserve"> </w:t>
      </w:r>
      <w:r w:rsidRPr="00794977">
        <w:t xml:space="preserve">PGW </w:t>
      </w:r>
    </w:p>
    <w:p w:rsidR="00E72EDA" w:rsidRPr="00794977" w:rsidRDefault="00181E7B" w:rsidP="001A4A01">
      <w:pPr>
        <w:spacing w:line="240" w:lineRule="auto"/>
        <w:ind w:left="720"/>
        <w:jc w:val="left"/>
      </w:pPr>
      <w:r w:rsidRPr="00794977">
        <w:tab/>
      </w:r>
      <w:r w:rsidRPr="00794977">
        <w:tab/>
      </w:r>
      <w:r w:rsidRPr="00794977">
        <w:tab/>
      </w:r>
      <w:r w:rsidR="00E72EDA" w:rsidRPr="00794977">
        <w:t>Ex. 6; Tr. 34</w:t>
      </w:r>
      <w:r w:rsidR="001A4A01" w:rsidRPr="00794977">
        <w:t>.</w:t>
      </w:r>
    </w:p>
    <w:p w:rsidR="006E0A1C" w:rsidRPr="00794977" w:rsidRDefault="006E0A1C" w:rsidP="001A4A01">
      <w:pPr>
        <w:spacing w:line="240" w:lineRule="auto"/>
        <w:ind w:left="720"/>
        <w:jc w:val="left"/>
      </w:pPr>
    </w:p>
    <w:p w:rsidR="006E0A1C" w:rsidRPr="00794977" w:rsidRDefault="006E0A1C" w:rsidP="001A4A01">
      <w:pPr>
        <w:spacing w:line="240" w:lineRule="auto"/>
        <w:ind w:left="720"/>
        <w:jc w:val="left"/>
      </w:pPr>
      <w:r w:rsidRPr="00794977">
        <w:t>December 30, 2011</w:t>
      </w:r>
      <w:r w:rsidRPr="00794977">
        <w:tab/>
        <w:t>PGW investigation indicates that gas turned off at meter index</w:t>
      </w:r>
    </w:p>
    <w:p w:rsidR="006E0A1C" w:rsidRPr="00794977" w:rsidRDefault="006E0A1C" w:rsidP="001A4A01">
      <w:pPr>
        <w:spacing w:line="240" w:lineRule="auto"/>
        <w:ind w:left="720"/>
        <w:jc w:val="left"/>
      </w:pPr>
      <w:r w:rsidRPr="00794977">
        <w:tab/>
      </w:r>
      <w:r w:rsidRPr="00794977">
        <w:tab/>
      </w:r>
      <w:r w:rsidRPr="00794977">
        <w:tab/>
        <w:t>2221, now at 2242, 21 ccf used since shut-off.  PGW Ex. 1.</w:t>
      </w:r>
    </w:p>
    <w:p w:rsidR="001A4A01" w:rsidRPr="00794977" w:rsidRDefault="001A4A01" w:rsidP="001A4A01">
      <w:pPr>
        <w:spacing w:line="240" w:lineRule="auto"/>
        <w:ind w:left="720"/>
        <w:jc w:val="left"/>
      </w:pPr>
    </w:p>
    <w:p w:rsidR="00E72EDA" w:rsidRPr="00794977" w:rsidRDefault="00E72EDA" w:rsidP="001A4A01">
      <w:pPr>
        <w:spacing w:line="240" w:lineRule="auto"/>
        <w:ind w:left="720"/>
        <w:jc w:val="left"/>
      </w:pPr>
      <w:r w:rsidRPr="00794977">
        <w:t>January 3, 2012</w:t>
      </w:r>
      <w:r w:rsidRPr="00794977">
        <w:tab/>
        <w:t xml:space="preserve">PGW visited for Unauthorized Usage Investigation Order, </w:t>
      </w:r>
      <w:r w:rsidR="001A4A01" w:rsidRPr="00794977">
        <w:tab/>
      </w:r>
      <w:r w:rsidR="001A4A01" w:rsidRPr="00794977">
        <w:tab/>
      </w:r>
      <w:r w:rsidR="001A4A01" w:rsidRPr="00794977">
        <w:tab/>
      </w:r>
      <w:r w:rsidR="001A4A01" w:rsidRPr="00794977">
        <w:tab/>
      </w:r>
      <w:r w:rsidR="001A4A01" w:rsidRPr="00794977">
        <w:tab/>
      </w:r>
      <w:r w:rsidRPr="00794977">
        <w:t xml:space="preserve">someone refused access, service terminated at curb.  PGW Ex. 6; </w:t>
      </w:r>
      <w:r w:rsidR="001A4A01" w:rsidRPr="00794977">
        <w:tab/>
      </w:r>
      <w:r w:rsidR="001A4A01" w:rsidRPr="00794977">
        <w:tab/>
      </w:r>
      <w:r w:rsidR="001A4A01" w:rsidRPr="00794977">
        <w:tab/>
      </w:r>
      <w:r w:rsidR="001A4A01" w:rsidRPr="00794977">
        <w:tab/>
      </w:r>
      <w:r w:rsidRPr="00794977">
        <w:t>Tr. 34.</w:t>
      </w:r>
    </w:p>
    <w:p w:rsidR="001A4A01" w:rsidRPr="00794977" w:rsidRDefault="001A4A01" w:rsidP="001A4A01">
      <w:pPr>
        <w:spacing w:line="240" w:lineRule="auto"/>
        <w:ind w:left="720"/>
        <w:jc w:val="left"/>
      </w:pPr>
    </w:p>
    <w:p w:rsidR="00E72EDA" w:rsidRPr="00794977" w:rsidRDefault="00E72EDA" w:rsidP="001A4A01">
      <w:pPr>
        <w:spacing w:line="240" w:lineRule="auto"/>
        <w:ind w:left="720"/>
        <w:jc w:val="left"/>
      </w:pPr>
      <w:r w:rsidRPr="00794977">
        <w:t>October 21, 2012</w:t>
      </w:r>
      <w:r w:rsidRPr="00794977">
        <w:tab/>
        <w:t xml:space="preserve">PGW visited for a cold weather survey and found gas on.  PGW </w:t>
      </w:r>
      <w:r w:rsidR="001A4A01" w:rsidRPr="00794977">
        <w:tab/>
      </w:r>
      <w:r w:rsidR="001A4A01" w:rsidRPr="00794977">
        <w:tab/>
      </w:r>
      <w:r w:rsidR="001A4A01" w:rsidRPr="00794977">
        <w:tab/>
      </w:r>
      <w:r w:rsidR="001A4A01" w:rsidRPr="00794977">
        <w:tab/>
      </w:r>
      <w:r w:rsidRPr="00794977">
        <w:t>Ex. 2; Tr.</w:t>
      </w:r>
      <w:r w:rsidR="001A4A01" w:rsidRPr="00794977">
        <w:t xml:space="preserve"> </w:t>
      </w:r>
      <w:r w:rsidRPr="00794977">
        <w:t>38</w:t>
      </w:r>
      <w:r w:rsidR="00FF0379" w:rsidRPr="00794977">
        <w:t>.</w:t>
      </w:r>
    </w:p>
    <w:p w:rsidR="001A4A01" w:rsidRPr="00794977" w:rsidRDefault="001A4A01" w:rsidP="001A4A01">
      <w:pPr>
        <w:spacing w:line="240" w:lineRule="auto"/>
        <w:ind w:left="720"/>
        <w:jc w:val="left"/>
      </w:pPr>
    </w:p>
    <w:p w:rsidR="00181E7B" w:rsidRPr="00794977" w:rsidRDefault="00254B0F" w:rsidP="001A4A01">
      <w:pPr>
        <w:spacing w:line="240" w:lineRule="auto"/>
        <w:ind w:left="720"/>
        <w:jc w:val="left"/>
      </w:pPr>
      <w:r w:rsidRPr="00794977">
        <w:t>2012</w:t>
      </w:r>
      <w:r w:rsidRPr="00794977">
        <w:tab/>
      </w:r>
      <w:r w:rsidRPr="00794977">
        <w:tab/>
      </w:r>
      <w:r w:rsidRPr="00794977">
        <w:tab/>
        <w:t xml:space="preserve">W-2 forms </w:t>
      </w:r>
      <w:r w:rsidR="006C66A4" w:rsidRPr="00794977">
        <w:t xml:space="preserve">from PMHCC, Inc., </w:t>
      </w:r>
      <w:r w:rsidRPr="00794977">
        <w:t xml:space="preserve">show 33 Tidewater Lane, </w:t>
      </w:r>
      <w:r w:rsidR="006C66A4" w:rsidRPr="00794977">
        <w:tab/>
      </w:r>
      <w:r w:rsidR="006C66A4" w:rsidRPr="00794977">
        <w:tab/>
      </w:r>
      <w:r w:rsidR="006C66A4" w:rsidRPr="00794977">
        <w:tab/>
      </w:r>
      <w:r w:rsidR="006C66A4" w:rsidRPr="00794977">
        <w:tab/>
      </w:r>
      <w:r w:rsidR="006C66A4" w:rsidRPr="00794977">
        <w:tab/>
      </w:r>
      <w:r w:rsidRPr="00794977">
        <w:t>Willingboro NJ address</w:t>
      </w:r>
      <w:r w:rsidR="006C66A4" w:rsidRPr="00794977">
        <w:t xml:space="preserve"> for Complainant</w:t>
      </w:r>
      <w:r w:rsidRPr="00794977">
        <w:t xml:space="preserve">. </w:t>
      </w:r>
      <w:r w:rsidR="00784137">
        <w:t xml:space="preserve"> </w:t>
      </w:r>
      <w:r w:rsidRPr="00794977">
        <w:t>Ex.</w:t>
      </w:r>
      <w:r w:rsidR="00FF0379" w:rsidRPr="00794977">
        <w:t xml:space="preserve"> C-1, </w:t>
      </w:r>
      <w:r w:rsidRPr="00794977">
        <w:t>10</w:t>
      </w:r>
      <w:r w:rsidR="00181E7B" w:rsidRPr="00794977">
        <w:t>.</w:t>
      </w:r>
    </w:p>
    <w:p w:rsidR="00FF0379" w:rsidRPr="00794977" w:rsidRDefault="00FF0379" w:rsidP="001A4A01">
      <w:pPr>
        <w:spacing w:line="240" w:lineRule="auto"/>
        <w:ind w:left="720"/>
        <w:jc w:val="left"/>
      </w:pPr>
    </w:p>
    <w:p w:rsidR="00FF0379" w:rsidRPr="00794977" w:rsidRDefault="00FF0379" w:rsidP="001A4A01">
      <w:pPr>
        <w:spacing w:line="240" w:lineRule="auto"/>
        <w:ind w:left="720"/>
        <w:jc w:val="left"/>
      </w:pPr>
      <w:r w:rsidRPr="00794977">
        <w:t>2012</w:t>
      </w:r>
      <w:r w:rsidRPr="00794977">
        <w:tab/>
      </w:r>
      <w:r w:rsidRPr="00794977">
        <w:tab/>
      </w:r>
      <w:r w:rsidRPr="00794977">
        <w:tab/>
        <w:t>Third party payments from The Hartford Insurance Company</w:t>
      </w:r>
    </w:p>
    <w:p w:rsidR="00FF0379" w:rsidRPr="00794977" w:rsidRDefault="00FF0379" w:rsidP="001A4A01">
      <w:pPr>
        <w:spacing w:line="240" w:lineRule="auto"/>
        <w:ind w:left="720"/>
        <w:jc w:val="left"/>
      </w:pPr>
      <w:r w:rsidRPr="00794977">
        <w:tab/>
      </w:r>
      <w:r w:rsidRPr="00794977">
        <w:tab/>
      </w:r>
      <w:r w:rsidRPr="00794977">
        <w:tab/>
        <w:t>W-2 forms show the 33 Tidewater Lane, Willingboro NJ address</w:t>
      </w:r>
    </w:p>
    <w:p w:rsidR="00FF0379" w:rsidRPr="00794977" w:rsidRDefault="00FF0379" w:rsidP="001A4A01">
      <w:pPr>
        <w:spacing w:line="240" w:lineRule="auto"/>
        <w:ind w:left="720"/>
        <w:jc w:val="left"/>
      </w:pPr>
      <w:r w:rsidRPr="00794977">
        <w:tab/>
      </w:r>
      <w:r w:rsidRPr="00794977">
        <w:tab/>
      </w:r>
      <w:r w:rsidRPr="00794977">
        <w:tab/>
        <w:t>For Complainant.  Ex. C-9.</w:t>
      </w:r>
      <w:r w:rsidRPr="00794977">
        <w:tab/>
      </w:r>
    </w:p>
    <w:p w:rsidR="00254B0F" w:rsidRPr="00794977" w:rsidRDefault="00254B0F" w:rsidP="001A4A01">
      <w:pPr>
        <w:spacing w:line="240" w:lineRule="auto"/>
        <w:ind w:left="720"/>
        <w:jc w:val="left"/>
      </w:pPr>
      <w:r w:rsidRPr="00794977">
        <w:t xml:space="preserve"> </w:t>
      </w:r>
    </w:p>
    <w:p w:rsidR="00E72EDA" w:rsidRPr="00794977" w:rsidRDefault="001A4A01" w:rsidP="001A4A01">
      <w:pPr>
        <w:spacing w:line="240" w:lineRule="auto"/>
        <w:ind w:left="720"/>
        <w:jc w:val="left"/>
      </w:pPr>
      <w:r w:rsidRPr="00794977">
        <w:t>2012</w:t>
      </w:r>
      <w:r w:rsidRPr="00794977">
        <w:tab/>
      </w:r>
      <w:r w:rsidRPr="00794977">
        <w:tab/>
      </w:r>
      <w:r w:rsidRPr="00794977">
        <w:tab/>
        <w:t xml:space="preserve">Primary address was 33 Tidewater Lane, Willingboro NJ, as he </w:t>
      </w:r>
      <w:r w:rsidR="00181E7B" w:rsidRPr="00794977">
        <w:tab/>
      </w:r>
      <w:r w:rsidR="00181E7B" w:rsidRPr="00794977">
        <w:tab/>
      </w:r>
      <w:r w:rsidR="00181E7B" w:rsidRPr="00794977">
        <w:tab/>
      </w:r>
      <w:r w:rsidR="00181E7B" w:rsidRPr="00794977">
        <w:tab/>
      </w:r>
      <w:r w:rsidRPr="00794977">
        <w:t xml:space="preserve">was undergoing chemotherapy and lived with daughter's mother.  </w:t>
      </w:r>
      <w:r w:rsidR="00181E7B" w:rsidRPr="00794977">
        <w:tab/>
      </w:r>
      <w:r w:rsidR="00181E7B" w:rsidRPr="00794977">
        <w:tab/>
      </w:r>
      <w:r w:rsidR="00181E7B" w:rsidRPr="00794977">
        <w:tab/>
      </w:r>
      <w:r w:rsidR="00181E7B" w:rsidRPr="00794977">
        <w:tab/>
      </w:r>
      <w:r w:rsidRPr="00794977">
        <w:t>Tr. 12-13.</w:t>
      </w:r>
    </w:p>
    <w:p w:rsidR="00181E7B" w:rsidRPr="00794977" w:rsidRDefault="00181E7B" w:rsidP="001A4A01">
      <w:pPr>
        <w:spacing w:line="240" w:lineRule="auto"/>
        <w:ind w:left="720"/>
        <w:jc w:val="left"/>
      </w:pPr>
    </w:p>
    <w:p w:rsidR="00225322" w:rsidRPr="00794977" w:rsidRDefault="00225322" w:rsidP="001A4A01">
      <w:pPr>
        <w:spacing w:line="240" w:lineRule="auto"/>
        <w:ind w:left="720"/>
        <w:jc w:val="left"/>
      </w:pPr>
      <w:r w:rsidRPr="00794977">
        <w:t>December 2012</w:t>
      </w:r>
      <w:r w:rsidRPr="00794977">
        <w:tab/>
        <w:t>Complainant</w:t>
      </w:r>
      <w:r w:rsidR="007F496F" w:rsidRPr="00794977">
        <w:t xml:space="preserve"> began to clean out the house, he had n</w:t>
      </w:r>
      <w:r w:rsidRPr="00794977">
        <w:t xml:space="preserve">o gas </w:t>
      </w:r>
      <w:r w:rsidR="007F496F" w:rsidRPr="00794977">
        <w:t>service</w:t>
      </w:r>
      <w:r w:rsidRPr="00794977">
        <w:t xml:space="preserve">.  </w:t>
      </w:r>
      <w:r w:rsidR="007F496F" w:rsidRPr="00794977">
        <w:tab/>
      </w:r>
      <w:r w:rsidR="007F496F" w:rsidRPr="00794977">
        <w:tab/>
      </w:r>
      <w:r w:rsidR="007F496F" w:rsidRPr="00794977">
        <w:tab/>
      </w:r>
      <w:r w:rsidR="007F496F" w:rsidRPr="00794977">
        <w:tab/>
      </w:r>
      <w:r w:rsidRPr="00794977">
        <w:t>Tr. 9</w:t>
      </w:r>
    </w:p>
    <w:p w:rsidR="003513F1" w:rsidRPr="00794977" w:rsidRDefault="003513F1" w:rsidP="001A4A01">
      <w:pPr>
        <w:spacing w:line="240" w:lineRule="auto"/>
        <w:ind w:left="720"/>
        <w:jc w:val="left"/>
      </w:pPr>
    </w:p>
    <w:p w:rsidR="003513F1" w:rsidRPr="00794977" w:rsidRDefault="003513F1" w:rsidP="001A4A01">
      <w:pPr>
        <w:spacing w:line="240" w:lineRule="auto"/>
        <w:ind w:left="720"/>
        <w:jc w:val="left"/>
      </w:pPr>
      <w:r w:rsidRPr="00794977">
        <w:t>August 19, 2013</w:t>
      </w:r>
      <w:r w:rsidRPr="00794977">
        <w:tab/>
        <w:t>Complainant contacted PGW to request gas service.</w:t>
      </w:r>
    </w:p>
    <w:p w:rsidR="00254B0F" w:rsidRPr="00794977" w:rsidRDefault="00254B0F" w:rsidP="001A4A01">
      <w:pPr>
        <w:spacing w:line="240" w:lineRule="auto"/>
        <w:ind w:left="720"/>
        <w:jc w:val="left"/>
      </w:pPr>
    </w:p>
    <w:p w:rsidR="00225322" w:rsidRPr="00794977" w:rsidRDefault="00225322" w:rsidP="001A4A01">
      <w:pPr>
        <w:spacing w:line="240" w:lineRule="auto"/>
        <w:ind w:left="720"/>
        <w:jc w:val="left"/>
      </w:pPr>
      <w:r w:rsidRPr="00794977">
        <w:t>August 19, 2013</w:t>
      </w:r>
      <w:r w:rsidRPr="00794977">
        <w:tab/>
        <w:t>Complainant signed deceased grandparents' signatures to lease</w:t>
      </w:r>
      <w:r w:rsidR="00F45F26" w:rsidRPr="00794977">
        <w:t>.</w:t>
      </w:r>
      <w:r w:rsidRPr="00794977">
        <w:t xml:space="preserve"> </w:t>
      </w:r>
      <w:r w:rsidR="00784137">
        <w:t xml:space="preserve"> </w:t>
      </w:r>
      <w:r w:rsidR="00181E7B" w:rsidRPr="00794977">
        <w:tab/>
      </w:r>
      <w:r w:rsidR="00181E7B" w:rsidRPr="00794977">
        <w:tab/>
      </w:r>
      <w:r w:rsidR="00181E7B" w:rsidRPr="00794977">
        <w:tab/>
      </w:r>
      <w:r w:rsidR="00181E7B" w:rsidRPr="00794977">
        <w:tab/>
      </w:r>
      <w:r w:rsidRPr="00794977">
        <w:t>PGW Ex. 3</w:t>
      </w:r>
    </w:p>
    <w:p w:rsidR="00181E7B" w:rsidRPr="00794977" w:rsidRDefault="00181E7B" w:rsidP="001A4A01">
      <w:pPr>
        <w:spacing w:line="240" w:lineRule="auto"/>
        <w:ind w:left="720"/>
        <w:jc w:val="left"/>
      </w:pPr>
    </w:p>
    <w:p w:rsidR="00E72EDA" w:rsidRPr="00794977" w:rsidRDefault="00E72EDA" w:rsidP="001A4A01">
      <w:pPr>
        <w:spacing w:line="240" w:lineRule="auto"/>
        <w:ind w:left="720"/>
        <w:jc w:val="left"/>
      </w:pPr>
      <w:r w:rsidRPr="00794977">
        <w:t>August 19, 2013</w:t>
      </w:r>
      <w:r w:rsidRPr="00794977">
        <w:tab/>
        <w:t>PGW found gas on at curb box, left it off.  PGW Ex. 2; Tr. 38.</w:t>
      </w:r>
    </w:p>
    <w:p w:rsidR="00D1779C" w:rsidRPr="00794977" w:rsidRDefault="00D1779C" w:rsidP="001A4A01">
      <w:pPr>
        <w:spacing w:line="240" w:lineRule="auto"/>
        <w:ind w:left="720"/>
        <w:jc w:val="left"/>
      </w:pPr>
      <w:r w:rsidRPr="00794977">
        <w:tab/>
      </w:r>
      <w:r w:rsidRPr="00794977">
        <w:tab/>
      </w:r>
      <w:r w:rsidRPr="00794977">
        <w:tab/>
        <w:t>Meter pulled for meter reclamation program.  PGW Ex. 2.</w:t>
      </w:r>
    </w:p>
    <w:p w:rsidR="00181E7B" w:rsidRPr="00794977" w:rsidRDefault="00D1779C" w:rsidP="001A4A01">
      <w:pPr>
        <w:spacing w:line="240" w:lineRule="auto"/>
        <w:ind w:left="720"/>
        <w:jc w:val="left"/>
      </w:pPr>
      <w:r w:rsidRPr="00794977">
        <w:tab/>
      </w:r>
      <w:r w:rsidRPr="00794977">
        <w:tab/>
      </w:r>
    </w:p>
    <w:p w:rsidR="00D1779C" w:rsidRPr="00794977" w:rsidRDefault="00E72EDA" w:rsidP="001A4A01">
      <w:pPr>
        <w:spacing w:line="240" w:lineRule="auto"/>
        <w:ind w:left="720"/>
        <w:jc w:val="left"/>
      </w:pPr>
      <w:r w:rsidRPr="00794977">
        <w:t>August 23, 2013</w:t>
      </w:r>
      <w:r w:rsidRPr="00794977">
        <w:tab/>
        <w:t xml:space="preserve">PGW visited property for unauthorized use investigation, found </w:t>
      </w:r>
      <w:r w:rsidR="00181E7B" w:rsidRPr="00794977">
        <w:tab/>
      </w:r>
      <w:r w:rsidR="00181E7B" w:rsidRPr="00794977">
        <w:tab/>
      </w:r>
      <w:r w:rsidR="00181E7B" w:rsidRPr="00794977">
        <w:tab/>
      </w:r>
      <w:r w:rsidR="00181E7B" w:rsidRPr="00794977">
        <w:tab/>
      </w:r>
      <w:r w:rsidRPr="00794977">
        <w:t>gas off</w:t>
      </w:r>
      <w:r w:rsidR="00181E7B" w:rsidRPr="00794977">
        <w:t xml:space="preserve"> </w:t>
      </w:r>
      <w:r w:rsidRPr="00794977">
        <w:tab/>
        <w:t>and left it off.  Tr. 38-39; PGW Ex. 2.</w:t>
      </w:r>
      <w:r w:rsidR="00D1779C" w:rsidRPr="00794977">
        <w:t xml:space="preserve">  Meter index at </w:t>
      </w:r>
      <w:r w:rsidR="00D1779C" w:rsidRPr="00794977">
        <w:tab/>
      </w:r>
      <w:r w:rsidR="00D1779C" w:rsidRPr="00794977">
        <w:tab/>
      </w:r>
      <w:r w:rsidR="00D1779C" w:rsidRPr="00794977">
        <w:tab/>
      </w:r>
      <w:r w:rsidR="00D1779C" w:rsidRPr="00794977">
        <w:tab/>
        <w:t>2252.  PGW Ex. 2 at page 5</w:t>
      </w:r>
      <w:r w:rsidR="00765FA2" w:rsidRPr="00794977">
        <w:t>; PGW Ex. 3 at 1</w:t>
      </w:r>
      <w:r w:rsidR="00D1779C" w:rsidRPr="00794977">
        <w:t>.</w:t>
      </w:r>
    </w:p>
    <w:p w:rsidR="003513F1" w:rsidRPr="00794977" w:rsidRDefault="003513F1" w:rsidP="001A4A01">
      <w:pPr>
        <w:spacing w:line="240" w:lineRule="auto"/>
        <w:ind w:left="720"/>
        <w:jc w:val="left"/>
      </w:pPr>
    </w:p>
    <w:p w:rsidR="003513F1" w:rsidRPr="00794977" w:rsidRDefault="003513F1" w:rsidP="001A4A01">
      <w:pPr>
        <w:spacing w:line="240" w:lineRule="auto"/>
        <w:ind w:left="720"/>
        <w:jc w:val="left"/>
      </w:pPr>
      <w:r w:rsidRPr="00794977">
        <w:tab/>
      </w:r>
      <w:r w:rsidRPr="00794977">
        <w:tab/>
      </w:r>
      <w:r w:rsidRPr="00794977">
        <w:tab/>
        <w:t xml:space="preserve">Complainant informed that he would need to pay estimated </w:t>
      </w:r>
      <w:r w:rsidRPr="00794977">
        <w:tab/>
      </w:r>
      <w:r w:rsidRPr="00794977">
        <w:tab/>
      </w:r>
      <w:r w:rsidRPr="00794977">
        <w:tab/>
      </w:r>
      <w:r w:rsidRPr="00794977">
        <w:tab/>
      </w:r>
      <w:r w:rsidRPr="00794977">
        <w:tab/>
        <w:t xml:space="preserve">unbilled usage at the property of $2,472.64, which includes a </w:t>
      </w:r>
      <w:r w:rsidRPr="00794977">
        <w:tab/>
      </w:r>
      <w:r w:rsidRPr="00794977">
        <w:tab/>
      </w:r>
      <w:r w:rsidRPr="00794977">
        <w:tab/>
      </w:r>
      <w:r w:rsidRPr="00794977">
        <w:tab/>
        <w:t xml:space="preserve">$123.23 reconnection fee and $114.00 towards a $228.00 security </w:t>
      </w:r>
      <w:r w:rsidRPr="00794977">
        <w:tab/>
      </w:r>
      <w:r w:rsidRPr="00794977">
        <w:tab/>
      </w:r>
      <w:r w:rsidRPr="00794977">
        <w:tab/>
      </w:r>
      <w:r w:rsidRPr="00794977">
        <w:tab/>
        <w:t>deposit before service would be established.</w:t>
      </w:r>
    </w:p>
    <w:p w:rsidR="002526CA" w:rsidRPr="00794977" w:rsidRDefault="002526CA" w:rsidP="001A4A01">
      <w:pPr>
        <w:spacing w:line="240" w:lineRule="auto"/>
        <w:ind w:left="720"/>
        <w:jc w:val="left"/>
      </w:pPr>
    </w:p>
    <w:p w:rsidR="002526CA" w:rsidRPr="00794977" w:rsidRDefault="002526CA" w:rsidP="001A4A01">
      <w:pPr>
        <w:spacing w:line="240" w:lineRule="auto"/>
        <w:ind w:left="720"/>
        <w:jc w:val="left"/>
      </w:pPr>
      <w:r w:rsidRPr="00794977">
        <w:t>September 9, 2013</w:t>
      </w:r>
      <w:r w:rsidRPr="00794977">
        <w:tab/>
        <w:t>BCS decision issued</w:t>
      </w:r>
    </w:p>
    <w:p w:rsidR="003513F1" w:rsidRPr="00794977" w:rsidRDefault="003513F1" w:rsidP="001A4A01">
      <w:pPr>
        <w:spacing w:line="240" w:lineRule="auto"/>
        <w:ind w:left="720"/>
        <w:jc w:val="left"/>
      </w:pPr>
    </w:p>
    <w:p w:rsidR="003513F1" w:rsidRPr="00794977" w:rsidRDefault="003513F1" w:rsidP="001A4A01">
      <w:pPr>
        <w:spacing w:line="240" w:lineRule="auto"/>
        <w:ind w:left="720"/>
        <w:jc w:val="left"/>
      </w:pPr>
      <w:r w:rsidRPr="00794977">
        <w:t>October 2, 2013</w:t>
      </w:r>
      <w:r w:rsidRPr="00794977">
        <w:tab/>
        <w:t>Formal Complaint filed</w:t>
      </w:r>
    </w:p>
    <w:p w:rsidR="003513F1" w:rsidRPr="00794977" w:rsidRDefault="003513F1" w:rsidP="00DD247D">
      <w:pPr>
        <w:ind w:left="720"/>
        <w:jc w:val="left"/>
      </w:pPr>
      <w:r w:rsidRPr="00794977">
        <w:tab/>
      </w:r>
    </w:p>
    <w:p w:rsidR="00086E72" w:rsidRPr="00794977" w:rsidRDefault="009E5390" w:rsidP="00A07535">
      <w:pPr>
        <w:jc w:val="left"/>
      </w:pPr>
      <w:r w:rsidRPr="00794977">
        <w:tab/>
      </w:r>
      <w:r w:rsidRPr="00794977">
        <w:tab/>
        <w:t>The evidence supports a finding that Complainant was occupying the premises beginning in December</w:t>
      </w:r>
      <w:r w:rsidR="00DD247D">
        <w:t>,</w:t>
      </w:r>
      <w:r w:rsidRPr="00794977">
        <w:t xml:space="preserve"> 2012.  Tr. 9.</w:t>
      </w:r>
      <w:r w:rsidR="00086E72" w:rsidRPr="00794977">
        <w:t xml:space="preserve">  He presented evidence sufficient to support his allegation that he did not live at the residence prior to that time in the form of W-2 tax forms and disability payments to other addresses for 2010, 2011 and 2012.</w:t>
      </w:r>
    </w:p>
    <w:p w:rsidR="00086E72" w:rsidRPr="00794977" w:rsidRDefault="00086E72" w:rsidP="00A07535">
      <w:pPr>
        <w:jc w:val="left"/>
      </w:pPr>
    </w:p>
    <w:p w:rsidR="00086E72" w:rsidRPr="00794977" w:rsidRDefault="00E50933" w:rsidP="00A07535">
      <w:pPr>
        <w:jc w:val="left"/>
      </w:pPr>
      <w:r w:rsidRPr="00794977">
        <w:tab/>
      </w:r>
      <w:r w:rsidRPr="00794977">
        <w:tab/>
        <w:t>Accordingly, the burden of production shifts to PGW to rebut the evidence presented by Complainant.</w:t>
      </w:r>
    </w:p>
    <w:p w:rsidR="00E50933" w:rsidRPr="00794977" w:rsidRDefault="00E50933" w:rsidP="00A07535">
      <w:pPr>
        <w:jc w:val="left"/>
      </w:pPr>
    </w:p>
    <w:p w:rsidR="00AC51D6" w:rsidRPr="00794977" w:rsidRDefault="00E50933" w:rsidP="00A07535">
      <w:pPr>
        <w:jc w:val="left"/>
      </w:pPr>
      <w:r w:rsidRPr="00794977">
        <w:tab/>
      </w:r>
      <w:r w:rsidRPr="00794977">
        <w:tab/>
      </w:r>
      <w:r w:rsidR="009E5390" w:rsidRPr="00794977">
        <w:t>PGW records indicate that the gas was turned o</w:t>
      </w:r>
      <w:r w:rsidR="00DD247D">
        <w:t>ff on October 21, 2012, PGW Ex. </w:t>
      </w:r>
      <w:r w:rsidR="009E5390" w:rsidRPr="00794977">
        <w:t>2, Tr. 38, but the ga</w:t>
      </w:r>
      <w:r w:rsidR="006E0A1C" w:rsidRPr="00794977">
        <w:t>s was on at the curb on August 19</w:t>
      </w:r>
      <w:r w:rsidR="009E5390" w:rsidRPr="00794977">
        <w:t xml:space="preserve">, 2013, after the premises were under Complainant's control for at least eight months.  </w:t>
      </w:r>
      <w:r w:rsidR="00A174AB" w:rsidRPr="00794977">
        <w:t>PGW Ex. 2</w:t>
      </w:r>
      <w:r w:rsidR="00D1779C" w:rsidRPr="00794977">
        <w:t xml:space="preserve">.  PGW's own records show that there was a meter in place, and that on December 14, 2011, the meter was indexed at 2221.  PGW Exhibit 6. </w:t>
      </w:r>
      <w:r w:rsidR="00086E72" w:rsidRPr="00794977">
        <w:t xml:space="preserve"> Service was terminated at the curb at that time.  PGW Ex. 1.  </w:t>
      </w:r>
      <w:r w:rsidR="00DD247D">
        <w:t>On August 19, </w:t>
      </w:r>
      <w:r w:rsidR="00D1779C" w:rsidRPr="00794977">
        <w:t xml:space="preserve">2013, when the meter was removed, it was indexed at </w:t>
      </w:r>
      <w:r w:rsidR="00902449" w:rsidRPr="00794977">
        <w:t>2252.  PGW Ex. 2 at page 5</w:t>
      </w:r>
      <w:r w:rsidR="00765FA2" w:rsidRPr="00794977">
        <w:t>; PGW Ex. 3 at 1</w:t>
      </w:r>
      <w:r w:rsidR="00902449" w:rsidRPr="00794977">
        <w:t>.</w:t>
      </w:r>
      <w:r w:rsidR="00AC51D6" w:rsidRPr="00794977">
        <w:t xml:space="preserve">  Therefore, there was unauthorized usage of </w:t>
      </w:r>
      <w:r w:rsidR="00AC51D6" w:rsidRPr="00794977">
        <w:rPr>
          <w:i/>
        </w:rPr>
        <w:t>at least</w:t>
      </w:r>
      <w:r w:rsidR="00AC51D6" w:rsidRPr="00794977">
        <w:t xml:space="preserve"> 10 ccfs from the time period of </w:t>
      </w:r>
      <w:r w:rsidR="00086E72" w:rsidRPr="00794977">
        <w:t>eleven</w:t>
      </w:r>
      <w:r w:rsidR="00AC51D6" w:rsidRPr="00794977">
        <w:t xml:space="preserve"> months prior to the Complainant's occupation of the premises to the time when he sought to initiate service in August</w:t>
      </w:r>
      <w:r w:rsidR="00761CA4">
        <w:t>,</w:t>
      </w:r>
      <w:r w:rsidR="00AC51D6" w:rsidRPr="00794977">
        <w:t xml:space="preserve"> 2013. </w:t>
      </w:r>
      <w:r w:rsidR="00761CA4">
        <w:t xml:space="preserve"> </w:t>
      </w:r>
      <w:r w:rsidRPr="00794977">
        <w:t xml:space="preserve">This is only that gas </w:t>
      </w:r>
      <w:r w:rsidR="00D45743" w:rsidRPr="00794977">
        <w:t>which</w:t>
      </w:r>
      <w:r w:rsidRPr="00794977">
        <w:t xml:space="preserve"> passed through the meter for measuring.</w:t>
      </w:r>
    </w:p>
    <w:p w:rsidR="00AC51D6" w:rsidRPr="00794977" w:rsidRDefault="00AC51D6" w:rsidP="00A07535">
      <w:pPr>
        <w:jc w:val="left"/>
      </w:pPr>
    </w:p>
    <w:p w:rsidR="005216C0" w:rsidRPr="00794977" w:rsidRDefault="00AC51D6" w:rsidP="00A07535">
      <w:pPr>
        <w:jc w:val="left"/>
      </w:pPr>
      <w:r w:rsidRPr="00794977">
        <w:tab/>
      </w:r>
      <w:r w:rsidRPr="00794977">
        <w:tab/>
        <w:t>PG</w:t>
      </w:r>
      <w:r w:rsidR="004B3C9C" w:rsidRPr="00794977">
        <w:t>W</w:t>
      </w:r>
      <w:r w:rsidRPr="00794977">
        <w:t xml:space="preserve"> Exhibit 1</w:t>
      </w:r>
      <w:r w:rsidR="004B3C9C" w:rsidRPr="00794977">
        <w:t xml:space="preserve"> also indicates that there was an unknown tampered meter bypass </w:t>
      </w:r>
      <w:r w:rsidR="00086E72" w:rsidRPr="00794977">
        <w:t xml:space="preserve">found </w:t>
      </w:r>
      <w:r w:rsidR="004B3C9C" w:rsidRPr="00794977">
        <w:t>on August 19, 2013,</w:t>
      </w:r>
      <w:r w:rsidR="00086E72" w:rsidRPr="00794977">
        <w:t xml:space="preserve"> and from this, PGW assumes that there had been consumption of gas in the residence at the same level as existed in 2006</w:t>
      </w:r>
      <w:r w:rsidR="00E50933" w:rsidRPr="00794977">
        <w:t xml:space="preserve"> which would not have passed through the meter for measuring</w:t>
      </w:r>
      <w:r w:rsidR="00086E72" w:rsidRPr="00794977">
        <w:t>.</w:t>
      </w:r>
      <w:r w:rsidR="00E50933" w:rsidRPr="00794977">
        <w:t xml:space="preserve">  With the actual consumption of gas not known, PGW </w:t>
      </w:r>
      <w:r w:rsidR="009F7F6F" w:rsidRPr="00794977">
        <w:t xml:space="preserve">estimated the usage </w:t>
      </w:r>
      <w:r w:rsidR="009F7F6F" w:rsidRPr="00794977">
        <w:lastRenderedPageBreak/>
        <w:t>at the residence based upon the household's usage in 20</w:t>
      </w:r>
      <w:r w:rsidR="00E670F2">
        <w:t xml:space="preserve">06, when both of Complainant's </w:t>
      </w:r>
      <w:r w:rsidR="009F7F6F" w:rsidRPr="00794977">
        <w:t>grandparents lived at the house full time.</w:t>
      </w:r>
      <w:r w:rsidR="005216C0" w:rsidRPr="00794977">
        <w:t xml:space="preserve">  This</w:t>
      </w:r>
      <w:r w:rsidR="00CC0095" w:rsidRPr="00794977">
        <w:t xml:space="preserve"> estimation</w:t>
      </w:r>
      <w:r w:rsidR="005216C0" w:rsidRPr="00794977">
        <w:t xml:space="preserve"> is consistent with its Tariff:</w:t>
      </w:r>
    </w:p>
    <w:p w:rsidR="005216C0" w:rsidRPr="00794977" w:rsidRDefault="005216C0" w:rsidP="00A07535">
      <w:pPr>
        <w:jc w:val="left"/>
      </w:pPr>
    </w:p>
    <w:p w:rsidR="005216C0" w:rsidRPr="00794977" w:rsidRDefault="005216C0" w:rsidP="005216C0">
      <w:pPr>
        <w:spacing w:line="240" w:lineRule="auto"/>
        <w:ind w:left="1440" w:right="1440"/>
        <w:jc w:val="left"/>
        <w:rPr>
          <w:b/>
        </w:rPr>
      </w:pPr>
      <w:r w:rsidRPr="00794977">
        <w:rPr>
          <w:b/>
        </w:rPr>
        <w:t>8.</w:t>
      </w:r>
      <w:r w:rsidRPr="00794977">
        <w:rPr>
          <w:b/>
        </w:rPr>
        <w:tab/>
        <w:t>Customer's Responsibility for Company's Property.</w:t>
      </w:r>
    </w:p>
    <w:p w:rsidR="005216C0" w:rsidRPr="00794977" w:rsidRDefault="005216C0" w:rsidP="005216C0">
      <w:pPr>
        <w:spacing w:line="240" w:lineRule="auto"/>
        <w:ind w:left="1440" w:right="1440"/>
        <w:jc w:val="left"/>
        <w:rPr>
          <w:b/>
        </w:rPr>
      </w:pPr>
    </w:p>
    <w:p w:rsidR="005216C0" w:rsidRDefault="005216C0" w:rsidP="005216C0">
      <w:pPr>
        <w:spacing w:line="240" w:lineRule="auto"/>
        <w:ind w:left="1440" w:right="1440"/>
        <w:jc w:val="left"/>
      </w:pPr>
      <w:r w:rsidRPr="00794977">
        <w:rPr>
          <w:u w:val="single"/>
        </w:rPr>
        <w:t xml:space="preserve">8.3  TAMPERING.  </w:t>
      </w:r>
      <w:r w:rsidRPr="00794977">
        <w:t>In the event of the Company's meters or other property being tampered or interfered with, the Customer being supplied through such equipment shall pay the amount which the Company may estimate is due for service used even if such usage is not registered on the Company's meter, and for any repairs or replacements required, as well as for costs of inspections, investigations, damages and protective equipment and installations prior to reconnection.</w:t>
      </w:r>
    </w:p>
    <w:p w:rsidR="00E670F2" w:rsidRPr="00794977" w:rsidRDefault="00E670F2" w:rsidP="005216C0">
      <w:pPr>
        <w:spacing w:line="240" w:lineRule="auto"/>
        <w:ind w:left="1440" w:right="1440"/>
        <w:jc w:val="left"/>
      </w:pPr>
    </w:p>
    <w:p w:rsidR="009F7F6F" w:rsidRPr="00794977" w:rsidRDefault="005216C0" w:rsidP="00A07535">
      <w:pPr>
        <w:jc w:val="left"/>
      </w:pPr>
      <w:r w:rsidRPr="00794977">
        <w:t>PGW Supplement No</w:t>
      </w:r>
      <w:r w:rsidR="00E670F2">
        <w:t>. 21, Gas Service Tariff – Pa PUC</w:t>
      </w:r>
      <w:r w:rsidRPr="00794977">
        <w:t xml:space="preserve"> No.2, First Revised Page No. 44.</w:t>
      </w:r>
    </w:p>
    <w:p w:rsidR="009F7F6F" w:rsidRPr="00794977" w:rsidRDefault="009F7F6F" w:rsidP="00A07535">
      <w:pPr>
        <w:jc w:val="left"/>
      </w:pPr>
    </w:p>
    <w:p w:rsidR="009F7F6F" w:rsidRPr="00794977" w:rsidRDefault="009F7F6F" w:rsidP="009F7F6F">
      <w:pPr>
        <w:jc w:val="left"/>
      </w:pPr>
      <w:r w:rsidRPr="00794977">
        <w:tab/>
      </w:r>
      <w:r w:rsidRPr="00794977">
        <w:tab/>
        <w:t>PGW provided exhibits which support its averment that there was unauthorized usage at the subject address</w:t>
      </w:r>
      <w:r w:rsidR="00805B2D" w:rsidRPr="00794977">
        <w:t xml:space="preserve"> prior to Complainant's occupation of the property</w:t>
      </w:r>
      <w:r w:rsidRPr="00794977">
        <w:t>.  PGW Exhibit 6 shows that on December 14, 2011, the service to the address was terminated for nonpayment under Joseph Smith, at an index of 2221 but that there was unauthorized usage following termination.  Tr.  33.  A PGW employee left a 72 Hours Meter Access Notice at the property on December 21, 2011.  Tr. 34; PGW Ex. 6.</w:t>
      </w:r>
    </w:p>
    <w:p w:rsidR="009F7F6F" w:rsidRPr="00794977" w:rsidRDefault="009F7F6F" w:rsidP="009F7F6F">
      <w:pPr>
        <w:jc w:val="left"/>
      </w:pPr>
    </w:p>
    <w:p w:rsidR="009F7F6F" w:rsidRPr="00794977" w:rsidRDefault="009F7F6F" w:rsidP="009F7F6F">
      <w:pPr>
        <w:jc w:val="left"/>
      </w:pPr>
      <w:r w:rsidRPr="00794977">
        <w:tab/>
      </w:r>
      <w:r w:rsidRPr="00794977">
        <w:tab/>
        <w:t>On January 3, 2012, another PGW employee visited the premise</w:t>
      </w:r>
      <w:r w:rsidR="0084288A">
        <w:t>s</w:t>
      </w:r>
      <w:r w:rsidRPr="00794977">
        <w:t xml:space="preserve"> for an Unauthorized Usage Investigation Order, and when </w:t>
      </w:r>
      <w:r w:rsidR="00D45743" w:rsidRPr="00794977">
        <w:t>"</w:t>
      </w:r>
      <w:r w:rsidRPr="00794977">
        <w:t>the customer</w:t>
      </w:r>
      <w:r w:rsidR="00D45743" w:rsidRPr="00794977">
        <w:t>" (no individual identified)</w:t>
      </w:r>
      <w:r w:rsidRPr="00794977">
        <w:t xml:space="preserve"> refused access to the property, he turned off the service at the curb.  Tr. 34; PGW Ex. 6.  PGW Ex. 2 is a field service order received from its employee, Christopher Cunningham, Jr., for a visit to the premise</w:t>
      </w:r>
      <w:r w:rsidR="0084288A">
        <w:t>s</w:t>
      </w:r>
      <w:r w:rsidRPr="00794977">
        <w:t xml:space="preserve"> on January 3, 2012 for an unauthorized usage investigation.  Tr. 3-38; PGW Ex. 2.  This time, the PGW employee left the gas off at the curb.  Tr. 38; PGW Ex. 2.</w:t>
      </w:r>
    </w:p>
    <w:p w:rsidR="009F7F6F" w:rsidRPr="00794977" w:rsidRDefault="009F7F6F" w:rsidP="009F7F6F">
      <w:pPr>
        <w:jc w:val="left"/>
      </w:pPr>
    </w:p>
    <w:p w:rsidR="009F7F6F" w:rsidRPr="00794977" w:rsidRDefault="009F7F6F" w:rsidP="009F7F6F">
      <w:pPr>
        <w:jc w:val="left"/>
      </w:pPr>
      <w:r w:rsidRPr="00794977">
        <w:tab/>
      </w:r>
      <w:r w:rsidRPr="00794977">
        <w:tab/>
        <w:t>PGW sent its employee, Richard Macready, to the premises for a cold weather survey on October 21, 2012, where he found the curb valve on.  Tr. 38; PGW Ex. 2.  Presumably, he turned it off at that time</w:t>
      </w:r>
      <w:r w:rsidR="00805B2D" w:rsidRPr="00794977">
        <w:t>, although no document specifically states so</w:t>
      </w:r>
      <w:r w:rsidRPr="00794977">
        <w:t>.  However, after Complainant sought to initiate gas service, PGW employee Zane Weeks was sent to the premise</w:t>
      </w:r>
      <w:r w:rsidR="0084288A">
        <w:t>s</w:t>
      </w:r>
      <w:r w:rsidRPr="00794977">
        <w:t xml:space="preserve"> on August 19, 2013, when he found the gas on at the curb box, and he left it off.  Tr. </w:t>
      </w:r>
      <w:r w:rsidRPr="00794977">
        <w:lastRenderedPageBreak/>
        <w:t xml:space="preserve">38; PGW Ex. 2.  It was still off on August 23, 2013, when Eric Lopez, a PGW </w:t>
      </w:r>
      <w:r w:rsidR="00FA4A77" w:rsidRPr="00794977">
        <w:t>employee</w:t>
      </w:r>
      <w:r w:rsidRPr="00794977">
        <w:t>, visited the property for an unauthorized usage investigation.  Tr. 38-39; PGW Ex. 2.  Mr. Lopez removed the meter, which registered an index of 2252.  PGW Ex. 2 at page 5; PGW Ex. 3 at 1.</w:t>
      </w:r>
      <w:r w:rsidR="00CC0095" w:rsidRPr="00794977">
        <w:t xml:space="preserve">  While there has been tampering at this residence, PGW must still prove that the Complainant is responsible for it.</w:t>
      </w:r>
    </w:p>
    <w:p w:rsidR="009F7F6F" w:rsidRPr="00794977" w:rsidRDefault="009F7F6F" w:rsidP="009F7F6F">
      <w:pPr>
        <w:jc w:val="left"/>
      </w:pPr>
    </w:p>
    <w:p w:rsidR="00CC0095" w:rsidRPr="00794977" w:rsidRDefault="00FA4A77" w:rsidP="00086E72">
      <w:pPr>
        <w:jc w:val="left"/>
      </w:pPr>
      <w:r w:rsidRPr="00794977">
        <w:tab/>
      </w:r>
      <w:r w:rsidRPr="00794977">
        <w:tab/>
        <w:t>PGW points out that t</w:t>
      </w:r>
      <w:r w:rsidR="00086E72" w:rsidRPr="00794977">
        <w:t xml:space="preserve">here are </w:t>
      </w:r>
      <w:r w:rsidRPr="00794977">
        <w:t xml:space="preserve">inconsistencies </w:t>
      </w:r>
      <w:r w:rsidR="00086E72" w:rsidRPr="00794977">
        <w:t xml:space="preserve">in the testimony and exhibits of the Complainant.  He testified that he moved to Philadelphia to help his mother with his grandmother in December of 2010, but his voter registration with his mother's address listed as his residence is dated April, 2010, some eight months earlier.  Ex. C-4; Tr. 8.  In addition, he admitted that he signed both grandparents' names to a lease that was submitted to PGW to indicate his legal right to occupy the subject premises, Tr. 15, after both of his grandparents had passed away.  Tr. </w:t>
      </w:r>
      <w:r w:rsidR="00CC0095" w:rsidRPr="00794977">
        <w:t>17.</w:t>
      </w:r>
    </w:p>
    <w:p w:rsidR="00CC0095" w:rsidRPr="00794977" w:rsidRDefault="00CC0095" w:rsidP="00086E72">
      <w:pPr>
        <w:jc w:val="left"/>
      </w:pPr>
    </w:p>
    <w:p w:rsidR="00086E72" w:rsidRPr="00794977" w:rsidRDefault="00CC0095" w:rsidP="00086E72">
      <w:pPr>
        <w:jc w:val="left"/>
      </w:pPr>
      <w:r w:rsidRPr="00794977">
        <w:tab/>
      </w:r>
      <w:r w:rsidRPr="00794977">
        <w:tab/>
      </w:r>
      <w:r w:rsidR="00086E72" w:rsidRPr="00794977">
        <w:t xml:space="preserve">While these facts may weigh against his credibility, there is no evidence to suggest that he was occupying the premises without the permission of the grandparents' estate, which was administered by Complainant's mother.  </w:t>
      </w:r>
      <w:r w:rsidR="00FA4A77" w:rsidRPr="00794977">
        <w:t xml:space="preserve">There is no reason to believe that his action in executing a lease and signing his dead grandparents' names was anything but his attempt to provide the required document quickly instead of expending the time and effort necessary to execute a valid lease with his mother as estate executor </w:t>
      </w:r>
      <w:r w:rsidR="00724A38" w:rsidRPr="00794977">
        <w:t xml:space="preserve">with </w:t>
      </w:r>
      <w:r w:rsidR="00FA4A77" w:rsidRPr="00794977">
        <w:t xml:space="preserve">the paperwork necessary to support that claim. </w:t>
      </w:r>
      <w:r w:rsidR="00E92122" w:rsidRPr="00794977">
        <w:t xml:space="preserve"> By his own admission, he produced a lease because it is one of the documents that PGW will recognize as appropriate for proving that an applicant has a legal right to occupy the premises.  Tr</w:t>
      </w:r>
      <w:r w:rsidRPr="00794977">
        <w:t xml:space="preserve">. 15. </w:t>
      </w:r>
      <w:r w:rsidR="00E92122" w:rsidRPr="00794977">
        <w:t xml:space="preserve"> See also PGW Tariff at Supplement No. 57, Gas Service Tariff Sixth Revised Page No. 17.  Section 2.1A.  How to Apply.</w:t>
      </w:r>
    </w:p>
    <w:p w:rsidR="00805B2D" w:rsidRPr="00794977" w:rsidRDefault="00805B2D" w:rsidP="00086E72">
      <w:pPr>
        <w:jc w:val="left"/>
      </w:pPr>
    </w:p>
    <w:p w:rsidR="00805B2D" w:rsidRPr="00794977" w:rsidRDefault="00805B2D" w:rsidP="00086E72">
      <w:pPr>
        <w:jc w:val="left"/>
      </w:pPr>
      <w:r w:rsidRPr="00794977">
        <w:tab/>
      </w:r>
      <w:r w:rsidRPr="00794977">
        <w:tab/>
        <w:t xml:space="preserve">Following Complainant's showing in a </w:t>
      </w:r>
      <w:r w:rsidRPr="00CD42CB">
        <w:rPr>
          <w:i/>
        </w:rPr>
        <w:t>prima facie</w:t>
      </w:r>
      <w:r w:rsidRPr="00794977">
        <w:t xml:space="preserve"> case that he resided elsewhere until December 2012, PGW must prove that the Complainant did, in fact, reside at the subject premises and did, in fact, use gas.</w:t>
      </w:r>
    </w:p>
    <w:p w:rsidR="00724A38" w:rsidRPr="00794977" w:rsidRDefault="00724A38" w:rsidP="00086E72">
      <w:pPr>
        <w:jc w:val="left"/>
      </w:pPr>
    </w:p>
    <w:p w:rsidR="00724A38" w:rsidRPr="00794977" w:rsidRDefault="00724A38" w:rsidP="00724A38">
      <w:pPr>
        <w:jc w:val="left"/>
      </w:pPr>
      <w:r w:rsidRPr="00794977">
        <w:lastRenderedPageBreak/>
        <w:tab/>
      </w:r>
      <w:r w:rsidRPr="00794977">
        <w:tab/>
        <w:t>PGW relies on the ACCURINT service to support its claim that the Complainant was "associated" with the subject property from November</w:t>
      </w:r>
      <w:r w:rsidR="00EB415B">
        <w:t>,</w:t>
      </w:r>
      <w:r w:rsidRPr="00794977">
        <w:t xml:space="preserve"> 2011 until the present time.  Tr</w:t>
      </w:r>
      <w:r w:rsidR="00EB415B">
        <w:t>. 29; </w:t>
      </w:r>
      <w:r w:rsidRPr="00794977">
        <w:t>89-93.  Complainant objected to this exhibit, and it was not admitted to the record.</w:t>
      </w:r>
    </w:p>
    <w:p w:rsidR="00724A38" w:rsidRPr="00794977" w:rsidRDefault="00724A38" w:rsidP="00724A38">
      <w:pPr>
        <w:jc w:val="left"/>
      </w:pPr>
    </w:p>
    <w:p w:rsidR="00724A38" w:rsidRPr="00794977" w:rsidRDefault="00724A38" w:rsidP="00724A38">
      <w:pPr>
        <w:jc w:val="left"/>
      </w:pPr>
      <w:r w:rsidRPr="00794977">
        <w:tab/>
      </w:r>
      <w:r w:rsidRPr="00794977">
        <w:tab/>
        <w:t>Accurint Database is a service offered through Lexis-Nexis, a primarily legal and business search engine requiring paid enrollment in order to access its information.  PGW Witness Garner testified that, when a customer contacts PGW, it performs an Experian credit check,</w:t>
      </w:r>
      <w:r w:rsidR="000A3FA5" w:rsidRPr="00794977">
        <w:rPr>
          <w:rStyle w:val="FootnoteReference"/>
        </w:rPr>
        <w:footnoteReference w:id="1"/>
      </w:r>
      <w:r w:rsidRPr="00794977">
        <w:t xml:space="preserve"> but Experian only keeps records for 90 days.  PGW enters the subject address into Accurint to identify dates that the customer or others are "associated" with the subject property.  Tr. 89-90.</w:t>
      </w:r>
    </w:p>
    <w:p w:rsidR="00724A38" w:rsidRPr="00794977" w:rsidRDefault="00724A38" w:rsidP="00724A38">
      <w:pPr>
        <w:jc w:val="left"/>
      </w:pPr>
    </w:p>
    <w:p w:rsidR="00724A38" w:rsidRDefault="00724A38" w:rsidP="00724A38">
      <w:pPr>
        <w:jc w:val="left"/>
      </w:pPr>
      <w:r w:rsidRPr="00794977">
        <w:tab/>
      </w:r>
      <w:r w:rsidRPr="00794977">
        <w:tab/>
        <w:t>Ms. Garner explains:</w:t>
      </w:r>
    </w:p>
    <w:p w:rsidR="00BE743C" w:rsidRPr="00794977" w:rsidRDefault="00BE743C" w:rsidP="00724A38">
      <w:pPr>
        <w:jc w:val="left"/>
      </w:pPr>
    </w:p>
    <w:p w:rsidR="00724A38" w:rsidRPr="00794977" w:rsidRDefault="00F03FB0" w:rsidP="00724A38">
      <w:pPr>
        <w:spacing w:line="240" w:lineRule="auto"/>
        <w:ind w:left="1440" w:right="1440"/>
        <w:jc w:val="left"/>
      </w:pPr>
      <w:r>
        <w:t xml:space="preserve">Ms. Garner: </w:t>
      </w:r>
      <w:r w:rsidR="00724A38" w:rsidRPr="00794977">
        <w:t>It just means anything as far as residing at the property, mail, bills to the property, anything that would have him at the property, using the address, residing there –</w:t>
      </w:r>
    </w:p>
    <w:p w:rsidR="00724A38" w:rsidRPr="00794977" w:rsidRDefault="00724A38" w:rsidP="00724A38">
      <w:pPr>
        <w:spacing w:line="240" w:lineRule="auto"/>
        <w:ind w:left="1440" w:right="1440"/>
        <w:jc w:val="left"/>
      </w:pPr>
    </w:p>
    <w:p w:rsidR="00724A38" w:rsidRPr="00794977" w:rsidRDefault="00724A38" w:rsidP="00724A38">
      <w:pPr>
        <w:spacing w:line="240" w:lineRule="auto"/>
        <w:ind w:left="1440" w:right="1440"/>
        <w:jc w:val="left"/>
      </w:pPr>
      <w:r w:rsidRPr="00794977">
        <w:t>ALJ:</w:t>
      </w:r>
      <w:r w:rsidRPr="00794977">
        <w:tab/>
        <w:t>But, does your database tell you what, in particular, it relies on to come to that conclusion?</w:t>
      </w:r>
    </w:p>
    <w:p w:rsidR="00724A38" w:rsidRPr="00794977" w:rsidRDefault="00724A38" w:rsidP="00724A38">
      <w:pPr>
        <w:spacing w:line="240" w:lineRule="auto"/>
        <w:ind w:left="1440" w:right="1440"/>
        <w:jc w:val="left"/>
      </w:pPr>
    </w:p>
    <w:p w:rsidR="00724A38" w:rsidRPr="00794977" w:rsidRDefault="00724A38" w:rsidP="00724A38">
      <w:pPr>
        <w:spacing w:line="240" w:lineRule="auto"/>
        <w:ind w:left="1440" w:right="1440"/>
        <w:jc w:val="left"/>
      </w:pPr>
      <w:r w:rsidRPr="00794977">
        <w:t>Ms. Garner: No.</w:t>
      </w:r>
    </w:p>
    <w:p w:rsidR="00724A38" w:rsidRPr="00794977" w:rsidRDefault="00724A38" w:rsidP="00724A38">
      <w:pPr>
        <w:spacing w:line="240" w:lineRule="auto"/>
        <w:ind w:left="1440" w:right="1440"/>
        <w:jc w:val="left"/>
      </w:pPr>
    </w:p>
    <w:p w:rsidR="00724A38" w:rsidRPr="00794977" w:rsidRDefault="00CB00B1" w:rsidP="00724A38">
      <w:pPr>
        <w:spacing w:line="240" w:lineRule="auto"/>
        <w:ind w:left="1440" w:right="1440"/>
        <w:jc w:val="left"/>
      </w:pPr>
      <w:r>
        <w:t xml:space="preserve">ALJ: </w:t>
      </w:r>
      <w:r w:rsidR="00724A38" w:rsidRPr="00794977">
        <w:t>Well, I don't see where this is the best possible evidence, then, Mr. Farinas.</w:t>
      </w:r>
    </w:p>
    <w:p w:rsidR="00724A38" w:rsidRPr="00794977" w:rsidRDefault="00724A38" w:rsidP="00724A38">
      <w:pPr>
        <w:spacing w:line="240" w:lineRule="auto"/>
        <w:ind w:left="1440" w:right="1440"/>
        <w:jc w:val="left"/>
      </w:pPr>
    </w:p>
    <w:p w:rsidR="00724A38" w:rsidRDefault="00CB00B1" w:rsidP="00724A38">
      <w:pPr>
        <w:spacing w:line="240" w:lineRule="auto"/>
        <w:ind w:left="1440" w:right="1440"/>
        <w:jc w:val="left"/>
      </w:pPr>
      <w:r>
        <w:t xml:space="preserve">Mr. Farinas: </w:t>
      </w:r>
      <w:r w:rsidR="00724A38" w:rsidRPr="00794977">
        <w:t>Okay, And, Your Honor, these facts are corroborated by the Complainant's testimony that at the very least, he may have had a cellphone at the – that he used the address for that cellphone service, and having us</w:t>
      </w:r>
      <w:r w:rsidR="002C302A">
        <w:t>ed the address for that period.</w:t>
      </w:r>
    </w:p>
    <w:p w:rsidR="002C302A" w:rsidRPr="00794977" w:rsidRDefault="002C302A" w:rsidP="00724A38">
      <w:pPr>
        <w:spacing w:line="240" w:lineRule="auto"/>
        <w:ind w:left="1440" w:right="1440"/>
        <w:jc w:val="left"/>
      </w:pPr>
    </w:p>
    <w:p w:rsidR="00724A38" w:rsidRPr="00794977" w:rsidRDefault="00724A38" w:rsidP="00724A38">
      <w:pPr>
        <w:jc w:val="left"/>
      </w:pPr>
      <w:r w:rsidRPr="00794977">
        <w:t>Tr. 32.</w:t>
      </w:r>
    </w:p>
    <w:p w:rsidR="00724A38" w:rsidRPr="00794977" w:rsidRDefault="00724A38" w:rsidP="00724A38">
      <w:pPr>
        <w:jc w:val="left"/>
      </w:pPr>
    </w:p>
    <w:p w:rsidR="00724A38" w:rsidRPr="00794977" w:rsidRDefault="00724A38" w:rsidP="00724A38">
      <w:pPr>
        <w:jc w:val="left"/>
      </w:pPr>
      <w:r w:rsidRPr="00794977">
        <w:tab/>
      </w:r>
      <w:r w:rsidRPr="00794977">
        <w:tab/>
        <w:t xml:space="preserve">The Accurint Database does not identify the source of its information.  While it does provide a valuable starting point for a utility to </w:t>
      </w:r>
      <w:r w:rsidRPr="00794977">
        <w:rPr>
          <w:i/>
        </w:rPr>
        <w:t>begin</w:t>
      </w:r>
      <w:r w:rsidRPr="00794977">
        <w:t xml:space="preserve"> to search for someone to bill for </w:t>
      </w:r>
      <w:r w:rsidRPr="00794977">
        <w:lastRenderedPageBreak/>
        <w:t>unbilled usage, it does not provide any admissible evidence to support a finding that anyone listed there should be conclusively held to be responsible.  Therefore, it is simply hearsay, and as such, is not admissible if objected to – which it was.  Mr. Farinas did not disagree:</w:t>
      </w:r>
    </w:p>
    <w:p w:rsidR="00724A38" w:rsidRPr="00794977" w:rsidRDefault="00724A38" w:rsidP="00724A38">
      <w:pPr>
        <w:jc w:val="left"/>
      </w:pPr>
    </w:p>
    <w:p w:rsidR="00724A38" w:rsidRPr="00794977" w:rsidRDefault="00BE743C" w:rsidP="00724A38">
      <w:pPr>
        <w:spacing w:line="240" w:lineRule="auto"/>
        <w:ind w:left="1440" w:right="1440"/>
        <w:jc w:val="left"/>
      </w:pPr>
      <w:r>
        <w:t xml:space="preserve">ALJ: </w:t>
      </w:r>
      <w:r w:rsidR="00724A38" w:rsidRPr="00794977">
        <w:t>I see a lot of interesting research, but I don't see anything that's actually admissible into the record. . . . I mean, this has to be your starting point, but, you don't know where this information came from; you can't substantiate it.  All you're telling me is that you got this off the internet.</w:t>
      </w:r>
    </w:p>
    <w:p w:rsidR="00724A38" w:rsidRPr="00794977" w:rsidRDefault="00724A38" w:rsidP="00724A38">
      <w:pPr>
        <w:spacing w:line="240" w:lineRule="auto"/>
        <w:ind w:left="1440" w:right="1440"/>
        <w:jc w:val="left"/>
      </w:pPr>
    </w:p>
    <w:p w:rsidR="00724A38" w:rsidRPr="00794977" w:rsidRDefault="00C07A0E" w:rsidP="00724A38">
      <w:pPr>
        <w:spacing w:line="240" w:lineRule="auto"/>
        <w:ind w:left="1440" w:right="1440"/>
        <w:jc w:val="left"/>
      </w:pPr>
      <w:r>
        <w:t xml:space="preserve">Mr. Farinas: </w:t>
      </w:r>
      <w:r w:rsidR="00724A38" w:rsidRPr="00794977">
        <w:t>Actually, that's correct, your Honor, and, to the extent that it is that starting point, that's what we relied upon initially, until given more information.</w:t>
      </w:r>
    </w:p>
    <w:p w:rsidR="00724A38" w:rsidRDefault="00724A38" w:rsidP="00724A38">
      <w:pPr>
        <w:spacing w:line="240" w:lineRule="auto"/>
        <w:ind w:left="1440" w:right="1440"/>
        <w:jc w:val="left"/>
      </w:pPr>
      <w:r w:rsidRPr="00794977">
        <w:tab/>
        <w:t>So, I – I mean, if you want to give it the weight that it should be afforded, that's okay, but, that is what Ms. Garner relied upon, or, PGW relied upon to associate the Complainant with the property.</w:t>
      </w:r>
    </w:p>
    <w:p w:rsidR="00C07A0E" w:rsidRPr="00794977" w:rsidRDefault="00C07A0E" w:rsidP="00724A38">
      <w:pPr>
        <w:spacing w:line="240" w:lineRule="auto"/>
        <w:ind w:left="1440" w:right="1440"/>
        <w:jc w:val="left"/>
      </w:pPr>
    </w:p>
    <w:p w:rsidR="00724A38" w:rsidRPr="00794977" w:rsidRDefault="00724A38" w:rsidP="00724A38">
      <w:pPr>
        <w:jc w:val="left"/>
      </w:pPr>
      <w:r w:rsidRPr="00794977">
        <w:t>Tr. 92-93.</w:t>
      </w:r>
    </w:p>
    <w:p w:rsidR="00E92122" w:rsidRPr="00794977" w:rsidRDefault="00E92122" w:rsidP="00724A38">
      <w:pPr>
        <w:jc w:val="left"/>
      </w:pPr>
    </w:p>
    <w:p w:rsidR="008065C0" w:rsidRPr="00794977" w:rsidRDefault="00381CD2" w:rsidP="00724A38">
      <w:pPr>
        <w:jc w:val="left"/>
      </w:pPr>
      <w:r w:rsidRPr="00794977">
        <w:tab/>
      </w:r>
      <w:r w:rsidRPr="00794977">
        <w:tab/>
      </w:r>
      <w:r w:rsidR="00E92122" w:rsidRPr="00794977">
        <w:t xml:space="preserve">Regarding the Company's ability to hold an applicant responsible for gas usage prior to the time of application, </w:t>
      </w:r>
      <w:r w:rsidR="008065C0" w:rsidRPr="00794977">
        <w:t>the PGW Tariff states</w:t>
      </w:r>
      <w:r w:rsidR="00E92122" w:rsidRPr="00794977">
        <w:t>:</w:t>
      </w:r>
    </w:p>
    <w:p w:rsidR="008065C0" w:rsidRPr="00794977" w:rsidRDefault="008065C0" w:rsidP="00724A38">
      <w:pPr>
        <w:jc w:val="left"/>
      </w:pPr>
    </w:p>
    <w:p w:rsidR="008065C0" w:rsidRPr="00794977" w:rsidRDefault="008065C0" w:rsidP="00C47442">
      <w:pPr>
        <w:spacing w:line="240" w:lineRule="auto"/>
        <w:ind w:left="1440" w:right="1440"/>
        <w:jc w:val="left"/>
      </w:pPr>
      <w:r w:rsidRPr="00794977">
        <w:t>. . . .   When the Applicant is a person who resided at the same premises for which application for service is requested, the Company may requires payment of the portion of the outstanding balances which accrued during the time that the Applicant resided at those premises.  The Company may establish that an Applicant previously resided at those premises through the use of any of the following:</w:t>
      </w:r>
    </w:p>
    <w:p w:rsidR="008065C0" w:rsidRPr="00794977" w:rsidRDefault="008065C0" w:rsidP="00C47442">
      <w:pPr>
        <w:spacing w:line="240" w:lineRule="auto"/>
        <w:ind w:left="1440" w:right="1440"/>
        <w:jc w:val="left"/>
      </w:pPr>
      <w:r w:rsidRPr="00794977">
        <w:tab/>
        <w:t>(i)</w:t>
      </w:r>
      <w:r w:rsidRPr="00794977">
        <w:tab/>
        <w:t>mortgage, deed or lease information</w:t>
      </w:r>
    </w:p>
    <w:p w:rsidR="008065C0" w:rsidRPr="00794977" w:rsidRDefault="008065C0" w:rsidP="00C47442">
      <w:pPr>
        <w:spacing w:line="240" w:lineRule="auto"/>
        <w:ind w:left="1440" w:right="1440"/>
        <w:jc w:val="left"/>
      </w:pPr>
      <w:r w:rsidRPr="00794977">
        <w:tab/>
        <w:t>(ii)</w:t>
      </w:r>
      <w:r w:rsidRPr="00794977">
        <w:tab/>
        <w:t>a commercially available consumer credit reporting service</w:t>
      </w:r>
    </w:p>
    <w:p w:rsidR="00C47442" w:rsidRPr="00794977" w:rsidRDefault="008065C0" w:rsidP="00C47442">
      <w:pPr>
        <w:spacing w:line="240" w:lineRule="auto"/>
        <w:ind w:left="1440" w:right="1440"/>
        <w:jc w:val="left"/>
      </w:pPr>
      <w:r w:rsidRPr="00794977">
        <w:tab/>
        <w:t xml:space="preserve">(iii) </w:t>
      </w:r>
      <w:r w:rsidR="00C47442" w:rsidRPr="00794977">
        <w:tab/>
      </w:r>
      <w:r w:rsidRPr="00794977">
        <w:t>a driver's l</w:t>
      </w:r>
      <w:r w:rsidR="00C47442" w:rsidRPr="00794977">
        <w:t>icense or Pennsylvania Department of Transportation issued identification Card. . . .</w:t>
      </w:r>
    </w:p>
    <w:p w:rsidR="00C47442" w:rsidRPr="00794977" w:rsidRDefault="00C47442" w:rsidP="00724A38">
      <w:pPr>
        <w:jc w:val="left"/>
      </w:pPr>
      <w:r w:rsidRPr="00794977">
        <w:t>Supplement No. 57, Gas Service Tariff Sixth Revised Page No. 17.  Section 2.1A.  How to Apply.</w:t>
      </w:r>
    </w:p>
    <w:p w:rsidR="00C47442" w:rsidRPr="00794977" w:rsidRDefault="00C47442" w:rsidP="00C47442">
      <w:pPr>
        <w:jc w:val="left"/>
      </w:pPr>
      <w:r w:rsidRPr="00794977">
        <w:tab/>
      </w:r>
    </w:p>
    <w:p w:rsidR="00C47442" w:rsidRPr="00794977" w:rsidRDefault="00C47442" w:rsidP="00C47442">
      <w:pPr>
        <w:jc w:val="left"/>
      </w:pPr>
      <w:r w:rsidRPr="00794977">
        <w:tab/>
      </w:r>
      <w:r w:rsidRPr="00794977">
        <w:tab/>
        <w:t>Accurint is not listed as an acceptable means to determine whether an applicant previously resided at the subject premises</w:t>
      </w:r>
      <w:r w:rsidR="00E92122" w:rsidRPr="00794977">
        <w:t>, nor should it be</w:t>
      </w:r>
      <w:r w:rsidRPr="00794977">
        <w:t xml:space="preserve">.  The Accurint Database report is </w:t>
      </w:r>
      <w:r w:rsidRPr="00794977">
        <w:lastRenderedPageBreak/>
        <w:t>hearsay and does not fall into any exception to the hearsay rule.  Complainant objected to it; therefore, it is not admissible, and it is not part of the record to this case.</w:t>
      </w:r>
    </w:p>
    <w:p w:rsidR="00C47442" w:rsidRPr="00794977" w:rsidRDefault="00C47442" w:rsidP="00724A38">
      <w:pPr>
        <w:jc w:val="left"/>
      </w:pPr>
    </w:p>
    <w:p w:rsidR="00724A38" w:rsidRPr="00794977" w:rsidRDefault="00724A38" w:rsidP="00A07535">
      <w:pPr>
        <w:jc w:val="left"/>
      </w:pPr>
      <w:r w:rsidRPr="00794977">
        <w:tab/>
      </w:r>
      <w:r w:rsidRPr="00794977">
        <w:tab/>
        <w:t>The second reason relied upon by PGW is an entry in its customer contact record.</w:t>
      </w:r>
      <w:r w:rsidR="00C07A0E">
        <w:t xml:space="preserve">  </w:t>
      </w:r>
    </w:p>
    <w:p w:rsidR="00271BEA" w:rsidRPr="00794977" w:rsidRDefault="00A07535" w:rsidP="00A07535">
      <w:pPr>
        <w:jc w:val="left"/>
      </w:pPr>
      <w:r w:rsidRPr="00794977">
        <w:t xml:space="preserve">PGW provided its </w:t>
      </w:r>
      <w:r w:rsidR="00243795" w:rsidRPr="00794977">
        <w:t>customer contact record for the appropriate time period as PGW Exhibit 1 as a business record</w:t>
      </w:r>
      <w:r w:rsidR="00DD2429" w:rsidRPr="00794977">
        <w:t xml:space="preserve">, which is </w:t>
      </w:r>
      <w:r w:rsidR="00204E47" w:rsidRPr="00794977">
        <w:t xml:space="preserve">normally </w:t>
      </w:r>
      <w:r w:rsidR="00DD2429" w:rsidRPr="00794977">
        <w:t>an accepted exception to the hearsay rule.</w:t>
      </w:r>
    </w:p>
    <w:p w:rsidR="00271BEA" w:rsidRPr="00794977" w:rsidRDefault="00271BEA" w:rsidP="00A07535">
      <w:pPr>
        <w:jc w:val="left"/>
      </w:pPr>
    </w:p>
    <w:p w:rsidR="00271BEA" w:rsidRPr="00794977" w:rsidRDefault="00271BEA" w:rsidP="00E268BB">
      <w:pPr>
        <w:spacing w:line="240" w:lineRule="auto"/>
        <w:ind w:left="1440" w:right="1440"/>
        <w:jc w:val="left"/>
        <w:rPr>
          <w:b/>
        </w:rPr>
      </w:pPr>
      <w:r w:rsidRPr="00794977">
        <w:rPr>
          <w:b/>
        </w:rPr>
        <w:t>Rule 902.  Self-authentication</w:t>
      </w:r>
    </w:p>
    <w:p w:rsidR="00271BEA" w:rsidRPr="00794977" w:rsidRDefault="00271BEA" w:rsidP="00E268BB">
      <w:pPr>
        <w:spacing w:line="240" w:lineRule="auto"/>
        <w:ind w:left="1440" w:right="1440"/>
        <w:jc w:val="left"/>
      </w:pPr>
      <w:r w:rsidRPr="00794977">
        <w:tab/>
        <w:t>Extrinsic evidence of authenticity as a condition precedent to admissibility is not required with respect to the following:</w:t>
      </w:r>
    </w:p>
    <w:p w:rsidR="00271BEA" w:rsidRPr="00794977" w:rsidRDefault="00271BEA" w:rsidP="00E268BB">
      <w:pPr>
        <w:spacing w:line="240" w:lineRule="auto"/>
        <w:ind w:left="1440" w:right="1440"/>
      </w:pPr>
      <w:r w:rsidRPr="00794977">
        <w:t>* * *</w:t>
      </w:r>
    </w:p>
    <w:p w:rsidR="00271BEA" w:rsidRPr="00794977" w:rsidRDefault="00271BEA" w:rsidP="00E268BB">
      <w:pPr>
        <w:spacing w:line="240" w:lineRule="auto"/>
        <w:ind w:left="1440" w:right="1440"/>
        <w:jc w:val="left"/>
      </w:pPr>
      <w:r w:rsidRPr="00794977">
        <w:tab/>
      </w:r>
      <w:r w:rsidRPr="00794977">
        <w:rPr>
          <w:b/>
        </w:rPr>
        <w:t xml:space="preserve">(11)  Certified domestic records of regularly conducted activity.  </w:t>
      </w:r>
      <w:r w:rsidRPr="00794977">
        <w:t>The original or a duplicate of a domestic record of regularly conducted activity that</w:t>
      </w:r>
      <w:r w:rsidR="001D087E">
        <w:t xml:space="preserve"> would be admissible under Rule </w:t>
      </w:r>
      <w:r w:rsidRPr="00794977">
        <w:t xml:space="preserve">803(6) if accompanied by a written declaration of its custodian or other qualified person, verified as provided in Pa.R.C.P. 76, certifying that the records – </w:t>
      </w:r>
    </w:p>
    <w:p w:rsidR="00271BEA" w:rsidRPr="00794977" w:rsidRDefault="00271BEA" w:rsidP="00E268BB">
      <w:pPr>
        <w:spacing w:line="240" w:lineRule="auto"/>
        <w:ind w:left="1440" w:right="1440"/>
        <w:jc w:val="left"/>
      </w:pPr>
      <w:r w:rsidRPr="00794977">
        <w:tab/>
        <w:t>(A)</w:t>
      </w:r>
      <w:r w:rsidRPr="00794977">
        <w:tab/>
        <w:t>was made at or near the time of the occurrence of the matters set forth by, or from information transmitted by, a person with knowledge of those matters:</w:t>
      </w:r>
    </w:p>
    <w:p w:rsidR="00271BEA" w:rsidRPr="00794977" w:rsidRDefault="00271BEA" w:rsidP="00E268BB">
      <w:pPr>
        <w:spacing w:line="240" w:lineRule="auto"/>
        <w:ind w:left="1440" w:right="1440"/>
        <w:jc w:val="left"/>
      </w:pPr>
      <w:r w:rsidRPr="00794977">
        <w:tab/>
        <w:t>(B)</w:t>
      </w:r>
      <w:r w:rsidRPr="00794977">
        <w:tab/>
        <w:t>was kept in the course of the regularly conducted activity; and</w:t>
      </w:r>
    </w:p>
    <w:p w:rsidR="00271BEA" w:rsidRPr="00794977" w:rsidRDefault="00271BEA" w:rsidP="00E268BB">
      <w:pPr>
        <w:spacing w:line="240" w:lineRule="auto"/>
        <w:ind w:left="1440" w:right="1440"/>
        <w:jc w:val="left"/>
      </w:pPr>
      <w:r w:rsidRPr="00794977">
        <w:tab/>
        <w:t>(C)</w:t>
      </w:r>
      <w:r w:rsidRPr="00794977">
        <w:tab/>
        <w:t>was made by the regularly conducted activity as a regular practice.</w:t>
      </w:r>
    </w:p>
    <w:p w:rsidR="00435EA8" w:rsidRPr="00794977" w:rsidRDefault="00435EA8" w:rsidP="00E268BB">
      <w:pPr>
        <w:spacing w:line="240" w:lineRule="auto"/>
        <w:ind w:left="1440" w:right="1440"/>
      </w:pPr>
      <w:r w:rsidRPr="00794977">
        <w:t>* * *</w:t>
      </w:r>
    </w:p>
    <w:p w:rsidR="00435EA8" w:rsidRPr="00794977" w:rsidRDefault="00435EA8" w:rsidP="00E268BB">
      <w:pPr>
        <w:spacing w:line="240" w:lineRule="auto"/>
        <w:ind w:left="1440" w:right="1440"/>
        <w:jc w:val="left"/>
      </w:pPr>
      <w:r w:rsidRPr="00794977">
        <w:t>Pa.R.C.P. 902(11)(in pertinent part)</w:t>
      </w:r>
    </w:p>
    <w:p w:rsidR="00435EA8" w:rsidRPr="00794977" w:rsidRDefault="00435EA8" w:rsidP="00E268BB">
      <w:pPr>
        <w:spacing w:line="240" w:lineRule="auto"/>
        <w:ind w:left="1440" w:right="1440"/>
        <w:jc w:val="left"/>
      </w:pPr>
    </w:p>
    <w:p w:rsidR="00435EA8" w:rsidRPr="00794977" w:rsidRDefault="00435EA8" w:rsidP="00E268BB">
      <w:pPr>
        <w:spacing w:line="240" w:lineRule="auto"/>
        <w:ind w:left="1440" w:right="1440"/>
        <w:jc w:val="left"/>
        <w:rPr>
          <w:b/>
        </w:rPr>
      </w:pPr>
      <w:r w:rsidRPr="00794977">
        <w:rPr>
          <w:b/>
        </w:rPr>
        <w:t>Rule 803.  Hearsay exceptions; availability of declarant immaterial</w:t>
      </w:r>
    </w:p>
    <w:p w:rsidR="00435EA8" w:rsidRPr="00794977" w:rsidRDefault="00435EA8" w:rsidP="00E268BB">
      <w:pPr>
        <w:spacing w:line="240" w:lineRule="auto"/>
        <w:ind w:left="1440" w:right="1440"/>
        <w:jc w:val="left"/>
      </w:pPr>
      <w:r w:rsidRPr="00794977">
        <w:rPr>
          <w:b/>
        </w:rPr>
        <w:tab/>
      </w:r>
      <w:r w:rsidRPr="00794977">
        <w:t>The following statements, as hereinafter defined, are not excluded by the hearsay rule, even though the declarant is available as a witness:</w:t>
      </w:r>
    </w:p>
    <w:p w:rsidR="00435EA8" w:rsidRPr="00794977" w:rsidRDefault="00435EA8" w:rsidP="00E268BB">
      <w:pPr>
        <w:spacing w:line="240" w:lineRule="auto"/>
        <w:ind w:left="1440" w:right="1440"/>
      </w:pPr>
      <w:r w:rsidRPr="00794977">
        <w:t>* * *</w:t>
      </w:r>
    </w:p>
    <w:p w:rsidR="00435EA8" w:rsidRPr="00794977" w:rsidRDefault="00435EA8" w:rsidP="00E268BB">
      <w:pPr>
        <w:spacing w:line="240" w:lineRule="auto"/>
        <w:ind w:left="1440" w:right="1440"/>
        <w:jc w:val="left"/>
      </w:pPr>
      <w:r w:rsidRPr="00794977">
        <w:tab/>
      </w:r>
      <w:r w:rsidRPr="00794977">
        <w:rPr>
          <w:b/>
        </w:rPr>
        <w:t>(6)</w:t>
      </w:r>
      <w:r w:rsidRPr="00794977">
        <w:rPr>
          <w:b/>
        </w:rPr>
        <w:tab/>
        <w:t>Records of regularly conducted activity.</w:t>
      </w:r>
      <w:r w:rsidRPr="00794977">
        <w:t xml:space="preserve">  A memorandum, report, record, or data compilation, in any form, of acts, events, or conditions, made at or near the time by, or from information transmitted by, a person with knowledge, if kept in the course of a regularly conducted business activity, and if it was the regular practice of that business activity to make the memorandum, report, record, or data compilation, all as shown by the testimony of the custodian or other qualified witness, or by certification that complies with Rule 902(11), Rule 902(12), or a statute permitting certification, </w:t>
      </w:r>
      <w:r w:rsidRPr="00794977">
        <w:rPr>
          <w:i/>
        </w:rPr>
        <w:t xml:space="preserve">unless the sources of information or other </w:t>
      </w:r>
      <w:r w:rsidRPr="00794977">
        <w:rPr>
          <w:i/>
        </w:rPr>
        <w:lastRenderedPageBreak/>
        <w:t>circumstances indicate lack of trustworthiness</w:t>
      </w:r>
      <w:r w:rsidRPr="00794977">
        <w:t>.  The term "business" as used in this paragraph includes business, institution, association, profession, occupation, and calling of every kind, whether or not conducted for profit.</w:t>
      </w:r>
    </w:p>
    <w:p w:rsidR="00435EA8" w:rsidRPr="00794977" w:rsidRDefault="00435EA8" w:rsidP="00E268BB">
      <w:pPr>
        <w:spacing w:line="240" w:lineRule="auto"/>
        <w:ind w:left="1440" w:right="1440"/>
      </w:pPr>
      <w:r w:rsidRPr="00794977">
        <w:t>* * *</w:t>
      </w:r>
    </w:p>
    <w:p w:rsidR="00435EA8" w:rsidRPr="00794977" w:rsidRDefault="00435EA8" w:rsidP="00435EA8">
      <w:pPr>
        <w:jc w:val="left"/>
      </w:pPr>
      <w:r w:rsidRPr="00794977">
        <w:t>Pa.R.C.P. 803(6)</w:t>
      </w:r>
      <w:r w:rsidR="00E268BB" w:rsidRPr="00794977">
        <w:t>(emphasis added)</w:t>
      </w:r>
      <w:r w:rsidRPr="00794977">
        <w:t>.</w:t>
      </w:r>
    </w:p>
    <w:p w:rsidR="00435EA8" w:rsidRPr="00794977" w:rsidRDefault="00435EA8" w:rsidP="00435EA8">
      <w:pPr>
        <w:jc w:val="left"/>
      </w:pPr>
    </w:p>
    <w:p w:rsidR="00A07535" w:rsidRPr="00794977" w:rsidRDefault="00435EA8" w:rsidP="00A07535">
      <w:pPr>
        <w:jc w:val="left"/>
      </w:pPr>
      <w:r w:rsidRPr="00794977">
        <w:tab/>
      </w:r>
      <w:r w:rsidRPr="00794977">
        <w:tab/>
      </w:r>
      <w:r w:rsidR="00E268BB" w:rsidRPr="00794977">
        <w:t>T</w:t>
      </w:r>
      <w:r w:rsidR="00243795" w:rsidRPr="00794977">
        <w:t>h</w:t>
      </w:r>
      <w:r w:rsidRPr="00794977">
        <w:t>e customer contact report</w:t>
      </w:r>
      <w:r w:rsidR="00243795" w:rsidRPr="00794977">
        <w:t xml:space="preserve"> is a standard submission in customer complaint cases and is regularly admitted as a business record.  Usually, this standard exhibit is a listing of the </w:t>
      </w:r>
      <w:r w:rsidR="00204E47" w:rsidRPr="00794977">
        <w:t>date of the contact</w:t>
      </w:r>
      <w:r w:rsidR="00243795" w:rsidRPr="00794977">
        <w:t xml:space="preserve"> and a summary of the ensuing discussion between the utility and the customer.  Both the customer and the utility are present at the evidentiary hearing and can acknowledge or contest</w:t>
      </w:r>
      <w:r w:rsidR="00DD2429" w:rsidRPr="00794977">
        <w:t xml:space="preserve"> or explain</w:t>
      </w:r>
      <w:r w:rsidR="00243795" w:rsidRPr="00794977">
        <w:t xml:space="preserve"> the content of the record.  </w:t>
      </w:r>
      <w:r w:rsidRPr="00794977">
        <w:t>The actions and findings of utility personnel, such as meter test results or visits to premises, may also be logged into this system, providing a complete record of interactions between the utility and the customer or applicant.  This document was properly authenticated by the PGW witness.</w:t>
      </w:r>
    </w:p>
    <w:p w:rsidR="00243795" w:rsidRPr="00794977" w:rsidRDefault="00243795" w:rsidP="00A07535">
      <w:pPr>
        <w:jc w:val="left"/>
      </w:pPr>
    </w:p>
    <w:p w:rsidR="00243795" w:rsidRPr="00794977" w:rsidRDefault="00243795" w:rsidP="00A07535">
      <w:pPr>
        <w:jc w:val="left"/>
      </w:pPr>
      <w:r w:rsidRPr="00794977">
        <w:tab/>
      </w:r>
      <w:r w:rsidRPr="00794977">
        <w:tab/>
      </w:r>
      <w:r w:rsidR="00DD2429" w:rsidRPr="00794977">
        <w:t xml:space="preserve">However, </w:t>
      </w:r>
      <w:r w:rsidRPr="00794977">
        <w:t>PGW Exhibit 1 also contains a report of a telephone call initiate</w:t>
      </w:r>
      <w:r w:rsidR="00DD2429" w:rsidRPr="00794977">
        <w:t>d</w:t>
      </w:r>
      <w:r w:rsidRPr="00794977">
        <w:t xml:space="preserve"> by the utility to the Com</w:t>
      </w:r>
      <w:r w:rsidR="00435EA8" w:rsidRPr="00794977">
        <w:t>plainant's mother and stepfather</w:t>
      </w:r>
      <w:r w:rsidRPr="00794977">
        <w:t>, neither of whom was a party to the case and neither of whom was present at the hearing</w:t>
      </w:r>
      <w:r w:rsidR="0002374C" w:rsidRPr="00794977">
        <w:t>, nor was either one subpoenaed</w:t>
      </w:r>
      <w:r w:rsidRPr="00794977">
        <w:t xml:space="preserve">.  The Company representative who placed the call and reported on the content of the call was not present.  Tr. 49.  The PGW witness did not know how the representative who did call knew to call Complainant's mother and stepfather.  Tr. 51. </w:t>
      </w:r>
      <w:r w:rsidR="00204E47" w:rsidRPr="00794977">
        <w:t xml:space="preserve"> The questions asked were not listed.  </w:t>
      </w:r>
      <w:r w:rsidR="0002374C" w:rsidRPr="00794977">
        <w:t>While the customer contact record is a routine business record, the content describing t</w:t>
      </w:r>
      <w:r w:rsidR="00E268BB" w:rsidRPr="00794977">
        <w:t xml:space="preserve">he August 27, 2013, entry does not qualify as </w:t>
      </w:r>
      <w:r w:rsidR="0002374C" w:rsidRPr="00794977">
        <w:t>reliable information</w:t>
      </w:r>
      <w:r w:rsidR="00E268BB" w:rsidRPr="00794977">
        <w:t xml:space="preserve"> and was stricken from PGW's Exhibit 1</w:t>
      </w:r>
      <w:r w:rsidR="008065C0" w:rsidRPr="00794977">
        <w:t xml:space="preserve"> at the hearing</w:t>
      </w:r>
      <w:r w:rsidR="00E268BB" w:rsidRPr="00794977">
        <w:t xml:space="preserve">.  </w:t>
      </w:r>
      <w:r w:rsidR="008065C0" w:rsidRPr="00794977">
        <w:t xml:space="preserve">Tr. </w:t>
      </w:r>
      <w:r w:rsidR="00CD5E86">
        <w:t>53.</w:t>
      </w:r>
    </w:p>
    <w:p w:rsidR="00724A38" w:rsidRPr="00794977" w:rsidRDefault="00724A38" w:rsidP="00A07535">
      <w:pPr>
        <w:jc w:val="left"/>
      </w:pPr>
    </w:p>
    <w:p w:rsidR="00724A38" w:rsidRPr="00794977" w:rsidRDefault="000A3FA5" w:rsidP="00724A38">
      <w:pPr>
        <w:jc w:val="left"/>
      </w:pPr>
      <w:r w:rsidRPr="00794977">
        <w:tab/>
      </w:r>
      <w:r w:rsidRPr="00794977">
        <w:tab/>
      </w:r>
      <w:r w:rsidR="00724A38" w:rsidRPr="00794977">
        <w:t xml:space="preserve">Therefore, PGW </w:t>
      </w:r>
      <w:r w:rsidR="00204E47" w:rsidRPr="00794977">
        <w:t xml:space="preserve">failed to </w:t>
      </w:r>
      <w:r w:rsidR="00724A38" w:rsidRPr="00794977">
        <w:t>present</w:t>
      </w:r>
      <w:r w:rsidR="00204E47" w:rsidRPr="00794977">
        <w:t xml:space="preserve"> sufficient </w:t>
      </w:r>
      <w:r w:rsidR="00724A38" w:rsidRPr="00794977">
        <w:t>evidence to support a finding that the Complainant is responsible for the usage at the North Bouvier</w:t>
      </w:r>
      <w:r w:rsidR="00EB351D">
        <w:t xml:space="preserve"> Street address before December, </w:t>
      </w:r>
      <w:r w:rsidR="00724A38" w:rsidRPr="00794977">
        <w:t>2012.</w:t>
      </w:r>
    </w:p>
    <w:p w:rsidR="000A3FA5" w:rsidRPr="00794977" w:rsidRDefault="000A3FA5" w:rsidP="00724A38">
      <w:pPr>
        <w:jc w:val="left"/>
      </w:pPr>
    </w:p>
    <w:p w:rsidR="0002374C" w:rsidRPr="00794977" w:rsidRDefault="000A3FA5" w:rsidP="00724A38">
      <w:pPr>
        <w:jc w:val="left"/>
      </w:pPr>
      <w:r w:rsidRPr="00794977">
        <w:tab/>
      </w:r>
      <w:r w:rsidRPr="00794977">
        <w:tab/>
        <w:t xml:space="preserve">However, Complainant admits that he began to </w:t>
      </w:r>
      <w:r w:rsidR="002A56BF">
        <w:t>clean out the house in December, </w:t>
      </w:r>
      <w:r w:rsidRPr="00794977">
        <w:t xml:space="preserve">2012 and subsequently moved in.  The "meter bypass" that was found on the curb tap was not there on October 21, 2012 but was in place on August 19, 2013.  </w:t>
      </w:r>
      <w:r w:rsidR="00204E47" w:rsidRPr="00794977">
        <w:t xml:space="preserve">For eight of those ten months, the premises were under the control of the Complainant, who is, therefore, responsible </w:t>
      </w:r>
      <w:r w:rsidR="00204E47" w:rsidRPr="00794977">
        <w:lastRenderedPageBreak/>
        <w:t>for the condition of those premises.</w:t>
      </w:r>
      <w:r w:rsidR="0002374C" w:rsidRPr="00794977">
        <w:t xml:space="preserve">  This means that for at least two months, the property was not in Complainant's control and the meter bypass may have been installed during that time.</w:t>
      </w:r>
    </w:p>
    <w:p w:rsidR="0002374C" w:rsidRPr="00794977" w:rsidRDefault="0002374C" w:rsidP="00724A38">
      <w:pPr>
        <w:jc w:val="left"/>
      </w:pPr>
    </w:p>
    <w:p w:rsidR="0002374C" w:rsidRPr="00794977" w:rsidRDefault="0002374C" w:rsidP="00724A38">
      <w:pPr>
        <w:jc w:val="left"/>
      </w:pPr>
      <w:r w:rsidRPr="00794977">
        <w:tab/>
      </w:r>
      <w:r w:rsidRPr="00794977">
        <w:tab/>
        <w:t>PGW failed to provide sufficient evidence to support a finding that the Complainant lived at the premises earlier than December</w:t>
      </w:r>
      <w:r w:rsidR="00C64E79">
        <w:t>,</w:t>
      </w:r>
      <w:r w:rsidRPr="00794977">
        <w:t xml:space="preserve"> 2012.  In addition, the utility failed to provide convincing evidence that gas was illegally consumed by Complainant.</w:t>
      </w:r>
    </w:p>
    <w:p w:rsidR="0002374C" w:rsidRPr="00794977" w:rsidRDefault="0002374C" w:rsidP="00724A38">
      <w:pPr>
        <w:jc w:val="left"/>
      </w:pPr>
    </w:p>
    <w:p w:rsidR="000A3FA5" w:rsidRPr="00794977" w:rsidRDefault="00204E47" w:rsidP="00724A38">
      <w:pPr>
        <w:jc w:val="left"/>
      </w:pPr>
      <w:r w:rsidRPr="00794977">
        <w:tab/>
      </w:r>
      <w:r w:rsidRPr="00794977">
        <w:tab/>
        <w:t>Accordingly, the Complaint will be sustained</w:t>
      </w:r>
      <w:r w:rsidR="005216C0" w:rsidRPr="00794977">
        <w:t xml:space="preserve">.  Complainant </w:t>
      </w:r>
      <w:r w:rsidR="0002374C" w:rsidRPr="00794977">
        <w:t>will not</w:t>
      </w:r>
      <w:r w:rsidR="005216C0" w:rsidRPr="00794977">
        <w:t xml:space="preserve"> be required to pay </w:t>
      </w:r>
      <w:r w:rsidR="0002374C" w:rsidRPr="00794977">
        <w:t>any amount for the estimated usage prior to his occupation of the premises</w:t>
      </w:r>
      <w:r w:rsidR="005216C0" w:rsidRPr="00794977">
        <w:t>.</w:t>
      </w:r>
    </w:p>
    <w:p w:rsidR="004E5569" w:rsidRPr="00794977" w:rsidRDefault="004E5569" w:rsidP="00A07535">
      <w:pPr>
        <w:jc w:val="left"/>
      </w:pPr>
    </w:p>
    <w:p w:rsidR="005216C0" w:rsidRPr="00794977" w:rsidRDefault="005216C0" w:rsidP="005216C0">
      <w:pPr>
        <w:rPr>
          <w:u w:val="single"/>
        </w:rPr>
      </w:pPr>
      <w:r w:rsidRPr="00794977">
        <w:rPr>
          <w:u w:val="single"/>
        </w:rPr>
        <w:t>CONCLUSIONS OF LAW</w:t>
      </w:r>
    </w:p>
    <w:p w:rsidR="005216C0" w:rsidRPr="00794977" w:rsidRDefault="005216C0" w:rsidP="005216C0">
      <w:pPr>
        <w:rPr>
          <w:u w:val="single"/>
        </w:rPr>
      </w:pPr>
    </w:p>
    <w:p w:rsidR="005216C0" w:rsidRPr="00794977" w:rsidRDefault="005216C0" w:rsidP="005216C0">
      <w:pPr>
        <w:jc w:val="left"/>
      </w:pPr>
      <w:r w:rsidRPr="00794977">
        <w:tab/>
      </w:r>
      <w:r w:rsidRPr="00794977">
        <w:tab/>
        <w:t>1.</w:t>
      </w:r>
      <w:r w:rsidRPr="00794977">
        <w:tab/>
        <w:t xml:space="preserve">The Commission has jurisdiction over the proceeding.  66 Pa.C.S. § </w:t>
      </w:r>
      <w:r w:rsidR="0053717B" w:rsidRPr="00794977">
        <w:t>703.</w:t>
      </w:r>
    </w:p>
    <w:p w:rsidR="0053717B" w:rsidRPr="00794977" w:rsidRDefault="0053717B" w:rsidP="005216C0">
      <w:pPr>
        <w:jc w:val="left"/>
      </w:pPr>
    </w:p>
    <w:p w:rsidR="00157F53" w:rsidRPr="00794977" w:rsidRDefault="0053717B" w:rsidP="0053717B">
      <w:pPr>
        <w:jc w:val="left"/>
      </w:pPr>
      <w:r w:rsidRPr="00794977">
        <w:tab/>
      </w:r>
      <w:r w:rsidRPr="00794977">
        <w:tab/>
        <w:t>2.</w:t>
      </w:r>
      <w:r w:rsidRPr="00794977">
        <w:tab/>
        <w:t xml:space="preserve">The party seeking affirmative relief from the Commission bears the burden of proof.  66 Pa.C.S. § 332(a).  As a matter of law, a complainant must show that the named utility is responsible or accountable for the problem described in the Complaint in order to prevail.  </w:t>
      </w:r>
      <w:r w:rsidRPr="00794977">
        <w:rPr>
          <w:i/>
        </w:rPr>
        <w:t xml:space="preserve">Patterson v. Bell Tel. Co. of PA, </w:t>
      </w:r>
      <w:r w:rsidR="0080743E">
        <w:t>72 Pa. PUC</w:t>
      </w:r>
      <w:r w:rsidRPr="00794977">
        <w:t xml:space="preserve"> 196 (1990); </w:t>
      </w:r>
      <w:r w:rsidRPr="00794977">
        <w:rPr>
          <w:i/>
        </w:rPr>
        <w:t xml:space="preserve">Feinstein v. Phila. Suburban Water Co., </w:t>
      </w:r>
      <w:r w:rsidR="0080743E">
        <w:t>50 Pa. PUC</w:t>
      </w:r>
      <w:r w:rsidRPr="00794977">
        <w:t xml:space="preserve"> 300 (1976).</w:t>
      </w:r>
    </w:p>
    <w:p w:rsidR="00157F53" w:rsidRPr="00794977" w:rsidRDefault="00157F53" w:rsidP="0053717B">
      <w:pPr>
        <w:jc w:val="left"/>
      </w:pPr>
    </w:p>
    <w:p w:rsidR="0053717B" w:rsidRPr="00794977" w:rsidRDefault="00157F53" w:rsidP="0053717B">
      <w:pPr>
        <w:jc w:val="left"/>
      </w:pPr>
      <w:r w:rsidRPr="00794977">
        <w:tab/>
      </w:r>
      <w:r w:rsidRPr="00794977">
        <w:tab/>
        <w:t>3.</w:t>
      </w:r>
      <w:r w:rsidRPr="00794977">
        <w:tab/>
      </w:r>
      <w:r w:rsidR="0053717B" w:rsidRPr="00794977">
        <w:t>This must be shown by a prepond</w:t>
      </w:r>
      <w:r w:rsidR="00F43A3C">
        <w:t xml:space="preserve">erance of the evidence.  </w:t>
      </w:r>
      <w:r w:rsidR="0053717B" w:rsidRPr="00794977">
        <w:rPr>
          <w:i/>
        </w:rPr>
        <w:t xml:space="preserve">Samuel J. Lansberry, Inc. v. Pa. Pub. Util. Comm'n, </w:t>
      </w:r>
      <w:r w:rsidR="0053717B" w:rsidRPr="00794977">
        <w:t xml:space="preserve">578 A.2d 600 (1990), </w:t>
      </w:r>
      <w:r w:rsidR="0053717B" w:rsidRPr="00794977">
        <w:rPr>
          <w:i/>
        </w:rPr>
        <w:t>alloc, denied</w:t>
      </w:r>
      <w:r w:rsidR="0053717B" w:rsidRPr="00794977">
        <w:t xml:space="preserve">, 602 A.2d 863 (1992).  A preponderance of evidence is that which is more convincing, by even the smallest amount, than that presented by the other party.  </w:t>
      </w:r>
      <w:r w:rsidR="0053717B" w:rsidRPr="00794977">
        <w:rPr>
          <w:i/>
        </w:rPr>
        <w:t>Se-Ling Hosiery v. Margulies,</w:t>
      </w:r>
      <w:r w:rsidR="0053717B" w:rsidRPr="00794977">
        <w:t xml:space="preserve"> </w:t>
      </w:r>
      <w:r w:rsidR="0053717B" w:rsidRPr="00794977">
        <w:rPr>
          <w:color w:val="333333"/>
        </w:rPr>
        <w:t>364 Pa. 45, 70 A.2d 854, 1950 Pa. LEXIS 316 (1950)</w:t>
      </w:r>
      <w:r w:rsidR="0053717B" w:rsidRPr="00794977">
        <w:t>.</w:t>
      </w:r>
    </w:p>
    <w:p w:rsidR="0053717B" w:rsidRPr="00794977" w:rsidRDefault="0053717B" w:rsidP="0053717B">
      <w:pPr>
        <w:jc w:val="left"/>
      </w:pPr>
    </w:p>
    <w:p w:rsidR="0053717B" w:rsidRPr="00794977" w:rsidRDefault="0053717B" w:rsidP="0053717B">
      <w:pPr>
        <w:jc w:val="left"/>
      </w:pPr>
      <w:r w:rsidRPr="00794977">
        <w:tab/>
      </w:r>
      <w:r w:rsidRPr="00794977">
        <w:tab/>
      </w:r>
      <w:r w:rsidR="00157F53" w:rsidRPr="00794977">
        <w:t>4.</w:t>
      </w:r>
      <w:r w:rsidR="00157F53" w:rsidRPr="00794977">
        <w:tab/>
      </w:r>
      <w:r w:rsidRPr="00794977">
        <w:t xml:space="preserve">Any finding of fact necessary to support the Commission's adjudication must be based upon substantial evidence.  </w:t>
      </w:r>
      <w:r w:rsidRPr="00794977">
        <w:rPr>
          <w:i/>
        </w:rPr>
        <w:t>Mill v. Pa. Pub. Util. Comm'n</w:t>
      </w:r>
      <w:r w:rsidRPr="00794977">
        <w:t xml:space="preserve">, 447 A.2d 1100 (Pa.Cmwlth. 1982); </w:t>
      </w:r>
      <w:r w:rsidRPr="00794977">
        <w:rPr>
          <w:i/>
        </w:rPr>
        <w:t xml:space="preserve">Edan Transportation Corp. v. Pa. Pub. Util. Comm'n, </w:t>
      </w:r>
      <w:r w:rsidRPr="00794977">
        <w:t xml:space="preserve">623 A.2d 6 (Pa. Cmwlth. 1993); 2 Pa.C.S. § 704.  More is required than a mere trace of evidence or a suspicion of the existence of a fact sought to be established.  </w:t>
      </w:r>
      <w:r w:rsidRPr="00794977">
        <w:rPr>
          <w:i/>
        </w:rPr>
        <w:t xml:space="preserve">Norfolk and Western Ry. v. Pa. Pub. Util. </w:t>
      </w:r>
      <w:r w:rsidRPr="00794977">
        <w:rPr>
          <w:i/>
        </w:rPr>
        <w:lastRenderedPageBreak/>
        <w:t xml:space="preserve">Comm'n, </w:t>
      </w:r>
      <w:r w:rsidRPr="00794977">
        <w:t xml:space="preserve">489 Pa. 109, 413 A.2d 1037 (1980); </w:t>
      </w:r>
      <w:r w:rsidRPr="00794977">
        <w:rPr>
          <w:i/>
        </w:rPr>
        <w:t xml:space="preserve">Erie Resistor Corp. v. Unemployment Compensation Bd. Of Review, </w:t>
      </w:r>
      <w:r w:rsidRPr="00794977">
        <w:t xml:space="preserve">166 A.2d 96 (Pa.Super. 1960); </w:t>
      </w:r>
      <w:r w:rsidRPr="00794977">
        <w:rPr>
          <w:i/>
        </w:rPr>
        <w:t xml:space="preserve">Murphy v. Dep't. of Public Welfare, White Haven Center, </w:t>
      </w:r>
      <w:r w:rsidRPr="00794977">
        <w:t>480 A.2d 382 (Pa. Cmwlth. 1984).</w:t>
      </w:r>
    </w:p>
    <w:p w:rsidR="0053717B" w:rsidRPr="00794977" w:rsidRDefault="0053717B" w:rsidP="0053717B">
      <w:pPr>
        <w:jc w:val="left"/>
      </w:pPr>
    </w:p>
    <w:p w:rsidR="0053717B" w:rsidRPr="00794977" w:rsidRDefault="0053717B" w:rsidP="0053717B">
      <w:pPr>
        <w:jc w:val="left"/>
      </w:pPr>
      <w:r w:rsidRPr="00794977">
        <w:tab/>
      </w:r>
      <w:r w:rsidRPr="00794977">
        <w:tab/>
      </w:r>
      <w:r w:rsidR="00157F53" w:rsidRPr="00794977">
        <w:t>5.</w:t>
      </w:r>
      <w:r w:rsidR="00157F53" w:rsidRPr="00794977">
        <w:tab/>
      </w:r>
      <w:r w:rsidRPr="00794977">
        <w:t>The offense must be a violation of the Public Utility Code, the Commission's regulations, or an outstanding order of the Commission.  66 Pa.C.S. § 701.</w:t>
      </w:r>
    </w:p>
    <w:p w:rsidR="0053717B" w:rsidRPr="00794977" w:rsidRDefault="0053717B" w:rsidP="0053717B">
      <w:pPr>
        <w:jc w:val="left"/>
      </w:pPr>
    </w:p>
    <w:p w:rsidR="0053717B" w:rsidRPr="00794977" w:rsidRDefault="00157F53" w:rsidP="0053717B">
      <w:pPr>
        <w:ind w:firstLine="1440"/>
        <w:jc w:val="left"/>
      </w:pPr>
      <w:r w:rsidRPr="00794977">
        <w:t>6.</w:t>
      </w:r>
      <w:r w:rsidRPr="00794977">
        <w:tab/>
      </w:r>
      <w:r w:rsidR="0053717B" w:rsidRPr="00794977">
        <w:t>As the proponent of a Commission order, Complainant has the burden of proof in this case.  66 Pa.C.S.A. § 332(a).</w:t>
      </w:r>
    </w:p>
    <w:p w:rsidR="0053717B" w:rsidRPr="00794977" w:rsidRDefault="0053717B" w:rsidP="0053717B">
      <w:pPr>
        <w:ind w:firstLine="1440"/>
      </w:pPr>
    </w:p>
    <w:p w:rsidR="0053717B" w:rsidRPr="00794977" w:rsidRDefault="00157F53" w:rsidP="0053717B">
      <w:pPr>
        <w:tabs>
          <w:tab w:val="left" w:pos="-1440"/>
          <w:tab w:val="left" w:pos="-720"/>
        </w:tabs>
        <w:suppressAutoHyphens/>
        <w:ind w:firstLine="1440"/>
        <w:jc w:val="left"/>
        <w:rPr>
          <w:spacing w:val="-3"/>
        </w:rPr>
      </w:pPr>
      <w:r w:rsidRPr="00794977">
        <w:rPr>
          <w:spacing w:val="-3"/>
        </w:rPr>
        <w:t>7.</w:t>
      </w:r>
      <w:r w:rsidRPr="00794977">
        <w:rPr>
          <w:spacing w:val="-3"/>
        </w:rPr>
        <w:tab/>
      </w:r>
      <w:r w:rsidR="0053717B" w:rsidRPr="00794977">
        <w:rPr>
          <w:spacing w:val="-3"/>
        </w:rPr>
        <w:t xml:space="preserve">The “burden of proof” is composed of two distinct burdens: the burden of production and the burden of persuasion.  </w:t>
      </w:r>
      <w:r w:rsidR="0053717B" w:rsidRPr="00794977">
        <w:rPr>
          <w:i/>
          <w:spacing w:val="-3"/>
        </w:rPr>
        <w:t>Hurley v. Hurley</w:t>
      </w:r>
      <w:r w:rsidR="0053717B" w:rsidRPr="00794977">
        <w:rPr>
          <w:spacing w:val="-3"/>
        </w:rPr>
        <w:t>, 2000 Pa.Super. 178, 754 A.2d 1283 (2000).</w:t>
      </w:r>
    </w:p>
    <w:p w:rsidR="00157F53" w:rsidRPr="00794977" w:rsidRDefault="00157F53" w:rsidP="0053717B">
      <w:pPr>
        <w:tabs>
          <w:tab w:val="left" w:pos="-1440"/>
          <w:tab w:val="left" w:pos="-720"/>
        </w:tabs>
        <w:suppressAutoHyphens/>
        <w:ind w:firstLine="1440"/>
        <w:jc w:val="left"/>
        <w:rPr>
          <w:spacing w:val="-3"/>
        </w:rPr>
      </w:pPr>
    </w:p>
    <w:p w:rsidR="00157F53" w:rsidRPr="00794977" w:rsidRDefault="00157F53" w:rsidP="00157F53">
      <w:pPr>
        <w:tabs>
          <w:tab w:val="left" w:pos="-1440"/>
          <w:tab w:val="left" w:pos="-720"/>
        </w:tabs>
        <w:suppressAutoHyphens/>
        <w:ind w:firstLine="1440"/>
        <w:jc w:val="left"/>
      </w:pPr>
      <w:r w:rsidRPr="00794977">
        <w:rPr>
          <w:spacing w:val="-3"/>
        </w:rPr>
        <w:t>8.</w:t>
      </w:r>
      <w:r w:rsidRPr="00794977">
        <w:rPr>
          <w:spacing w:val="-3"/>
        </w:rPr>
        <w:tab/>
        <w:t>I</w:t>
      </w:r>
      <w:r w:rsidRPr="00794977">
        <w:t>n the event of the Company's meters or other property being tampered or interfered with, the Customer being supplied through such equipment shall pay the amount which the Company may estimate is due for service used even if such usage is not registered on the Company's meter, and for any repairs or replacements required, as well as for costs of inspections, investigations, damages and protective equipment and installations prior to reconnection.  PGW Supplement No</w:t>
      </w:r>
      <w:r w:rsidR="00300799">
        <w:t>. 21, Gas Service Tariff – Pa PUC</w:t>
      </w:r>
      <w:r w:rsidRPr="00794977">
        <w:t xml:space="preserve"> No.2, First Revised Page No. 44.</w:t>
      </w:r>
    </w:p>
    <w:p w:rsidR="00157F53" w:rsidRPr="00794977" w:rsidRDefault="00157F53" w:rsidP="00157F53">
      <w:pPr>
        <w:tabs>
          <w:tab w:val="left" w:pos="-1440"/>
          <w:tab w:val="left" w:pos="-720"/>
        </w:tabs>
        <w:suppressAutoHyphens/>
        <w:ind w:firstLine="1440"/>
        <w:jc w:val="left"/>
      </w:pPr>
    </w:p>
    <w:p w:rsidR="00157F53" w:rsidRPr="00794977" w:rsidRDefault="00157F53" w:rsidP="00157F53">
      <w:pPr>
        <w:tabs>
          <w:tab w:val="left" w:pos="-1440"/>
          <w:tab w:val="left" w:pos="-720"/>
        </w:tabs>
        <w:suppressAutoHyphens/>
        <w:ind w:firstLine="1440"/>
        <w:jc w:val="left"/>
      </w:pPr>
      <w:r w:rsidRPr="00794977">
        <w:t>9.</w:t>
      </w:r>
      <w:r w:rsidRPr="00794977">
        <w:tab/>
        <w:t>A utility may establish that an applicant previously resided at a property for which residential service is requested through the use of a mortgage, deed or lease, a commercially available consumer credit reporting service or other methods approved as valid by the Commission.  52 Pa.Code § 56.35(b)(2).</w:t>
      </w:r>
    </w:p>
    <w:p w:rsidR="00157F53" w:rsidRPr="00794977" w:rsidRDefault="00157F53" w:rsidP="00157F53">
      <w:pPr>
        <w:tabs>
          <w:tab w:val="left" w:pos="-1440"/>
          <w:tab w:val="left" w:pos="-720"/>
        </w:tabs>
        <w:suppressAutoHyphens/>
        <w:ind w:firstLine="1440"/>
        <w:jc w:val="left"/>
      </w:pPr>
    </w:p>
    <w:p w:rsidR="00157F53" w:rsidRPr="00794977" w:rsidRDefault="00157F53" w:rsidP="00157F53">
      <w:pPr>
        <w:tabs>
          <w:tab w:val="left" w:pos="-1440"/>
          <w:tab w:val="left" w:pos="-720"/>
        </w:tabs>
        <w:suppressAutoHyphens/>
        <w:ind w:firstLine="1440"/>
        <w:jc w:val="left"/>
      </w:pPr>
      <w:r w:rsidRPr="00794977">
        <w:t>10.</w:t>
      </w:r>
      <w:r w:rsidRPr="00794977">
        <w:tab/>
        <w:t>Business records may be accepted into the record as an exception to the hearsay rule if properly authenticated and if consistent with the Pennsylvania Rules of Evidence.  Pa.R.E.P. 803(6), 902.</w:t>
      </w:r>
    </w:p>
    <w:p w:rsidR="00157F53" w:rsidRPr="00794977" w:rsidRDefault="00157F53" w:rsidP="00157F53">
      <w:pPr>
        <w:tabs>
          <w:tab w:val="left" w:pos="-1440"/>
          <w:tab w:val="left" w:pos="-720"/>
        </w:tabs>
        <w:suppressAutoHyphens/>
        <w:ind w:firstLine="1440"/>
        <w:jc w:val="left"/>
      </w:pPr>
    </w:p>
    <w:p w:rsidR="00157F53" w:rsidRPr="00794977" w:rsidRDefault="00157F53" w:rsidP="00157F53">
      <w:pPr>
        <w:tabs>
          <w:tab w:val="left" w:pos="-1440"/>
          <w:tab w:val="left" w:pos="-720"/>
        </w:tabs>
        <w:suppressAutoHyphens/>
        <w:ind w:firstLine="1440"/>
        <w:jc w:val="left"/>
      </w:pPr>
      <w:r w:rsidRPr="00794977">
        <w:lastRenderedPageBreak/>
        <w:t>11.</w:t>
      </w:r>
      <w:r w:rsidRPr="00794977">
        <w:tab/>
        <w:t xml:space="preserve">PGW failed to present sufficient evidence to support a finding that the Complainant is responsible for </w:t>
      </w:r>
      <w:r w:rsidR="0002374C" w:rsidRPr="00794977">
        <w:t xml:space="preserve">a bill for </w:t>
      </w:r>
      <w:r w:rsidRPr="00794977">
        <w:t>the</w:t>
      </w:r>
      <w:r w:rsidR="0002374C" w:rsidRPr="00794977">
        <w:t xml:space="preserve"> estimated</w:t>
      </w:r>
      <w:r w:rsidRPr="00794977">
        <w:t xml:space="preserve"> usage at the North Bouvier Street address.</w:t>
      </w:r>
    </w:p>
    <w:p w:rsidR="00157F53" w:rsidRPr="00794977" w:rsidRDefault="00157F53" w:rsidP="00D405A9">
      <w:pPr>
        <w:tabs>
          <w:tab w:val="left" w:pos="-1440"/>
          <w:tab w:val="left" w:pos="-720"/>
        </w:tabs>
        <w:suppressAutoHyphens/>
        <w:jc w:val="left"/>
      </w:pPr>
    </w:p>
    <w:p w:rsidR="00157F53" w:rsidRPr="00794977" w:rsidRDefault="00157F53" w:rsidP="0002374C">
      <w:pPr>
        <w:tabs>
          <w:tab w:val="left" w:pos="-1440"/>
          <w:tab w:val="left" w:pos="-720"/>
        </w:tabs>
        <w:suppressAutoHyphens/>
        <w:rPr>
          <w:b/>
          <w:u w:val="single"/>
        </w:rPr>
      </w:pPr>
      <w:r w:rsidRPr="00794977">
        <w:rPr>
          <w:b/>
          <w:u w:val="single"/>
        </w:rPr>
        <w:t>ORDER</w:t>
      </w:r>
    </w:p>
    <w:p w:rsidR="00157F53" w:rsidRDefault="00157F53" w:rsidP="00157F53">
      <w:pPr>
        <w:tabs>
          <w:tab w:val="left" w:pos="-1440"/>
          <w:tab w:val="left" w:pos="-720"/>
        </w:tabs>
        <w:suppressAutoHyphens/>
        <w:ind w:firstLine="1440"/>
        <w:rPr>
          <w:b/>
          <w:u w:val="single"/>
        </w:rPr>
      </w:pPr>
    </w:p>
    <w:p w:rsidR="00D405A9" w:rsidRPr="00794977" w:rsidRDefault="00D405A9" w:rsidP="00157F53">
      <w:pPr>
        <w:tabs>
          <w:tab w:val="left" w:pos="-1440"/>
          <w:tab w:val="left" w:pos="-720"/>
        </w:tabs>
        <w:suppressAutoHyphens/>
        <w:ind w:firstLine="1440"/>
        <w:rPr>
          <w:b/>
          <w:u w:val="single"/>
        </w:rPr>
      </w:pPr>
    </w:p>
    <w:p w:rsidR="00157F53" w:rsidRPr="00794977" w:rsidRDefault="00157F53" w:rsidP="00157F53">
      <w:pPr>
        <w:tabs>
          <w:tab w:val="left" w:pos="-1440"/>
          <w:tab w:val="left" w:pos="-720"/>
        </w:tabs>
        <w:suppressAutoHyphens/>
        <w:ind w:firstLine="1440"/>
        <w:jc w:val="left"/>
      </w:pPr>
      <w:r w:rsidRPr="00794977">
        <w:t>THEREFORE,</w:t>
      </w:r>
    </w:p>
    <w:p w:rsidR="00157F53" w:rsidRPr="00794977" w:rsidRDefault="00157F53" w:rsidP="00157F53">
      <w:pPr>
        <w:tabs>
          <w:tab w:val="left" w:pos="-1440"/>
          <w:tab w:val="left" w:pos="-720"/>
        </w:tabs>
        <w:suppressAutoHyphens/>
        <w:ind w:firstLine="1440"/>
        <w:jc w:val="left"/>
      </w:pPr>
    </w:p>
    <w:p w:rsidR="00157F53" w:rsidRPr="00794977" w:rsidRDefault="00157F53" w:rsidP="00157F53">
      <w:pPr>
        <w:tabs>
          <w:tab w:val="left" w:pos="-1440"/>
          <w:tab w:val="left" w:pos="-720"/>
        </w:tabs>
        <w:suppressAutoHyphens/>
        <w:ind w:firstLine="1440"/>
        <w:jc w:val="left"/>
      </w:pPr>
      <w:r w:rsidRPr="00794977">
        <w:t>IT IS ORDERED:</w:t>
      </w:r>
    </w:p>
    <w:p w:rsidR="00157F53" w:rsidRPr="00794977" w:rsidRDefault="00157F53" w:rsidP="00157F53">
      <w:pPr>
        <w:tabs>
          <w:tab w:val="left" w:pos="-1440"/>
          <w:tab w:val="left" w:pos="-720"/>
        </w:tabs>
        <w:suppressAutoHyphens/>
        <w:ind w:firstLine="1440"/>
        <w:jc w:val="left"/>
      </w:pPr>
    </w:p>
    <w:p w:rsidR="001A2A2B" w:rsidRPr="00794977" w:rsidRDefault="00157F53" w:rsidP="00157F53">
      <w:pPr>
        <w:tabs>
          <w:tab w:val="left" w:pos="-1440"/>
          <w:tab w:val="left" w:pos="-720"/>
        </w:tabs>
        <w:suppressAutoHyphens/>
        <w:ind w:firstLine="1440"/>
        <w:jc w:val="left"/>
      </w:pPr>
      <w:r w:rsidRPr="00794977">
        <w:t>1.</w:t>
      </w:r>
      <w:r w:rsidRPr="00794977">
        <w:tab/>
      </w:r>
      <w:r w:rsidR="001A2A2B" w:rsidRPr="00794977">
        <w:t xml:space="preserve">That the Complaint filed by Darryl Rodgers against Philadelphia Gas Works at Docket No. F-2013-2386456 is </w:t>
      </w:r>
      <w:r w:rsidR="0002374C" w:rsidRPr="00794977">
        <w:t>sustained</w:t>
      </w:r>
      <w:r w:rsidR="001A2A2B" w:rsidRPr="00794977">
        <w:t>.</w:t>
      </w:r>
    </w:p>
    <w:p w:rsidR="001A2A2B" w:rsidRPr="00794977" w:rsidRDefault="001A2A2B" w:rsidP="00157F53">
      <w:pPr>
        <w:tabs>
          <w:tab w:val="left" w:pos="-1440"/>
          <w:tab w:val="left" w:pos="-720"/>
        </w:tabs>
        <w:suppressAutoHyphens/>
        <w:ind w:firstLine="1440"/>
        <w:jc w:val="left"/>
      </w:pPr>
    </w:p>
    <w:p w:rsidR="001A2A2B" w:rsidRPr="00794977" w:rsidRDefault="001A2A2B" w:rsidP="001A2A2B">
      <w:pPr>
        <w:jc w:val="left"/>
      </w:pPr>
      <w:r w:rsidRPr="00794977">
        <w:tab/>
      </w:r>
      <w:r w:rsidRPr="00794977">
        <w:tab/>
        <w:t>2.</w:t>
      </w:r>
      <w:r w:rsidRPr="00794977">
        <w:tab/>
        <w:t xml:space="preserve">That Philadelphia Gas Works shall </w:t>
      </w:r>
      <w:r w:rsidR="00D02221" w:rsidRPr="00794977">
        <w:t xml:space="preserve">not charge </w:t>
      </w:r>
      <w:r w:rsidRPr="00794977">
        <w:t>Darryl Rodgers</w:t>
      </w:r>
      <w:r w:rsidR="00D02221" w:rsidRPr="00794977">
        <w:t xml:space="preserve"> for estimated usage or any fee arising from suspected illegal usage of gas for 2547 North Bouvier Street, Philadelphia prior to August 23, 2013</w:t>
      </w:r>
      <w:r w:rsidRPr="00794977">
        <w:t>.</w:t>
      </w:r>
    </w:p>
    <w:p w:rsidR="001A2A2B" w:rsidRPr="00794977" w:rsidRDefault="001A2A2B" w:rsidP="001A2A2B">
      <w:pPr>
        <w:jc w:val="left"/>
      </w:pPr>
    </w:p>
    <w:p w:rsidR="00D02221" w:rsidRPr="00794977" w:rsidRDefault="00E11BA8" w:rsidP="00D02221">
      <w:pPr>
        <w:jc w:val="left"/>
      </w:pPr>
      <w:r w:rsidRPr="00794977">
        <w:tab/>
      </w:r>
      <w:r w:rsidRPr="00794977">
        <w:tab/>
      </w:r>
      <w:r w:rsidR="00D02221" w:rsidRPr="00794977">
        <w:t>3</w:t>
      </w:r>
      <w:r w:rsidR="001A2A2B" w:rsidRPr="00794977">
        <w:t>.</w:t>
      </w:r>
      <w:r w:rsidR="001A2A2B" w:rsidRPr="00794977">
        <w:tab/>
      </w:r>
      <w:r w:rsidR="00D02221" w:rsidRPr="00794977">
        <w:t>That the Secretary mark this docket closed.</w:t>
      </w:r>
    </w:p>
    <w:p w:rsidR="001A2A2B" w:rsidRPr="00794977" w:rsidRDefault="001A2A2B" w:rsidP="001A2A2B">
      <w:pPr>
        <w:jc w:val="left"/>
      </w:pPr>
    </w:p>
    <w:p w:rsidR="00B538BE" w:rsidRPr="00794977" w:rsidRDefault="00B538BE" w:rsidP="001A2A2B">
      <w:pPr>
        <w:jc w:val="left"/>
      </w:pPr>
    </w:p>
    <w:p w:rsidR="00B538BE" w:rsidRPr="00794977" w:rsidRDefault="00B538BE" w:rsidP="00B538BE">
      <w:pPr>
        <w:spacing w:line="240" w:lineRule="auto"/>
        <w:jc w:val="left"/>
      </w:pPr>
      <w:r w:rsidRPr="00794977">
        <w:t>Dated:</w:t>
      </w:r>
      <w:r w:rsidRPr="00794977">
        <w:tab/>
      </w:r>
      <w:r w:rsidR="00D02221" w:rsidRPr="00794977">
        <w:rPr>
          <w:u w:val="single"/>
        </w:rPr>
        <w:t>June 2</w:t>
      </w:r>
      <w:r w:rsidRPr="00794977">
        <w:rPr>
          <w:u w:val="single"/>
        </w:rPr>
        <w:t>, 2014</w:t>
      </w:r>
      <w:r w:rsidRPr="00794977">
        <w:tab/>
      </w:r>
      <w:r w:rsidRPr="00794977">
        <w:tab/>
      </w:r>
      <w:r w:rsidRPr="00794977">
        <w:tab/>
      </w:r>
      <w:r w:rsidRPr="00794977">
        <w:tab/>
      </w:r>
      <w:r w:rsidRPr="00794977">
        <w:tab/>
        <w:t>___</w:t>
      </w:r>
      <w:r w:rsidR="00CC0095" w:rsidRPr="00794977">
        <w:rPr>
          <w:u w:val="single"/>
        </w:rPr>
        <w:t>/s/</w:t>
      </w:r>
      <w:r w:rsidRPr="00794977">
        <w:t>_______________________________</w:t>
      </w:r>
    </w:p>
    <w:p w:rsidR="00B538BE" w:rsidRPr="00794977" w:rsidRDefault="00B538BE" w:rsidP="00B538BE">
      <w:pPr>
        <w:spacing w:line="240" w:lineRule="auto"/>
        <w:jc w:val="left"/>
      </w:pPr>
      <w:r w:rsidRPr="00794977">
        <w:tab/>
      </w:r>
      <w:r w:rsidRPr="00794977">
        <w:tab/>
      </w:r>
      <w:r w:rsidRPr="00794977">
        <w:tab/>
      </w:r>
      <w:r w:rsidRPr="00794977">
        <w:tab/>
      </w:r>
      <w:r w:rsidRPr="00794977">
        <w:tab/>
      </w:r>
      <w:r w:rsidRPr="00794977">
        <w:tab/>
      </w:r>
      <w:r w:rsidRPr="00794977">
        <w:tab/>
        <w:t>Susan D. Colwell</w:t>
      </w:r>
    </w:p>
    <w:p w:rsidR="00B538BE" w:rsidRPr="00794977" w:rsidRDefault="00B538BE" w:rsidP="00B538BE">
      <w:pPr>
        <w:spacing w:line="240" w:lineRule="auto"/>
        <w:jc w:val="left"/>
      </w:pPr>
      <w:r w:rsidRPr="00794977">
        <w:tab/>
      </w:r>
      <w:r w:rsidRPr="00794977">
        <w:tab/>
      </w:r>
      <w:r w:rsidRPr="00794977">
        <w:tab/>
      </w:r>
      <w:r w:rsidRPr="00794977">
        <w:tab/>
      </w:r>
      <w:r w:rsidRPr="00794977">
        <w:tab/>
      </w:r>
      <w:r w:rsidRPr="00794977">
        <w:tab/>
      </w:r>
      <w:r w:rsidRPr="00794977">
        <w:tab/>
        <w:t>Administrative Law Judge</w:t>
      </w:r>
    </w:p>
    <w:p w:rsidR="00B538BE" w:rsidRPr="00794977" w:rsidRDefault="00B538BE" w:rsidP="00B538BE">
      <w:pPr>
        <w:spacing w:line="240" w:lineRule="auto"/>
        <w:jc w:val="left"/>
      </w:pPr>
    </w:p>
    <w:p w:rsidR="00157F53" w:rsidRPr="00794977" w:rsidRDefault="00157F53" w:rsidP="00157F53">
      <w:pPr>
        <w:tabs>
          <w:tab w:val="left" w:pos="-1440"/>
          <w:tab w:val="left" w:pos="-720"/>
        </w:tabs>
        <w:suppressAutoHyphens/>
        <w:ind w:firstLine="1440"/>
        <w:jc w:val="left"/>
      </w:pPr>
      <w:r w:rsidRPr="00794977">
        <w:tab/>
      </w:r>
    </w:p>
    <w:p w:rsidR="00BB4785" w:rsidRPr="00794977" w:rsidRDefault="004E5569" w:rsidP="00A07535">
      <w:pPr>
        <w:jc w:val="left"/>
      </w:pPr>
      <w:r w:rsidRPr="00794977">
        <w:tab/>
      </w:r>
    </w:p>
    <w:p w:rsidR="000C32E3" w:rsidRPr="00794977" w:rsidRDefault="00BB4785" w:rsidP="009F7F6F">
      <w:pPr>
        <w:jc w:val="left"/>
      </w:pPr>
      <w:r w:rsidRPr="00794977">
        <w:tab/>
      </w:r>
      <w:r w:rsidRPr="00794977">
        <w:tab/>
      </w:r>
    </w:p>
    <w:p w:rsidR="00A07535" w:rsidRPr="00794977" w:rsidRDefault="00A07535" w:rsidP="00A07535"/>
    <w:p w:rsidR="00186F26" w:rsidRPr="00794977" w:rsidRDefault="00186F26" w:rsidP="00A07535"/>
    <w:sectPr w:rsidR="00186F26" w:rsidRPr="00794977" w:rsidSect="0013308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D48" w:rsidRDefault="00A74D48" w:rsidP="00133087">
      <w:pPr>
        <w:spacing w:line="240" w:lineRule="auto"/>
      </w:pPr>
      <w:r>
        <w:separator/>
      </w:r>
    </w:p>
  </w:endnote>
  <w:endnote w:type="continuationSeparator" w:id="0">
    <w:p w:rsidR="00A74D48" w:rsidRDefault="00A74D48" w:rsidP="00133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619079"/>
      <w:docPartObj>
        <w:docPartGallery w:val="Page Numbers (Bottom of Page)"/>
        <w:docPartUnique/>
      </w:docPartObj>
    </w:sdtPr>
    <w:sdtEndPr>
      <w:rPr>
        <w:noProof/>
        <w:sz w:val="20"/>
        <w:szCs w:val="20"/>
      </w:rPr>
    </w:sdtEndPr>
    <w:sdtContent>
      <w:p w:rsidR="00133087" w:rsidRPr="009A1545" w:rsidRDefault="00133087" w:rsidP="009A1545">
        <w:pPr>
          <w:pStyle w:val="Footer"/>
          <w:rPr>
            <w:sz w:val="20"/>
            <w:szCs w:val="20"/>
          </w:rPr>
        </w:pPr>
        <w:r w:rsidRPr="009A1545">
          <w:rPr>
            <w:sz w:val="20"/>
            <w:szCs w:val="20"/>
          </w:rPr>
          <w:fldChar w:fldCharType="begin"/>
        </w:r>
        <w:r w:rsidRPr="009A1545">
          <w:rPr>
            <w:sz w:val="20"/>
            <w:szCs w:val="20"/>
          </w:rPr>
          <w:instrText xml:space="preserve"> PAGE   \* MERGEFORMAT </w:instrText>
        </w:r>
        <w:r w:rsidRPr="009A1545">
          <w:rPr>
            <w:sz w:val="20"/>
            <w:szCs w:val="20"/>
          </w:rPr>
          <w:fldChar w:fldCharType="separate"/>
        </w:r>
        <w:r w:rsidR="0080760D">
          <w:rPr>
            <w:noProof/>
            <w:sz w:val="20"/>
            <w:szCs w:val="20"/>
          </w:rPr>
          <w:t>20</w:t>
        </w:r>
        <w:r w:rsidRPr="009A154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D48" w:rsidRDefault="00A74D48" w:rsidP="00BE743C">
      <w:pPr>
        <w:spacing w:line="240" w:lineRule="auto"/>
        <w:jc w:val="left"/>
      </w:pPr>
      <w:r>
        <w:separator/>
      </w:r>
    </w:p>
  </w:footnote>
  <w:footnote w:type="continuationSeparator" w:id="0">
    <w:p w:rsidR="00A74D48" w:rsidRDefault="00A74D48" w:rsidP="00133087">
      <w:pPr>
        <w:spacing w:line="240" w:lineRule="auto"/>
      </w:pPr>
      <w:r>
        <w:continuationSeparator/>
      </w:r>
    </w:p>
  </w:footnote>
  <w:footnote w:id="1">
    <w:p w:rsidR="000A3FA5" w:rsidRDefault="000A3FA5" w:rsidP="000A3FA5">
      <w:pPr>
        <w:pStyle w:val="FootnoteText"/>
        <w:jc w:val="left"/>
      </w:pPr>
      <w:r>
        <w:rPr>
          <w:rStyle w:val="FootnoteReference"/>
        </w:rPr>
        <w:footnoteRef/>
      </w:r>
      <w:r>
        <w:t xml:space="preserve"> 52 Pa.Code § 56.35(b)(2) permits a utility to establish that an applicant</w:t>
      </w:r>
      <w:r w:rsidR="006732A8">
        <w:t xml:space="preserve"> previously resided at a property for which residential service is requested through the use of a mortgage, deed or lease, a commercially available consumer credit reporting service or other methods approved as valid by the Commission.  These methods are meant to be in the utility's tariff.</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0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1666"/>
    <w:rsid w:val="00022B3F"/>
    <w:rsid w:val="0002374C"/>
    <w:rsid w:val="00024D13"/>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020"/>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86E72"/>
    <w:rsid w:val="000902E3"/>
    <w:rsid w:val="0009043B"/>
    <w:rsid w:val="00091F08"/>
    <w:rsid w:val="0009220F"/>
    <w:rsid w:val="00092B4E"/>
    <w:rsid w:val="00092E44"/>
    <w:rsid w:val="0009318F"/>
    <w:rsid w:val="000931F7"/>
    <w:rsid w:val="00093413"/>
    <w:rsid w:val="00093562"/>
    <w:rsid w:val="00093E43"/>
    <w:rsid w:val="00094E20"/>
    <w:rsid w:val="00096B3F"/>
    <w:rsid w:val="00097D77"/>
    <w:rsid w:val="000A2192"/>
    <w:rsid w:val="000A3FA5"/>
    <w:rsid w:val="000A4551"/>
    <w:rsid w:val="000A4E7A"/>
    <w:rsid w:val="000A5DEA"/>
    <w:rsid w:val="000A652E"/>
    <w:rsid w:val="000A770B"/>
    <w:rsid w:val="000B1BFC"/>
    <w:rsid w:val="000B2D0C"/>
    <w:rsid w:val="000B339A"/>
    <w:rsid w:val="000B7111"/>
    <w:rsid w:val="000C0311"/>
    <w:rsid w:val="000C2696"/>
    <w:rsid w:val="000C2A2B"/>
    <w:rsid w:val="000C32E3"/>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0827"/>
    <w:rsid w:val="00113B1B"/>
    <w:rsid w:val="001146C8"/>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3087"/>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57F53"/>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1E7B"/>
    <w:rsid w:val="001857EA"/>
    <w:rsid w:val="00186328"/>
    <w:rsid w:val="001868F5"/>
    <w:rsid w:val="00186F26"/>
    <w:rsid w:val="00190B2C"/>
    <w:rsid w:val="00191522"/>
    <w:rsid w:val="00192EB5"/>
    <w:rsid w:val="00195C2B"/>
    <w:rsid w:val="001966CB"/>
    <w:rsid w:val="001969A7"/>
    <w:rsid w:val="00196C5A"/>
    <w:rsid w:val="0019791B"/>
    <w:rsid w:val="00197E5D"/>
    <w:rsid w:val="001A0F84"/>
    <w:rsid w:val="001A103D"/>
    <w:rsid w:val="001A1644"/>
    <w:rsid w:val="001A216A"/>
    <w:rsid w:val="001A2A2B"/>
    <w:rsid w:val="001A33F5"/>
    <w:rsid w:val="001A3A31"/>
    <w:rsid w:val="001A3D48"/>
    <w:rsid w:val="001A4A01"/>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87E"/>
    <w:rsid w:val="001D0DCD"/>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550B"/>
    <w:rsid w:val="001F6E43"/>
    <w:rsid w:val="001F6F77"/>
    <w:rsid w:val="001F74FC"/>
    <w:rsid w:val="001F77B2"/>
    <w:rsid w:val="002004A8"/>
    <w:rsid w:val="002019B1"/>
    <w:rsid w:val="00201E65"/>
    <w:rsid w:val="00204E47"/>
    <w:rsid w:val="00205C33"/>
    <w:rsid w:val="002100BE"/>
    <w:rsid w:val="0021162B"/>
    <w:rsid w:val="002125E4"/>
    <w:rsid w:val="002131B7"/>
    <w:rsid w:val="00214E49"/>
    <w:rsid w:val="00215381"/>
    <w:rsid w:val="00215BA6"/>
    <w:rsid w:val="002163B7"/>
    <w:rsid w:val="00216C32"/>
    <w:rsid w:val="00216F58"/>
    <w:rsid w:val="00216F76"/>
    <w:rsid w:val="0021750E"/>
    <w:rsid w:val="002178EA"/>
    <w:rsid w:val="0022017F"/>
    <w:rsid w:val="002205EC"/>
    <w:rsid w:val="00220D97"/>
    <w:rsid w:val="00221A88"/>
    <w:rsid w:val="002241D0"/>
    <w:rsid w:val="00224756"/>
    <w:rsid w:val="0022478F"/>
    <w:rsid w:val="00225322"/>
    <w:rsid w:val="00227A4A"/>
    <w:rsid w:val="00230CC6"/>
    <w:rsid w:val="00231F12"/>
    <w:rsid w:val="002337D7"/>
    <w:rsid w:val="00234DEB"/>
    <w:rsid w:val="0023584A"/>
    <w:rsid w:val="00236C44"/>
    <w:rsid w:val="00240343"/>
    <w:rsid w:val="002403E6"/>
    <w:rsid w:val="002422D0"/>
    <w:rsid w:val="00243795"/>
    <w:rsid w:val="00245181"/>
    <w:rsid w:val="002451F7"/>
    <w:rsid w:val="002455CC"/>
    <w:rsid w:val="00246523"/>
    <w:rsid w:val="0024777B"/>
    <w:rsid w:val="00247CE0"/>
    <w:rsid w:val="002502F2"/>
    <w:rsid w:val="00250571"/>
    <w:rsid w:val="00251E5A"/>
    <w:rsid w:val="002526CA"/>
    <w:rsid w:val="00252DB6"/>
    <w:rsid w:val="00252F2A"/>
    <w:rsid w:val="0025351B"/>
    <w:rsid w:val="002546D8"/>
    <w:rsid w:val="00254B0F"/>
    <w:rsid w:val="002557C7"/>
    <w:rsid w:val="002558A3"/>
    <w:rsid w:val="00255930"/>
    <w:rsid w:val="00255ABE"/>
    <w:rsid w:val="00256505"/>
    <w:rsid w:val="00256D0C"/>
    <w:rsid w:val="00260459"/>
    <w:rsid w:val="00260814"/>
    <w:rsid w:val="00262A17"/>
    <w:rsid w:val="00262AF8"/>
    <w:rsid w:val="00263AD5"/>
    <w:rsid w:val="0026705F"/>
    <w:rsid w:val="002704DD"/>
    <w:rsid w:val="00270AF3"/>
    <w:rsid w:val="00271BEA"/>
    <w:rsid w:val="0027207B"/>
    <w:rsid w:val="0027210A"/>
    <w:rsid w:val="002748C2"/>
    <w:rsid w:val="002752C3"/>
    <w:rsid w:val="00275659"/>
    <w:rsid w:val="002761E2"/>
    <w:rsid w:val="00277591"/>
    <w:rsid w:val="002825AA"/>
    <w:rsid w:val="00283282"/>
    <w:rsid w:val="00284760"/>
    <w:rsid w:val="00286A34"/>
    <w:rsid w:val="002871C2"/>
    <w:rsid w:val="002875D5"/>
    <w:rsid w:val="00287CB1"/>
    <w:rsid w:val="0029096F"/>
    <w:rsid w:val="00290AD2"/>
    <w:rsid w:val="0029353E"/>
    <w:rsid w:val="00293F4E"/>
    <w:rsid w:val="00296B74"/>
    <w:rsid w:val="00297286"/>
    <w:rsid w:val="002A05C6"/>
    <w:rsid w:val="002A1522"/>
    <w:rsid w:val="002A17F4"/>
    <w:rsid w:val="002A4E7E"/>
    <w:rsid w:val="002A56BF"/>
    <w:rsid w:val="002A5F4D"/>
    <w:rsid w:val="002A70E9"/>
    <w:rsid w:val="002A7731"/>
    <w:rsid w:val="002A7A0A"/>
    <w:rsid w:val="002B0D61"/>
    <w:rsid w:val="002B2AF4"/>
    <w:rsid w:val="002B3E20"/>
    <w:rsid w:val="002B541A"/>
    <w:rsid w:val="002B754D"/>
    <w:rsid w:val="002C0694"/>
    <w:rsid w:val="002C1023"/>
    <w:rsid w:val="002C1538"/>
    <w:rsid w:val="002C302A"/>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0799"/>
    <w:rsid w:val="00303526"/>
    <w:rsid w:val="00303761"/>
    <w:rsid w:val="003048EC"/>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B02"/>
    <w:rsid w:val="00334F62"/>
    <w:rsid w:val="00336496"/>
    <w:rsid w:val="003364EB"/>
    <w:rsid w:val="00336CE8"/>
    <w:rsid w:val="003425CF"/>
    <w:rsid w:val="0034272B"/>
    <w:rsid w:val="00342BFE"/>
    <w:rsid w:val="00344C34"/>
    <w:rsid w:val="00345C65"/>
    <w:rsid w:val="00346679"/>
    <w:rsid w:val="003470E8"/>
    <w:rsid w:val="0035100D"/>
    <w:rsid w:val="003513F1"/>
    <w:rsid w:val="003534EB"/>
    <w:rsid w:val="00354574"/>
    <w:rsid w:val="00354BD0"/>
    <w:rsid w:val="003550C3"/>
    <w:rsid w:val="00355C53"/>
    <w:rsid w:val="00356988"/>
    <w:rsid w:val="003601E1"/>
    <w:rsid w:val="00360613"/>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CD2"/>
    <w:rsid w:val="00383321"/>
    <w:rsid w:val="003851CD"/>
    <w:rsid w:val="00385BF0"/>
    <w:rsid w:val="00385DAD"/>
    <w:rsid w:val="00386626"/>
    <w:rsid w:val="003908D7"/>
    <w:rsid w:val="00390929"/>
    <w:rsid w:val="00390DBB"/>
    <w:rsid w:val="00391CFF"/>
    <w:rsid w:val="003924CC"/>
    <w:rsid w:val="0039354A"/>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4F2"/>
    <w:rsid w:val="004017C5"/>
    <w:rsid w:val="004047B1"/>
    <w:rsid w:val="00404D7B"/>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27B11"/>
    <w:rsid w:val="00431130"/>
    <w:rsid w:val="00433AE5"/>
    <w:rsid w:val="0043485A"/>
    <w:rsid w:val="00434FD6"/>
    <w:rsid w:val="00435EA8"/>
    <w:rsid w:val="00440521"/>
    <w:rsid w:val="004407EE"/>
    <w:rsid w:val="00440C1D"/>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4F3D"/>
    <w:rsid w:val="00455691"/>
    <w:rsid w:val="004565C0"/>
    <w:rsid w:val="00460024"/>
    <w:rsid w:val="00460031"/>
    <w:rsid w:val="00460140"/>
    <w:rsid w:val="0046238B"/>
    <w:rsid w:val="004625E8"/>
    <w:rsid w:val="00464B18"/>
    <w:rsid w:val="00465D71"/>
    <w:rsid w:val="00466D15"/>
    <w:rsid w:val="0047070D"/>
    <w:rsid w:val="00470BDF"/>
    <w:rsid w:val="004736EA"/>
    <w:rsid w:val="00476B21"/>
    <w:rsid w:val="00477A71"/>
    <w:rsid w:val="00481269"/>
    <w:rsid w:val="004839FC"/>
    <w:rsid w:val="00483C70"/>
    <w:rsid w:val="00484589"/>
    <w:rsid w:val="00484BCE"/>
    <w:rsid w:val="00487E8F"/>
    <w:rsid w:val="004909A4"/>
    <w:rsid w:val="00491F39"/>
    <w:rsid w:val="004938B5"/>
    <w:rsid w:val="00493AC3"/>
    <w:rsid w:val="0049422F"/>
    <w:rsid w:val="0049475D"/>
    <w:rsid w:val="0049575D"/>
    <w:rsid w:val="00496D95"/>
    <w:rsid w:val="00496DB8"/>
    <w:rsid w:val="004A0A31"/>
    <w:rsid w:val="004A11A6"/>
    <w:rsid w:val="004A1729"/>
    <w:rsid w:val="004A21F4"/>
    <w:rsid w:val="004A3363"/>
    <w:rsid w:val="004A4B6C"/>
    <w:rsid w:val="004A5318"/>
    <w:rsid w:val="004A5D57"/>
    <w:rsid w:val="004A741E"/>
    <w:rsid w:val="004B0321"/>
    <w:rsid w:val="004B1ADE"/>
    <w:rsid w:val="004B2625"/>
    <w:rsid w:val="004B3C9C"/>
    <w:rsid w:val="004B570B"/>
    <w:rsid w:val="004B652A"/>
    <w:rsid w:val="004B7DB2"/>
    <w:rsid w:val="004C015B"/>
    <w:rsid w:val="004C0C3E"/>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569"/>
    <w:rsid w:val="004E60E4"/>
    <w:rsid w:val="004F160A"/>
    <w:rsid w:val="004F2F62"/>
    <w:rsid w:val="004F37CB"/>
    <w:rsid w:val="004F45CA"/>
    <w:rsid w:val="004F5216"/>
    <w:rsid w:val="004F616B"/>
    <w:rsid w:val="004F64E4"/>
    <w:rsid w:val="00500A53"/>
    <w:rsid w:val="0050204C"/>
    <w:rsid w:val="00503634"/>
    <w:rsid w:val="00504F92"/>
    <w:rsid w:val="00505551"/>
    <w:rsid w:val="005078B3"/>
    <w:rsid w:val="00510A28"/>
    <w:rsid w:val="00511C54"/>
    <w:rsid w:val="0051292E"/>
    <w:rsid w:val="00516207"/>
    <w:rsid w:val="00520C27"/>
    <w:rsid w:val="005216C0"/>
    <w:rsid w:val="00521B57"/>
    <w:rsid w:val="00521BCE"/>
    <w:rsid w:val="00522DE9"/>
    <w:rsid w:val="00522EF8"/>
    <w:rsid w:val="0052399F"/>
    <w:rsid w:val="00523F60"/>
    <w:rsid w:val="00523FBA"/>
    <w:rsid w:val="00524079"/>
    <w:rsid w:val="005255C0"/>
    <w:rsid w:val="005258BD"/>
    <w:rsid w:val="00526890"/>
    <w:rsid w:val="0052764F"/>
    <w:rsid w:val="00527AFE"/>
    <w:rsid w:val="005328F4"/>
    <w:rsid w:val="0053460A"/>
    <w:rsid w:val="00535220"/>
    <w:rsid w:val="00536ABE"/>
    <w:rsid w:val="0053717B"/>
    <w:rsid w:val="00540B74"/>
    <w:rsid w:val="00540B8B"/>
    <w:rsid w:val="00540ED6"/>
    <w:rsid w:val="00541C1D"/>
    <w:rsid w:val="005449AC"/>
    <w:rsid w:val="00544A16"/>
    <w:rsid w:val="005472EC"/>
    <w:rsid w:val="00547C82"/>
    <w:rsid w:val="0055122B"/>
    <w:rsid w:val="00552915"/>
    <w:rsid w:val="005531C7"/>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2C4"/>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0BB5"/>
    <w:rsid w:val="00651F0A"/>
    <w:rsid w:val="006540C5"/>
    <w:rsid w:val="006543FB"/>
    <w:rsid w:val="006549F5"/>
    <w:rsid w:val="00655505"/>
    <w:rsid w:val="00655AA7"/>
    <w:rsid w:val="00655E07"/>
    <w:rsid w:val="00655F80"/>
    <w:rsid w:val="00656541"/>
    <w:rsid w:val="00660216"/>
    <w:rsid w:val="006621E9"/>
    <w:rsid w:val="00662904"/>
    <w:rsid w:val="00664A57"/>
    <w:rsid w:val="00664C73"/>
    <w:rsid w:val="00671999"/>
    <w:rsid w:val="006732A8"/>
    <w:rsid w:val="0067552F"/>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1B78"/>
    <w:rsid w:val="006A3267"/>
    <w:rsid w:val="006A4533"/>
    <w:rsid w:val="006A5968"/>
    <w:rsid w:val="006A5F8B"/>
    <w:rsid w:val="006A600F"/>
    <w:rsid w:val="006A65AE"/>
    <w:rsid w:val="006A76B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6A4"/>
    <w:rsid w:val="006C71BB"/>
    <w:rsid w:val="006D071F"/>
    <w:rsid w:val="006D1276"/>
    <w:rsid w:val="006D13C4"/>
    <w:rsid w:val="006D1E5C"/>
    <w:rsid w:val="006D2C14"/>
    <w:rsid w:val="006D3945"/>
    <w:rsid w:val="006D4C15"/>
    <w:rsid w:val="006D7692"/>
    <w:rsid w:val="006E0A1C"/>
    <w:rsid w:val="006E1753"/>
    <w:rsid w:val="006E1E2D"/>
    <w:rsid w:val="006E3BF0"/>
    <w:rsid w:val="006E4E29"/>
    <w:rsid w:val="006E5D2E"/>
    <w:rsid w:val="006E670A"/>
    <w:rsid w:val="006E7C63"/>
    <w:rsid w:val="006F15E9"/>
    <w:rsid w:val="006F252A"/>
    <w:rsid w:val="006F27FC"/>
    <w:rsid w:val="006F3153"/>
    <w:rsid w:val="006F42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1B3A"/>
    <w:rsid w:val="00713444"/>
    <w:rsid w:val="0071374E"/>
    <w:rsid w:val="00714B6A"/>
    <w:rsid w:val="00716D0A"/>
    <w:rsid w:val="00717AF6"/>
    <w:rsid w:val="00720157"/>
    <w:rsid w:val="00720579"/>
    <w:rsid w:val="00721ECF"/>
    <w:rsid w:val="00722D13"/>
    <w:rsid w:val="007230FE"/>
    <w:rsid w:val="00724A38"/>
    <w:rsid w:val="00725BEA"/>
    <w:rsid w:val="00726409"/>
    <w:rsid w:val="007306D1"/>
    <w:rsid w:val="00730BE2"/>
    <w:rsid w:val="00732046"/>
    <w:rsid w:val="007335EB"/>
    <w:rsid w:val="007337E0"/>
    <w:rsid w:val="007344C3"/>
    <w:rsid w:val="00736C31"/>
    <w:rsid w:val="0074239D"/>
    <w:rsid w:val="00742CE1"/>
    <w:rsid w:val="007431DB"/>
    <w:rsid w:val="0074372C"/>
    <w:rsid w:val="00744C7C"/>
    <w:rsid w:val="00745862"/>
    <w:rsid w:val="00746657"/>
    <w:rsid w:val="0074687F"/>
    <w:rsid w:val="00746973"/>
    <w:rsid w:val="00747C4D"/>
    <w:rsid w:val="00751055"/>
    <w:rsid w:val="007517A4"/>
    <w:rsid w:val="00752EF0"/>
    <w:rsid w:val="0075585E"/>
    <w:rsid w:val="00755A77"/>
    <w:rsid w:val="00761CA4"/>
    <w:rsid w:val="007631D1"/>
    <w:rsid w:val="007635AC"/>
    <w:rsid w:val="00765FA2"/>
    <w:rsid w:val="00772458"/>
    <w:rsid w:val="00775812"/>
    <w:rsid w:val="00780370"/>
    <w:rsid w:val="00781AFB"/>
    <w:rsid w:val="00782461"/>
    <w:rsid w:val="0078261F"/>
    <w:rsid w:val="007833DA"/>
    <w:rsid w:val="00783492"/>
    <w:rsid w:val="00784137"/>
    <w:rsid w:val="00784522"/>
    <w:rsid w:val="0078470A"/>
    <w:rsid w:val="00784C15"/>
    <w:rsid w:val="0078583D"/>
    <w:rsid w:val="00785939"/>
    <w:rsid w:val="00785D73"/>
    <w:rsid w:val="00786FA8"/>
    <w:rsid w:val="00787AF1"/>
    <w:rsid w:val="0079132B"/>
    <w:rsid w:val="0079360E"/>
    <w:rsid w:val="00794977"/>
    <w:rsid w:val="00795245"/>
    <w:rsid w:val="007969E6"/>
    <w:rsid w:val="00796DA1"/>
    <w:rsid w:val="007A2C57"/>
    <w:rsid w:val="007A3440"/>
    <w:rsid w:val="007A34B3"/>
    <w:rsid w:val="007B03FE"/>
    <w:rsid w:val="007B1039"/>
    <w:rsid w:val="007B1644"/>
    <w:rsid w:val="007B32F0"/>
    <w:rsid w:val="007B33F8"/>
    <w:rsid w:val="007B3B6F"/>
    <w:rsid w:val="007B3F3D"/>
    <w:rsid w:val="007B413B"/>
    <w:rsid w:val="007B4FD7"/>
    <w:rsid w:val="007B5461"/>
    <w:rsid w:val="007B6474"/>
    <w:rsid w:val="007B7F0F"/>
    <w:rsid w:val="007C19EC"/>
    <w:rsid w:val="007C342D"/>
    <w:rsid w:val="007C3C7F"/>
    <w:rsid w:val="007C51EB"/>
    <w:rsid w:val="007C5405"/>
    <w:rsid w:val="007C60E2"/>
    <w:rsid w:val="007C7435"/>
    <w:rsid w:val="007D158A"/>
    <w:rsid w:val="007D5B1C"/>
    <w:rsid w:val="007D6D87"/>
    <w:rsid w:val="007D6FD6"/>
    <w:rsid w:val="007E0ADA"/>
    <w:rsid w:val="007E15CF"/>
    <w:rsid w:val="007E1DB4"/>
    <w:rsid w:val="007E5866"/>
    <w:rsid w:val="007F07AF"/>
    <w:rsid w:val="007F2A44"/>
    <w:rsid w:val="007F496F"/>
    <w:rsid w:val="007F6E2B"/>
    <w:rsid w:val="007F7699"/>
    <w:rsid w:val="007F773D"/>
    <w:rsid w:val="008003C8"/>
    <w:rsid w:val="00802118"/>
    <w:rsid w:val="00804065"/>
    <w:rsid w:val="008047DD"/>
    <w:rsid w:val="00805B2D"/>
    <w:rsid w:val="0080611B"/>
    <w:rsid w:val="00806213"/>
    <w:rsid w:val="008065C0"/>
    <w:rsid w:val="0080743E"/>
    <w:rsid w:val="0080760D"/>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8A"/>
    <w:rsid w:val="008428A1"/>
    <w:rsid w:val="0085047D"/>
    <w:rsid w:val="008524EA"/>
    <w:rsid w:val="0085263B"/>
    <w:rsid w:val="008530B9"/>
    <w:rsid w:val="008537C0"/>
    <w:rsid w:val="00855167"/>
    <w:rsid w:val="00857642"/>
    <w:rsid w:val="00857872"/>
    <w:rsid w:val="00857F8E"/>
    <w:rsid w:val="00860759"/>
    <w:rsid w:val="00861F42"/>
    <w:rsid w:val="0086268A"/>
    <w:rsid w:val="008644EC"/>
    <w:rsid w:val="00864B15"/>
    <w:rsid w:val="00864D3B"/>
    <w:rsid w:val="00865C18"/>
    <w:rsid w:val="0086621E"/>
    <w:rsid w:val="0086717D"/>
    <w:rsid w:val="0087121E"/>
    <w:rsid w:val="00876B32"/>
    <w:rsid w:val="00882CB8"/>
    <w:rsid w:val="0088366C"/>
    <w:rsid w:val="00884366"/>
    <w:rsid w:val="00884650"/>
    <w:rsid w:val="008851B9"/>
    <w:rsid w:val="00885F50"/>
    <w:rsid w:val="00887314"/>
    <w:rsid w:val="00890EB4"/>
    <w:rsid w:val="00891D35"/>
    <w:rsid w:val="00893901"/>
    <w:rsid w:val="0089667B"/>
    <w:rsid w:val="0089728F"/>
    <w:rsid w:val="008A0874"/>
    <w:rsid w:val="008A0FF6"/>
    <w:rsid w:val="008A28F5"/>
    <w:rsid w:val="008A3680"/>
    <w:rsid w:val="008A4A9F"/>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375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449"/>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243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F06"/>
    <w:rsid w:val="00997443"/>
    <w:rsid w:val="009A021D"/>
    <w:rsid w:val="009A1545"/>
    <w:rsid w:val="009A1813"/>
    <w:rsid w:val="009A1BA1"/>
    <w:rsid w:val="009A2A81"/>
    <w:rsid w:val="009A2AFB"/>
    <w:rsid w:val="009A2DE2"/>
    <w:rsid w:val="009A3B62"/>
    <w:rsid w:val="009A3ED4"/>
    <w:rsid w:val="009A56EE"/>
    <w:rsid w:val="009A5C47"/>
    <w:rsid w:val="009A68E7"/>
    <w:rsid w:val="009A6BC5"/>
    <w:rsid w:val="009A6DF2"/>
    <w:rsid w:val="009B0164"/>
    <w:rsid w:val="009B2B90"/>
    <w:rsid w:val="009B4A92"/>
    <w:rsid w:val="009B4B7B"/>
    <w:rsid w:val="009B4CB6"/>
    <w:rsid w:val="009B61D8"/>
    <w:rsid w:val="009B66C0"/>
    <w:rsid w:val="009B72A1"/>
    <w:rsid w:val="009B74A5"/>
    <w:rsid w:val="009C0E90"/>
    <w:rsid w:val="009C24F9"/>
    <w:rsid w:val="009C51C1"/>
    <w:rsid w:val="009C638A"/>
    <w:rsid w:val="009D3AAC"/>
    <w:rsid w:val="009D5B63"/>
    <w:rsid w:val="009D6C48"/>
    <w:rsid w:val="009E1679"/>
    <w:rsid w:val="009E1BE9"/>
    <w:rsid w:val="009E2348"/>
    <w:rsid w:val="009E239E"/>
    <w:rsid w:val="009E271D"/>
    <w:rsid w:val="009E362F"/>
    <w:rsid w:val="009E40DF"/>
    <w:rsid w:val="009E5390"/>
    <w:rsid w:val="009E59CA"/>
    <w:rsid w:val="009E7033"/>
    <w:rsid w:val="009F1AEE"/>
    <w:rsid w:val="009F1DB1"/>
    <w:rsid w:val="009F1EA5"/>
    <w:rsid w:val="009F2387"/>
    <w:rsid w:val="009F5E68"/>
    <w:rsid w:val="009F69E5"/>
    <w:rsid w:val="009F7476"/>
    <w:rsid w:val="009F768D"/>
    <w:rsid w:val="009F7F6F"/>
    <w:rsid w:val="00A00F26"/>
    <w:rsid w:val="00A018F7"/>
    <w:rsid w:val="00A02ABC"/>
    <w:rsid w:val="00A02E9F"/>
    <w:rsid w:val="00A039B4"/>
    <w:rsid w:val="00A0555A"/>
    <w:rsid w:val="00A063F2"/>
    <w:rsid w:val="00A07535"/>
    <w:rsid w:val="00A0799C"/>
    <w:rsid w:val="00A07D8F"/>
    <w:rsid w:val="00A12531"/>
    <w:rsid w:val="00A13C95"/>
    <w:rsid w:val="00A15615"/>
    <w:rsid w:val="00A1707A"/>
    <w:rsid w:val="00A174AB"/>
    <w:rsid w:val="00A215E2"/>
    <w:rsid w:val="00A2164F"/>
    <w:rsid w:val="00A2301B"/>
    <w:rsid w:val="00A23185"/>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41D5"/>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4D4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0FA"/>
    <w:rsid w:val="00AB3CE6"/>
    <w:rsid w:val="00AB3E2B"/>
    <w:rsid w:val="00AB65C7"/>
    <w:rsid w:val="00AB671D"/>
    <w:rsid w:val="00AB6BFE"/>
    <w:rsid w:val="00AB7130"/>
    <w:rsid w:val="00AB7311"/>
    <w:rsid w:val="00AC0D42"/>
    <w:rsid w:val="00AC2C30"/>
    <w:rsid w:val="00AC350C"/>
    <w:rsid w:val="00AC3558"/>
    <w:rsid w:val="00AC3A1B"/>
    <w:rsid w:val="00AC46EE"/>
    <w:rsid w:val="00AC51D6"/>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0F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667C"/>
    <w:rsid w:val="00B475B6"/>
    <w:rsid w:val="00B51BBA"/>
    <w:rsid w:val="00B538BE"/>
    <w:rsid w:val="00B55869"/>
    <w:rsid w:val="00B567F1"/>
    <w:rsid w:val="00B569FA"/>
    <w:rsid w:val="00B571D3"/>
    <w:rsid w:val="00B60E2D"/>
    <w:rsid w:val="00B635A5"/>
    <w:rsid w:val="00B63BE5"/>
    <w:rsid w:val="00B64CAA"/>
    <w:rsid w:val="00B66D36"/>
    <w:rsid w:val="00B71B48"/>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242"/>
    <w:rsid w:val="00BB1D36"/>
    <w:rsid w:val="00BB3631"/>
    <w:rsid w:val="00BB3FF6"/>
    <w:rsid w:val="00BB4785"/>
    <w:rsid w:val="00BB5630"/>
    <w:rsid w:val="00BB6BE1"/>
    <w:rsid w:val="00BB7A4B"/>
    <w:rsid w:val="00BC392E"/>
    <w:rsid w:val="00BC3CAF"/>
    <w:rsid w:val="00BC60A6"/>
    <w:rsid w:val="00BC62E0"/>
    <w:rsid w:val="00BC6FBF"/>
    <w:rsid w:val="00BD00D9"/>
    <w:rsid w:val="00BD1886"/>
    <w:rsid w:val="00BD23E3"/>
    <w:rsid w:val="00BD40BC"/>
    <w:rsid w:val="00BD610C"/>
    <w:rsid w:val="00BD6234"/>
    <w:rsid w:val="00BE0437"/>
    <w:rsid w:val="00BE04F6"/>
    <w:rsid w:val="00BE107D"/>
    <w:rsid w:val="00BE2CD2"/>
    <w:rsid w:val="00BE2D6C"/>
    <w:rsid w:val="00BE4C2B"/>
    <w:rsid w:val="00BE52CA"/>
    <w:rsid w:val="00BE5D1C"/>
    <w:rsid w:val="00BE701E"/>
    <w:rsid w:val="00BE743C"/>
    <w:rsid w:val="00BE7640"/>
    <w:rsid w:val="00BF0242"/>
    <w:rsid w:val="00BF0AE5"/>
    <w:rsid w:val="00BF144D"/>
    <w:rsid w:val="00BF1C00"/>
    <w:rsid w:val="00BF214A"/>
    <w:rsid w:val="00BF377B"/>
    <w:rsid w:val="00BF3E1B"/>
    <w:rsid w:val="00BF635B"/>
    <w:rsid w:val="00BF7D51"/>
    <w:rsid w:val="00C00699"/>
    <w:rsid w:val="00C01975"/>
    <w:rsid w:val="00C02723"/>
    <w:rsid w:val="00C02A91"/>
    <w:rsid w:val="00C04960"/>
    <w:rsid w:val="00C05ABD"/>
    <w:rsid w:val="00C06163"/>
    <w:rsid w:val="00C07A0E"/>
    <w:rsid w:val="00C106FC"/>
    <w:rsid w:val="00C10713"/>
    <w:rsid w:val="00C1120E"/>
    <w:rsid w:val="00C11391"/>
    <w:rsid w:val="00C114A8"/>
    <w:rsid w:val="00C12EC0"/>
    <w:rsid w:val="00C1324E"/>
    <w:rsid w:val="00C138A5"/>
    <w:rsid w:val="00C14B96"/>
    <w:rsid w:val="00C152A9"/>
    <w:rsid w:val="00C158D4"/>
    <w:rsid w:val="00C211F9"/>
    <w:rsid w:val="00C22F92"/>
    <w:rsid w:val="00C237F5"/>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22B7"/>
    <w:rsid w:val="00C4383B"/>
    <w:rsid w:val="00C4601A"/>
    <w:rsid w:val="00C47442"/>
    <w:rsid w:val="00C478FE"/>
    <w:rsid w:val="00C502DD"/>
    <w:rsid w:val="00C611B5"/>
    <w:rsid w:val="00C613E2"/>
    <w:rsid w:val="00C621E3"/>
    <w:rsid w:val="00C62298"/>
    <w:rsid w:val="00C6430C"/>
    <w:rsid w:val="00C64E24"/>
    <w:rsid w:val="00C64E79"/>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47E5"/>
    <w:rsid w:val="00C95318"/>
    <w:rsid w:val="00C95A99"/>
    <w:rsid w:val="00C96B98"/>
    <w:rsid w:val="00C96F6B"/>
    <w:rsid w:val="00C97ED3"/>
    <w:rsid w:val="00CA043D"/>
    <w:rsid w:val="00CA069B"/>
    <w:rsid w:val="00CA09C4"/>
    <w:rsid w:val="00CA27F9"/>
    <w:rsid w:val="00CA28AD"/>
    <w:rsid w:val="00CA4F28"/>
    <w:rsid w:val="00CA7388"/>
    <w:rsid w:val="00CA78AC"/>
    <w:rsid w:val="00CB00B1"/>
    <w:rsid w:val="00CB067C"/>
    <w:rsid w:val="00CB15CA"/>
    <w:rsid w:val="00CB26B3"/>
    <w:rsid w:val="00CB3B7D"/>
    <w:rsid w:val="00CB4DC8"/>
    <w:rsid w:val="00CB51F5"/>
    <w:rsid w:val="00CB687E"/>
    <w:rsid w:val="00CC0095"/>
    <w:rsid w:val="00CC0250"/>
    <w:rsid w:val="00CC074E"/>
    <w:rsid w:val="00CC1659"/>
    <w:rsid w:val="00CC3092"/>
    <w:rsid w:val="00CC30C3"/>
    <w:rsid w:val="00CC363A"/>
    <w:rsid w:val="00CC3D4E"/>
    <w:rsid w:val="00CC4003"/>
    <w:rsid w:val="00CC74BD"/>
    <w:rsid w:val="00CD0768"/>
    <w:rsid w:val="00CD3CC4"/>
    <w:rsid w:val="00CD42CB"/>
    <w:rsid w:val="00CD5E86"/>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221"/>
    <w:rsid w:val="00D02D5A"/>
    <w:rsid w:val="00D03B9D"/>
    <w:rsid w:val="00D0498A"/>
    <w:rsid w:val="00D065E6"/>
    <w:rsid w:val="00D06F2D"/>
    <w:rsid w:val="00D10843"/>
    <w:rsid w:val="00D11B6A"/>
    <w:rsid w:val="00D138A9"/>
    <w:rsid w:val="00D13B2D"/>
    <w:rsid w:val="00D154A5"/>
    <w:rsid w:val="00D15660"/>
    <w:rsid w:val="00D16E7D"/>
    <w:rsid w:val="00D17731"/>
    <w:rsid w:val="00D1779C"/>
    <w:rsid w:val="00D20E86"/>
    <w:rsid w:val="00D20FB3"/>
    <w:rsid w:val="00D21DFB"/>
    <w:rsid w:val="00D227C4"/>
    <w:rsid w:val="00D23048"/>
    <w:rsid w:val="00D2352A"/>
    <w:rsid w:val="00D23DD0"/>
    <w:rsid w:val="00D251C3"/>
    <w:rsid w:val="00D252A0"/>
    <w:rsid w:val="00D26CB5"/>
    <w:rsid w:val="00D27EA0"/>
    <w:rsid w:val="00D31593"/>
    <w:rsid w:val="00D33231"/>
    <w:rsid w:val="00D36240"/>
    <w:rsid w:val="00D36D3E"/>
    <w:rsid w:val="00D36DB7"/>
    <w:rsid w:val="00D405A9"/>
    <w:rsid w:val="00D40E5E"/>
    <w:rsid w:val="00D4138D"/>
    <w:rsid w:val="00D41493"/>
    <w:rsid w:val="00D4152F"/>
    <w:rsid w:val="00D438DC"/>
    <w:rsid w:val="00D43EF1"/>
    <w:rsid w:val="00D43F6F"/>
    <w:rsid w:val="00D44015"/>
    <w:rsid w:val="00D45743"/>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4F58"/>
    <w:rsid w:val="00D85346"/>
    <w:rsid w:val="00D85B4A"/>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98D"/>
    <w:rsid w:val="00DB4F49"/>
    <w:rsid w:val="00DB6714"/>
    <w:rsid w:val="00DB6D5A"/>
    <w:rsid w:val="00DB6DA5"/>
    <w:rsid w:val="00DC1ACA"/>
    <w:rsid w:val="00DC4772"/>
    <w:rsid w:val="00DC48CF"/>
    <w:rsid w:val="00DC5BB0"/>
    <w:rsid w:val="00DC6711"/>
    <w:rsid w:val="00DC6826"/>
    <w:rsid w:val="00DD20E3"/>
    <w:rsid w:val="00DD2429"/>
    <w:rsid w:val="00DD247D"/>
    <w:rsid w:val="00DD2605"/>
    <w:rsid w:val="00DD2AAA"/>
    <w:rsid w:val="00DD50B5"/>
    <w:rsid w:val="00DD5275"/>
    <w:rsid w:val="00DD5F86"/>
    <w:rsid w:val="00DD6047"/>
    <w:rsid w:val="00DD7205"/>
    <w:rsid w:val="00DD771A"/>
    <w:rsid w:val="00DD7F78"/>
    <w:rsid w:val="00DE1B18"/>
    <w:rsid w:val="00DE262A"/>
    <w:rsid w:val="00DE2759"/>
    <w:rsid w:val="00DE2977"/>
    <w:rsid w:val="00DE3953"/>
    <w:rsid w:val="00DE4037"/>
    <w:rsid w:val="00DE43F4"/>
    <w:rsid w:val="00DE466B"/>
    <w:rsid w:val="00DE4A72"/>
    <w:rsid w:val="00DE5D8B"/>
    <w:rsid w:val="00DE7607"/>
    <w:rsid w:val="00DE761A"/>
    <w:rsid w:val="00DE7C5B"/>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1BA8"/>
    <w:rsid w:val="00E12954"/>
    <w:rsid w:val="00E12A2F"/>
    <w:rsid w:val="00E12D9F"/>
    <w:rsid w:val="00E12FAE"/>
    <w:rsid w:val="00E13468"/>
    <w:rsid w:val="00E1638A"/>
    <w:rsid w:val="00E24543"/>
    <w:rsid w:val="00E2457B"/>
    <w:rsid w:val="00E247DE"/>
    <w:rsid w:val="00E257AB"/>
    <w:rsid w:val="00E268B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33"/>
    <w:rsid w:val="00E5099A"/>
    <w:rsid w:val="00E50CA8"/>
    <w:rsid w:val="00E519D9"/>
    <w:rsid w:val="00E536DE"/>
    <w:rsid w:val="00E538E6"/>
    <w:rsid w:val="00E5535A"/>
    <w:rsid w:val="00E553E9"/>
    <w:rsid w:val="00E563DF"/>
    <w:rsid w:val="00E569B2"/>
    <w:rsid w:val="00E577FD"/>
    <w:rsid w:val="00E61098"/>
    <w:rsid w:val="00E619A4"/>
    <w:rsid w:val="00E61A2A"/>
    <w:rsid w:val="00E62177"/>
    <w:rsid w:val="00E622AF"/>
    <w:rsid w:val="00E62A45"/>
    <w:rsid w:val="00E638EF"/>
    <w:rsid w:val="00E645FC"/>
    <w:rsid w:val="00E6494D"/>
    <w:rsid w:val="00E6634F"/>
    <w:rsid w:val="00E670F2"/>
    <w:rsid w:val="00E6716A"/>
    <w:rsid w:val="00E67F40"/>
    <w:rsid w:val="00E70167"/>
    <w:rsid w:val="00E703C3"/>
    <w:rsid w:val="00E72EDA"/>
    <w:rsid w:val="00E73F29"/>
    <w:rsid w:val="00E74899"/>
    <w:rsid w:val="00E759B1"/>
    <w:rsid w:val="00E779AA"/>
    <w:rsid w:val="00E77D57"/>
    <w:rsid w:val="00E80333"/>
    <w:rsid w:val="00E8107B"/>
    <w:rsid w:val="00E82C75"/>
    <w:rsid w:val="00E83629"/>
    <w:rsid w:val="00E838DB"/>
    <w:rsid w:val="00E83F7E"/>
    <w:rsid w:val="00E865F0"/>
    <w:rsid w:val="00E868E7"/>
    <w:rsid w:val="00E92122"/>
    <w:rsid w:val="00E9310C"/>
    <w:rsid w:val="00E93979"/>
    <w:rsid w:val="00E93CD3"/>
    <w:rsid w:val="00E93F61"/>
    <w:rsid w:val="00E9501F"/>
    <w:rsid w:val="00E962BC"/>
    <w:rsid w:val="00E9676A"/>
    <w:rsid w:val="00EA379C"/>
    <w:rsid w:val="00EA4CB5"/>
    <w:rsid w:val="00EA67B2"/>
    <w:rsid w:val="00EB0757"/>
    <w:rsid w:val="00EB351D"/>
    <w:rsid w:val="00EB3C74"/>
    <w:rsid w:val="00EB415B"/>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3FB0"/>
    <w:rsid w:val="00F04308"/>
    <w:rsid w:val="00F04C8C"/>
    <w:rsid w:val="00F054DA"/>
    <w:rsid w:val="00F06144"/>
    <w:rsid w:val="00F06530"/>
    <w:rsid w:val="00F07B2D"/>
    <w:rsid w:val="00F07BCF"/>
    <w:rsid w:val="00F1553A"/>
    <w:rsid w:val="00F1597D"/>
    <w:rsid w:val="00F16EF8"/>
    <w:rsid w:val="00F16FAB"/>
    <w:rsid w:val="00F170B7"/>
    <w:rsid w:val="00F21CA5"/>
    <w:rsid w:val="00F255B6"/>
    <w:rsid w:val="00F26ED7"/>
    <w:rsid w:val="00F302CB"/>
    <w:rsid w:val="00F31625"/>
    <w:rsid w:val="00F31BDC"/>
    <w:rsid w:val="00F32232"/>
    <w:rsid w:val="00F32242"/>
    <w:rsid w:val="00F361A3"/>
    <w:rsid w:val="00F36CDE"/>
    <w:rsid w:val="00F36E39"/>
    <w:rsid w:val="00F4003B"/>
    <w:rsid w:val="00F40A8F"/>
    <w:rsid w:val="00F40FF5"/>
    <w:rsid w:val="00F41E1E"/>
    <w:rsid w:val="00F43A3C"/>
    <w:rsid w:val="00F43ED1"/>
    <w:rsid w:val="00F44759"/>
    <w:rsid w:val="00F45144"/>
    <w:rsid w:val="00F45F26"/>
    <w:rsid w:val="00F46284"/>
    <w:rsid w:val="00F4680B"/>
    <w:rsid w:val="00F4734D"/>
    <w:rsid w:val="00F473D4"/>
    <w:rsid w:val="00F47445"/>
    <w:rsid w:val="00F47B17"/>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0B6F"/>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C1F"/>
    <w:rsid w:val="00FA2895"/>
    <w:rsid w:val="00FA29A4"/>
    <w:rsid w:val="00FA3DD7"/>
    <w:rsid w:val="00FA4A7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C7971"/>
    <w:rsid w:val="00FD1EEA"/>
    <w:rsid w:val="00FD30C0"/>
    <w:rsid w:val="00FD33CF"/>
    <w:rsid w:val="00FD36CA"/>
    <w:rsid w:val="00FD3B41"/>
    <w:rsid w:val="00FD4E22"/>
    <w:rsid w:val="00FD6C73"/>
    <w:rsid w:val="00FE263F"/>
    <w:rsid w:val="00FE486C"/>
    <w:rsid w:val="00FE4BFD"/>
    <w:rsid w:val="00FE578A"/>
    <w:rsid w:val="00FE7C48"/>
    <w:rsid w:val="00FF0379"/>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7"/>
    <w:pPr>
      <w:tabs>
        <w:tab w:val="center" w:pos="4680"/>
        <w:tab w:val="right" w:pos="9360"/>
      </w:tabs>
      <w:spacing w:line="240" w:lineRule="auto"/>
    </w:pPr>
  </w:style>
  <w:style w:type="character" w:customStyle="1" w:styleId="HeaderChar">
    <w:name w:val="Header Char"/>
    <w:basedOn w:val="DefaultParagraphFont"/>
    <w:link w:val="Header"/>
    <w:uiPriority w:val="99"/>
    <w:rsid w:val="00133087"/>
  </w:style>
  <w:style w:type="paragraph" w:styleId="Footer">
    <w:name w:val="footer"/>
    <w:basedOn w:val="Normal"/>
    <w:link w:val="FooterChar"/>
    <w:uiPriority w:val="99"/>
    <w:unhideWhenUsed/>
    <w:rsid w:val="00133087"/>
    <w:pPr>
      <w:tabs>
        <w:tab w:val="center" w:pos="4680"/>
        <w:tab w:val="right" w:pos="9360"/>
      </w:tabs>
      <w:spacing w:line="240" w:lineRule="auto"/>
    </w:pPr>
  </w:style>
  <w:style w:type="character" w:customStyle="1" w:styleId="FooterChar">
    <w:name w:val="Footer Char"/>
    <w:basedOn w:val="DefaultParagraphFont"/>
    <w:link w:val="Footer"/>
    <w:uiPriority w:val="99"/>
    <w:rsid w:val="00133087"/>
  </w:style>
  <w:style w:type="paragraph" w:styleId="BalloonText">
    <w:name w:val="Balloon Text"/>
    <w:basedOn w:val="Normal"/>
    <w:link w:val="BalloonTextChar"/>
    <w:uiPriority w:val="99"/>
    <w:semiHidden/>
    <w:unhideWhenUsed/>
    <w:rsid w:val="00C1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A9"/>
    <w:rPr>
      <w:rFonts w:ascii="Tahoma" w:hAnsi="Tahoma" w:cs="Tahoma"/>
      <w:sz w:val="16"/>
      <w:szCs w:val="16"/>
    </w:rPr>
  </w:style>
  <w:style w:type="paragraph" w:styleId="FootnoteText">
    <w:name w:val="footnote text"/>
    <w:basedOn w:val="Normal"/>
    <w:link w:val="FootnoteTextChar"/>
    <w:uiPriority w:val="99"/>
    <w:semiHidden/>
    <w:unhideWhenUsed/>
    <w:rsid w:val="000A3FA5"/>
    <w:pPr>
      <w:spacing w:line="240" w:lineRule="auto"/>
    </w:pPr>
    <w:rPr>
      <w:sz w:val="20"/>
      <w:szCs w:val="20"/>
    </w:rPr>
  </w:style>
  <w:style w:type="character" w:customStyle="1" w:styleId="FootnoteTextChar">
    <w:name w:val="Footnote Text Char"/>
    <w:basedOn w:val="DefaultParagraphFont"/>
    <w:link w:val="FootnoteText"/>
    <w:uiPriority w:val="99"/>
    <w:semiHidden/>
    <w:rsid w:val="000A3FA5"/>
    <w:rPr>
      <w:sz w:val="20"/>
      <w:szCs w:val="20"/>
    </w:rPr>
  </w:style>
  <w:style w:type="character" w:styleId="FootnoteReference">
    <w:name w:val="footnote reference"/>
    <w:basedOn w:val="DefaultParagraphFont"/>
    <w:uiPriority w:val="99"/>
    <w:semiHidden/>
    <w:unhideWhenUsed/>
    <w:rsid w:val="000A3F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3087"/>
    <w:pPr>
      <w:tabs>
        <w:tab w:val="center" w:pos="4680"/>
        <w:tab w:val="right" w:pos="9360"/>
      </w:tabs>
      <w:spacing w:line="240" w:lineRule="auto"/>
    </w:pPr>
  </w:style>
  <w:style w:type="character" w:customStyle="1" w:styleId="HeaderChar">
    <w:name w:val="Header Char"/>
    <w:basedOn w:val="DefaultParagraphFont"/>
    <w:link w:val="Header"/>
    <w:uiPriority w:val="99"/>
    <w:rsid w:val="00133087"/>
  </w:style>
  <w:style w:type="paragraph" w:styleId="Footer">
    <w:name w:val="footer"/>
    <w:basedOn w:val="Normal"/>
    <w:link w:val="FooterChar"/>
    <w:uiPriority w:val="99"/>
    <w:unhideWhenUsed/>
    <w:rsid w:val="00133087"/>
    <w:pPr>
      <w:tabs>
        <w:tab w:val="center" w:pos="4680"/>
        <w:tab w:val="right" w:pos="9360"/>
      </w:tabs>
      <w:spacing w:line="240" w:lineRule="auto"/>
    </w:pPr>
  </w:style>
  <w:style w:type="character" w:customStyle="1" w:styleId="FooterChar">
    <w:name w:val="Footer Char"/>
    <w:basedOn w:val="DefaultParagraphFont"/>
    <w:link w:val="Footer"/>
    <w:uiPriority w:val="99"/>
    <w:rsid w:val="00133087"/>
  </w:style>
  <w:style w:type="paragraph" w:styleId="BalloonText">
    <w:name w:val="Balloon Text"/>
    <w:basedOn w:val="Normal"/>
    <w:link w:val="BalloonTextChar"/>
    <w:uiPriority w:val="99"/>
    <w:semiHidden/>
    <w:unhideWhenUsed/>
    <w:rsid w:val="00C152A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A9"/>
    <w:rPr>
      <w:rFonts w:ascii="Tahoma" w:hAnsi="Tahoma" w:cs="Tahoma"/>
      <w:sz w:val="16"/>
      <w:szCs w:val="16"/>
    </w:rPr>
  </w:style>
  <w:style w:type="paragraph" w:styleId="FootnoteText">
    <w:name w:val="footnote text"/>
    <w:basedOn w:val="Normal"/>
    <w:link w:val="FootnoteTextChar"/>
    <w:uiPriority w:val="99"/>
    <w:semiHidden/>
    <w:unhideWhenUsed/>
    <w:rsid w:val="000A3FA5"/>
    <w:pPr>
      <w:spacing w:line="240" w:lineRule="auto"/>
    </w:pPr>
    <w:rPr>
      <w:sz w:val="20"/>
      <w:szCs w:val="20"/>
    </w:rPr>
  </w:style>
  <w:style w:type="character" w:customStyle="1" w:styleId="FootnoteTextChar">
    <w:name w:val="Footnote Text Char"/>
    <w:basedOn w:val="DefaultParagraphFont"/>
    <w:link w:val="FootnoteText"/>
    <w:uiPriority w:val="99"/>
    <w:semiHidden/>
    <w:rsid w:val="000A3FA5"/>
    <w:rPr>
      <w:sz w:val="20"/>
      <w:szCs w:val="20"/>
    </w:rPr>
  </w:style>
  <w:style w:type="character" w:styleId="FootnoteReference">
    <w:name w:val="footnote reference"/>
    <w:basedOn w:val="DefaultParagraphFont"/>
    <w:uiPriority w:val="99"/>
    <w:semiHidden/>
    <w:unhideWhenUsed/>
    <w:rsid w:val="000A3F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59AD-4D62-4FFD-A45B-C81D08AA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2</cp:revision>
  <cp:lastPrinted>2014-06-11T12:47:00Z</cp:lastPrinted>
  <dcterms:created xsi:type="dcterms:W3CDTF">2014-06-12T17:28:00Z</dcterms:created>
  <dcterms:modified xsi:type="dcterms:W3CDTF">2014-06-12T17:28:00Z</dcterms:modified>
</cp:coreProperties>
</file>