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D65D31" w:rsidP="00D65D31">
      <w:pPr>
        <w:widowControl w:val="0"/>
        <w:adjustRightInd w:val="0"/>
        <w:rPr>
          <w:bCs/>
          <w:color w:val="000000"/>
        </w:rPr>
      </w:pPr>
      <w:r w:rsidRPr="00D65D31">
        <w:rPr>
          <w:bCs/>
          <w:color w:val="000000"/>
        </w:rPr>
        <w:t>Insurance Company of Greater New York</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C-2013-2393832</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65D31" w:rsidRPr="00D65D31" w:rsidRDefault="00D65D31" w:rsidP="00D65D31">
      <w:pPr>
        <w:widowControl w:val="0"/>
        <w:adjustRightInd w:val="0"/>
        <w:rPr>
          <w:bCs/>
          <w:color w:val="000000"/>
        </w:rPr>
      </w:pPr>
      <w:r w:rsidRPr="00D65D31">
        <w:rPr>
          <w:bCs/>
          <w:color w:val="000000"/>
        </w:rPr>
        <w:t>State Farm Fire and Casualty Company</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C-2014-2416206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 xml:space="preserve">: </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62545F" w:rsidRPr="00550B34" w:rsidRDefault="0062545F" w:rsidP="0062545F">
      <w:pPr>
        <w:tabs>
          <w:tab w:val="left" w:pos="-720"/>
        </w:tabs>
        <w:suppressAutoHyphens/>
        <w:rPr>
          <w:spacing w:val="-3"/>
        </w:rPr>
      </w:pPr>
    </w:p>
    <w:p w:rsidR="0062545F" w:rsidRPr="00550B34" w:rsidRDefault="0062545F" w:rsidP="0062545F">
      <w:pPr>
        <w:tabs>
          <w:tab w:val="left" w:pos="-720"/>
        </w:tabs>
        <w:suppressAutoHyphens/>
        <w:rPr>
          <w:spacing w:val="-3"/>
        </w:rPr>
      </w:pPr>
    </w:p>
    <w:p w:rsidR="0062545F" w:rsidRPr="00550B34" w:rsidRDefault="00CB748F" w:rsidP="0062545F">
      <w:pPr>
        <w:tabs>
          <w:tab w:val="center" w:pos="4680"/>
        </w:tabs>
        <w:suppressAutoHyphens/>
        <w:jc w:val="center"/>
        <w:rPr>
          <w:b/>
          <w:bCs/>
          <w:spacing w:val="-3"/>
          <w:u w:val="single"/>
        </w:rPr>
      </w:pPr>
      <w:r w:rsidRPr="00550B34">
        <w:rPr>
          <w:b/>
          <w:bCs/>
          <w:spacing w:val="-3"/>
          <w:u w:val="single"/>
        </w:rPr>
        <w:t xml:space="preserve">SCHEDULING </w:t>
      </w:r>
      <w:r w:rsidR="0062545F" w:rsidRPr="00550B34">
        <w:rPr>
          <w:b/>
          <w:bCs/>
          <w:spacing w:val="-3"/>
          <w:u w:val="single"/>
        </w:rPr>
        <w:t>ORDER</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November 18, 2013, Insurance Company of Greater New York, a/s/o Quail Run Real Estate L.P. d/b/a Quail Run Apartments (INSCO) filed with the Pennsylvania Public Utility Commission (Commission) a formal Complaint against United Water Pennsylvania Inc. (United), Docket Number C-2013-2393832.  In its Complaint, INSCO averred that on June 11, 2010, a fire began in an apartment unit that it insured and that United provided domestic water services to the apartment complex and nearby fire hydrants.  INSCO further averred, among other things, that the fire company that responded to the fire attempted to use the nearby fire hydrants to suppress the fire but that United failed to provide enough water pressure to allow for a sufficient amount of water to extinguish the fire.  INSCO added that it was directed to file the Complaint with the Commission by the Middle District of Pennsylvania which </w:t>
      </w:r>
      <w:proofErr w:type="gramStart"/>
      <w:r w:rsidRPr="0094648D">
        <w:rPr>
          <w:bCs/>
          <w:color w:val="000000"/>
        </w:rPr>
        <w:t>bifurcated</w:t>
      </w:r>
      <w:proofErr w:type="gramEnd"/>
      <w:r w:rsidRPr="0094648D">
        <w:rPr>
          <w:bCs/>
          <w:color w:val="000000"/>
        </w:rPr>
        <w:t xml:space="preserve"> a complaint pending before it for a determination regarding whether any of United’s action were a violation of the Public Utility Code.</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December 12, 2013, United filed an Answer with New Matter in response to INSCO’s Complaint.  In its Answer, United admitted that it provides </w:t>
      </w:r>
      <w:r w:rsidRPr="0094648D">
        <w:rPr>
          <w:bCs/>
          <w:color w:val="000000"/>
        </w:rPr>
        <w:lastRenderedPageBreak/>
        <w:t xml:space="preserve">domestic water services to the apartment complex at issue and fire protection service to a single, privately-owned fire hydrant located in the courtyard adjacent to the apartment complex.  United further averred, among other things, that the fire hydrant was fully operational.  United also denied that it violated the Public Utility Code or failed to furnish and maintain adequate, efficient, safe and reasonable water service and facilities necessary or proper for the accommodation, convenience and safety of the public continuously and without reasonable interruptions or delay to the apartment complex during the fire on June 11, 2010.  In its New Matter, United noted that its tariff contains rules and regulations governing fire protection service and averred that United acted at all times in compliance with its tariff.  United concluded </w:t>
      </w:r>
      <w:proofErr w:type="gramStart"/>
      <w:r w:rsidRPr="0094648D">
        <w:rPr>
          <w:bCs/>
          <w:color w:val="000000"/>
        </w:rPr>
        <w:t>its</w:t>
      </w:r>
      <w:proofErr w:type="gramEnd"/>
      <w:r w:rsidRPr="0094648D">
        <w:rPr>
          <w:bCs/>
          <w:color w:val="000000"/>
        </w:rPr>
        <w:t xml:space="preserve"> Answer with New Matter by requesting that the Commission dismiss the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January 2, 2014, INSCO filed an Answer to United’s New Matter.  INSCO denied all of the allegations United raised in its New Matter and requested that the Commission sustain its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February 12, 2014, the Commission issued a Hearing Notice establishing an Initial Hearing before Administrative Law Judge (ALJ) Susan D. Colwell for Thursday, March 27, 2014 at 10:00 a.m. in Hearing Room 3 of the Commonwealth Keystone Building in Harrisburg.  The Initial Hearing was subsequently changed to an Initial Prehearing Conference by Notice dated February 24, 2014.  ALJ Colwell issued a First Prehearing Order on February 24, 2014.</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March 27, 2014, the Initial Prehearing Conference was held before ALJ Colwell.  During the Initial Prehearing Conference, various procedural rules and a litigation schedule were established that would govern the proceeding.  ALJ Colwell issued a Second Prehearing Order on March 28, 2014 memorializing what was established during the Initial Prehearing Conference.  A Third Prehearing Order was issued on April 4, 2014 revising the Second Prehearing Order.</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April 14, 2014, State Farm Fire and Casualty Company (“State Farm”) </w:t>
      </w:r>
      <w:r w:rsidRPr="0094648D">
        <w:rPr>
          <w:bCs/>
          <w:color w:val="000000"/>
        </w:rPr>
        <w:lastRenderedPageBreak/>
        <w:t xml:space="preserve">filed a formal Complaint against United, Docket Number C-2014-2416206.  In its Complaint, State Farm averred that, on June 11, 2012, it filed a complaint in the United States District Court for the Middle District of Pennsylvania against United alleging that United failed to provide enough water pressure to allow for a sufficient amount of water to extinguish a fire on June 11, 2010 at 4065 </w:t>
      </w:r>
      <w:proofErr w:type="spellStart"/>
      <w:r w:rsidRPr="0094648D">
        <w:rPr>
          <w:bCs/>
          <w:color w:val="000000"/>
        </w:rPr>
        <w:t>Rawleigh</w:t>
      </w:r>
      <w:proofErr w:type="spellEnd"/>
      <w:r w:rsidRPr="0094648D">
        <w:rPr>
          <w:bCs/>
          <w:color w:val="000000"/>
        </w:rPr>
        <w:t xml:space="preserve"> Street in Harrisburg.  State Farm further averred that the District Court entered an order </w:t>
      </w:r>
      <w:proofErr w:type="gramStart"/>
      <w:r w:rsidRPr="0094648D">
        <w:rPr>
          <w:bCs/>
          <w:color w:val="000000"/>
        </w:rPr>
        <w:t>bifurcating</w:t>
      </w:r>
      <w:proofErr w:type="gramEnd"/>
      <w:r w:rsidRPr="0094648D">
        <w:rPr>
          <w:bCs/>
          <w:color w:val="000000"/>
        </w:rPr>
        <w:t xml:space="preserve"> the complaint and transferring the matter to the Commission for a determination regarding whether any of United’s action were a violation of the Public Utility Code.</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May 5, 2014, United filed an Answer with New Matter in response to State Farm’s Complaint.  In its Answer, United, among other things, admitted that it provides domestic water services to the apartment complex where the fire occurred and fire protection service to a single, privately-owned fire hydrant located adjacent to the complex.  United denied, however, that it failed to supply sufficient water pressure and volume to the complex during the fire on June 11, 2010.  United added that at all times it complied with the Public Utility Code and its tariff.  In its New Matter, United denied that it violated Section 1501 of the Public Utility Code with regard to the June 11, 2010 fire but that at all times material hereto, acted in compliance with its Tariff.  United concluded </w:t>
      </w:r>
      <w:proofErr w:type="gramStart"/>
      <w:r w:rsidRPr="0094648D">
        <w:rPr>
          <w:bCs/>
          <w:color w:val="000000"/>
        </w:rPr>
        <w:t>its</w:t>
      </w:r>
      <w:proofErr w:type="gramEnd"/>
      <w:r w:rsidRPr="0094648D">
        <w:rPr>
          <w:bCs/>
          <w:color w:val="000000"/>
        </w:rPr>
        <w:t xml:space="preserve"> Answer with New Matter by requesting that the Commission dismiss State Farm’s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May 8, 2014, the Commission issued a Hearing Notice establishing an Initial Hearing for the matter involving State Farm’s Complaint for Thursday, June 12, 2014 at 10:00 a.m. in the Commonwealth Keystone Building in Harrisburg and assigning me as the Presiding Officer.</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May 22, 2014, State Farm filed an Answer to United’s New Matter.  In its Answer, State Farm admitted or denied the various averments made by United in its New Matter and requested that the Commission determine the liability in this case as directed in the order issued by the District Court.</w:t>
      </w:r>
    </w:p>
    <w:p w:rsidR="0094648D" w:rsidRPr="0094648D" w:rsidRDefault="0094648D" w:rsidP="0094648D">
      <w:pPr>
        <w:widowControl w:val="0"/>
        <w:adjustRightInd w:val="0"/>
        <w:spacing w:line="360" w:lineRule="auto"/>
        <w:ind w:firstLine="1440"/>
        <w:rPr>
          <w:bCs/>
          <w:color w:val="000000"/>
        </w:rPr>
      </w:pPr>
    </w:p>
    <w:p w:rsidR="00D02279" w:rsidRPr="00B852ED" w:rsidRDefault="0094648D" w:rsidP="0094648D">
      <w:pPr>
        <w:widowControl w:val="0"/>
        <w:spacing w:line="360" w:lineRule="auto"/>
        <w:ind w:firstLine="1440"/>
        <w:rPr>
          <w:rFonts w:eastAsiaTheme="minorHAnsi"/>
          <w:bCs/>
          <w:color w:val="000000"/>
        </w:rPr>
      </w:pPr>
      <w:r w:rsidRPr="00B852ED">
        <w:rPr>
          <w:rFonts w:eastAsiaTheme="minorHAnsi"/>
          <w:bCs/>
          <w:color w:val="000000"/>
        </w:rPr>
        <w:lastRenderedPageBreak/>
        <w:t xml:space="preserve">Also, on May 22, 2014, United filed at both Docket Number C-2013-2393832 and C-2014-2416206 a Motion to Consolidate the Complaint filed by INSCO against United and the Complaint filed by State Farm against United.  That Motion was granted by Order </w:t>
      </w:r>
      <w:r w:rsidR="00B852ED" w:rsidRPr="00B852ED">
        <w:rPr>
          <w:rFonts w:eastAsiaTheme="minorHAnsi"/>
          <w:bCs/>
          <w:color w:val="000000"/>
        </w:rPr>
        <w:t>dated May 29, 2014.</w:t>
      </w:r>
    </w:p>
    <w:p w:rsidR="00B852ED" w:rsidRPr="00B852ED" w:rsidRDefault="00B852ED" w:rsidP="0094648D">
      <w:pPr>
        <w:widowControl w:val="0"/>
        <w:spacing w:line="360" w:lineRule="auto"/>
        <w:ind w:firstLine="1440"/>
        <w:rPr>
          <w:rFonts w:eastAsiaTheme="minorHAnsi"/>
          <w:bCs/>
          <w:color w:val="000000"/>
        </w:rPr>
      </w:pPr>
    </w:p>
    <w:p w:rsidR="00B852ED" w:rsidRDefault="00B852ED" w:rsidP="0094648D">
      <w:pPr>
        <w:widowControl w:val="0"/>
        <w:spacing w:line="360" w:lineRule="auto"/>
        <w:ind w:firstLine="1440"/>
        <w:rPr>
          <w:rFonts w:eastAsiaTheme="minorHAnsi"/>
          <w:bCs/>
          <w:color w:val="000000"/>
        </w:rPr>
      </w:pPr>
      <w:r w:rsidRPr="00B852ED">
        <w:rPr>
          <w:rFonts w:eastAsiaTheme="minorHAnsi"/>
          <w:bCs/>
          <w:color w:val="000000"/>
        </w:rPr>
        <w:t>On May 30, 2014</w:t>
      </w:r>
      <w:r>
        <w:rPr>
          <w:rFonts w:eastAsiaTheme="minorHAnsi"/>
          <w:bCs/>
          <w:color w:val="000000"/>
        </w:rPr>
        <w:t xml:space="preserve">, </w:t>
      </w:r>
      <w:r w:rsidR="008C17E3">
        <w:rPr>
          <w:rFonts w:eastAsiaTheme="minorHAnsi"/>
          <w:bCs/>
          <w:color w:val="000000"/>
        </w:rPr>
        <w:t xml:space="preserve">the Commission issued a Judge Change/Type of Hearing Change Notice formally reassigning the Complaint involving INSCO to me and converting the Initial Hearing in the Complaint involving State Farm into a Further Prehearing Conference.  </w:t>
      </w:r>
      <w:r w:rsidR="00D95385">
        <w:rPr>
          <w:rFonts w:eastAsiaTheme="minorHAnsi"/>
          <w:bCs/>
          <w:color w:val="000000"/>
        </w:rPr>
        <w:t>In response to the Order granting the Motion to Consolidate, United, State Farm and INSCO filed Prehearing Memorandum.</w:t>
      </w:r>
    </w:p>
    <w:p w:rsidR="00D95385" w:rsidRDefault="00D95385" w:rsidP="0094648D">
      <w:pPr>
        <w:widowControl w:val="0"/>
        <w:spacing w:line="360" w:lineRule="auto"/>
        <w:ind w:firstLine="1440"/>
        <w:rPr>
          <w:rFonts w:eastAsiaTheme="minorHAnsi"/>
          <w:bCs/>
          <w:color w:val="000000"/>
        </w:rPr>
      </w:pPr>
    </w:p>
    <w:p w:rsidR="00D95385" w:rsidRDefault="00D95385" w:rsidP="0094648D">
      <w:pPr>
        <w:widowControl w:val="0"/>
        <w:spacing w:line="360" w:lineRule="auto"/>
        <w:ind w:firstLine="1440"/>
        <w:rPr>
          <w:rFonts w:eastAsiaTheme="minorHAnsi"/>
          <w:bCs/>
          <w:color w:val="000000"/>
        </w:rPr>
      </w:pPr>
      <w:r>
        <w:rPr>
          <w:rFonts w:eastAsiaTheme="minorHAnsi"/>
          <w:bCs/>
          <w:color w:val="000000"/>
        </w:rPr>
        <w:t xml:space="preserve">On June 12, 2014, the Further Prehearing Conference convened as scheduled.  </w:t>
      </w:r>
      <w:r w:rsidR="00B76E4E">
        <w:rPr>
          <w:rFonts w:eastAsiaTheme="minorHAnsi"/>
          <w:bCs/>
          <w:color w:val="000000"/>
        </w:rPr>
        <w:t>Charles Thomas, III, Esquire and Thomas Niesen, Esquire appeared on behalf of United.  Gary Baily, Esquire appeared on behalf of INSCO.  No one appeared on behalf of State Farm because counsel for State Farm previously indicated that it has determined to no longer pursue its Complaint and that it would not be participating in the Further Prehearing Conference.</w:t>
      </w:r>
    </w:p>
    <w:p w:rsidR="00B76E4E" w:rsidRDefault="00B76E4E" w:rsidP="0094648D">
      <w:pPr>
        <w:widowControl w:val="0"/>
        <w:spacing w:line="360" w:lineRule="auto"/>
        <w:ind w:firstLine="1440"/>
        <w:rPr>
          <w:rFonts w:eastAsiaTheme="minorHAnsi"/>
          <w:bCs/>
          <w:color w:val="000000"/>
        </w:rPr>
      </w:pPr>
    </w:p>
    <w:p w:rsidR="00E93D93" w:rsidRPr="00550B34" w:rsidRDefault="00E93D93">
      <w:pPr>
        <w:spacing w:line="360" w:lineRule="auto"/>
        <w:ind w:firstLine="1440"/>
      </w:pPr>
      <w:r w:rsidRPr="00550B34">
        <w:t xml:space="preserve">During the </w:t>
      </w:r>
      <w:r w:rsidR="00130568">
        <w:t xml:space="preserve">Further </w:t>
      </w:r>
      <w:r w:rsidRPr="00550B34">
        <w:t>Prehearing Conference, various procedural matters were discussed.  Most notably, the following procedural schedule was agreed upon:</w:t>
      </w:r>
    </w:p>
    <w:p w:rsidR="004E3BB5" w:rsidRPr="00550B34" w:rsidRDefault="004E3BB5">
      <w:pPr>
        <w:spacing w:line="360" w:lineRule="auto"/>
        <w:ind w:firstLine="1440"/>
      </w:pPr>
    </w:p>
    <w:tbl>
      <w:tblPr>
        <w:tblStyle w:val="TableGrid"/>
        <w:tblW w:w="0" w:type="auto"/>
        <w:tblInd w:w="1008" w:type="dxa"/>
        <w:tblLook w:val="04A0" w:firstRow="1" w:lastRow="0" w:firstColumn="1" w:lastColumn="0" w:noHBand="0" w:noVBand="1"/>
      </w:tblPr>
      <w:tblGrid>
        <w:gridCol w:w="3690"/>
        <w:gridCol w:w="3150"/>
      </w:tblGrid>
      <w:tr w:rsidR="00D94D3A" w:rsidRPr="00550B34" w:rsidTr="00141DCE">
        <w:tc>
          <w:tcPr>
            <w:tcW w:w="3690" w:type="dxa"/>
          </w:tcPr>
          <w:p w:rsidR="00D94D3A" w:rsidRPr="00550B34" w:rsidRDefault="00130568">
            <w:pPr>
              <w:spacing w:line="360" w:lineRule="auto"/>
            </w:pPr>
            <w:r>
              <w:t xml:space="preserve">Complainants’ </w:t>
            </w:r>
            <w:r w:rsidR="00D94D3A" w:rsidRPr="00550B34">
              <w:t>Direct Testimony</w:t>
            </w:r>
          </w:p>
        </w:tc>
        <w:tc>
          <w:tcPr>
            <w:tcW w:w="3150" w:type="dxa"/>
          </w:tcPr>
          <w:p w:rsidR="00D94D3A" w:rsidRPr="00321207" w:rsidRDefault="00130568" w:rsidP="00321207">
            <w:pPr>
              <w:spacing w:line="360" w:lineRule="auto"/>
            </w:pPr>
            <w:r>
              <w:t>August 29</w:t>
            </w:r>
            <w:r w:rsidR="00D94D3A" w:rsidRPr="00321207">
              <w:t>, 201</w:t>
            </w:r>
            <w:r w:rsidR="00321207">
              <w:t>4</w:t>
            </w:r>
          </w:p>
        </w:tc>
      </w:tr>
      <w:tr w:rsidR="00D94D3A" w:rsidRPr="00550B34" w:rsidTr="00141DCE">
        <w:tc>
          <w:tcPr>
            <w:tcW w:w="3690" w:type="dxa"/>
          </w:tcPr>
          <w:p w:rsidR="00D94D3A" w:rsidRPr="00550B34" w:rsidRDefault="00130568" w:rsidP="00187940">
            <w:pPr>
              <w:spacing w:line="360" w:lineRule="auto"/>
            </w:pPr>
            <w:r>
              <w:t xml:space="preserve">Respondent Direct </w:t>
            </w:r>
            <w:r w:rsidR="00D94D3A" w:rsidRPr="00550B34">
              <w:t>Testimony</w:t>
            </w:r>
          </w:p>
        </w:tc>
        <w:tc>
          <w:tcPr>
            <w:tcW w:w="3150" w:type="dxa"/>
          </w:tcPr>
          <w:p w:rsidR="00D94D3A" w:rsidRPr="00321207" w:rsidRDefault="00130568" w:rsidP="00321207">
            <w:pPr>
              <w:spacing w:line="360" w:lineRule="auto"/>
            </w:pPr>
            <w:r>
              <w:t>October 29</w:t>
            </w:r>
            <w:r w:rsidR="00321207">
              <w:t>, 2014</w:t>
            </w:r>
            <w:r w:rsidR="00141DCE" w:rsidRPr="00321207">
              <w:t xml:space="preserve"> </w:t>
            </w:r>
          </w:p>
        </w:tc>
      </w:tr>
      <w:tr w:rsidR="00141DCE" w:rsidRPr="00550B34" w:rsidTr="00141DCE">
        <w:tc>
          <w:tcPr>
            <w:tcW w:w="3690" w:type="dxa"/>
          </w:tcPr>
          <w:p w:rsidR="00141DCE" w:rsidRPr="00550B34" w:rsidRDefault="00130568" w:rsidP="00130568">
            <w:pPr>
              <w:spacing w:line="360" w:lineRule="auto"/>
            </w:pPr>
            <w:r>
              <w:t xml:space="preserve">Complainants’ Rebuttal </w:t>
            </w:r>
            <w:r w:rsidR="00141DCE" w:rsidRPr="00550B34">
              <w:t>Testimony</w:t>
            </w:r>
          </w:p>
        </w:tc>
        <w:tc>
          <w:tcPr>
            <w:tcW w:w="3150" w:type="dxa"/>
          </w:tcPr>
          <w:p w:rsidR="00141DCE" w:rsidRPr="00321207" w:rsidRDefault="00130568" w:rsidP="007E3C58">
            <w:pPr>
              <w:spacing w:line="360" w:lineRule="auto"/>
            </w:pPr>
            <w:r>
              <w:t>December 1</w:t>
            </w:r>
            <w:r w:rsidR="00321207">
              <w:t>, 2014</w:t>
            </w:r>
          </w:p>
        </w:tc>
      </w:tr>
      <w:tr w:rsidR="00141DCE" w:rsidRPr="00550B34" w:rsidTr="00141DCE">
        <w:tc>
          <w:tcPr>
            <w:tcW w:w="3690" w:type="dxa"/>
          </w:tcPr>
          <w:p w:rsidR="00141DCE" w:rsidRPr="00550B34" w:rsidRDefault="00141DCE" w:rsidP="007E3C58">
            <w:pPr>
              <w:spacing w:line="360" w:lineRule="auto"/>
            </w:pPr>
            <w:r>
              <w:t>Hearings</w:t>
            </w:r>
          </w:p>
        </w:tc>
        <w:tc>
          <w:tcPr>
            <w:tcW w:w="3150" w:type="dxa"/>
          </w:tcPr>
          <w:p w:rsidR="00141DCE" w:rsidRPr="00321207" w:rsidRDefault="002251CE" w:rsidP="00321207">
            <w:pPr>
              <w:spacing w:line="360" w:lineRule="auto"/>
            </w:pPr>
            <w:r>
              <w:t>January 13 and 14, 2015</w:t>
            </w:r>
          </w:p>
        </w:tc>
      </w:tr>
      <w:tr w:rsidR="00141DCE" w:rsidRPr="00550B34" w:rsidTr="00141DCE">
        <w:tc>
          <w:tcPr>
            <w:tcW w:w="3690" w:type="dxa"/>
          </w:tcPr>
          <w:p w:rsidR="00141DCE" w:rsidRPr="00550B34" w:rsidRDefault="00141DCE" w:rsidP="007E3C58">
            <w:pPr>
              <w:spacing w:line="360" w:lineRule="auto"/>
            </w:pPr>
            <w:r>
              <w:t>Main Brief</w:t>
            </w:r>
          </w:p>
        </w:tc>
        <w:tc>
          <w:tcPr>
            <w:tcW w:w="3150" w:type="dxa"/>
          </w:tcPr>
          <w:p w:rsidR="00141DCE" w:rsidRPr="00321207" w:rsidRDefault="002251CE" w:rsidP="007E3C58">
            <w:pPr>
              <w:spacing w:line="360" w:lineRule="auto"/>
            </w:pPr>
            <w:r>
              <w:t>February 27, 2015</w:t>
            </w:r>
          </w:p>
        </w:tc>
      </w:tr>
      <w:tr w:rsidR="00141DCE" w:rsidRPr="00550B34" w:rsidTr="00141DCE">
        <w:tc>
          <w:tcPr>
            <w:tcW w:w="3690" w:type="dxa"/>
          </w:tcPr>
          <w:p w:rsidR="00141DCE" w:rsidRDefault="00141DCE" w:rsidP="007E3C58">
            <w:pPr>
              <w:spacing w:line="360" w:lineRule="auto"/>
            </w:pPr>
            <w:r>
              <w:t>Reply Brief</w:t>
            </w:r>
          </w:p>
        </w:tc>
        <w:tc>
          <w:tcPr>
            <w:tcW w:w="3150" w:type="dxa"/>
          </w:tcPr>
          <w:p w:rsidR="00141DCE" w:rsidRPr="00321207" w:rsidRDefault="002251CE" w:rsidP="007E3C58">
            <w:pPr>
              <w:spacing w:line="360" w:lineRule="auto"/>
            </w:pPr>
            <w:r>
              <w:t>March 20, 2015</w:t>
            </w:r>
          </w:p>
        </w:tc>
      </w:tr>
    </w:tbl>
    <w:p w:rsidR="00E93D93" w:rsidRPr="00550B34" w:rsidRDefault="00E93D93" w:rsidP="00E93D93">
      <w:pPr>
        <w:spacing w:line="360" w:lineRule="auto"/>
      </w:pPr>
    </w:p>
    <w:p w:rsidR="009C2A10" w:rsidRDefault="00D601F0" w:rsidP="00BF6876">
      <w:pPr>
        <w:spacing w:line="360" w:lineRule="auto"/>
      </w:pPr>
      <w:r w:rsidRPr="00550B34">
        <w:t xml:space="preserve">The </w:t>
      </w:r>
      <w:r w:rsidR="00FA0DC0">
        <w:t>H</w:t>
      </w:r>
      <w:r w:rsidRPr="00550B34">
        <w:t>earing</w:t>
      </w:r>
      <w:r w:rsidR="002251CE">
        <w:t>s</w:t>
      </w:r>
      <w:r w:rsidRPr="00550B34">
        <w:t xml:space="preserve"> </w:t>
      </w:r>
      <w:r w:rsidR="00E93D93" w:rsidRPr="00550B34">
        <w:t xml:space="preserve">will be held in Harrisburg </w:t>
      </w:r>
      <w:r w:rsidR="00427BB1" w:rsidRPr="00550B34">
        <w:t>in a hearing room in the Commonwealth Keystone Building</w:t>
      </w:r>
      <w:r w:rsidR="002251CE">
        <w:t xml:space="preserve"> and </w:t>
      </w:r>
      <w:r w:rsidR="00321207">
        <w:t>will begin at 10:00 a.m.</w:t>
      </w:r>
      <w:r w:rsidR="00FA7F14">
        <w:t xml:space="preserve">  Additionally, service of testimony by e-</w:t>
      </w:r>
      <w:r w:rsidR="00FA7F14">
        <w:lastRenderedPageBreak/>
        <w:t>mail by 4:00 on the date it is due will be permitted so long as</w:t>
      </w:r>
      <w:r w:rsidR="00FA0DC0">
        <w:t xml:space="preserve"> a hard copy of</w:t>
      </w:r>
      <w:r w:rsidR="00FA7F14">
        <w:t xml:space="preserve"> the testimony is also served via first class mail or hand-delivery.</w:t>
      </w:r>
    </w:p>
    <w:p w:rsidR="0053303C" w:rsidRDefault="0053303C" w:rsidP="00E93D93">
      <w:pPr>
        <w:spacing w:line="360" w:lineRule="auto"/>
      </w:pPr>
    </w:p>
    <w:p w:rsidR="00E87CF0" w:rsidRDefault="00BC484E" w:rsidP="002251CE">
      <w:pPr>
        <w:spacing w:line="360" w:lineRule="auto"/>
      </w:pPr>
      <w:r>
        <w:tab/>
      </w:r>
      <w:r>
        <w:tab/>
      </w:r>
      <w:r w:rsidR="00BF6876">
        <w:t xml:space="preserve">As noted above, </w:t>
      </w:r>
      <w:r w:rsidR="00BF6876">
        <w:rPr>
          <w:rFonts w:eastAsiaTheme="minorHAnsi"/>
          <w:bCs/>
          <w:color w:val="000000"/>
        </w:rPr>
        <w:t xml:space="preserve">counsel for State Farm previously indicated that it has determined to no longer pursue its Complaint.  State Farm will remain a party to this proceeding, however, until the appropriate pleading is filed effectuating its intention.  Furthermore, a Petition for a Protective Order </w:t>
      </w:r>
      <w:r w:rsidR="00BB6570">
        <w:rPr>
          <w:rFonts w:eastAsiaTheme="minorHAnsi"/>
          <w:bCs/>
          <w:color w:val="000000"/>
        </w:rPr>
        <w:t xml:space="preserve">and Preliminary Objections </w:t>
      </w:r>
      <w:r w:rsidR="00BF6876">
        <w:rPr>
          <w:rFonts w:eastAsiaTheme="minorHAnsi"/>
          <w:bCs/>
          <w:color w:val="000000"/>
        </w:rPr>
        <w:t>filed by United remain pending and will be addressed via separate Order</w:t>
      </w:r>
      <w:r w:rsidR="00BB6570">
        <w:rPr>
          <w:rFonts w:eastAsiaTheme="minorHAnsi"/>
          <w:bCs/>
          <w:color w:val="000000"/>
        </w:rPr>
        <w:t>s</w:t>
      </w:r>
      <w:r w:rsidR="00BF6876">
        <w:rPr>
          <w:rFonts w:eastAsiaTheme="minorHAnsi"/>
          <w:bCs/>
          <w:color w:val="000000"/>
        </w:rPr>
        <w:t>.</w:t>
      </w:r>
    </w:p>
    <w:p w:rsidR="009C2A10" w:rsidRPr="00550B34" w:rsidRDefault="009C2A10" w:rsidP="00E93D93">
      <w:pPr>
        <w:spacing w:line="360" w:lineRule="auto"/>
        <w:rPr>
          <w:strike/>
        </w:rPr>
      </w:pPr>
    </w:p>
    <w:p w:rsidR="00D22294" w:rsidRPr="00550B34" w:rsidRDefault="00BA5877" w:rsidP="00D601F0">
      <w:pPr>
        <w:tabs>
          <w:tab w:val="left" w:pos="-720"/>
          <w:tab w:val="left" w:pos="1260"/>
          <w:tab w:val="left" w:pos="2070"/>
        </w:tabs>
        <w:suppressAutoHyphens/>
        <w:spacing w:line="360" w:lineRule="auto"/>
        <w:ind w:firstLine="1440"/>
      </w:pPr>
      <w:r w:rsidRPr="00550B34">
        <w:t>Finally, th</w:t>
      </w:r>
      <w:r w:rsidR="00E87CF0">
        <w:t>e parties a</w:t>
      </w:r>
      <w:r w:rsidR="00107108" w:rsidRPr="00550B34">
        <w:t xml:space="preserve">re reminded that </w:t>
      </w:r>
      <w:r w:rsidR="00D22294" w:rsidRPr="00550B34">
        <w:t xml:space="preserve">Commission policy promotes settlements.  </w:t>
      </w:r>
      <w:proofErr w:type="gramStart"/>
      <w:r w:rsidR="00D22294" w:rsidRPr="00550B34">
        <w:t>52 Pa. Code §5.231(a).</w:t>
      </w:r>
      <w:proofErr w:type="gramEnd"/>
      <w:r w:rsidR="00D22294" w:rsidRPr="00550B34">
        <w:t xml:space="preserve">  </w:t>
      </w:r>
      <w:r w:rsidR="00D601F0" w:rsidRPr="00550B34">
        <w:t xml:space="preserve">The parties are encouraged to commence settlement discussions as early as possible.  </w:t>
      </w:r>
      <w:r w:rsidR="00D22294" w:rsidRPr="00550B34">
        <w:t>Even if the parties are unable to settle this case, they may still resolve some of the questions or issues during their discussions.  If the parties reach an agreement on all issues, a formal hearing will not be necessary and the scheduled hearing will be cancelled.</w:t>
      </w:r>
      <w:r w:rsidR="004E3BB5">
        <w:t xml:space="preserve">  Any settlement, however, must be supported by substantial record evidence.  </w:t>
      </w:r>
      <w:proofErr w:type="gramStart"/>
      <w:r w:rsidR="00144EB5" w:rsidRPr="007F58CC">
        <w:rPr>
          <w:rFonts w:eastAsiaTheme="minorEastAsia"/>
        </w:rPr>
        <w:t xml:space="preserve">2 </w:t>
      </w:r>
      <w:proofErr w:type="spellStart"/>
      <w:r w:rsidR="00144EB5" w:rsidRPr="007F58CC">
        <w:rPr>
          <w:rFonts w:eastAsiaTheme="minorEastAsia"/>
        </w:rPr>
        <w:t>Pa.C.S</w:t>
      </w:r>
      <w:proofErr w:type="spellEnd"/>
      <w:r w:rsidR="00144EB5" w:rsidRPr="007F58CC">
        <w:rPr>
          <w:rFonts w:eastAsiaTheme="minorEastAsia"/>
        </w:rPr>
        <w:t>.</w:t>
      </w:r>
      <w:proofErr w:type="gramEnd"/>
      <w:r w:rsidR="00144EB5" w:rsidRPr="007F58CC">
        <w:rPr>
          <w:rFonts w:eastAsiaTheme="minorEastAsia"/>
        </w:rPr>
        <w:t xml:space="preserve"> § 704.  </w:t>
      </w:r>
    </w:p>
    <w:p w:rsidR="00D22294" w:rsidRPr="00550B34" w:rsidRDefault="00D22294" w:rsidP="00E93D93">
      <w:pPr>
        <w:spacing w:line="360" w:lineRule="auto"/>
      </w:pPr>
    </w:p>
    <w:p w:rsidR="00AA5A3B" w:rsidRDefault="00FA0DC0" w:rsidP="00FA0DC0">
      <w:pPr>
        <w:spacing w:line="360" w:lineRule="auto"/>
        <w:jc w:val="center"/>
      </w:pPr>
      <w:r>
        <w:rPr>
          <w:u w:val="single"/>
        </w:rPr>
        <w:t>ORDER</w:t>
      </w:r>
    </w:p>
    <w:p w:rsidR="00FA0DC0" w:rsidRPr="00FA0DC0" w:rsidRDefault="00FA0DC0" w:rsidP="00E93D93">
      <w:pPr>
        <w:spacing w:line="360" w:lineRule="auto"/>
      </w:pPr>
    </w:p>
    <w:p w:rsidR="006D33B5" w:rsidRPr="00550B34" w:rsidRDefault="006D33B5">
      <w:pPr>
        <w:spacing w:line="360" w:lineRule="auto"/>
        <w:ind w:firstLine="1440"/>
        <w:rPr>
          <w:bCs/>
        </w:rPr>
      </w:pPr>
      <w:r w:rsidRPr="00550B34">
        <w:rPr>
          <w:bCs/>
        </w:rPr>
        <w:t>THEREFORE,</w:t>
      </w:r>
    </w:p>
    <w:p w:rsidR="006D33B5" w:rsidRPr="00550B34" w:rsidRDefault="006D33B5">
      <w:pPr>
        <w:spacing w:line="360" w:lineRule="auto"/>
        <w:ind w:firstLine="1440"/>
      </w:pPr>
    </w:p>
    <w:p w:rsidR="0013770C" w:rsidRPr="00143290" w:rsidRDefault="006D33B5" w:rsidP="0013770C">
      <w:pPr>
        <w:spacing w:line="360" w:lineRule="auto"/>
        <w:ind w:firstLine="1440"/>
        <w:rPr>
          <w:bCs/>
        </w:rPr>
      </w:pPr>
      <w:r w:rsidRPr="00550B34">
        <w:rPr>
          <w:bCs/>
        </w:rPr>
        <w:t xml:space="preserve">IT </w:t>
      </w:r>
      <w:r w:rsidRPr="00143290">
        <w:rPr>
          <w:bCs/>
        </w:rPr>
        <w:t>IS ORDERED:</w:t>
      </w:r>
    </w:p>
    <w:p w:rsidR="0013770C" w:rsidRPr="00143290" w:rsidRDefault="0013770C" w:rsidP="0013770C">
      <w:pPr>
        <w:spacing w:line="360" w:lineRule="auto"/>
        <w:ind w:firstLine="1440"/>
        <w:rPr>
          <w:bCs/>
        </w:rPr>
      </w:pPr>
    </w:p>
    <w:p w:rsidR="00D626EC" w:rsidRPr="00143290" w:rsidRDefault="00143290" w:rsidP="00111D05">
      <w:pPr>
        <w:pStyle w:val="ListParagraph"/>
        <w:numPr>
          <w:ilvl w:val="0"/>
          <w:numId w:val="11"/>
        </w:numPr>
        <w:spacing w:line="360" w:lineRule="auto"/>
        <w:ind w:left="2160" w:hanging="720"/>
      </w:pPr>
      <w:r w:rsidRPr="00143290">
        <w:t>That</w:t>
      </w:r>
      <w:r w:rsidR="00144EB5" w:rsidRPr="00143290">
        <w:t xml:space="preserve"> </w:t>
      </w:r>
      <w:r w:rsidR="00D626EC" w:rsidRPr="00143290">
        <w:t>the following schedule is adopted</w:t>
      </w:r>
      <w:r w:rsidR="0067293C" w:rsidRPr="00143290">
        <w:t xml:space="preserve"> for this proceeding</w:t>
      </w:r>
      <w:r w:rsidR="00D626EC" w:rsidRPr="00143290">
        <w:t>:</w:t>
      </w:r>
    </w:p>
    <w:p w:rsidR="00143290" w:rsidRPr="00143290" w:rsidRDefault="00143290" w:rsidP="00143290">
      <w:pPr>
        <w:pStyle w:val="ListParagraph"/>
        <w:spacing w:line="360" w:lineRule="auto"/>
        <w:ind w:left="1800"/>
      </w:pPr>
    </w:p>
    <w:tbl>
      <w:tblPr>
        <w:tblStyle w:val="TableGrid"/>
        <w:tblW w:w="0" w:type="auto"/>
        <w:tblInd w:w="1008" w:type="dxa"/>
        <w:tblLook w:val="04A0" w:firstRow="1" w:lastRow="0" w:firstColumn="1" w:lastColumn="0" w:noHBand="0" w:noVBand="1"/>
      </w:tblPr>
      <w:tblGrid>
        <w:gridCol w:w="3690"/>
        <w:gridCol w:w="3150"/>
      </w:tblGrid>
      <w:tr w:rsidR="002251CE" w:rsidRPr="00143290" w:rsidTr="003D3EA1">
        <w:tc>
          <w:tcPr>
            <w:tcW w:w="3690" w:type="dxa"/>
          </w:tcPr>
          <w:p w:rsidR="002251CE" w:rsidRPr="00550B34" w:rsidRDefault="002251CE" w:rsidP="00AB66B8">
            <w:pPr>
              <w:spacing w:line="360" w:lineRule="auto"/>
            </w:pPr>
            <w:r>
              <w:t xml:space="preserve">Complainants’ </w:t>
            </w:r>
            <w:r w:rsidRPr="00550B34">
              <w:t>Direct Testimony</w:t>
            </w:r>
          </w:p>
        </w:tc>
        <w:tc>
          <w:tcPr>
            <w:tcW w:w="3150" w:type="dxa"/>
          </w:tcPr>
          <w:p w:rsidR="002251CE" w:rsidRPr="00321207" w:rsidRDefault="002251CE" w:rsidP="00AB66B8">
            <w:pPr>
              <w:spacing w:line="360" w:lineRule="auto"/>
            </w:pPr>
            <w:r>
              <w:t>August 29</w:t>
            </w:r>
            <w:r w:rsidRPr="00321207">
              <w:t>, 201</w:t>
            </w:r>
            <w:r>
              <w:t>4</w:t>
            </w:r>
          </w:p>
        </w:tc>
      </w:tr>
      <w:tr w:rsidR="002251CE" w:rsidRPr="00143290" w:rsidTr="003D3EA1">
        <w:tc>
          <w:tcPr>
            <w:tcW w:w="3690" w:type="dxa"/>
          </w:tcPr>
          <w:p w:rsidR="002251CE" w:rsidRPr="00550B34" w:rsidRDefault="002251CE" w:rsidP="00AB66B8">
            <w:pPr>
              <w:spacing w:line="360" w:lineRule="auto"/>
            </w:pPr>
            <w:r>
              <w:t xml:space="preserve">Respondent Direct </w:t>
            </w:r>
            <w:r w:rsidRPr="00550B34">
              <w:t>Testimony</w:t>
            </w:r>
          </w:p>
        </w:tc>
        <w:tc>
          <w:tcPr>
            <w:tcW w:w="3150" w:type="dxa"/>
          </w:tcPr>
          <w:p w:rsidR="002251CE" w:rsidRPr="00321207" w:rsidRDefault="002251CE" w:rsidP="00AB66B8">
            <w:pPr>
              <w:spacing w:line="360" w:lineRule="auto"/>
            </w:pPr>
            <w:r>
              <w:t>October 29, 2014</w:t>
            </w:r>
            <w:r w:rsidRPr="00321207">
              <w:t xml:space="preserve"> </w:t>
            </w:r>
          </w:p>
        </w:tc>
      </w:tr>
      <w:tr w:rsidR="002251CE" w:rsidRPr="00143290" w:rsidTr="003D3EA1">
        <w:tc>
          <w:tcPr>
            <w:tcW w:w="3690" w:type="dxa"/>
          </w:tcPr>
          <w:p w:rsidR="002251CE" w:rsidRPr="00550B34" w:rsidRDefault="002251CE" w:rsidP="00AB66B8">
            <w:pPr>
              <w:spacing w:line="360" w:lineRule="auto"/>
            </w:pPr>
            <w:r>
              <w:t xml:space="preserve">Complainants’ Rebuttal </w:t>
            </w:r>
            <w:r w:rsidRPr="00550B34">
              <w:t>Testimony</w:t>
            </w:r>
          </w:p>
        </w:tc>
        <w:tc>
          <w:tcPr>
            <w:tcW w:w="3150" w:type="dxa"/>
          </w:tcPr>
          <w:p w:rsidR="002251CE" w:rsidRPr="00321207" w:rsidRDefault="002251CE" w:rsidP="00AB66B8">
            <w:pPr>
              <w:spacing w:line="360" w:lineRule="auto"/>
            </w:pPr>
            <w:r>
              <w:t>December 1, 2014</w:t>
            </w:r>
          </w:p>
        </w:tc>
      </w:tr>
      <w:tr w:rsidR="002251CE" w:rsidRPr="00143290" w:rsidTr="003D3EA1">
        <w:tc>
          <w:tcPr>
            <w:tcW w:w="3690" w:type="dxa"/>
          </w:tcPr>
          <w:p w:rsidR="002251CE" w:rsidRPr="00550B34" w:rsidRDefault="002251CE" w:rsidP="00AB66B8">
            <w:pPr>
              <w:spacing w:line="360" w:lineRule="auto"/>
            </w:pPr>
            <w:r>
              <w:t>Hearings</w:t>
            </w:r>
          </w:p>
        </w:tc>
        <w:tc>
          <w:tcPr>
            <w:tcW w:w="3150" w:type="dxa"/>
          </w:tcPr>
          <w:p w:rsidR="002251CE" w:rsidRPr="00321207" w:rsidRDefault="002251CE" w:rsidP="00AB66B8">
            <w:pPr>
              <w:spacing w:line="360" w:lineRule="auto"/>
            </w:pPr>
            <w:r>
              <w:t>January 13 and 14, 2015</w:t>
            </w:r>
          </w:p>
        </w:tc>
      </w:tr>
      <w:tr w:rsidR="002251CE" w:rsidRPr="00143290" w:rsidTr="003D3EA1">
        <w:tc>
          <w:tcPr>
            <w:tcW w:w="3690" w:type="dxa"/>
          </w:tcPr>
          <w:p w:rsidR="002251CE" w:rsidRPr="00550B34" w:rsidRDefault="002251CE" w:rsidP="00AB66B8">
            <w:pPr>
              <w:spacing w:line="360" w:lineRule="auto"/>
            </w:pPr>
            <w:r>
              <w:t>Main Brief</w:t>
            </w:r>
          </w:p>
        </w:tc>
        <w:tc>
          <w:tcPr>
            <w:tcW w:w="3150" w:type="dxa"/>
          </w:tcPr>
          <w:p w:rsidR="002251CE" w:rsidRPr="00321207" w:rsidRDefault="002251CE" w:rsidP="00AB66B8">
            <w:pPr>
              <w:spacing w:line="360" w:lineRule="auto"/>
            </w:pPr>
            <w:r>
              <w:t>February 27, 2015</w:t>
            </w:r>
          </w:p>
        </w:tc>
      </w:tr>
      <w:tr w:rsidR="002251CE" w:rsidRPr="00143290" w:rsidTr="003D3EA1">
        <w:tc>
          <w:tcPr>
            <w:tcW w:w="3690" w:type="dxa"/>
          </w:tcPr>
          <w:p w:rsidR="002251CE" w:rsidRDefault="002251CE" w:rsidP="00AB66B8">
            <w:pPr>
              <w:spacing w:line="360" w:lineRule="auto"/>
            </w:pPr>
            <w:r>
              <w:t>Reply Brief</w:t>
            </w:r>
          </w:p>
        </w:tc>
        <w:tc>
          <w:tcPr>
            <w:tcW w:w="3150" w:type="dxa"/>
          </w:tcPr>
          <w:p w:rsidR="002251CE" w:rsidRPr="00321207" w:rsidRDefault="002251CE" w:rsidP="00AB66B8">
            <w:pPr>
              <w:spacing w:line="360" w:lineRule="auto"/>
            </w:pPr>
            <w:r>
              <w:t>March 20, 2015</w:t>
            </w:r>
          </w:p>
        </w:tc>
      </w:tr>
    </w:tbl>
    <w:p w:rsidR="00143290" w:rsidRPr="00143290" w:rsidRDefault="00143290" w:rsidP="00143290">
      <w:pPr>
        <w:pStyle w:val="ListParagraph"/>
        <w:spacing w:line="360" w:lineRule="auto"/>
        <w:ind w:left="1800"/>
      </w:pPr>
    </w:p>
    <w:p w:rsidR="001C7E2F" w:rsidRPr="00BF6876" w:rsidRDefault="0084613F" w:rsidP="001C7E2F">
      <w:pPr>
        <w:pStyle w:val="BodyTextIndent"/>
        <w:numPr>
          <w:ilvl w:val="0"/>
          <w:numId w:val="11"/>
        </w:numPr>
        <w:spacing w:line="360" w:lineRule="auto"/>
        <w:ind w:left="0" w:firstLine="1440"/>
        <w:jc w:val="left"/>
        <w:rPr>
          <w:sz w:val="24"/>
          <w:szCs w:val="24"/>
        </w:rPr>
      </w:pPr>
      <w:r w:rsidRPr="00BF6876">
        <w:rPr>
          <w:sz w:val="24"/>
          <w:szCs w:val="24"/>
        </w:rPr>
        <w:t xml:space="preserve">That </w:t>
      </w:r>
      <w:r w:rsidR="00D626EC" w:rsidRPr="00BF6876">
        <w:rPr>
          <w:sz w:val="24"/>
          <w:szCs w:val="24"/>
        </w:rPr>
        <w:t xml:space="preserve">the parties shall receive all documents and shall copy all other parties on documents they file with the Commission or serve on </w:t>
      </w:r>
      <w:r w:rsidR="00317051" w:rsidRPr="00BF6876">
        <w:rPr>
          <w:sz w:val="24"/>
          <w:szCs w:val="24"/>
        </w:rPr>
        <w:t>me</w:t>
      </w:r>
      <w:r w:rsidR="00D626EC" w:rsidRPr="00BF6876">
        <w:rPr>
          <w:sz w:val="24"/>
          <w:szCs w:val="24"/>
        </w:rPr>
        <w:t>.  The parties are expected to conduct discovery, attend hearings, or pre</w:t>
      </w:r>
      <w:r w:rsidR="00111D05" w:rsidRPr="00BF6876">
        <w:rPr>
          <w:sz w:val="24"/>
          <w:szCs w:val="24"/>
        </w:rPr>
        <w:t xml:space="preserve">sent or cross-examine witnesses, as appropriate.  </w:t>
      </w:r>
      <w:r w:rsidR="005C038C" w:rsidRPr="00BF6876">
        <w:rPr>
          <w:sz w:val="24"/>
          <w:szCs w:val="24"/>
        </w:rPr>
        <w:t>T</w:t>
      </w:r>
      <w:r w:rsidR="005C038C" w:rsidRPr="00BF6876">
        <w:rPr>
          <w:spacing w:val="-3"/>
          <w:sz w:val="24"/>
          <w:szCs w:val="24"/>
        </w:rPr>
        <w:t>he parties shall serve the documents listed above so that the documents are received in-hand by the parties and presiding officer no later than 4:</w:t>
      </w:r>
      <w:r w:rsidR="00143290" w:rsidRPr="00BF6876">
        <w:rPr>
          <w:spacing w:val="-3"/>
          <w:sz w:val="24"/>
          <w:szCs w:val="24"/>
        </w:rPr>
        <w:t>0</w:t>
      </w:r>
      <w:r w:rsidR="005C038C" w:rsidRPr="00BF6876">
        <w:rPr>
          <w:spacing w:val="-3"/>
          <w:sz w:val="24"/>
          <w:szCs w:val="24"/>
        </w:rPr>
        <w:t>0 p.m. on the dates listed</w:t>
      </w:r>
      <w:r w:rsidR="00144EB5" w:rsidRPr="00BF6876">
        <w:rPr>
          <w:spacing w:val="-3"/>
          <w:sz w:val="24"/>
          <w:szCs w:val="24"/>
        </w:rPr>
        <w:t>, unless otherwise indicated</w:t>
      </w:r>
      <w:r w:rsidR="005C038C" w:rsidRPr="00BF6876">
        <w:rPr>
          <w:spacing w:val="-3"/>
          <w:sz w:val="24"/>
          <w:szCs w:val="24"/>
        </w:rPr>
        <w:t>.  Parties may serve the documents listed above via e-mail to meet this requirement, with hard copy to follow by regular first class mail</w:t>
      </w:r>
      <w:r w:rsidR="00107108" w:rsidRPr="00BF6876">
        <w:rPr>
          <w:spacing w:val="-3"/>
          <w:sz w:val="24"/>
          <w:szCs w:val="24"/>
        </w:rPr>
        <w:t>, so long as the electronic version is Microsoft Word compatible and no larger than 5 MB per email</w:t>
      </w:r>
      <w:r w:rsidR="005C038C" w:rsidRPr="00BF6876">
        <w:rPr>
          <w:spacing w:val="-3"/>
          <w:sz w:val="24"/>
          <w:szCs w:val="24"/>
        </w:rPr>
        <w:t xml:space="preserve">.  Parties shall not file testimony with the Commission, but shall file a certificate of service.  </w:t>
      </w:r>
    </w:p>
    <w:p w:rsidR="001C7E2F" w:rsidRPr="00550B34" w:rsidRDefault="001C7E2F" w:rsidP="001C7E2F">
      <w:pPr>
        <w:pStyle w:val="ListParagraph"/>
        <w:spacing w:line="360" w:lineRule="auto"/>
        <w:ind w:left="0" w:firstLine="1440"/>
      </w:pPr>
    </w:p>
    <w:p w:rsidR="00317051" w:rsidRDefault="00D626EC" w:rsidP="00D626EC">
      <w:pPr>
        <w:pStyle w:val="ListParagraph"/>
        <w:numPr>
          <w:ilvl w:val="0"/>
          <w:numId w:val="11"/>
        </w:numPr>
        <w:spacing w:line="360" w:lineRule="auto"/>
        <w:ind w:left="0" w:firstLine="1440"/>
      </w:pPr>
      <w:r w:rsidRPr="00550B34">
        <w:t xml:space="preserve">That written testimony shall comply with the requirements of 52 </w:t>
      </w:r>
      <w:proofErr w:type="spellStart"/>
      <w:r w:rsidRPr="00550B34">
        <w:t>Pa.Code</w:t>
      </w:r>
      <w:proofErr w:type="spellEnd"/>
      <w:r w:rsidRPr="00550B34">
        <w:t xml:space="preserve"> §5.412 and shall be marked with numerical, sequential statement numbers. </w:t>
      </w:r>
      <w:r w:rsidR="00522D71" w:rsidRPr="00550B34">
        <w:t xml:space="preserve"> Parties serving pre-served testimony pursuant to 52 </w:t>
      </w:r>
      <w:proofErr w:type="spellStart"/>
      <w:r w:rsidR="00522D71" w:rsidRPr="00550B34">
        <w:t>Pa</w:t>
      </w:r>
      <w:r w:rsidR="002251CE">
        <w:t>.</w:t>
      </w:r>
      <w:r w:rsidR="00522D71" w:rsidRPr="00550B34">
        <w:t>Code</w:t>
      </w:r>
      <w:proofErr w:type="spellEnd"/>
      <w:r w:rsidR="00522D71" w:rsidRPr="00550B34">
        <w:t xml:space="preserve"> § 5.412(f) are required, within thirty (30) days after the final hearing, to either </w:t>
      </w:r>
      <w:proofErr w:type="spellStart"/>
      <w:r w:rsidR="00522D71" w:rsidRPr="00550B34">
        <w:t>eFile</w:t>
      </w:r>
      <w:proofErr w:type="spellEnd"/>
      <w:r w:rsidR="00522D71" w:rsidRPr="00550B34">
        <w:t xml:space="preserve"> with or provide to the Secretary’s Bureau a Compact Disc (CD) containing all testimony furnished to the court reporter during the proceeding, consistent with the Commission’s Implementation Order, dated January 10, 2013, at Docket No. M-2012-2331973.</w:t>
      </w:r>
    </w:p>
    <w:p w:rsidR="00317051" w:rsidRDefault="00317051" w:rsidP="00317051">
      <w:pPr>
        <w:pStyle w:val="ListParagraph"/>
      </w:pPr>
    </w:p>
    <w:p w:rsidR="00317051" w:rsidRDefault="00D626EC" w:rsidP="00D626EC">
      <w:pPr>
        <w:pStyle w:val="ListParagraph"/>
        <w:numPr>
          <w:ilvl w:val="0"/>
          <w:numId w:val="11"/>
        </w:numPr>
        <w:spacing w:line="360" w:lineRule="auto"/>
        <w:ind w:left="0" w:firstLine="1440"/>
      </w:pPr>
      <w:r w:rsidRPr="00550B34">
        <w:t xml:space="preserve">That all parties shall comply with the provisions of 52 </w:t>
      </w:r>
      <w:proofErr w:type="spellStart"/>
      <w:r w:rsidRPr="00550B34">
        <w:t>Pa.Code</w:t>
      </w:r>
      <w:proofErr w:type="spellEnd"/>
      <w:r w:rsidRPr="00550B34">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317051" w:rsidRDefault="00317051" w:rsidP="00317051">
      <w:pPr>
        <w:pStyle w:val="ListParagraph"/>
      </w:pPr>
    </w:p>
    <w:p w:rsidR="00317051" w:rsidRDefault="00D626EC" w:rsidP="00317051">
      <w:pPr>
        <w:pStyle w:val="ListParagraph"/>
        <w:numPr>
          <w:ilvl w:val="0"/>
          <w:numId w:val="11"/>
        </w:numPr>
        <w:spacing w:line="360" w:lineRule="auto"/>
        <w:ind w:left="0" w:firstLine="1440"/>
      </w:pPr>
      <w:r w:rsidRPr="00550B34">
        <w:t xml:space="preserve">That the parties shall conduct discovery pursuant to 52 </w:t>
      </w:r>
      <w:proofErr w:type="spellStart"/>
      <w:r w:rsidRPr="00550B34">
        <w:t>Pa.Code</w:t>
      </w:r>
      <w:proofErr w:type="spellEnd"/>
      <w:r w:rsidRPr="00550B34">
        <w:t xml:space="preserve"> §§5.321-5.373</w:t>
      </w:r>
      <w:r w:rsidR="004907E0">
        <w:t xml:space="preserve"> as modified consistent with the discussion above</w:t>
      </w:r>
      <w:r w:rsidRPr="00550B34">
        <w:t xml:space="preser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550B34">
        <w:t>Pa.Code</w:t>
      </w:r>
      <w:proofErr w:type="spellEnd"/>
      <w:r w:rsidRPr="00550B34">
        <w:t xml:space="preserve"> §§5.361, 5.371-5.372</w:t>
      </w:r>
      <w:r w:rsidR="00317051">
        <w:t>.</w:t>
      </w:r>
    </w:p>
    <w:p w:rsidR="00317051" w:rsidRDefault="00317051" w:rsidP="00317051">
      <w:pPr>
        <w:pStyle w:val="ListParagraph"/>
      </w:pPr>
    </w:p>
    <w:p w:rsidR="00317051" w:rsidRPr="00317051" w:rsidRDefault="00D626EC" w:rsidP="00D626EC">
      <w:pPr>
        <w:pStyle w:val="ListParagraph"/>
        <w:numPr>
          <w:ilvl w:val="0"/>
          <w:numId w:val="11"/>
        </w:numPr>
        <w:spacing w:line="360" w:lineRule="auto"/>
        <w:ind w:left="0" w:firstLine="1440"/>
      </w:pPr>
      <w:r w:rsidRPr="00550B34">
        <w:lastRenderedPageBreak/>
        <w:t xml:space="preserve">That the </w:t>
      </w:r>
      <w:r w:rsidRPr="00317051">
        <w:rPr>
          <w:spacing w:val="-3"/>
        </w:rPr>
        <w:t xml:space="preserve">evidentiary hearing will be held in Harrisburg and will commence at </w:t>
      </w:r>
      <w:r w:rsidR="00143290">
        <w:rPr>
          <w:spacing w:val="-3"/>
        </w:rPr>
        <w:t>1</w:t>
      </w:r>
      <w:r w:rsidR="002251CE">
        <w:rPr>
          <w:spacing w:val="-3"/>
        </w:rPr>
        <w:t>0</w:t>
      </w:r>
      <w:r w:rsidR="00143290">
        <w:rPr>
          <w:spacing w:val="-3"/>
        </w:rPr>
        <w:t xml:space="preserve">:00 a.m. on </w:t>
      </w:r>
      <w:r w:rsidR="002251CE">
        <w:rPr>
          <w:spacing w:val="-3"/>
        </w:rPr>
        <w:t>January 13, 2015</w:t>
      </w:r>
      <w:r w:rsidR="00143290">
        <w:rPr>
          <w:spacing w:val="-3"/>
        </w:rPr>
        <w:t xml:space="preserve">, </w:t>
      </w:r>
      <w:r w:rsidRPr="00317051">
        <w:rPr>
          <w:spacing w:val="-3"/>
        </w:rPr>
        <w:t xml:space="preserve">unless changed by the presiding officer.  </w:t>
      </w:r>
    </w:p>
    <w:p w:rsidR="00317051" w:rsidRDefault="00317051" w:rsidP="00317051">
      <w:pPr>
        <w:pStyle w:val="ListParagraph"/>
      </w:pPr>
    </w:p>
    <w:p w:rsidR="00317051" w:rsidRDefault="00D626EC" w:rsidP="00317051">
      <w:pPr>
        <w:pStyle w:val="ListParagraph"/>
        <w:numPr>
          <w:ilvl w:val="0"/>
          <w:numId w:val="11"/>
        </w:numPr>
        <w:spacing w:line="360" w:lineRule="auto"/>
        <w:ind w:left="0" w:firstLine="1440"/>
      </w:pPr>
      <w:r w:rsidRPr="00550B34">
        <w:t xml:space="preserve">That the parties shall stipulate to any matters they reasonably can to expedite this proceeding, lessen the burden of time and expenses in litigation on all parties and conserve administrative hearing resources. </w:t>
      </w:r>
      <w:r w:rsidR="00317051">
        <w:t xml:space="preserve"> 52 Pa. Code §§</w:t>
      </w:r>
      <w:r w:rsidR="00FA0DC0">
        <w:t xml:space="preserve"> </w:t>
      </w:r>
      <w:r w:rsidR="00317051">
        <w:t xml:space="preserve">5.232 and 5.234.  </w:t>
      </w:r>
    </w:p>
    <w:p w:rsidR="00317051" w:rsidRDefault="00317051" w:rsidP="00317051">
      <w:pPr>
        <w:pStyle w:val="ListParagraph"/>
      </w:pPr>
    </w:p>
    <w:p w:rsidR="00317051" w:rsidRDefault="00D626EC" w:rsidP="00317051">
      <w:pPr>
        <w:pStyle w:val="ListParagraph"/>
        <w:numPr>
          <w:ilvl w:val="0"/>
          <w:numId w:val="11"/>
        </w:numPr>
        <w:spacing w:line="360" w:lineRule="auto"/>
        <w:ind w:left="0" w:firstLine="1440"/>
      </w:pPr>
      <w:r w:rsidRPr="00550B34">
        <w:t>That the evidentiary hearings in this matter constitute a formal legal proceeding and will be conducted in accordance with the Commission’s Rules of Administrative Practice and Procedure, as well as the rules of evidence as applied to administrative hearings.</w:t>
      </w:r>
    </w:p>
    <w:p w:rsidR="00317051" w:rsidRDefault="00317051" w:rsidP="00317051">
      <w:pPr>
        <w:pStyle w:val="ListParagraph"/>
      </w:pPr>
    </w:p>
    <w:p w:rsidR="00D626EC" w:rsidRPr="00550B34" w:rsidRDefault="00D626EC" w:rsidP="00317051">
      <w:pPr>
        <w:pStyle w:val="ListParagraph"/>
        <w:numPr>
          <w:ilvl w:val="0"/>
          <w:numId w:val="11"/>
        </w:numPr>
        <w:spacing w:line="360" w:lineRule="auto"/>
        <w:ind w:left="0" w:firstLine="1440"/>
      </w:pPr>
      <w:r w:rsidRPr="00550B34">
        <w:t>That any provision of this prehearing order may be modified upon motion and good cause shown by any party in interest in accordance with 52 Pa. Code §</w:t>
      </w:r>
      <w:r w:rsidR="00FA0DC0">
        <w:t xml:space="preserve"> </w:t>
      </w:r>
      <w:r w:rsidRPr="00550B34">
        <w:t>5.223(a).</w:t>
      </w:r>
    </w:p>
    <w:p w:rsidR="00D626EC" w:rsidRPr="00550B34" w:rsidRDefault="00D626EC" w:rsidP="00D626EC">
      <w:pPr>
        <w:spacing w:line="360" w:lineRule="auto"/>
      </w:pPr>
    </w:p>
    <w:p w:rsidR="00444E27" w:rsidRPr="00550B34" w:rsidRDefault="00444E27" w:rsidP="00444E27"/>
    <w:p w:rsidR="00444E27" w:rsidRPr="00550B34" w:rsidRDefault="00444E27" w:rsidP="00444E27"/>
    <w:p w:rsidR="00444E27" w:rsidRPr="00550B34" w:rsidRDefault="00444E27" w:rsidP="00444E27">
      <w:pPr>
        <w:rPr>
          <w:u w:val="single"/>
        </w:rPr>
      </w:pPr>
      <w:r w:rsidRPr="00550B34">
        <w:t xml:space="preserve">Date: </w:t>
      </w:r>
      <w:r w:rsidR="002251CE">
        <w:rPr>
          <w:u w:val="single"/>
        </w:rPr>
        <w:t>June 13</w:t>
      </w:r>
      <w:r w:rsidRPr="00550B34">
        <w:rPr>
          <w:u w:val="single"/>
        </w:rPr>
        <w:t>, 201</w:t>
      </w:r>
      <w:r w:rsidR="004417F1">
        <w:rPr>
          <w:u w:val="single"/>
        </w:rPr>
        <w:t>4</w:t>
      </w:r>
      <w:r w:rsidRPr="00550B34">
        <w:tab/>
      </w:r>
      <w:r w:rsidR="0062545F" w:rsidRPr="00550B34">
        <w:tab/>
      </w:r>
      <w:r w:rsidRPr="00550B34">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670888" w:rsidRDefault="00444E27" w:rsidP="00444E27">
      <w:pPr>
        <w:sectPr w:rsidR="00670888"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670888" w:rsidRDefault="00670888" w:rsidP="00670888">
      <w:pPr>
        <w:rPr>
          <w:rFonts w:ascii="Microsoft Sans Serif" w:hAnsi="Microsoft Sans Serif" w:cs="Microsoft Sans Serif"/>
          <w:b/>
          <w:u w:val="single"/>
        </w:rPr>
      </w:pPr>
      <w:r w:rsidRPr="00312E41">
        <w:rPr>
          <w:rFonts w:ascii="Microsoft Sans Serif"/>
          <w:b/>
          <w:u w:val="single"/>
        </w:rPr>
        <w:lastRenderedPageBreak/>
        <w:t>C-2013-2393832 - INSURANCE COMPANY OF GREATER NEW YORK v. UNITED WATER PENNSYLVANIA INC</w:t>
      </w:r>
      <w:r w:rsidRPr="00312E41">
        <w:rPr>
          <w:rFonts w:ascii="Microsoft Sans Serif"/>
          <w:b/>
          <w:u w:val="single"/>
        </w:rPr>
        <w:cr/>
      </w:r>
      <w:r w:rsidRPr="00312E41">
        <w:rPr>
          <w:rFonts w:ascii="Microsoft Sans Serif"/>
          <w:b/>
          <w:u w:val="single"/>
        </w:rPr>
        <w:cr/>
      </w:r>
      <w:r w:rsidRPr="00344E93">
        <w:rPr>
          <w:rFonts w:ascii="Microsoft Sans Serif" w:hAnsi="Microsoft Sans Serif" w:cs="Microsoft Sans Serif"/>
          <w:b/>
          <w:u w:val="single"/>
        </w:rPr>
        <w:t>C-2014-2416206 - STATE FARM FIRE AND CASUALTY COMPANY v.</w:t>
      </w:r>
      <w:r>
        <w:rPr>
          <w:rFonts w:ascii="Microsoft Sans Serif" w:hAnsi="Microsoft Sans Serif" w:cs="Microsoft Sans Serif"/>
          <w:b/>
          <w:u w:val="single"/>
        </w:rPr>
        <w:t xml:space="preserve"> UNITED WATER PENNSYLVANIA INC</w:t>
      </w:r>
      <w:r>
        <w:rPr>
          <w:rFonts w:ascii="Microsoft Sans Serif" w:hAnsi="Microsoft Sans Serif" w:cs="Microsoft Sans Serif"/>
          <w:b/>
          <w:u w:val="single"/>
        </w:rPr>
        <w:cr/>
      </w:r>
    </w:p>
    <w:p w:rsidR="00670888" w:rsidRDefault="00670888" w:rsidP="00670888">
      <w:pPr>
        <w:contextualSpacing/>
        <w:rPr>
          <w:rFonts w:ascii="Microsoft Sans Serif"/>
        </w:rPr>
      </w:pPr>
    </w:p>
    <w:p w:rsidR="00670888" w:rsidRDefault="00670888" w:rsidP="00670888">
      <w:pPr>
        <w:contextualSpacing/>
        <w:rPr>
          <w:rFonts w:ascii="Microsoft Sans Serif"/>
        </w:rPr>
      </w:pPr>
    </w:p>
    <w:p w:rsidR="00670888" w:rsidRPr="00312E41" w:rsidRDefault="00670888" w:rsidP="00670888">
      <w:pPr>
        <w:contextualSpacing/>
        <w:rPr>
          <w:rFonts w:ascii="Microsoft Sans Serif"/>
        </w:rPr>
      </w:pPr>
      <w:bookmarkStart w:id="0" w:name="_GoBack"/>
      <w:r w:rsidRPr="00312E41">
        <w:rPr>
          <w:rFonts w:ascii="Microsoft Sans Serif"/>
        </w:rPr>
        <w:t>GARY L BAILEY ESQUIRE</w:t>
      </w:r>
    </w:p>
    <w:p w:rsidR="00670888" w:rsidRDefault="00670888" w:rsidP="00670888">
      <w:pPr>
        <w:contextualSpacing/>
        <w:rPr>
          <w:rFonts w:ascii="Microsoft Sans Serif"/>
        </w:rPr>
      </w:pPr>
      <w:r w:rsidRPr="00312E41">
        <w:rPr>
          <w:rFonts w:ascii="Microsoft Sans Serif"/>
        </w:rPr>
        <w:t>MATTHEW D MATKOV ESQUIRE</w:t>
      </w:r>
      <w:r w:rsidRPr="00312E41">
        <w:rPr>
          <w:rFonts w:ascii="Microsoft Sans Serif"/>
        </w:rPr>
        <w:cr/>
        <w:t>SALTZ MATKOV PC</w:t>
      </w:r>
      <w:r w:rsidRPr="00312E41">
        <w:rPr>
          <w:rFonts w:ascii="Microsoft Sans Serif"/>
        </w:rPr>
        <w:cr/>
        <w:t>998 OLD EAGLE SCHOOL ROAD SUITE 1206</w:t>
      </w:r>
      <w:r w:rsidRPr="00312E41">
        <w:rPr>
          <w:rFonts w:ascii="Microsoft Sans Serif"/>
        </w:rPr>
        <w:cr/>
        <w:t>WAYNE PA  19087</w:t>
      </w:r>
      <w:r w:rsidRPr="00312E41">
        <w:rPr>
          <w:rFonts w:ascii="Microsoft Sans Serif"/>
        </w:rPr>
        <w:cr/>
      </w:r>
      <w:bookmarkEnd w:id="0"/>
      <w:r w:rsidRPr="00312E41">
        <w:rPr>
          <w:rFonts w:ascii="Microsoft Sans Serif"/>
          <w:b/>
        </w:rPr>
        <w:t>484.318.7225</w:t>
      </w:r>
      <w:r w:rsidRPr="00312E41">
        <w:rPr>
          <w:rFonts w:ascii="Microsoft Sans Serif"/>
          <w:b/>
        </w:rPr>
        <w:cr/>
      </w:r>
      <w:r w:rsidRPr="00312E41">
        <w:rPr>
          <w:rFonts w:ascii="Microsoft Sans Serif"/>
        </w:rPr>
        <w:cr/>
      </w:r>
      <w:r w:rsidRPr="00344E93">
        <w:rPr>
          <w:rFonts w:ascii="Microsoft Sans Serif" w:hAnsi="Microsoft Sans Serif" w:cs="Microsoft Sans Serif"/>
        </w:rPr>
        <w:t xml:space="preserve">CHARLES E THOMAS III </w:t>
      </w:r>
      <w:r>
        <w:rPr>
          <w:rFonts w:ascii="Microsoft Sans Serif" w:hAnsi="Microsoft Sans Serif" w:cs="Microsoft Sans Serif"/>
        </w:rPr>
        <w:t>ESQUIRE</w:t>
      </w:r>
    </w:p>
    <w:p w:rsidR="00670888" w:rsidRPr="00312E41" w:rsidRDefault="00670888" w:rsidP="00670888">
      <w:pPr>
        <w:contextualSpacing/>
        <w:rPr>
          <w:rFonts w:ascii="Microsoft Sans Serif"/>
          <w:b/>
          <w:i/>
          <w:u w:val="single"/>
        </w:rPr>
      </w:pPr>
      <w:r w:rsidRPr="00312E41">
        <w:rPr>
          <w:rFonts w:ascii="Microsoft Sans Serif"/>
        </w:rPr>
        <w:t>THOMAS T NIESEN ESQUIRE</w:t>
      </w:r>
      <w:r w:rsidRPr="00312E41">
        <w:rPr>
          <w:rFonts w:ascii="Microsoft Sans Serif"/>
        </w:rPr>
        <w:cr/>
        <w:t>THOMAS LONG NIESEN &amp; KENNARD</w:t>
      </w:r>
      <w:r w:rsidRPr="00312E41">
        <w:rPr>
          <w:rFonts w:ascii="Microsoft Sans Serif"/>
        </w:rPr>
        <w:cr/>
        <w:t>PO BOX 9500</w:t>
      </w:r>
      <w:r w:rsidRPr="00312E41">
        <w:rPr>
          <w:rFonts w:ascii="Microsoft Sans Serif"/>
        </w:rPr>
        <w:cr/>
        <w:t>HARRISBURG PA  17108-9500</w:t>
      </w:r>
      <w:r w:rsidRPr="00312E41">
        <w:rPr>
          <w:rFonts w:ascii="Microsoft Sans Serif"/>
        </w:rPr>
        <w:cr/>
      </w:r>
      <w:r w:rsidRPr="00312E41">
        <w:rPr>
          <w:rFonts w:ascii="Microsoft Sans Serif"/>
          <w:b/>
        </w:rPr>
        <w:t>717.255.7600</w:t>
      </w:r>
      <w:r w:rsidRPr="00312E41">
        <w:rPr>
          <w:rFonts w:ascii="Microsoft Sans Serif"/>
        </w:rPr>
        <w:cr/>
      </w:r>
      <w:r w:rsidRPr="00376B8F">
        <w:rPr>
          <w:rFonts w:ascii="Microsoft Sans Serif"/>
          <w:b/>
          <w:i/>
          <w:u w:val="single"/>
        </w:rPr>
        <w:t>Accepts e-Service</w:t>
      </w:r>
    </w:p>
    <w:p w:rsidR="00670888" w:rsidRDefault="00670888" w:rsidP="00670888">
      <w:pPr>
        <w:contextualSpacing/>
        <w:rPr>
          <w:rFonts w:ascii="Microsoft Sans Serif" w:hAnsi="Microsoft Sans Serif" w:cs="Microsoft Sans Serif"/>
          <w:i/>
        </w:rPr>
      </w:pPr>
      <w:r>
        <w:rPr>
          <w:rFonts w:ascii="Microsoft Sans Serif" w:hAnsi="Microsoft Sans Serif" w:cs="Microsoft Sans Serif"/>
          <w:i/>
        </w:rPr>
        <w:t xml:space="preserve">(For United Water Pennsylvania </w:t>
      </w:r>
      <w:proofErr w:type="spellStart"/>
      <w:r>
        <w:rPr>
          <w:rFonts w:ascii="Microsoft Sans Serif" w:hAnsi="Microsoft Sans Serif" w:cs="Microsoft Sans Serif"/>
          <w:i/>
        </w:rPr>
        <w:t>Inc</w:t>
      </w:r>
      <w:proofErr w:type="spellEnd"/>
      <w:r>
        <w:rPr>
          <w:rFonts w:ascii="Microsoft Sans Serif" w:hAnsi="Microsoft Sans Serif" w:cs="Microsoft Sans Serif"/>
          <w:i/>
        </w:rPr>
        <w:t>)</w:t>
      </w:r>
    </w:p>
    <w:p w:rsidR="00670888" w:rsidRDefault="00670888" w:rsidP="00670888">
      <w:pPr>
        <w:rPr>
          <w:rFonts w:ascii="Microsoft Sans Serif" w:hAnsi="Microsoft Sans Serif" w:cs="Microsoft Sans Serif"/>
        </w:rPr>
      </w:pPr>
    </w:p>
    <w:p w:rsidR="00670888" w:rsidRDefault="00670888" w:rsidP="00670888">
      <w:pPr>
        <w:rPr>
          <w:rFonts w:ascii="Microsoft Sans Serif" w:hAnsi="Microsoft Sans Serif" w:cs="Microsoft Sans Serif"/>
        </w:rPr>
      </w:pPr>
      <w:r w:rsidRPr="00344E93">
        <w:rPr>
          <w:rFonts w:ascii="Microsoft Sans Serif" w:hAnsi="Microsoft Sans Serif" w:cs="Microsoft Sans Serif"/>
        </w:rPr>
        <w:t xml:space="preserve">JASON A PLAZA </w:t>
      </w:r>
      <w:r>
        <w:rPr>
          <w:rFonts w:ascii="Microsoft Sans Serif" w:hAnsi="Microsoft Sans Serif" w:cs="Microsoft Sans Serif"/>
        </w:rPr>
        <w:t>ESQUIRE</w:t>
      </w:r>
    </w:p>
    <w:p w:rsidR="00670888" w:rsidRDefault="00670888" w:rsidP="00670888">
      <w:pPr>
        <w:rPr>
          <w:rFonts w:ascii="Microsoft Sans Serif" w:hAnsi="Microsoft Sans Serif" w:cs="Microsoft Sans Serif"/>
          <w:b/>
          <w:i/>
        </w:rPr>
      </w:pPr>
      <w:r w:rsidRPr="00344E93">
        <w:rPr>
          <w:rFonts w:ascii="Microsoft Sans Serif" w:hAnsi="Microsoft Sans Serif" w:cs="Microsoft Sans Serif"/>
        </w:rPr>
        <w:t>WHITE AND WILLIAMS LLP</w:t>
      </w:r>
      <w:r w:rsidRPr="00344E93">
        <w:rPr>
          <w:rFonts w:ascii="Microsoft Sans Serif" w:hAnsi="Microsoft Sans Serif" w:cs="Microsoft Sans Serif"/>
        </w:rPr>
        <w:cr/>
        <w:t>1650 MARKET STREET</w:t>
      </w:r>
      <w:r w:rsidRPr="00344E93">
        <w:rPr>
          <w:rFonts w:ascii="Microsoft Sans Serif" w:hAnsi="Microsoft Sans Serif" w:cs="Microsoft Sans Serif"/>
        </w:rPr>
        <w:cr/>
        <w:t>SUITE 1800</w:t>
      </w:r>
      <w:r w:rsidRPr="00344E93">
        <w:rPr>
          <w:rFonts w:ascii="Microsoft Sans Serif" w:hAnsi="Microsoft Sans Serif" w:cs="Microsoft Sans Serif"/>
        </w:rPr>
        <w:cr/>
        <w:t>PHILADELPHIA PA  19103</w:t>
      </w:r>
      <w:r w:rsidRPr="00344E93">
        <w:rPr>
          <w:rFonts w:ascii="Microsoft Sans Serif" w:hAnsi="Microsoft Sans Serif" w:cs="Microsoft Sans Serif"/>
        </w:rPr>
        <w:cr/>
      </w:r>
      <w:r w:rsidRPr="00344E93">
        <w:rPr>
          <w:rFonts w:ascii="Microsoft Sans Serif" w:hAnsi="Microsoft Sans Serif" w:cs="Microsoft Sans Serif"/>
          <w:b/>
        </w:rPr>
        <w:t>215-864-6813</w:t>
      </w:r>
      <w:r w:rsidRPr="00344E93">
        <w:rPr>
          <w:rFonts w:ascii="Microsoft Sans Serif" w:hAnsi="Microsoft Sans Serif" w:cs="Microsoft Sans Serif"/>
          <w:b/>
        </w:rPr>
        <w:cr/>
      </w:r>
      <w:r w:rsidRPr="00344E93">
        <w:rPr>
          <w:rFonts w:ascii="Microsoft Sans Serif" w:hAnsi="Microsoft Sans Serif" w:cs="Microsoft Sans Serif"/>
          <w:i/>
        </w:rPr>
        <w:t>(For State Farm Fire &amp; Casualty Company)</w:t>
      </w:r>
    </w:p>
    <w:p w:rsidR="00670888" w:rsidRDefault="00670888" w:rsidP="00670888">
      <w:pPr>
        <w:rPr>
          <w:rFonts w:ascii="Microsoft Sans Serif"/>
          <w:b/>
          <w:i/>
          <w:u w:val="single"/>
        </w:rPr>
      </w:pPr>
      <w:r w:rsidRPr="00376B8F">
        <w:rPr>
          <w:rFonts w:ascii="Microsoft Sans Serif"/>
          <w:b/>
          <w:i/>
          <w:u w:val="single"/>
        </w:rPr>
        <w:t>Accepts e-Service</w:t>
      </w:r>
    </w:p>
    <w:p w:rsidR="00670888" w:rsidRPr="00344E93" w:rsidRDefault="00670888" w:rsidP="00670888">
      <w:pPr>
        <w:rPr>
          <w:rFonts w:ascii="Microsoft Sans Serif" w:hAnsi="Microsoft Sans Serif" w:cs="Microsoft Sans Serif"/>
          <w:i/>
        </w:rPr>
      </w:pPr>
    </w:p>
    <w:p w:rsidR="00444E27" w:rsidRPr="00550B34" w:rsidRDefault="00444E27" w:rsidP="00444E27"/>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751" w:rsidRDefault="00352751">
      <w:r>
        <w:separator/>
      </w:r>
    </w:p>
  </w:endnote>
  <w:endnote w:type="continuationSeparator" w:id="0">
    <w:p w:rsidR="00352751" w:rsidRDefault="0035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A1CE7">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88" w:rsidRPr="003C02CC" w:rsidRDefault="0067088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751" w:rsidRDefault="00352751">
      <w:r>
        <w:separator/>
      </w:r>
    </w:p>
  </w:footnote>
  <w:footnote w:type="continuationSeparator" w:id="0">
    <w:p w:rsidR="00352751" w:rsidRDefault="00352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2"/>
  </w:num>
  <w:num w:numId="4">
    <w:abstractNumId w:val="14"/>
  </w:num>
  <w:num w:numId="5">
    <w:abstractNumId w:val="3"/>
  </w:num>
  <w:num w:numId="6">
    <w:abstractNumId w:val="16"/>
  </w:num>
  <w:num w:numId="7">
    <w:abstractNumId w:val="1"/>
  </w:num>
  <w:num w:numId="8">
    <w:abstractNumId w:val="10"/>
  </w:num>
  <w:num w:numId="9">
    <w:abstractNumId w:val="5"/>
  </w:num>
  <w:num w:numId="10">
    <w:abstractNumId w:val="15"/>
  </w:num>
  <w:num w:numId="11">
    <w:abstractNumId w:val="12"/>
  </w:num>
  <w:num w:numId="12">
    <w:abstractNumId w:val="4"/>
  </w:num>
  <w:num w:numId="13">
    <w:abstractNumId w:val="11"/>
  </w:num>
  <w:num w:numId="14">
    <w:abstractNumId w:val="0"/>
  </w:num>
  <w:num w:numId="15">
    <w:abstractNumId w:val="13"/>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7C0F"/>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30568"/>
    <w:rsid w:val="00132928"/>
    <w:rsid w:val="0013770C"/>
    <w:rsid w:val="00140883"/>
    <w:rsid w:val="00141DCE"/>
    <w:rsid w:val="00142EE0"/>
    <w:rsid w:val="00143290"/>
    <w:rsid w:val="001441F9"/>
    <w:rsid w:val="00144EB5"/>
    <w:rsid w:val="00153529"/>
    <w:rsid w:val="001547B2"/>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41F1"/>
    <w:rsid w:val="001E755C"/>
    <w:rsid w:val="001F3D60"/>
    <w:rsid w:val="001F59C0"/>
    <w:rsid w:val="0020025C"/>
    <w:rsid w:val="002026C5"/>
    <w:rsid w:val="002069A1"/>
    <w:rsid w:val="00212459"/>
    <w:rsid w:val="0022121D"/>
    <w:rsid w:val="00224765"/>
    <w:rsid w:val="002251CE"/>
    <w:rsid w:val="0023008A"/>
    <w:rsid w:val="0024311B"/>
    <w:rsid w:val="00252F51"/>
    <w:rsid w:val="0025436A"/>
    <w:rsid w:val="0026329B"/>
    <w:rsid w:val="00266583"/>
    <w:rsid w:val="0027269F"/>
    <w:rsid w:val="00276158"/>
    <w:rsid w:val="002825EF"/>
    <w:rsid w:val="002860B7"/>
    <w:rsid w:val="002872AD"/>
    <w:rsid w:val="002967E5"/>
    <w:rsid w:val="002A5F90"/>
    <w:rsid w:val="002A6146"/>
    <w:rsid w:val="002B04F4"/>
    <w:rsid w:val="002B1DB7"/>
    <w:rsid w:val="002B5A65"/>
    <w:rsid w:val="002C06C1"/>
    <w:rsid w:val="002C13F5"/>
    <w:rsid w:val="002C2C4E"/>
    <w:rsid w:val="002C32C8"/>
    <w:rsid w:val="002C370F"/>
    <w:rsid w:val="002C40FB"/>
    <w:rsid w:val="002C66E9"/>
    <w:rsid w:val="002E2B8A"/>
    <w:rsid w:val="002E4F5F"/>
    <w:rsid w:val="002E5F7E"/>
    <w:rsid w:val="002E76DB"/>
    <w:rsid w:val="002E7DE0"/>
    <w:rsid w:val="002F61D3"/>
    <w:rsid w:val="003038D5"/>
    <w:rsid w:val="00312F22"/>
    <w:rsid w:val="00316851"/>
    <w:rsid w:val="00317051"/>
    <w:rsid w:val="00321207"/>
    <w:rsid w:val="003234C9"/>
    <w:rsid w:val="00326FA4"/>
    <w:rsid w:val="00330C99"/>
    <w:rsid w:val="00331314"/>
    <w:rsid w:val="00333A41"/>
    <w:rsid w:val="00334E63"/>
    <w:rsid w:val="00337DC7"/>
    <w:rsid w:val="00342A79"/>
    <w:rsid w:val="00345AF2"/>
    <w:rsid w:val="00352751"/>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7BB1"/>
    <w:rsid w:val="00431DB9"/>
    <w:rsid w:val="004327EC"/>
    <w:rsid w:val="0044078D"/>
    <w:rsid w:val="004417F1"/>
    <w:rsid w:val="00444026"/>
    <w:rsid w:val="004441EB"/>
    <w:rsid w:val="00444E27"/>
    <w:rsid w:val="00446AEA"/>
    <w:rsid w:val="004509B5"/>
    <w:rsid w:val="004677A9"/>
    <w:rsid w:val="0046782D"/>
    <w:rsid w:val="00476814"/>
    <w:rsid w:val="0048022D"/>
    <w:rsid w:val="00484CA9"/>
    <w:rsid w:val="00487C67"/>
    <w:rsid w:val="0049010E"/>
    <w:rsid w:val="004907E0"/>
    <w:rsid w:val="00491200"/>
    <w:rsid w:val="004A44C7"/>
    <w:rsid w:val="004A6217"/>
    <w:rsid w:val="004B12AD"/>
    <w:rsid w:val="004B3128"/>
    <w:rsid w:val="004B73DA"/>
    <w:rsid w:val="004C0C8D"/>
    <w:rsid w:val="004C19EA"/>
    <w:rsid w:val="004C54A1"/>
    <w:rsid w:val="004C5959"/>
    <w:rsid w:val="004D5EDA"/>
    <w:rsid w:val="004E3BB5"/>
    <w:rsid w:val="004E5B21"/>
    <w:rsid w:val="004E6F0A"/>
    <w:rsid w:val="004F0FF9"/>
    <w:rsid w:val="0050525A"/>
    <w:rsid w:val="00506ED2"/>
    <w:rsid w:val="00506F36"/>
    <w:rsid w:val="0051332A"/>
    <w:rsid w:val="005173E3"/>
    <w:rsid w:val="0052063B"/>
    <w:rsid w:val="00522D71"/>
    <w:rsid w:val="00526B7E"/>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7041"/>
    <w:rsid w:val="00582CDA"/>
    <w:rsid w:val="0058333F"/>
    <w:rsid w:val="005877DE"/>
    <w:rsid w:val="00587965"/>
    <w:rsid w:val="00593CE6"/>
    <w:rsid w:val="005A0C2C"/>
    <w:rsid w:val="005A1CE7"/>
    <w:rsid w:val="005A36C7"/>
    <w:rsid w:val="005A3B57"/>
    <w:rsid w:val="005B49D8"/>
    <w:rsid w:val="005B6C33"/>
    <w:rsid w:val="005C038C"/>
    <w:rsid w:val="005C7120"/>
    <w:rsid w:val="005D0602"/>
    <w:rsid w:val="005D092D"/>
    <w:rsid w:val="005D470C"/>
    <w:rsid w:val="005E2A64"/>
    <w:rsid w:val="005E5B28"/>
    <w:rsid w:val="005F179B"/>
    <w:rsid w:val="005F1FD3"/>
    <w:rsid w:val="005F2817"/>
    <w:rsid w:val="005F3E44"/>
    <w:rsid w:val="005F5D43"/>
    <w:rsid w:val="006031D8"/>
    <w:rsid w:val="006044E1"/>
    <w:rsid w:val="0060777D"/>
    <w:rsid w:val="006151E8"/>
    <w:rsid w:val="00617F66"/>
    <w:rsid w:val="0062545F"/>
    <w:rsid w:val="00626332"/>
    <w:rsid w:val="006273A0"/>
    <w:rsid w:val="00634D85"/>
    <w:rsid w:val="006373C8"/>
    <w:rsid w:val="00643063"/>
    <w:rsid w:val="00645312"/>
    <w:rsid w:val="00646D7E"/>
    <w:rsid w:val="0064719F"/>
    <w:rsid w:val="00657239"/>
    <w:rsid w:val="00661F7B"/>
    <w:rsid w:val="00664B91"/>
    <w:rsid w:val="00666CE7"/>
    <w:rsid w:val="00670888"/>
    <w:rsid w:val="00670EBA"/>
    <w:rsid w:val="0067293C"/>
    <w:rsid w:val="006747F7"/>
    <w:rsid w:val="006763F3"/>
    <w:rsid w:val="006803CC"/>
    <w:rsid w:val="006816B8"/>
    <w:rsid w:val="00684075"/>
    <w:rsid w:val="00694651"/>
    <w:rsid w:val="0069608E"/>
    <w:rsid w:val="0069608F"/>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25BFC"/>
    <w:rsid w:val="00726EC8"/>
    <w:rsid w:val="00735291"/>
    <w:rsid w:val="0074212A"/>
    <w:rsid w:val="00746EC7"/>
    <w:rsid w:val="00752614"/>
    <w:rsid w:val="0075751F"/>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3D58"/>
    <w:rsid w:val="008454B9"/>
    <w:rsid w:val="00845A5B"/>
    <w:rsid w:val="0084613F"/>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17E3"/>
    <w:rsid w:val="008C2266"/>
    <w:rsid w:val="008C53F0"/>
    <w:rsid w:val="008C6629"/>
    <w:rsid w:val="008C6C08"/>
    <w:rsid w:val="008C7929"/>
    <w:rsid w:val="008D2A90"/>
    <w:rsid w:val="008D34B8"/>
    <w:rsid w:val="008D59A2"/>
    <w:rsid w:val="008E6D84"/>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4060"/>
    <w:rsid w:val="009971D9"/>
    <w:rsid w:val="009A241C"/>
    <w:rsid w:val="009B0651"/>
    <w:rsid w:val="009C228F"/>
    <w:rsid w:val="009C2A10"/>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4F8A"/>
    <w:rsid w:val="00A62BBE"/>
    <w:rsid w:val="00A74AF3"/>
    <w:rsid w:val="00A76336"/>
    <w:rsid w:val="00A76480"/>
    <w:rsid w:val="00A77426"/>
    <w:rsid w:val="00A8749E"/>
    <w:rsid w:val="00A92373"/>
    <w:rsid w:val="00A93FB7"/>
    <w:rsid w:val="00AA23BA"/>
    <w:rsid w:val="00AA3B44"/>
    <w:rsid w:val="00AA5A3B"/>
    <w:rsid w:val="00AB35A6"/>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B0A31"/>
    <w:rsid w:val="00BB229F"/>
    <w:rsid w:val="00BB5DF1"/>
    <w:rsid w:val="00BB6570"/>
    <w:rsid w:val="00BC1B7C"/>
    <w:rsid w:val="00BC484E"/>
    <w:rsid w:val="00BC5CA3"/>
    <w:rsid w:val="00BC689D"/>
    <w:rsid w:val="00BD2783"/>
    <w:rsid w:val="00BE0854"/>
    <w:rsid w:val="00BE1ED2"/>
    <w:rsid w:val="00BF341D"/>
    <w:rsid w:val="00BF3473"/>
    <w:rsid w:val="00BF6876"/>
    <w:rsid w:val="00BF718F"/>
    <w:rsid w:val="00C0065E"/>
    <w:rsid w:val="00C12AD7"/>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4490"/>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65D31"/>
    <w:rsid w:val="00D7167B"/>
    <w:rsid w:val="00D73519"/>
    <w:rsid w:val="00D73E83"/>
    <w:rsid w:val="00D80A3E"/>
    <w:rsid w:val="00D84B3D"/>
    <w:rsid w:val="00D92151"/>
    <w:rsid w:val="00D94D3A"/>
    <w:rsid w:val="00D95385"/>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0FFA"/>
    <w:rsid w:val="00E526F5"/>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B045D"/>
    <w:rsid w:val="00EB41C4"/>
    <w:rsid w:val="00EC1909"/>
    <w:rsid w:val="00EC2835"/>
    <w:rsid w:val="00EC4455"/>
    <w:rsid w:val="00EC77BB"/>
    <w:rsid w:val="00ED1828"/>
    <w:rsid w:val="00ED4EEA"/>
    <w:rsid w:val="00F00D62"/>
    <w:rsid w:val="00F0305C"/>
    <w:rsid w:val="00F1692D"/>
    <w:rsid w:val="00F23018"/>
    <w:rsid w:val="00F33096"/>
    <w:rsid w:val="00F40D25"/>
    <w:rsid w:val="00F441B2"/>
    <w:rsid w:val="00F46A84"/>
    <w:rsid w:val="00F5660C"/>
    <w:rsid w:val="00F63836"/>
    <w:rsid w:val="00F76819"/>
    <w:rsid w:val="00F9081A"/>
    <w:rsid w:val="00F90A9D"/>
    <w:rsid w:val="00FA0DC0"/>
    <w:rsid w:val="00FA0E84"/>
    <w:rsid w:val="00FA5B52"/>
    <w:rsid w:val="00FA73C3"/>
    <w:rsid w:val="00FA7A69"/>
    <w:rsid w:val="00FA7F14"/>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44E27"/>
    <w:rPr>
      <w:sz w:val="24"/>
      <w:szCs w:val="24"/>
    </w:rPr>
  </w:style>
  <w:style w:type="paragraph" w:styleId="BalloonText">
    <w:name w:val="Balloon Text"/>
    <w:basedOn w:val="Normal"/>
    <w:link w:val="BalloonTextChar"/>
    <w:rsid w:val="005E2A64"/>
    <w:rPr>
      <w:rFonts w:ascii="Tahoma" w:hAnsi="Tahoma" w:cs="Tahoma"/>
      <w:sz w:val="16"/>
      <w:szCs w:val="16"/>
    </w:rPr>
  </w:style>
  <w:style w:type="character" w:customStyle="1" w:styleId="BalloonTextChar">
    <w:name w:val="Balloon Text Char"/>
    <w:basedOn w:val="DefaultParagraphFont"/>
    <w:link w:val="BalloonText"/>
    <w:rsid w:val="005E2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44E27"/>
    <w:rPr>
      <w:sz w:val="24"/>
      <w:szCs w:val="24"/>
    </w:rPr>
  </w:style>
  <w:style w:type="paragraph" w:styleId="BalloonText">
    <w:name w:val="Balloon Text"/>
    <w:basedOn w:val="Normal"/>
    <w:link w:val="BalloonTextChar"/>
    <w:rsid w:val="005E2A64"/>
    <w:rPr>
      <w:rFonts w:ascii="Tahoma" w:hAnsi="Tahoma" w:cs="Tahoma"/>
      <w:sz w:val="16"/>
      <w:szCs w:val="16"/>
    </w:rPr>
  </w:style>
  <w:style w:type="character" w:customStyle="1" w:styleId="BalloonTextChar">
    <w:name w:val="Balloon Text Char"/>
    <w:basedOn w:val="DefaultParagraphFont"/>
    <w:link w:val="BalloonText"/>
    <w:rsid w:val="005E2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08F9-1A1B-4C10-A1C4-3168162E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2014-06-13T15:09:00Z</cp:lastPrinted>
  <dcterms:created xsi:type="dcterms:W3CDTF">2014-06-13T15:05:00Z</dcterms:created>
  <dcterms:modified xsi:type="dcterms:W3CDTF">2014-06-13T15:18:00Z</dcterms:modified>
</cp:coreProperties>
</file>