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D4" w:rsidRPr="00463B64" w:rsidRDefault="002A2AD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2A2AD4" w:rsidRPr="00463B64" w:rsidRDefault="002A2AD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A2AD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7F539B" w:rsidP="00A210B5">
      <w:pPr>
        <w:tabs>
          <w:tab w:val="left" w:pos="5040"/>
        </w:tabs>
        <w:jc w:val="both"/>
        <w:rPr>
          <w:rFonts w:ascii="Times New Roman" w:hAnsi="Times New Roman"/>
          <w:szCs w:val="24"/>
        </w:rPr>
      </w:pPr>
      <w:r>
        <w:rPr>
          <w:rFonts w:ascii="Times New Roman" w:hAnsi="Times New Roman"/>
          <w:caps/>
          <w:noProof/>
          <w:szCs w:val="24"/>
        </w:rPr>
        <w:t>NATASHA N. FOSTER</w:t>
      </w:r>
      <w:r w:rsidR="002A2AD4" w:rsidRPr="00463B64">
        <w:rPr>
          <w:rFonts w:ascii="Times New Roman" w:hAnsi="Times New Roman"/>
          <w:szCs w:val="24"/>
        </w:rPr>
        <w:tab/>
        <w:t>:</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2A2AD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007F539B" w:rsidRPr="007F539B">
        <w:rPr>
          <w:rFonts w:ascii="Times New Roman" w:hAnsi="Times New Roman"/>
          <w:szCs w:val="24"/>
        </w:rPr>
        <w:t>C-2014-2422382</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A63A1E" w:rsidP="00A210B5">
      <w:pPr>
        <w:tabs>
          <w:tab w:val="left" w:pos="5040"/>
        </w:tabs>
        <w:jc w:val="both"/>
        <w:rPr>
          <w:rFonts w:ascii="Times New Roman" w:hAnsi="Times New Roman"/>
          <w:szCs w:val="24"/>
        </w:rPr>
      </w:pPr>
      <w:r w:rsidRPr="00A63A1E">
        <w:rPr>
          <w:rFonts w:ascii="Times New Roman" w:hAnsi="Times New Roman"/>
          <w:caps/>
          <w:noProof/>
          <w:szCs w:val="24"/>
        </w:rPr>
        <w:t>PPL ELECTRIC UTILITIES CORP</w:t>
      </w:r>
      <w:r>
        <w:rPr>
          <w:rFonts w:ascii="Times New Roman" w:hAnsi="Times New Roman"/>
          <w:caps/>
          <w:noProof/>
          <w:szCs w:val="24"/>
        </w:rPr>
        <w:t>.</w:t>
      </w:r>
      <w:r>
        <w:rPr>
          <w:rFonts w:ascii="Times New Roman" w:hAnsi="Times New Roman"/>
          <w:caps/>
          <w:noProof/>
          <w:szCs w:val="24"/>
        </w:rPr>
        <w:tab/>
      </w:r>
      <w:r w:rsidR="002A2AD4" w:rsidRPr="00463B64">
        <w:rPr>
          <w:rFonts w:ascii="Times New Roman" w:hAnsi="Times New Roman"/>
          <w:szCs w:val="24"/>
        </w:rPr>
        <w:t>:</w:t>
      </w:r>
    </w:p>
    <w:p w:rsidR="002A2AD4" w:rsidRPr="00463B64" w:rsidRDefault="002A2AD4" w:rsidP="00A210B5">
      <w:pPr>
        <w:tabs>
          <w:tab w:val="left" w:pos="2160"/>
        </w:tabs>
        <w:jc w:val="both"/>
        <w:rPr>
          <w:rFonts w:ascii="Times New Roman" w:hAnsi="Times New Roman"/>
          <w:szCs w:val="24"/>
        </w:rPr>
      </w:pPr>
    </w:p>
    <w:p w:rsidR="002A2AD4" w:rsidRDefault="002A2AD4" w:rsidP="00A210B5">
      <w:pPr>
        <w:tabs>
          <w:tab w:val="left" w:pos="2160"/>
        </w:tabs>
        <w:jc w:val="both"/>
        <w:rPr>
          <w:rFonts w:ascii="Times New Roman" w:hAnsi="Times New Roman"/>
          <w:szCs w:val="24"/>
        </w:rPr>
      </w:pPr>
    </w:p>
    <w:p w:rsidR="002A2AD4" w:rsidRPr="00463B64" w:rsidRDefault="002A2AD4" w:rsidP="00A210B5">
      <w:pPr>
        <w:tabs>
          <w:tab w:val="left" w:pos="2160"/>
        </w:tabs>
        <w:jc w:val="both"/>
        <w:rPr>
          <w:rFonts w:ascii="Times New Roman" w:hAnsi="Times New Roman"/>
          <w:szCs w:val="24"/>
        </w:rPr>
      </w:pPr>
    </w:p>
    <w:p w:rsidR="002A2AD4" w:rsidRPr="005A6B74" w:rsidRDefault="005A6B74" w:rsidP="005A6B74">
      <w:pPr>
        <w:tabs>
          <w:tab w:val="left" w:pos="1440"/>
          <w:tab w:val="left" w:pos="2160"/>
        </w:tabs>
        <w:spacing w:line="360" w:lineRule="auto"/>
        <w:jc w:val="center"/>
        <w:rPr>
          <w:rFonts w:ascii="Times New Roman" w:hAnsi="Times New Roman"/>
          <w:b/>
          <w:szCs w:val="24"/>
          <w:u w:val="single"/>
        </w:rPr>
      </w:pPr>
      <w:r w:rsidRPr="005A6B74">
        <w:rPr>
          <w:rFonts w:ascii="Times New Roman" w:hAnsi="Times New Roman"/>
          <w:b/>
          <w:szCs w:val="24"/>
          <w:u w:val="single"/>
        </w:rPr>
        <w:t>PREHEARING ORDER</w:t>
      </w:r>
    </w:p>
    <w:p w:rsidR="005A6B74" w:rsidRDefault="002A2AD4" w:rsidP="00A210B5">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r>
    </w:p>
    <w:p w:rsidR="005A6B74" w:rsidRPr="005A6B74" w:rsidRDefault="005A6B74" w:rsidP="005A6B74">
      <w:pPr>
        <w:tabs>
          <w:tab w:val="left" w:pos="1440"/>
          <w:tab w:val="left" w:pos="2160"/>
          <w:tab w:val="left" w:pos="2880"/>
        </w:tabs>
        <w:spacing w:line="360" w:lineRule="auto"/>
        <w:jc w:val="both"/>
        <w:rPr>
          <w:rFonts w:ascii="Times New Roman" w:hAnsi="Times New Roman" w:cs="CG Times"/>
          <w:spacing w:val="0"/>
          <w:szCs w:val="24"/>
        </w:rPr>
      </w:pPr>
      <w:r>
        <w:rPr>
          <w:rFonts w:ascii="Times New Roman" w:hAnsi="Times New Roman"/>
          <w:b/>
          <w:szCs w:val="24"/>
        </w:rPr>
        <w:tab/>
      </w:r>
      <w:r w:rsidRPr="005A6B74">
        <w:rPr>
          <w:rFonts w:ascii="Times New Roman" w:hAnsi="Times New Roman" w:cs="CG Times"/>
          <w:spacing w:val="0"/>
          <w:szCs w:val="24"/>
        </w:rPr>
        <w:t xml:space="preserve">By Telephonic Hearing Notice dated </w:t>
      </w:r>
      <w:r w:rsidR="007F539B">
        <w:rPr>
          <w:rFonts w:ascii="Times New Roman" w:hAnsi="Times New Roman" w:cs="CG Times"/>
          <w:spacing w:val="0"/>
          <w:szCs w:val="24"/>
        </w:rPr>
        <w:t>June 12, 2014</w:t>
      </w:r>
      <w:r w:rsidRPr="005A6B74">
        <w:rPr>
          <w:rFonts w:ascii="Times New Roman" w:hAnsi="Times New Roman" w:cs="CG Times"/>
          <w:spacing w:val="0"/>
          <w:szCs w:val="24"/>
        </w:rPr>
        <w:t xml:space="preserve">, the Pennsylvania Public Utility Commission (Commission) scheduled an Initial Telephonic Hearing for this matter for </w:t>
      </w:r>
      <w:r w:rsidR="007F539B">
        <w:rPr>
          <w:rFonts w:ascii="Times New Roman" w:hAnsi="Times New Roman" w:cs="CG Times"/>
          <w:spacing w:val="0"/>
          <w:szCs w:val="24"/>
        </w:rPr>
        <w:t xml:space="preserve">Thursday </w:t>
      </w:r>
      <w:r>
        <w:rPr>
          <w:rFonts w:ascii="Times New Roman" w:hAnsi="Times New Roman" w:cs="CG Times"/>
          <w:spacing w:val="0"/>
          <w:szCs w:val="24"/>
        </w:rPr>
        <w:t xml:space="preserve">July </w:t>
      </w:r>
      <w:r w:rsidR="007F539B">
        <w:rPr>
          <w:rFonts w:ascii="Times New Roman" w:hAnsi="Times New Roman" w:cs="CG Times"/>
          <w:spacing w:val="0"/>
          <w:szCs w:val="24"/>
        </w:rPr>
        <w:t>17</w:t>
      </w:r>
      <w:r>
        <w:rPr>
          <w:rFonts w:ascii="Times New Roman" w:hAnsi="Times New Roman" w:cs="CG Times"/>
          <w:spacing w:val="0"/>
          <w:szCs w:val="24"/>
        </w:rPr>
        <w:t xml:space="preserve">, </w:t>
      </w:r>
      <w:r w:rsidRPr="005A6B74">
        <w:rPr>
          <w:rFonts w:ascii="Times New Roman" w:hAnsi="Times New Roman" w:cs="CG Times"/>
          <w:spacing w:val="0"/>
          <w:szCs w:val="24"/>
        </w:rPr>
        <w:t>2014, at 10:00 a.m. and assigned me as the Presiding Officer.  I will initiate the Hearing by calling the parties at the telephone numbers included on the Notice at 10:00 a.m.</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cs="CG Times"/>
          <w:spacing w:val="0"/>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r w:rsidRPr="005A6B74">
        <w:rPr>
          <w:rFonts w:ascii="Times New Roman" w:hAnsi="Times New Roman"/>
          <w:b/>
          <w:spacing w:val="0"/>
          <w:szCs w:val="24"/>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5A6B74">
        <w:rPr>
          <w:rFonts w:ascii="Times New Roman" w:hAnsi="Times New Roman"/>
          <w:spacing w:val="0"/>
          <w:szCs w:val="24"/>
        </w:rPr>
        <w:t xml:space="preserve">.  </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In addition, t</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 xml:space="preserve">he parties shall comply with the following requirements: </w:t>
      </w:r>
    </w:p>
    <w:p w:rsidR="005A6B74" w:rsidRPr="005A6B74" w:rsidRDefault="005A6B74" w:rsidP="005A6B74">
      <w:pPr>
        <w:tabs>
          <w:tab w:val="left" w:pos="-72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Commission policy promotes settlements.  52 Pa. Code §5.231(a).  </w:t>
      </w:r>
      <w:r w:rsidRPr="005A6B74">
        <w:rPr>
          <w:rFonts w:ascii="Times New Roman" w:hAnsi="Times New Roman"/>
          <w:b/>
          <w:spacing w:val="0"/>
          <w:szCs w:val="24"/>
          <w:u w:val="single"/>
        </w:rPr>
        <w:t>The utility is directed to contact the complainant at least seven (7) days before the scheduled hearing to discuss possible settlement of this case</w:t>
      </w:r>
      <w:r w:rsidRPr="005A6B74">
        <w:rPr>
          <w:rFonts w:ascii="Times New Roman" w:hAnsi="Times New Roman"/>
          <w:spacing w:val="0"/>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5A6B74" w:rsidRPr="005A6B74" w:rsidRDefault="005A6B74" w:rsidP="005A6B74">
      <w:pPr>
        <w:tabs>
          <w:tab w:val="left" w:pos="-720"/>
          <w:tab w:val="left" w:pos="126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A request for a change of the scheduled hearing date must state the agreement or opposition of other parties, and must be submitted in writing no later than five (5) days prior to </w:t>
      </w:r>
      <w:r w:rsidRPr="005A6B74">
        <w:rPr>
          <w:rFonts w:ascii="Times New Roman" w:hAnsi="Times New Roman"/>
          <w:szCs w:val="24"/>
        </w:rPr>
        <w:lastRenderedPageBreak/>
        <w:t xml:space="preserve">the hearing.  52 Pa. Code §1.15(b).  Requests for changes of hearing dates must be sent to me and all parties of record.  My  address is:  </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Pr>
          <w:rFonts w:ascii="Times New Roman" w:hAnsi="Times New Roman"/>
          <w:szCs w:val="24"/>
        </w:rPr>
        <w:t>Dennis J. Buckley</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Administrative Law Judge</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Pennsylvania Public Utility Commission</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P.O. Box 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Harrisburg, Pa. 17105-3265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Telephone:  (717) 787-1399</w:t>
      </w:r>
      <w:r w:rsidRPr="005A6B74">
        <w:rPr>
          <w:rFonts w:ascii="Times New Roman" w:hAnsi="Times New Roman"/>
          <w:szCs w:val="24"/>
        </w:rPr>
        <w:tab/>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Fax:  (717) 787-0481</w:t>
      </w:r>
    </w:p>
    <w:p w:rsid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 xml:space="preserve">Email:  </w:t>
      </w:r>
      <w:r>
        <w:rPr>
          <w:rFonts w:ascii="Times New Roman" w:hAnsi="Times New Roman"/>
          <w:szCs w:val="24"/>
        </w:rPr>
        <w:t>debuckley@pa.gov</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zCs w:val="24"/>
        </w:rPr>
      </w:pPr>
      <w:r w:rsidRPr="005A6B74">
        <w:rPr>
          <w:rFonts w:ascii="Times New Roman" w:hAnsi="Times New Roman"/>
          <w:szCs w:val="24"/>
        </w:rPr>
        <w:t>Changes are granted only in situations where good cause exists.</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53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5A6B74" w:rsidRPr="005A6B74" w:rsidRDefault="005A6B74" w:rsidP="005A6B74">
      <w:pPr>
        <w:tabs>
          <w:tab w:val="left" w:pos="-720"/>
          <w:tab w:val="left" w:pos="1530"/>
          <w:tab w:val="left" w:pos="216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1"/>
        </w:numPr>
        <w:tabs>
          <w:tab w:val="clear" w:pos="1800"/>
          <w:tab w:val="left" w:pos="-720"/>
          <w:tab w:val="left" w:pos="153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5A6B74" w:rsidRPr="005A6B74" w:rsidRDefault="005A6B74" w:rsidP="005A6B74">
      <w:pPr>
        <w:tabs>
          <w:tab w:val="left" w:pos="-720"/>
          <w:tab w:val="left" w:pos="153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zCs w:val="24"/>
        </w:rPr>
        <w:lastRenderedPageBreak/>
        <w:t xml:space="preserve">If the customer is making a claim for a high bill, the customer must be prepared to testify about </w:t>
      </w:r>
      <w:r w:rsidRPr="005A6B74">
        <w:rPr>
          <w:rFonts w:ascii="Times New Roman" w:hAnsi="Times New Roman"/>
          <w:spacing w:val="0"/>
          <w:szCs w:val="24"/>
        </w:rPr>
        <w:t>his or her billing history; any change in the number of occupants residing at the household; the potential for energy utilization; and any other relevant facts or circumstances that are brought that may impact usage</w:t>
      </w:r>
    </w:p>
    <w:p w:rsidR="005A6B74" w:rsidRPr="005A6B74" w:rsidRDefault="005A6B74" w:rsidP="005A6B74">
      <w:pPr>
        <w:autoSpaceDE w:val="0"/>
        <w:autoSpaceDN w:val="0"/>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If a party intends to present any documents or exhibits for consideration, it must provide one copy to the other parties and three (3) copies to me at least five days prior to the hearing.  </w:t>
      </w:r>
      <w:r w:rsidRPr="005A6B74">
        <w:rPr>
          <w:rFonts w:ascii="Times New Roman" w:hAnsi="Times New Roman" w:cs="CG Times"/>
          <w:spacing w:val="0"/>
          <w:szCs w:val="24"/>
        </w:rPr>
        <w:t xml:space="preserve">This includes a copy of a Protection from Abuse (PFA) Order if you marked the “yes” response on the Complaint form that asks if you are a victim under a PFA.  </w:t>
      </w:r>
      <w:r w:rsidRPr="005A6B74">
        <w:rPr>
          <w:rFonts w:ascii="Times New Roman" w:hAnsi="Times New Roman"/>
          <w:spacing w:val="0"/>
          <w:szCs w:val="24"/>
        </w:rPr>
        <w:t xml:space="preserve">A party should properly pre-mark exhibits for identification purposes.  </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Although the hearing is being conducted telephonically for the convenience of the parties, the hearing is a formal proceeding and will be conducted in accordance with the Commission’s Rules of Practice and Procedure. </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 w:val="22"/>
          <w:szCs w:val="21"/>
        </w:rPr>
        <w:t>Pursuant to 52 Pa. Code §§1.21 &amp; 1.22, a</w:t>
      </w:r>
      <w:r w:rsidRPr="005A6B74">
        <w:rPr>
          <w:rFonts w:ascii="Times New Roman" w:eastAsia="Calibri" w:hAnsi="Times New Roman"/>
          <w:spacing w:val="0"/>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5A6B74">
        <w:rPr>
          <w:rFonts w:ascii="Times New Roman" w:eastAsia="Calibri" w:hAnsi="Times New Roman"/>
          <w:spacing w:val="0"/>
          <w:szCs w:val="24"/>
        </w:rPr>
        <w:t>Vartan</w:t>
      </w:r>
      <w:proofErr w:type="spellEnd"/>
      <w:r w:rsidRPr="005A6B74">
        <w:rPr>
          <w:rFonts w:ascii="Times New Roman" w:eastAsia="Calibri" w:hAnsi="Times New Roman"/>
          <w:spacing w:val="0"/>
          <w:szCs w:val="24"/>
        </w:rPr>
        <w:t xml:space="preserve"> Way, Harrisburg, PA 17110, by phone at 717-541-0320 or via email at </w:t>
      </w:r>
      <w:r w:rsidRPr="005A6B74">
        <w:rPr>
          <w:rFonts w:ascii="Times New Roman" w:eastAsia="Calibri" w:hAnsi="Times New Roman"/>
          <w:color w:val="0000FF"/>
          <w:spacing w:val="0"/>
          <w:szCs w:val="24"/>
          <w:u w:val="single"/>
        </w:rPr>
        <w:t>lawclinichb@mail.widener.edu</w:t>
      </w:r>
      <w:r w:rsidRPr="005A6B74">
        <w:rPr>
          <w:rFonts w:ascii="Times New Roman" w:eastAsia="Calibri" w:hAnsi="Times New Roman"/>
          <w:spacing w:val="0"/>
          <w:szCs w:val="24"/>
        </w:rPr>
        <w:t>.  For additional information see Widener Harrisburg's Civil Law Clinic's website:</w:t>
      </w:r>
    </w:p>
    <w:p w:rsidR="005A6B74" w:rsidRPr="005A6B74" w:rsidRDefault="005A6B74" w:rsidP="005A6B74">
      <w:pPr>
        <w:autoSpaceDE w:val="0"/>
        <w:autoSpaceDN w:val="0"/>
        <w:ind w:firstLine="1440"/>
        <w:rPr>
          <w:rFonts w:ascii="Times New Roman" w:hAnsi="Times New Roman" w:cs="CG Times"/>
          <w:spacing w:val="0"/>
          <w:szCs w:val="24"/>
        </w:rPr>
      </w:pPr>
    </w:p>
    <w:p w:rsidR="005A6B74" w:rsidRPr="005A6B74" w:rsidRDefault="005A6B74" w:rsidP="005A6B74">
      <w:pPr>
        <w:tabs>
          <w:tab w:val="left" w:pos="2070"/>
        </w:tabs>
        <w:ind w:right="1440" w:firstLine="1440"/>
        <w:rPr>
          <w:rFonts w:ascii="Times New Roman" w:eastAsia="Calibri" w:hAnsi="Times New Roman"/>
          <w:spacing w:val="0"/>
          <w:szCs w:val="24"/>
        </w:rPr>
      </w:pPr>
      <w:r w:rsidRPr="005A6B74">
        <w:rPr>
          <w:rFonts w:ascii="Times New Roman" w:eastAsia="Calibri" w:hAnsi="Times New Roman"/>
          <w:color w:val="0000FF"/>
          <w:spacing w:val="0"/>
          <w:szCs w:val="24"/>
          <w:u w:val="single"/>
        </w:rPr>
        <w:t>http://law.widener.edu/Academics/ClinicalProgramsandProfessionalTraining/Clinics/HarrisburgCivilLawClinic.aspx</w:t>
      </w:r>
      <w:r w:rsidRPr="005A6B74">
        <w:rPr>
          <w:rFonts w:ascii="Times New Roman" w:eastAsia="Calibri" w:hAnsi="Times New Roman"/>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r w:rsidRPr="005A6B74">
        <w:rPr>
          <w:rFonts w:ascii="Times New Roman" w:eastAsia="Calibri" w:hAnsi="Times New Roman"/>
          <w:spacing w:val="0"/>
          <w:szCs w:val="24"/>
        </w:rPr>
        <w:t>Based on your income, legal representation may be available to you at no cost or a reduced fee.</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If you are a partnership, corporation, trust, association, or governmental agency or subdivision, an attorney licensed to practice law in the Commonwealth of Pennsylvania, or admitted </w:t>
      </w:r>
      <w:r w:rsidRPr="005A6B74">
        <w:rPr>
          <w:rFonts w:ascii="Times New Roman" w:hAnsi="Times New Roman"/>
          <w:i/>
          <w:iCs/>
          <w:szCs w:val="24"/>
        </w:rPr>
        <w:t>Pro Hac Vice</w:t>
      </w:r>
      <w:r w:rsidRPr="005A6B74">
        <w:rPr>
          <w:rFonts w:ascii="Times New Roman" w:hAnsi="Times New Roman"/>
          <w:szCs w:val="24"/>
        </w:rPr>
        <w:t xml:space="preserve">, must represent you in this proceeding.  </w:t>
      </w:r>
    </w:p>
    <w:p w:rsidR="005A6B74" w:rsidRP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lastRenderedPageBreak/>
        <w:t>Unless you are an attorney, you may not represent someone else.  Attorneys shall enter their appearance in accordance with the provisions of 52 Pa. Code §1.24(b).</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Customer is responsible for payment of current bills pending the resolution of this complaint, if applicable.  Failure to make payments may result in the termination of utility service</w:t>
      </w:r>
      <w:r w:rsidRPr="005A6B74">
        <w:rPr>
          <w:rFonts w:ascii="Times New Roman" w:eastAsia="Calibri" w:hAnsi="Times New Roman"/>
          <w:caps/>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Pursuant to 52 Pa Code § 1.24, parties must promptly report to the Commission and the other parties a change in address that occurs during the course of the proceeding.  </w:t>
      </w:r>
    </w:p>
    <w:p w:rsidR="005A6B74" w:rsidRPr="005A6B74" w:rsidRDefault="005A6B74" w:rsidP="005A6B74">
      <w:pPr>
        <w:tabs>
          <w:tab w:val="left" w:pos="2070"/>
        </w:tabs>
        <w:autoSpaceDE w:val="0"/>
        <w:autoSpaceDN w:val="0"/>
        <w:spacing w:line="360" w:lineRule="auto"/>
        <w:ind w:firstLine="1440"/>
        <w:rPr>
          <w:rFonts w:ascii="Times New Roman" w:hAnsi="Times New Roman"/>
          <w:b/>
          <w:szCs w:val="24"/>
          <w:u w:val="single"/>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b/>
          <w:szCs w:val="24"/>
          <w:u w:val="single"/>
        </w:rPr>
        <w:t>If a party fails to participate in the hearing, the hearing may proceed without that party and a decision may be entered against that party.</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The Complainant bears the burden of proof and must demonstrate by a preponderance of the evidence that he is entitled to the relief requested in the complaint.  </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Commission’s phone system can only call two telephone numbers at one time.  If it is necessary to call additional numbers for the hearing, alternative conferencing arrangements can be made.</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Date:</w:t>
      </w:r>
      <w:r w:rsidRPr="005A6B74">
        <w:rPr>
          <w:rFonts w:ascii="Times New Roman" w:hAnsi="Times New Roman"/>
          <w:szCs w:val="24"/>
        </w:rPr>
        <w:tab/>
      </w:r>
      <w:r>
        <w:rPr>
          <w:rFonts w:ascii="Times New Roman" w:hAnsi="Times New Roman"/>
          <w:szCs w:val="24"/>
          <w:u w:val="single"/>
        </w:rPr>
        <w:t>June</w:t>
      </w:r>
      <w:r w:rsidRPr="005A6B74">
        <w:rPr>
          <w:rFonts w:ascii="Times New Roman" w:hAnsi="Times New Roman"/>
          <w:szCs w:val="24"/>
          <w:u w:val="single"/>
        </w:rPr>
        <w:t xml:space="preserve"> </w:t>
      </w:r>
      <w:r>
        <w:rPr>
          <w:rFonts w:ascii="Times New Roman" w:hAnsi="Times New Roman"/>
          <w:szCs w:val="24"/>
          <w:u w:val="single"/>
        </w:rPr>
        <w:t>13</w:t>
      </w:r>
      <w:r w:rsidRPr="005A6B74">
        <w:rPr>
          <w:rFonts w:ascii="Times New Roman" w:hAnsi="Times New Roman"/>
          <w:szCs w:val="24"/>
          <w:u w:val="single"/>
        </w:rPr>
        <w:t>, 201</w:t>
      </w:r>
      <w:r>
        <w:rPr>
          <w:rFonts w:ascii="Times New Roman" w:hAnsi="Times New Roman"/>
          <w:szCs w:val="24"/>
          <w:u w:val="single"/>
        </w:rPr>
        <w:t>4</w:t>
      </w:r>
      <w:r w:rsidRPr="005A6B74">
        <w:rPr>
          <w:rFonts w:ascii="Times New Roman" w:hAnsi="Times New Roman"/>
          <w:szCs w:val="24"/>
        </w:rPr>
        <w:tab/>
        <w:t>______________________________</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ab/>
      </w:r>
      <w:r w:rsidRPr="005A6B74">
        <w:rPr>
          <w:rFonts w:ascii="Times New Roman" w:hAnsi="Times New Roman"/>
          <w:szCs w:val="24"/>
        </w:rPr>
        <w:tab/>
      </w:r>
      <w:r>
        <w:rPr>
          <w:rFonts w:ascii="Times New Roman" w:hAnsi="Times New Roman"/>
          <w:szCs w:val="24"/>
        </w:rPr>
        <w:t>Dennis J. Buckley</w:t>
      </w:r>
    </w:p>
    <w:p w:rsidR="005A6B74" w:rsidRPr="005A6B74" w:rsidRDefault="005A6B74" w:rsidP="005A6B74">
      <w:pPr>
        <w:tabs>
          <w:tab w:val="left" w:pos="720"/>
          <w:tab w:val="left" w:pos="5040"/>
        </w:tabs>
        <w:suppressAutoHyphens/>
        <w:autoSpaceDE w:val="0"/>
        <w:autoSpaceDN w:val="0"/>
        <w:rPr>
          <w:rFonts w:ascii="Times New Roman" w:hAnsi="Times New Roman"/>
          <w:spacing w:val="0"/>
          <w:szCs w:val="24"/>
        </w:rPr>
      </w:pPr>
      <w:r w:rsidRPr="005A6B74">
        <w:rPr>
          <w:rFonts w:ascii="Times New Roman" w:hAnsi="Times New Roman" w:cs="CG Times"/>
          <w:spacing w:val="0"/>
          <w:szCs w:val="24"/>
        </w:rPr>
        <w:tab/>
      </w:r>
      <w:r w:rsidRPr="005A6B74">
        <w:rPr>
          <w:rFonts w:ascii="Times New Roman" w:hAnsi="Times New Roman" w:cs="CG Times"/>
          <w:spacing w:val="0"/>
          <w:szCs w:val="24"/>
        </w:rPr>
        <w:tab/>
        <w:t>Administrative Law Judge</w:t>
      </w:r>
    </w:p>
    <w:p w:rsidR="00ED337F" w:rsidRDefault="00ED337F" w:rsidP="00C57205">
      <w:pPr>
        <w:tabs>
          <w:tab w:val="left" w:pos="0"/>
          <w:tab w:val="left" w:pos="4680"/>
        </w:tabs>
        <w:sectPr w:rsidR="00ED337F" w:rsidSect="005A6B74">
          <w:footerReference w:type="even" r:id="rId8"/>
          <w:footerReference w:type="default" r:id="rId9"/>
          <w:type w:val="continuous"/>
          <w:pgSz w:w="12240" w:h="15840"/>
          <w:pgMar w:top="1440" w:right="1440" w:bottom="1440" w:left="1440" w:header="720" w:footer="720" w:gutter="0"/>
          <w:cols w:space="720"/>
          <w:titlePg/>
          <w:docGrid w:linePitch="360"/>
        </w:sectPr>
      </w:pPr>
    </w:p>
    <w:p w:rsidR="00ED337F" w:rsidRPr="00ED337F" w:rsidRDefault="00ED337F" w:rsidP="00ED337F">
      <w:pPr>
        <w:contextualSpacing/>
        <w:rPr>
          <w:rFonts w:ascii="Microsoft Sans Serif" w:eastAsiaTheme="minorEastAsia" w:hAnsiTheme="minorHAnsi" w:cstheme="minorBidi"/>
          <w:spacing w:val="0"/>
          <w:szCs w:val="22"/>
        </w:rPr>
      </w:pPr>
      <w:r w:rsidRPr="00ED337F">
        <w:rPr>
          <w:rFonts w:ascii="Microsoft Sans Serif" w:eastAsiaTheme="minorEastAsia" w:hAnsiTheme="minorHAnsi" w:cstheme="minorBidi"/>
          <w:b/>
          <w:spacing w:val="0"/>
          <w:szCs w:val="22"/>
          <w:u w:val="single"/>
        </w:rPr>
        <w:lastRenderedPageBreak/>
        <w:t>C-2014-2422382 - NASTASHA N FOSTER v. PPL ELECTRIC UTILITIES CORPORATION</w:t>
      </w:r>
      <w:r w:rsidRPr="00ED337F">
        <w:rPr>
          <w:rFonts w:ascii="Microsoft Sans Serif" w:eastAsiaTheme="minorEastAsia" w:hAnsiTheme="minorHAnsi" w:cstheme="minorBidi"/>
          <w:b/>
          <w:spacing w:val="0"/>
          <w:szCs w:val="22"/>
          <w:u w:val="single"/>
        </w:rPr>
        <w:cr/>
      </w:r>
      <w:r w:rsidRPr="00ED337F">
        <w:rPr>
          <w:rFonts w:ascii="Microsoft Sans Serif" w:eastAsiaTheme="minorEastAsia" w:hAnsiTheme="minorHAnsi" w:cstheme="minorBidi"/>
          <w:b/>
          <w:spacing w:val="0"/>
          <w:szCs w:val="22"/>
          <w:u w:val="single"/>
        </w:rPr>
        <w:cr/>
      </w:r>
      <w:r w:rsidRPr="00ED337F">
        <w:rPr>
          <w:rFonts w:ascii="Microsoft Sans Serif" w:eastAsiaTheme="minorEastAsia" w:hAnsiTheme="minorHAnsi" w:cstheme="minorBidi"/>
          <w:spacing w:val="0"/>
          <w:szCs w:val="22"/>
        </w:rPr>
        <w:t>NASTASHA N FOSTER</w:t>
      </w:r>
      <w:r w:rsidRPr="00ED337F">
        <w:rPr>
          <w:rFonts w:ascii="Microsoft Sans Serif" w:eastAsiaTheme="minorEastAsia" w:hAnsiTheme="minorHAnsi" w:cstheme="minorBidi"/>
          <w:spacing w:val="0"/>
          <w:szCs w:val="22"/>
        </w:rPr>
        <w:cr/>
        <w:t>301 NORTH PROGRESS AVE B17</w:t>
      </w:r>
      <w:r w:rsidRPr="00ED337F">
        <w:rPr>
          <w:rFonts w:ascii="Microsoft Sans Serif" w:eastAsiaTheme="minorEastAsia" w:hAnsiTheme="minorHAnsi" w:cstheme="minorBidi"/>
          <w:spacing w:val="0"/>
          <w:szCs w:val="22"/>
        </w:rPr>
        <w:cr/>
        <w:t>HARRISBURG PA  17109</w:t>
      </w:r>
      <w:r w:rsidRPr="00ED337F">
        <w:rPr>
          <w:rFonts w:ascii="Microsoft Sans Serif" w:eastAsiaTheme="minorEastAsia" w:hAnsiTheme="minorHAnsi" w:cstheme="minorBidi"/>
          <w:spacing w:val="0"/>
          <w:szCs w:val="22"/>
        </w:rPr>
        <w:cr/>
      </w:r>
      <w:r w:rsidRPr="00ED337F">
        <w:rPr>
          <w:rFonts w:ascii="Microsoft Sans Serif" w:eastAsiaTheme="minorEastAsia" w:hAnsiTheme="minorHAnsi" w:cstheme="minorBidi"/>
          <w:b/>
          <w:spacing w:val="0"/>
          <w:szCs w:val="22"/>
        </w:rPr>
        <w:t>717.756.9302</w:t>
      </w:r>
    </w:p>
    <w:p w:rsidR="00ED337F" w:rsidRPr="00ED337F" w:rsidRDefault="00ED337F" w:rsidP="00ED337F">
      <w:pPr>
        <w:contextualSpacing/>
        <w:rPr>
          <w:rFonts w:ascii="Microsoft Sans Serif" w:eastAsiaTheme="minorEastAsia" w:hAnsiTheme="minorHAnsi" w:cstheme="minorBidi"/>
          <w:spacing w:val="0"/>
          <w:szCs w:val="22"/>
        </w:rPr>
      </w:pPr>
      <w:r w:rsidRPr="00ED337F">
        <w:rPr>
          <w:rFonts w:ascii="Microsoft Sans Serif" w:eastAsiaTheme="minorEastAsia" w:hAnsiTheme="minorHAnsi" w:cstheme="minorBidi"/>
          <w:i/>
          <w:spacing w:val="0"/>
          <w:szCs w:val="22"/>
        </w:rPr>
        <w:t>Accepts E-service</w:t>
      </w:r>
      <w:r w:rsidRPr="00ED337F">
        <w:rPr>
          <w:rFonts w:ascii="Microsoft Sans Serif" w:eastAsiaTheme="minorEastAsia" w:hAnsiTheme="minorHAnsi" w:cstheme="minorBidi"/>
          <w:spacing w:val="0"/>
          <w:szCs w:val="22"/>
        </w:rPr>
        <w:cr/>
      </w:r>
      <w:r w:rsidRPr="00ED337F">
        <w:rPr>
          <w:rFonts w:ascii="Microsoft Sans Serif" w:eastAsiaTheme="minorEastAsia" w:hAnsiTheme="minorHAnsi" w:cstheme="minorBidi"/>
          <w:spacing w:val="0"/>
          <w:szCs w:val="22"/>
        </w:rPr>
        <w:cr/>
        <w:t>GRAIG M SCHULTZ ESQUIRE</w:t>
      </w:r>
      <w:r w:rsidRPr="00ED337F">
        <w:rPr>
          <w:rFonts w:ascii="Microsoft Sans Serif" w:eastAsiaTheme="minorEastAsia" w:hAnsiTheme="minorHAnsi" w:cstheme="minorBidi"/>
          <w:spacing w:val="0"/>
          <w:szCs w:val="22"/>
        </w:rPr>
        <w:cr/>
        <w:t>GROSS MCGINLEY LLP</w:t>
      </w:r>
      <w:r w:rsidRPr="00ED337F">
        <w:rPr>
          <w:rFonts w:ascii="Microsoft Sans Serif" w:eastAsiaTheme="minorEastAsia" w:hAnsiTheme="minorHAnsi" w:cstheme="minorBidi"/>
          <w:spacing w:val="0"/>
          <w:szCs w:val="22"/>
        </w:rPr>
        <w:cr/>
        <w:t>33 SOUTH SEVENTH STREET</w:t>
      </w:r>
      <w:r w:rsidRPr="00ED337F">
        <w:rPr>
          <w:rFonts w:ascii="Microsoft Sans Serif" w:eastAsiaTheme="minorEastAsia" w:hAnsiTheme="minorHAnsi" w:cstheme="minorBidi"/>
          <w:spacing w:val="0"/>
          <w:szCs w:val="22"/>
        </w:rPr>
        <w:cr/>
        <w:t>P O BOX 4060</w:t>
      </w:r>
      <w:r w:rsidRPr="00ED337F">
        <w:rPr>
          <w:rFonts w:ascii="Microsoft Sans Serif" w:eastAsiaTheme="minorEastAsia" w:hAnsiTheme="minorHAnsi" w:cstheme="minorBidi"/>
          <w:spacing w:val="0"/>
          <w:szCs w:val="22"/>
        </w:rPr>
        <w:cr/>
        <w:t>ALLENTOWN PA  18105-4060</w:t>
      </w:r>
      <w:r w:rsidRPr="00ED337F">
        <w:rPr>
          <w:rFonts w:ascii="Microsoft Sans Serif" w:eastAsiaTheme="minorEastAsia" w:hAnsiTheme="minorHAnsi" w:cstheme="minorBidi"/>
          <w:spacing w:val="0"/>
          <w:szCs w:val="22"/>
        </w:rPr>
        <w:cr/>
      </w:r>
      <w:r w:rsidRPr="00ED337F">
        <w:rPr>
          <w:rFonts w:ascii="Microsoft Sans Serif" w:eastAsiaTheme="minorEastAsia" w:hAnsiTheme="minorHAnsi" w:cstheme="minorBidi"/>
          <w:b/>
          <w:spacing w:val="0"/>
          <w:szCs w:val="22"/>
        </w:rPr>
        <w:t>610.820.5450</w:t>
      </w:r>
    </w:p>
    <w:p w:rsidR="00ED337F" w:rsidRPr="00ED337F" w:rsidRDefault="00ED337F" w:rsidP="00ED337F">
      <w:pPr>
        <w:contextualSpacing/>
        <w:rPr>
          <w:rFonts w:ascii="Microsoft Sans Serif" w:eastAsiaTheme="minorEastAsia" w:hAnsiTheme="minorHAnsi" w:cstheme="minorBidi"/>
          <w:spacing w:val="0"/>
          <w:szCs w:val="22"/>
        </w:rPr>
      </w:pPr>
    </w:p>
    <w:p w:rsidR="002A2AD4" w:rsidRPr="00A210B5" w:rsidRDefault="002A2AD4" w:rsidP="00C57205">
      <w:pPr>
        <w:tabs>
          <w:tab w:val="left" w:pos="0"/>
          <w:tab w:val="left" w:pos="4680"/>
        </w:tabs>
      </w:pPr>
      <w:bookmarkStart w:id="0" w:name="_GoBack"/>
      <w:bookmarkEnd w:id="0"/>
    </w:p>
    <w:sectPr w:rsidR="002A2AD4" w:rsidRPr="00A210B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FA5" w:rsidRDefault="000F0FA5">
      <w:r>
        <w:separator/>
      </w:r>
    </w:p>
  </w:endnote>
  <w:endnote w:type="continuationSeparator" w:id="0">
    <w:p w:rsidR="000F0FA5" w:rsidRDefault="000F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7F539B">
    <w:pPr>
      <w:pStyle w:val="Footer"/>
      <w:jc w:val="center"/>
      <w:rPr>
        <w:rFonts w:ascii="Times New Roman" w:hAnsi="Times New Roman"/>
        <w:sz w:val="20"/>
      </w:rPr>
    </w:pPr>
    <w:r w:rsidRPr="00E4054A">
      <w:rPr>
        <w:rFonts w:ascii="Times New Roman" w:hAnsi="Times New Roman"/>
        <w:sz w:val="20"/>
      </w:rPr>
      <w:fldChar w:fldCharType="begin"/>
    </w:r>
    <w:r w:rsidRPr="00E4054A">
      <w:rPr>
        <w:rFonts w:ascii="Times New Roman" w:hAnsi="Times New Roman"/>
        <w:sz w:val="20"/>
      </w:rPr>
      <w:instrText xml:space="preserve"> PAGE   \* MERGEFORMAT </w:instrText>
    </w:r>
    <w:r w:rsidRPr="00E4054A">
      <w:rPr>
        <w:rFonts w:ascii="Times New Roman" w:hAnsi="Times New Roman"/>
        <w:sz w:val="20"/>
      </w:rPr>
      <w:fldChar w:fldCharType="separate"/>
    </w:r>
    <w:r>
      <w:rPr>
        <w:rFonts w:ascii="Times New Roman" w:hAnsi="Times New Roman"/>
        <w:noProof/>
        <w:sz w:val="20"/>
      </w:rPr>
      <w:t>4</w:t>
    </w:r>
    <w:r w:rsidRPr="00E4054A">
      <w:rPr>
        <w:rFonts w:ascii="Times New Roman" w:hAnsi="Times New Roman"/>
        <w:noProof/>
        <w:sz w:val="20"/>
      </w:rPr>
      <w:fldChar w:fldCharType="end"/>
    </w:r>
  </w:p>
  <w:p w:rsidR="00F25D35" w:rsidRDefault="000F0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044490247"/>
      <w:docPartObj>
        <w:docPartGallery w:val="Page Numbers (Bottom of Page)"/>
        <w:docPartUnique/>
      </w:docPartObj>
    </w:sdtPr>
    <w:sdtEndPr>
      <w:rPr>
        <w:noProof/>
      </w:rPr>
    </w:sdtEndPr>
    <w:sdtContent>
      <w:p w:rsidR="00F25D35" w:rsidRPr="00ED337F" w:rsidRDefault="00ED337F" w:rsidP="00ED337F">
        <w:pPr>
          <w:pStyle w:val="Footer"/>
          <w:jc w:val="center"/>
          <w:rPr>
            <w:rFonts w:ascii="Times New Roman" w:hAnsi="Times New Roman"/>
            <w:sz w:val="20"/>
          </w:rPr>
        </w:pPr>
        <w:r w:rsidRPr="00ED337F">
          <w:rPr>
            <w:rFonts w:ascii="Times New Roman" w:hAnsi="Times New Roman"/>
            <w:sz w:val="20"/>
          </w:rPr>
          <w:fldChar w:fldCharType="begin"/>
        </w:r>
        <w:r w:rsidRPr="00ED337F">
          <w:rPr>
            <w:rFonts w:ascii="Times New Roman" w:hAnsi="Times New Roman"/>
            <w:sz w:val="20"/>
          </w:rPr>
          <w:instrText xml:space="preserve"> PAGE   \* MERGEFORMAT </w:instrText>
        </w:r>
        <w:r w:rsidRPr="00ED337F">
          <w:rPr>
            <w:rFonts w:ascii="Times New Roman" w:hAnsi="Times New Roman"/>
            <w:sz w:val="20"/>
          </w:rPr>
          <w:fldChar w:fldCharType="separate"/>
        </w:r>
        <w:r>
          <w:rPr>
            <w:rFonts w:ascii="Times New Roman" w:hAnsi="Times New Roman"/>
            <w:noProof/>
            <w:sz w:val="20"/>
          </w:rPr>
          <w:t>4</w:t>
        </w:r>
        <w:r w:rsidRPr="00ED337F">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F" w:rsidRPr="00ED337F" w:rsidRDefault="00ED337F" w:rsidP="00ED337F">
    <w:pPr>
      <w:pStyle w:val="Footer"/>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FA5" w:rsidRDefault="000F0FA5">
      <w:r>
        <w:separator/>
      </w:r>
    </w:p>
  </w:footnote>
  <w:footnote w:type="continuationSeparator" w:id="0">
    <w:p w:rsidR="000F0FA5" w:rsidRDefault="000F0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0FA5"/>
    <w:rsid w:val="000F3A06"/>
    <w:rsid w:val="00101D9A"/>
    <w:rsid w:val="00107F85"/>
    <w:rsid w:val="001418B6"/>
    <w:rsid w:val="001462E7"/>
    <w:rsid w:val="00161C9E"/>
    <w:rsid w:val="001971CB"/>
    <w:rsid w:val="001A649A"/>
    <w:rsid w:val="001B4184"/>
    <w:rsid w:val="001C07E6"/>
    <w:rsid w:val="001C1CB7"/>
    <w:rsid w:val="001D6FDB"/>
    <w:rsid w:val="001E16DE"/>
    <w:rsid w:val="00240128"/>
    <w:rsid w:val="002615F0"/>
    <w:rsid w:val="002664BE"/>
    <w:rsid w:val="002A2AD4"/>
    <w:rsid w:val="002A4F5E"/>
    <w:rsid w:val="002B0B31"/>
    <w:rsid w:val="002C22AF"/>
    <w:rsid w:val="00310C4C"/>
    <w:rsid w:val="00323248"/>
    <w:rsid w:val="00373A32"/>
    <w:rsid w:val="00375153"/>
    <w:rsid w:val="00383620"/>
    <w:rsid w:val="003A323A"/>
    <w:rsid w:val="003A6A91"/>
    <w:rsid w:val="003D1944"/>
    <w:rsid w:val="003F7C3C"/>
    <w:rsid w:val="00404BBB"/>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A6B7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7F539B"/>
    <w:rsid w:val="0081708B"/>
    <w:rsid w:val="008400DB"/>
    <w:rsid w:val="008531B7"/>
    <w:rsid w:val="00865E18"/>
    <w:rsid w:val="008F784E"/>
    <w:rsid w:val="00922ABB"/>
    <w:rsid w:val="00936272"/>
    <w:rsid w:val="009365EA"/>
    <w:rsid w:val="0095255A"/>
    <w:rsid w:val="009C7755"/>
    <w:rsid w:val="00A15CAD"/>
    <w:rsid w:val="00A210B5"/>
    <w:rsid w:val="00A26387"/>
    <w:rsid w:val="00A63A1E"/>
    <w:rsid w:val="00A70855"/>
    <w:rsid w:val="00A834F1"/>
    <w:rsid w:val="00AA2A9F"/>
    <w:rsid w:val="00AB2455"/>
    <w:rsid w:val="00AC25EA"/>
    <w:rsid w:val="00AD55F2"/>
    <w:rsid w:val="00AF4FEE"/>
    <w:rsid w:val="00B24038"/>
    <w:rsid w:val="00B65207"/>
    <w:rsid w:val="00B75E7A"/>
    <w:rsid w:val="00B93D3E"/>
    <w:rsid w:val="00B96FAA"/>
    <w:rsid w:val="00C20573"/>
    <w:rsid w:val="00C255D5"/>
    <w:rsid w:val="00C2620F"/>
    <w:rsid w:val="00C275A2"/>
    <w:rsid w:val="00C53B9F"/>
    <w:rsid w:val="00C57205"/>
    <w:rsid w:val="00C6726F"/>
    <w:rsid w:val="00CA2AE4"/>
    <w:rsid w:val="00CC70CB"/>
    <w:rsid w:val="00CE5A26"/>
    <w:rsid w:val="00CF0FE5"/>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C46B5"/>
    <w:rsid w:val="00ED337F"/>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7221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Leonard, Allyson</cp:lastModifiedBy>
  <cp:revision>4</cp:revision>
  <cp:lastPrinted>2014-06-13T14:36:00Z</cp:lastPrinted>
  <dcterms:created xsi:type="dcterms:W3CDTF">2014-06-13T14:59:00Z</dcterms:created>
  <dcterms:modified xsi:type="dcterms:W3CDTF">2014-06-13T15:02:00Z</dcterms:modified>
</cp:coreProperties>
</file>