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00C" w:rsidRDefault="0057200C" w:rsidP="0057200C">
      <w:pPr>
        <w:spacing w:line="240" w:lineRule="auto"/>
        <w:rPr>
          <w:b/>
        </w:rPr>
      </w:pPr>
      <w:r>
        <w:rPr>
          <w:b/>
        </w:rPr>
        <w:t>BEFORE THE</w:t>
      </w:r>
    </w:p>
    <w:p w:rsidR="0057200C" w:rsidRDefault="0057200C" w:rsidP="0057200C">
      <w:pPr>
        <w:spacing w:line="240" w:lineRule="auto"/>
        <w:rPr>
          <w:b/>
        </w:rPr>
      </w:pPr>
      <w:r>
        <w:rPr>
          <w:b/>
        </w:rPr>
        <w:t>PENNSYLVANIA PUBLIC UTILITY COMMISSION</w:t>
      </w:r>
    </w:p>
    <w:p w:rsidR="0057200C" w:rsidRDefault="0057200C" w:rsidP="0057200C">
      <w:pPr>
        <w:spacing w:line="240" w:lineRule="auto"/>
        <w:rPr>
          <w:b/>
        </w:rPr>
      </w:pPr>
    </w:p>
    <w:p w:rsidR="0057200C" w:rsidRDefault="0057200C" w:rsidP="0057200C">
      <w:pPr>
        <w:spacing w:line="240" w:lineRule="auto"/>
        <w:rPr>
          <w:b/>
        </w:rPr>
      </w:pPr>
    </w:p>
    <w:p w:rsidR="0057200C" w:rsidRDefault="0057200C" w:rsidP="0057200C">
      <w:pPr>
        <w:spacing w:line="240" w:lineRule="auto"/>
        <w:jc w:val="left"/>
      </w:pPr>
      <w:r>
        <w:t xml:space="preserve">Core Communications, Inc. </w:t>
      </w:r>
      <w:r>
        <w:tab/>
      </w:r>
      <w:r>
        <w:tab/>
      </w:r>
      <w:r>
        <w:tab/>
      </w:r>
      <w:r>
        <w:tab/>
        <w:t>:</w:t>
      </w:r>
    </w:p>
    <w:p w:rsidR="0057200C" w:rsidRDefault="0057200C" w:rsidP="0057200C">
      <w:pPr>
        <w:spacing w:line="240" w:lineRule="auto"/>
        <w:jc w:val="left"/>
      </w:pPr>
      <w:r>
        <w:tab/>
      </w:r>
      <w:r>
        <w:tab/>
      </w:r>
      <w:r>
        <w:tab/>
      </w:r>
      <w:r>
        <w:tab/>
      </w:r>
      <w:r>
        <w:tab/>
      </w:r>
      <w:r>
        <w:tab/>
      </w:r>
      <w:r>
        <w:tab/>
        <w:t>:</w:t>
      </w:r>
    </w:p>
    <w:p w:rsidR="0057200C" w:rsidRDefault="0057200C" w:rsidP="0057200C">
      <w:pPr>
        <w:spacing w:line="240" w:lineRule="auto"/>
        <w:jc w:val="left"/>
      </w:pPr>
      <w:r>
        <w:tab/>
        <w:t>v.</w:t>
      </w:r>
      <w:r>
        <w:tab/>
      </w:r>
      <w:r>
        <w:tab/>
      </w:r>
      <w:r>
        <w:tab/>
      </w:r>
      <w:r>
        <w:tab/>
      </w:r>
      <w:r>
        <w:tab/>
      </w:r>
      <w:r>
        <w:tab/>
        <w:t>:</w:t>
      </w:r>
      <w:r>
        <w:tab/>
      </w:r>
      <w:r>
        <w:tab/>
      </w:r>
      <w:r>
        <w:tab/>
        <w:t>C-2014-2406550</w:t>
      </w:r>
    </w:p>
    <w:p w:rsidR="0057200C" w:rsidRDefault="0057200C" w:rsidP="0057200C">
      <w:pPr>
        <w:spacing w:line="240" w:lineRule="auto"/>
        <w:jc w:val="left"/>
      </w:pPr>
      <w:r>
        <w:tab/>
      </w:r>
      <w:r>
        <w:tab/>
      </w:r>
      <w:r>
        <w:tab/>
      </w:r>
      <w:r>
        <w:tab/>
      </w:r>
      <w:r>
        <w:tab/>
      </w:r>
      <w:r>
        <w:tab/>
      </w:r>
      <w:r>
        <w:tab/>
        <w:t>:</w:t>
      </w:r>
    </w:p>
    <w:p w:rsidR="0057200C" w:rsidRDefault="0057200C" w:rsidP="0057200C">
      <w:pPr>
        <w:spacing w:line="240" w:lineRule="auto"/>
        <w:jc w:val="left"/>
      </w:pPr>
      <w:r>
        <w:t xml:space="preserve">Verizon Pennsylvania LLC </w:t>
      </w:r>
      <w:r>
        <w:tab/>
      </w:r>
      <w:r>
        <w:tab/>
      </w:r>
      <w:r>
        <w:tab/>
      </w:r>
      <w:r>
        <w:tab/>
        <w:t>:</w:t>
      </w:r>
      <w:r>
        <w:tab/>
      </w:r>
    </w:p>
    <w:p w:rsidR="0057200C" w:rsidRDefault="0057200C" w:rsidP="0057200C">
      <w:pPr>
        <w:jc w:val="left"/>
      </w:pPr>
    </w:p>
    <w:p w:rsidR="00C04960" w:rsidRDefault="00C04960" w:rsidP="0057200C"/>
    <w:p w:rsidR="0057200C" w:rsidRDefault="0057200C" w:rsidP="0057200C">
      <w:pPr>
        <w:rPr>
          <w:b/>
        </w:rPr>
      </w:pPr>
      <w:r w:rsidRPr="0057200C">
        <w:rPr>
          <w:b/>
        </w:rPr>
        <w:t>PROTECTIVE ORDER</w:t>
      </w:r>
    </w:p>
    <w:p w:rsidR="0057200C" w:rsidRDefault="0057200C" w:rsidP="0057200C">
      <w:pPr>
        <w:rPr>
          <w:b/>
        </w:rPr>
      </w:pPr>
    </w:p>
    <w:p w:rsidR="0057200C" w:rsidRDefault="0057200C" w:rsidP="0057200C">
      <w:pPr>
        <w:jc w:val="left"/>
      </w:pPr>
      <w:r>
        <w:tab/>
      </w:r>
      <w:r>
        <w:tab/>
        <w:t xml:space="preserve">The parties to this matter have jointly petitioned for a protective order under 52 Pa.Code § 5.423, in anticipation of the potential need for filing with the Commission or furnishing to each other in response to discovery information and documents which are non-public, proprietary, and confidential either by the terms or pertaining to business practices, operations, or financial matters that are commercially sensitive or that are ordinarily considered and treated as confidential by the producing party.  The parties have agreed to the wording of the proposed order and ask for its issuance at the earliest possible date to facilitate the discovery, hearing and briefing process of this case.  </w:t>
      </w:r>
    </w:p>
    <w:p w:rsidR="0057200C" w:rsidRDefault="0057200C" w:rsidP="0057200C">
      <w:pPr>
        <w:jc w:val="left"/>
      </w:pPr>
    </w:p>
    <w:p w:rsidR="0057200C" w:rsidRDefault="0057200C" w:rsidP="0057200C">
      <w:pPr>
        <w:jc w:val="left"/>
      </w:pPr>
      <w:r>
        <w:tab/>
      </w:r>
      <w:r>
        <w:tab/>
        <w:t>The parties agree that the restrictions of sub-paragraph 4(a</w:t>
      </w:r>
      <w:proofErr w:type="gramStart"/>
      <w:r>
        <w:t>)(</w:t>
      </w:r>
      <w:proofErr w:type="gramEnd"/>
      <w:r>
        <w:t xml:space="preserve">i) of the proposed order should not apply to Core officers Christopher Van de </w:t>
      </w:r>
      <w:proofErr w:type="spellStart"/>
      <w:r>
        <w:t>Verg</w:t>
      </w:r>
      <w:proofErr w:type="spellEnd"/>
      <w:r>
        <w:t xml:space="preserve"> and Bret Mingo, who have both been identified as witnesses for Core.  </w:t>
      </w:r>
    </w:p>
    <w:p w:rsidR="0057200C" w:rsidRDefault="0057200C" w:rsidP="0057200C">
      <w:pPr>
        <w:jc w:val="left"/>
      </w:pPr>
    </w:p>
    <w:p w:rsidR="0057200C" w:rsidRDefault="0057200C" w:rsidP="0057200C">
      <w:pPr>
        <w:jc w:val="left"/>
      </w:pPr>
      <w:r>
        <w:tab/>
      </w:r>
      <w:r>
        <w:tab/>
        <w:t xml:space="preserve">Accordingly, the proposed order is adopted </w:t>
      </w:r>
      <w:r w:rsidR="00E747A3">
        <w:t>without modification</w:t>
      </w:r>
      <w:r>
        <w:t>, as follows:</w:t>
      </w:r>
    </w:p>
    <w:p w:rsidR="0057200C" w:rsidRDefault="0057200C" w:rsidP="0057200C">
      <w:pPr>
        <w:jc w:val="left"/>
      </w:pPr>
      <w:r>
        <w:br w:type="page"/>
      </w:r>
      <w:r>
        <w:lastRenderedPageBreak/>
        <w:tab/>
      </w:r>
      <w:r>
        <w:tab/>
        <w:t>1.</w:t>
      </w:r>
      <w:r>
        <w:tab/>
        <w:t>This Protective Order, jointly submitted by Verizon Pennsylvania LLC ("Verizon") and Core Communications, Inc. (Core") is hereby established for use in this proceeding with respect to all materials and information identified at Paragraph 2 of this Protective Order which are filed with the Pennsylvania Public Utility Commission ("Commission"), produced in discover, or otherwise presented during these proceedings.  All persons now and hereafter granted access to the materials and information identified in Paragraph 2 of this Protective Order shall use and disclose such information only in accordance with this Order.</w:t>
      </w:r>
    </w:p>
    <w:p w:rsidR="0057200C" w:rsidRDefault="0057200C" w:rsidP="0057200C">
      <w:pPr>
        <w:jc w:val="left"/>
      </w:pPr>
    </w:p>
    <w:p w:rsidR="0057200C" w:rsidRDefault="0057200C" w:rsidP="0057200C">
      <w:pPr>
        <w:jc w:val="left"/>
      </w:pPr>
      <w:r>
        <w:tab/>
      </w:r>
      <w:r>
        <w:tab/>
        <w:t>2.</w:t>
      </w:r>
      <w:r>
        <w:tab/>
        <w:t>The materials subject to this Order are all written, recorded or graphic material, whether produced or created by a party or another person or entity, including but not limited to, correspondence, documents, data, information, studies, methodologies and other materials which a party or an affiliate of a party furnishes in this proceeding pursuant to Commission rules and regulations, discovery procedures or cross-examination or provides as a courtesy to a party to this proceeding, which are claimed to be of a proprietary or confidential nature and which are designated "PROPRIETARY" (hereinafter collectively referred to as "Proprietary Information").</w:t>
      </w:r>
    </w:p>
    <w:p w:rsidR="0057200C" w:rsidRDefault="0057200C" w:rsidP="0057200C">
      <w:pPr>
        <w:jc w:val="left"/>
      </w:pPr>
    </w:p>
    <w:p w:rsidR="0057200C" w:rsidRDefault="00070A8B" w:rsidP="0057200C">
      <w:pPr>
        <w:jc w:val="left"/>
      </w:pPr>
      <w:r>
        <w:tab/>
      </w:r>
      <w:r>
        <w:tab/>
        <w:t xml:space="preserve">In addition, the parties may designate extremely sensitive Proprietary Information as "HIGHLY CONFIDENTIAL" (hereinafter referred to as "Highly Confidential Information") and thus secure the additional protections set forth in this Order pertaining to such material.  Such "HIGHLY CONFIDENTIAL" information shall be only such Proprietary Information that constitutes or describes the producing party's marketing plans, including, </w:t>
      </w:r>
      <w:r w:rsidR="009F0E3D">
        <w:rPr>
          <w:i/>
        </w:rPr>
        <w:t>inter alia,</w:t>
      </w:r>
      <w:r w:rsidR="009F0E3D">
        <w:t xml:space="preserve"> costing and pricing aspects thereof, competitive strategies, market share projections, marketing materials that have not yet been used, network deployment, customer-identifying information, or customer prospects for services that are subject to competition.</w:t>
      </w:r>
    </w:p>
    <w:p w:rsidR="009F0E3D" w:rsidRDefault="009F0E3D" w:rsidP="0057200C">
      <w:pPr>
        <w:jc w:val="left"/>
      </w:pPr>
    </w:p>
    <w:p w:rsidR="009F0E3D" w:rsidRDefault="009F0E3D" w:rsidP="0057200C">
      <w:pPr>
        <w:jc w:val="left"/>
      </w:pPr>
      <w:r>
        <w:tab/>
      </w:r>
      <w:r>
        <w:tab/>
        <w:t>3.</w:t>
      </w:r>
      <w:r>
        <w:tab/>
        <w:t xml:space="preserve">Proprietary Information and Highly Confidential Information shall be made available to the Commission and its Staff for use in this proceeding.  For purposes of filing, to the extent that Proprietary Information and Highly Confidential Information is placed in the Commission's report folders, such information shall be handled in accordance with routine </w:t>
      </w:r>
      <w:r>
        <w:lastRenderedPageBreak/>
        <w:t>Commission procedures inasmuch as the report folders are not subject to public disclosure.  To the extent that Proprietary Information or Highly Confidential Information is placed in the Commission's testimony or document folders, such information shall be separately bound, conspicuously marked and sealed, and accompanied by a copy of this Order.  Public inspection of Proprietary Information and Highly Confidential Information shall be permitted only in accordance with this Protective Order.</w:t>
      </w:r>
    </w:p>
    <w:p w:rsidR="009F0E3D" w:rsidRDefault="009F0E3D" w:rsidP="0057200C">
      <w:pPr>
        <w:jc w:val="left"/>
      </w:pPr>
    </w:p>
    <w:p w:rsidR="009F0E3D" w:rsidRDefault="009F0E3D" w:rsidP="0057200C">
      <w:pPr>
        <w:jc w:val="left"/>
      </w:pPr>
      <w:r>
        <w:tab/>
      </w:r>
      <w:r>
        <w:tab/>
        <w:t>4.</w:t>
      </w:r>
      <w:r>
        <w:tab/>
        <w:t>Proprietary Information and Highly confidential Information shall be made available to counsel of record in this proceeding pursuant to the following procedures.</w:t>
      </w:r>
    </w:p>
    <w:p w:rsidR="009F0E3D" w:rsidRDefault="009F0E3D" w:rsidP="0057200C">
      <w:pPr>
        <w:jc w:val="left"/>
      </w:pPr>
    </w:p>
    <w:p w:rsidR="009F0E3D" w:rsidRDefault="009F0E3D" w:rsidP="009F0E3D">
      <w:pPr>
        <w:ind w:left="1440" w:right="1440"/>
        <w:jc w:val="left"/>
      </w:pPr>
      <w:r>
        <w:t>a.</w:t>
      </w:r>
      <w:r>
        <w:tab/>
      </w:r>
      <w:r>
        <w:rPr>
          <w:u w:val="single"/>
        </w:rPr>
        <w:t>Proprietary Information.</w:t>
      </w:r>
      <w:r>
        <w:t xml:space="preserve">  To the extent required for participation in this proceeding, a party's counsel of record, including in-house counsel and outside counsel who are actively engaged in this proceeding, including partners, associates, secretaries, paralegals and employees of such counsel may afford access to Proprietary Information made available by another party ("the producing party") pursuant to the following procedures:</w:t>
      </w:r>
    </w:p>
    <w:p w:rsidR="009F0E3D" w:rsidRDefault="009F0E3D" w:rsidP="009F0E3D">
      <w:pPr>
        <w:ind w:left="1440" w:right="1440"/>
        <w:jc w:val="left"/>
      </w:pPr>
    </w:p>
    <w:p w:rsidR="009F0E3D" w:rsidRDefault="009F0E3D" w:rsidP="00463BBA">
      <w:pPr>
        <w:ind w:left="2160" w:right="1440"/>
        <w:jc w:val="left"/>
      </w:pPr>
      <w:r>
        <w:t>i.</w:t>
      </w:r>
      <w:r>
        <w:tab/>
      </w:r>
      <w:r>
        <w:tab/>
        <w:t>To the party's witness(</w:t>
      </w:r>
      <w:proofErr w:type="spellStart"/>
      <w:r>
        <w:t>es</w:t>
      </w:r>
      <w:proofErr w:type="spellEnd"/>
      <w:r>
        <w:t>) or expert(s) subject to the restrictions that such witness(</w:t>
      </w:r>
      <w:proofErr w:type="spellStart"/>
      <w:r>
        <w:t>es</w:t>
      </w:r>
      <w:proofErr w:type="spellEnd"/>
      <w:r>
        <w:t>) or expert(s) may not hold any of the following positions with any competitor or affiliate of a competitor of the producing party: an officer, board member, significant stockholder, partner, owner (other than owner of stock) or an employee of any competitor or affiliate of a competitor of the producing party where such witness or expert is primarily involved in the pricing</w:t>
      </w:r>
      <w:r w:rsidR="00463BBA">
        <w:t xml:space="preserve">, development, and/or marketing of products or services that are offered in competition with those of the producing party; provided, however, that any witness or expert shall not be disqualified on account of being a stockholder, partner, or owner unless his/her </w:t>
      </w:r>
      <w:r w:rsidR="00463BBA">
        <w:lastRenderedPageBreak/>
        <w:t>interest in the business constitutes a significant potential for violation of the limitations of permissible use of the Proprietary Information.  For purposes of this Order, stocks partnership, or other ownership interest valued at less than $500,000 and/or constituting less than a 10% interest in a business does not, in itself, establish a significant potential for violation.  For purposes of this Order, the parties acknowledge that the restrictions of this sub-paragraph 4(a</w:t>
      </w:r>
      <w:proofErr w:type="gramStart"/>
      <w:r w:rsidR="00463BBA">
        <w:t>)(</w:t>
      </w:r>
      <w:proofErr w:type="gramEnd"/>
      <w:r w:rsidR="00463BBA">
        <w:t xml:space="preserve">i) shall </w:t>
      </w:r>
      <w:r w:rsidR="00463BBA">
        <w:rPr>
          <w:u w:val="single"/>
        </w:rPr>
        <w:t>not</w:t>
      </w:r>
      <w:r w:rsidR="00463BBA">
        <w:t xml:space="preserve"> apply to Core officers Christopher Van De </w:t>
      </w:r>
      <w:proofErr w:type="spellStart"/>
      <w:r w:rsidR="00463BBA">
        <w:t>Verg</w:t>
      </w:r>
      <w:proofErr w:type="spellEnd"/>
      <w:r w:rsidR="00463BBA">
        <w:t xml:space="preserve"> and Bret Mingo.  Mr. Van de </w:t>
      </w:r>
      <w:proofErr w:type="spellStart"/>
      <w:r w:rsidR="00463BBA">
        <w:t>Verg</w:t>
      </w:r>
      <w:proofErr w:type="spellEnd"/>
      <w:r w:rsidR="00463BBA">
        <w:t xml:space="preserve"> and Mr. Mingo shall be permitted to view Proprietary and Highly Confidential information in this proceeding, subject to all of the other restrictions set forth in this Order.</w:t>
      </w:r>
    </w:p>
    <w:p w:rsidR="00463BBA" w:rsidRDefault="00463BBA" w:rsidP="00463BBA">
      <w:pPr>
        <w:ind w:left="2160" w:right="1440"/>
        <w:jc w:val="left"/>
      </w:pPr>
    </w:p>
    <w:p w:rsidR="00463BBA" w:rsidRDefault="00463BBA" w:rsidP="00463BBA">
      <w:pPr>
        <w:ind w:left="2160" w:right="1440"/>
        <w:jc w:val="left"/>
      </w:pPr>
      <w:r>
        <w:t>ii.</w:t>
      </w:r>
      <w:r>
        <w:tab/>
      </w:r>
      <w:r>
        <w:tab/>
        <w:t xml:space="preserve">To a party's independent expert retained to render professional services in this proceeding, subject to the restriction that if the independent expert, another member of the independent expert's firm or the independent expert's firm general also serves as an expert for, or as a consultant or advisor to a competitor or any affiliate of a competitor of the producing party, said independent expert must: (1) advise the producing party of the competitor's or affiliate's name(s); (2) make reasonable attempts to segregate those personnel assisting in the expert's participation in this proceeding from those personnel working on behalf of a competitor or any affiliate of a competitor of the producing party; and (3) if segregation of such personnel is impractical, the independent expert shall give to the producing party written assurances that the lack of segregation will in no way jeopardize the interest of the producing party.  The producing party retains the right to </w:t>
      </w:r>
      <w:r>
        <w:lastRenderedPageBreak/>
        <w:t>challenge the adequacy of the written assurances that its interests will not be jeopardized.</w:t>
      </w:r>
    </w:p>
    <w:p w:rsidR="00463BBA" w:rsidRDefault="00463BBA" w:rsidP="00463BBA">
      <w:pPr>
        <w:ind w:left="2160" w:right="1440"/>
        <w:jc w:val="left"/>
      </w:pPr>
    </w:p>
    <w:p w:rsidR="00463BBA" w:rsidRDefault="00941E85" w:rsidP="00463BBA">
      <w:pPr>
        <w:ind w:left="1440" w:right="1440"/>
        <w:jc w:val="left"/>
      </w:pPr>
      <w:r>
        <w:t>b.</w:t>
      </w:r>
      <w:r>
        <w:tab/>
      </w:r>
      <w:r>
        <w:rPr>
          <w:u w:val="single"/>
        </w:rPr>
        <w:t>Highly Confidential Information.</w:t>
      </w:r>
      <w:r>
        <w:t xml:space="preserve">  Proprietary Information or other material designated as "Highly Confidential" shall be produced for inspection only by a party's witnesses and counsel of record, including in-house counsel and outside counsel of the reviewing party who are actively engaged in this proceeding, including partners, associates, secretaries, paralegals and other such employees of counsel.  If the inspecting witness or counsel desires to disclose "Highly Confidential" material to persons other than the witness or counsel of record as described above, she or he shall notify the producing party's counsel three (3) business days prior to such disclosure, to allow the producing party time to raise the issue orally with the presiding Administrative Law Judge if there is any objection to such disclosure.  Highly Confidential Information may be disclosed under the terms of this provision only to persons who meet the qualifications of 5(a</w:t>
      </w:r>
      <w:proofErr w:type="gramStart"/>
      <w:r>
        <w:t>)(</w:t>
      </w:r>
      <w:proofErr w:type="gramEnd"/>
      <w:r>
        <w:t>i) and (ii) above.  If upon inspection the requesting party disagrees with the designation of any of the materials as "Highly Confidential" and the producing party does not revise the designation, that issue may also be submitted orally to the Administrative Law Judge for resolution.</w:t>
      </w:r>
    </w:p>
    <w:p w:rsidR="00941E85" w:rsidRDefault="00941E85" w:rsidP="00463BBA">
      <w:pPr>
        <w:ind w:left="1440" w:right="1440"/>
        <w:jc w:val="left"/>
      </w:pPr>
    </w:p>
    <w:p w:rsidR="00941E85" w:rsidRDefault="00941E85" w:rsidP="00463BBA">
      <w:pPr>
        <w:ind w:left="1440" w:right="1440"/>
        <w:jc w:val="left"/>
      </w:pPr>
      <w:r>
        <w:t>c.</w:t>
      </w:r>
      <w:r>
        <w:tab/>
        <w:t xml:space="preserve">No other persons may have access to the Proprietary Information or Highly Confidential Information except as authorized by order of the Commission or of the presiding Administrative Law Judge.  No person who may be entitled to receive, or who is afforded access to any Proprietary Information or Highly Confidential Information shall use or disclose such information for the purposes of business or competition, or any </w:t>
      </w:r>
      <w:r>
        <w:lastRenderedPageBreak/>
        <w:t xml:space="preserve">purpose other than the preparation for and conduct of this proceeding or any administrative or judicial review thereof.  </w:t>
      </w:r>
    </w:p>
    <w:p w:rsidR="00941E85" w:rsidRDefault="00941E85" w:rsidP="00463BBA">
      <w:pPr>
        <w:ind w:left="1440" w:right="1440"/>
        <w:jc w:val="left"/>
      </w:pPr>
    </w:p>
    <w:p w:rsidR="00941E85" w:rsidRDefault="005F4BFF" w:rsidP="00941E85">
      <w:pPr>
        <w:jc w:val="left"/>
      </w:pPr>
      <w:r>
        <w:tab/>
      </w:r>
      <w:r>
        <w:tab/>
        <w:t>5.</w:t>
      </w:r>
      <w:r>
        <w:tab/>
        <w:t>Prior to making Proprietary Information or Highly Confidential Information available to any person as provided in numbered Paragraph 4, above, counsel shall deliver a copy of this Order to such person and shall receive a written acknowledgment from that person in the form attached to this Order and designated as "Appendix A".  Counsel shall promptly deliver to the producing party a copy of the executed Appendix A.</w:t>
      </w:r>
    </w:p>
    <w:p w:rsidR="005F4BFF" w:rsidRDefault="005F4BFF" w:rsidP="00941E85">
      <w:pPr>
        <w:jc w:val="left"/>
      </w:pPr>
    </w:p>
    <w:p w:rsidR="005F4BFF" w:rsidRDefault="005F4BFF" w:rsidP="00941E85">
      <w:pPr>
        <w:jc w:val="left"/>
      </w:pPr>
      <w:r>
        <w:tab/>
      </w:r>
      <w:r>
        <w:tab/>
        <w:t>6.</w:t>
      </w:r>
      <w:r>
        <w:tab/>
        <w:t>A producing party shall designate data or documents as constituting or containing Proprietary Information or Highly Confidential Information by affixing an appropriate proprietary stamp or typewritten or printed designation on such data or documents.  Where only part of data compilations or multi-page documents constitutes or contains Proprietary Information or Highly Confidential Information, the producing party insofar as reasonably practicable within discovery and other time constraints imposed in this proceeding, shall designate only the specific data or pages of documents which constitute or contain Proprietary Information or Highly Confidential Information.</w:t>
      </w:r>
    </w:p>
    <w:p w:rsidR="005F4BFF" w:rsidRDefault="005F4BFF" w:rsidP="00941E85">
      <w:pPr>
        <w:jc w:val="left"/>
      </w:pPr>
    </w:p>
    <w:p w:rsidR="005F4BFF" w:rsidRDefault="005F4BFF" w:rsidP="00941E85">
      <w:pPr>
        <w:jc w:val="left"/>
      </w:pPr>
      <w:r>
        <w:tab/>
      </w:r>
      <w:r>
        <w:tab/>
        <w:t>7.</w:t>
      </w:r>
      <w:r>
        <w:tab/>
        <w:t>Any federal agency which has access to and/or receives copies of the Proprietary Information or Highly Confidential Information will consider and treat the Proprietary Information or Highly Confidential Information as within the exemption form disclosure provided in the Freedom of Information Act as set forth at 5 U.S.C.A. §552(b</w:t>
      </w:r>
      <w:proofErr w:type="gramStart"/>
      <w:r>
        <w:t>)(</w:t>
      </w:r>
      <w:proofErr w:type="gramEnd"/>
      <w:r>
        <w:t>4) until such time as the information is found to be non-proprietary.</w:t>
      </w:r>
    </w:p>
    <w:p w:rsidR="005F4BFF" w:rsidRDefault="005F4BFF" w:rsidP="00941E85">
      <w:pPr>
        <w:jc w:val="left"/>
      </w:pPr>
    </w:p>
    <w:p w:rsidR="005F4BFF" w:rsidRDefault="005F4BFF" w:rsidP="00941E85">
      <w:pPr>
        <w:jc w:val="left"/>
      </w:pPr>
      <w:r>
        <w:tab/>
      </w:r>
      <w:r>
        <w:tab/>
        <w:t>8.</w:t>
      </w:r>
      <w:r>
        <w:tab/>
        <w:t>Any state agency which has access to and/or receives copies of the Proprietary Information or Highly Confidential Information will consider and treat the Proprietary Information or Highly Confidential Information as within the exemption from disclosure provided in the Pennsylvania Right-to-Know Act as set forth at 65 P.S. §66.1(2) until such time as the information is found to be non-proprietary.</w:t>
      </w:r>
    </w:p>
    <w:p w:rsidR="005F4BFF" w:rsidRDefault="005F4BFF" w:rsidP="00941E85">
      <w:pPr>
        <w:jc w:val="left"/>
      </w:pPr>
    </w:p>
    <w:p w:rsidR="005F4BFF" w:rsidRDefault="005F4BFF" w:rsidP="00941E85">
      <w:pPr>
        <w:jc w:val="left"/>
      </w:pPr>
      <w:r>
        <w:lastRenderedPageBreak/>
        <w:tab/>
      </w:r>
      <w:r>
        <w:tab/>
        <w:t>9.</w:t>
      </w:r>
      <w:r>
        <w:tab/>
        <w:t>Any public reference to Proprietary Information or Highly Confidential Information by counsel or persons afforded access thereto shall be to the title or exhibit reference in sufficient detail to permit persons with access to the Proprietary Information or Highly Confidential Information to fully understand the reference and not more.  The Proprietary Information or Highly Confidential Information shall remain a part of the record, to the extent admitted, for all purposes of administrative or judicial review.</w:t>
      </w:r>
    </w:p>
    <w:p w:rsidR="005F4BFF" w:rsidRDefault="005F4BFF" w:rsidP="00941E85">
      <w:pPr>
        <w:jc w:val="left"/>
      </w:pPr>
    </w:p>
    <w:p w:rsidR="00EE6A8D" w:rsidRDefault="005F4BFF" w:rsidP="00EE6A8D">
      <w:pPr>
        <w:jc w:val="left"/>
      </w:pPr>
      <w:r>
        <w:tab/>
      </w:r>
      <w:r>
        <w:tab/>
        <w:t>10.</w:t>
      </w:r>
      <w:r>
        <w:tab/>
        <w:t>Parts of any record in this proceeding containing Proprietary Information or Highly Confidential Information</w:t>
      </w:r>
      <w:r w:rsidR="00EE6A8D">
        <w:t xml:space="preserve">, including but not limited to all exhibits, writings, testimony, cross-examination, argument and responses to discovery, and including reference thereto as mentioned in number Paragraph 9 above, shall be sealed for all purposes, including administrative and judicial review, unless such Proprietary Information or Highly Confidential Information is released from the restrictions of this Order, either through the agreement of the parties or pursuant to order of the Administrative Law Judge or the Commission.  Unresolved challenges arising under Paragraph 11 shall be decided on motion or petition by the presiding officer or the Commission as provided by 52 Pa. Code §5.423(a).  All such challenges will be resolved in conformity with existing rules, regulations, orders, statutes, precedent, etc., to the extent that such guidance is available.  </w:t>
      </w:r>
    </w:p>
    <w:p w:rsidR="00EE6A8D" w:rsidRDefault="00EE6A8D" w:rsidP="00EE6A8D">
      <w:pPr>
        <w:jc w:val="left"/>
      </w:pPr>
    </w:p>
    <w:p w:rsidR="00EE6A8D" w:rsidRDefault="00EE6A8D" w:rsidP="00EE6A8D">
      <w:pPr>
        <w:jc w:val="left"/>
      </w:pPr>
      <w:r>
        <w:tab/>
      </w:r>
      <w:r>
        <w:tab/>
        <w:t>11.</w:t>
      </w:r>
      <w:r>
        <w:tab/>
        <w:t>The parties affected by the terms of this Order shall retain the right to question or challenge the confidential or proprietary nature of Proprietary Information or Highly Confidential Information; to question or challenge the admissibility of Proprietary Information or Highly Confidential Information; to refuse or object to the production of Proprietary Information or Highly Confidential Information on any proper ground, including but not limited to irrelevance, immateriality or undue burden; to seek an order permitting disclosure of Proprietary Information or Highly Confidential Information; and to seek additional measures of protection of Proprietary Information or Highly Confidential Information beyond those provided in this Order.  If a challenge is made to the designation of a document or information as Proprietary Information or Highly Confidential Information, the party claiming that the information is Proprietary Information or Highly Confidential Information retains the burden of demonstrating that the designation is necessary and appropriate.</w:t>
      </w:r>
    </w:p>
    <w:p w:rsidR="00EE6A8D" w:rsidRDefault="00EE6A8D" w:rsidP="00EE6A8D">
      <w:pPr>
        <w:jc w:val="left"/>
      </w:pPr>
    </w:p>
    <w:p w:rsidR="00EE6A8D" w:rsidRDefault="00EE6A8D" w:rsidP="00EE6A8D">
      <w:pPr>
        <w:jc w:val="left"/>
      </w:pPr>
      <w:r>
        <w:tab/>
      </w:r>
      <w:r>
        <w:tab/>
        <w:t>12.</w:t>
      </w:r>
      <w:r>
        <w:tab/>
        <w:t>Upon completion of this proceeding, including any administrative or judicial review, all copies of all documents and other materials, including notes, which contain any Proprietary Information or Highly Confidential Information, shall be immediately returned upon request to the party furnishing such Proprietary Information or Highly Confidential Information.  In the alternative, parties may provide an affidavit of counsel affirming that the materials containing or reflecting</w:t>
      </w:r>
      <w:r w:rsidRPr="00EE6A8D">
        <w:t xml:space="preserve"> </w:t>
      </w:r>
      <w:r>
        <w:t>Proprietary Information or Highly Confidential Information have been destroyed.</w:t>
      </w:r>
    </w:p>
    <w:p w:rsidR="00EE6A8D" w:rsidRDefault="00EE6A8D" w:rsidP="00EE6A8D">
      <w:pPr>
        <w:jc w:val="left"/>
      </w:pPr>
    </w:p>
    <w:p w:rsidR="00EE6A8D" w:rsidRDefault="00EE6A8D" w:rsidP="00EE6A8D">
      <w:pPr>
        <w:spacing w:line="240" w:lineRule="auto"/>
        <w:jc w:val="left"/>
      </w:pPr>
      <w:r>
        <w:t xml:space="preserve">Dated: </w:t>
      </w:r>
      <w:r>
        <w:rPr>
          <w:u w:val="single"/>
        </w:rPr>
        <w:t>June 13, 2014</w:t>
      </w:r>
      <w:r>
        <w:tab/>
      </w:r>
      <w:r>
        <w:tab/>
      </w:r>
      <w:r>
        <w:tab/>
      </w:r>
      <w:r>
        <w:tab/>
      </w:r>
      <w:r>
        <w:tab/>
        <w:t>__________________________________</w:t>
      </w:r>
    </w:p>
    <w:p w:rsidR="00EE6A8D" w:rsidRDefault="00EE6A8D" w:rsidP="00EE6A8D">
      <w:pPr>
        <w:spacing w:line="240" w:lineRule="auto"/>
        <w:jc w:val="left"/>
      </w:pPr>
      <w:r>
        <w:tab/>
      </w:r>
      <w:r>
        <w:tab/>
      </w:r>
      <w:r>
        <w:tab/>
      </w:r>
      <w:r>
        <w:tab/>
      </w:r>
      <w:r>
        <w:tab/>
      </w:r>
      <w:r>
        <w:tab/>
      </w:r>
      <w:r>
        <w:tab/>
        <w:t>Susan D. Colwell</w:t>
      </w:r>
    </w:p>
    <w:p w:rsidR="00EE6A8D" w:rsidRDefault="00EE6A8D" w:rsidP="00EE6A8D">
      <w:pPr>
        <w:spacing w:line="240" w:lineRule="auto"/>
        <w:jc w:val="left"/>
      </w:pPr>
      <w:r>
        <w:tab/>
      </w:r>
      <w:r>
        <w:tab/>
      </w:r>
      <w:r>
        <w:tab/>
      </w:r>
      <w:r>
        <w:tab/>
      </w:r>
      <w:r>
        <w:tab/>
      </w:r>
      <w:r>
        <w:tab/>
      </w:r>
      <w:r>
        <w:tab/>
        <w:t>Administrative Law Judge</w:t>
      </w:r>
    </w:p>
    <w:p w:rsidR="00EE6A8D" w:rsidRDefault="00EE6A8D" w:rsidP="00EE6A8D">
      <w:pPr>
        <w:spacing w:line="240" w:lineRule="auto"/>
        <w:jc w:val="left"/>
      </w:pPr>
    </w:p>
    <w:p w:rsidR="00EE6A8D" w:rsidRPr="00EE6A8D" w:rsidRDefault="00EE6A8D" w:rsidP="00EE6A8D">
      <w:pPr>
        <w:spacing w:line="240" w:lineRule="auto"/>
        <w:jc w:val="left"/>
      </w:pPr>
    </w:p>
    <w:p w:rsidR="00EE6A8D" w:rsidRPr="00941E85" w:rsidRDefault="00EE6A8D" w:rsidP="00EE6A8D">
      <w:pPr>
        <w:jc w:val="left"/>
      </w:pPr>
    </w:p>
    <w:p w:rsidR="00EE6A8D" w:rsidRPr="00941E85" w:rsidRDefault="00EE6A8D" w:rsidP="00EE6A8D">
      <w:pPr>
        <w:jc w:val="left"/>
      </w:pPr>
    </w:p>
    <w:p w:rsidR="00EE6A8D" w:rsidRPr="00941E85" w:rsidRDefault="00EE6A8D" w:rsidP="00EE6A8D">
      <w:pPr>
        <w:jc w:val="left"/>
      </w:pPr>
    </w:p>
    <w:p w:rsidR="00EE6A8D" w:rsidRPr="00941E85" w:rsidRDefault="00EE6A8D" w:rsidP="00EE6A8D">
      <w:pPr>
        <w:jc w:val="left"/>
      </w:pPr>
    </w:p>
    <w:p w:rsidR="00EE6A8D" w:rsidRPr="00941E85" w:rsidRDefault="00EE6A8D" w:rsidP="00EE6A8D">
      <w:pPr>
        <w:jc w:val="left"/>
      </w:pPr>
    </w:p>
    <w:p w:rsidR="00EE6A8D" w:rsidRPr="00941E85" w:rsidRDefault="00EE6A8D" w:rsidP="00EE6A8D">
      <w:pPr>
        <w:jc w:val="left"/>
      </w:pPr>
    </w:p>
    <w:p w:rsidR="00B41DC3" w:rsidRDefault="00B41DC3">
      <w:r>
        <w:br w:type="page"/>
      </w:r>
    </w:p>
    <w:p w:rsidR="00B41DC3" w:rsidRDefault="00B41DC3" w:rsidP="00B41DC3">
      <w:pPr>
        <w:spacing w:line="240" w:lineRule="auto"/>
        <w:rPr>
          <w:b/>
        </w:rPr>
      </w:pPr>
      <w:r>
        <w:rPr>
          <w:b/>
        </w:rPr>
        <w:lastRenderedPageBreak/>
        <w:t>BEFORE THE</w:t>
      </w:r>
    </w:p>
    <w:p w:rsidR="00B41DC3" w:rsidRDefault="00B41DC3" w:rsidP="00B41DC3">
      <w:pPr>
        <w:spacing w:line="240" w:lineRule="auto"/>
        <w:rPr>
          <w:b/>
        </w:rPr>
      </w:pPr>
      <w:r>
        <w:rPr>
          <w:b/>
        </w:rPr>
        <w:t>PENNSYLVANIA PUBLIC UTILITY COMMISSION</w:t>
      </w:r>
    </w:p>
    <w:p w:rsidR="00B41DC3" w:rsidRDefault="00B41DC3" w:rsidP="00B41DC3">
      <w:pPr>
        <w:spacing w:line="240" w:lineRule="auto"/>
        <w:rPr>
          <w:b/>
        </w:rPr>
      </w:pPr>
    </w:p>
    <w:p w:rsidR="00B41DC3" w:rsidRDefault="00B41DC3" w:rsidP="00B41DC3">
      <w:pPr>
        <w:spacing w:line="240" w:lineRule="auto"/>
        <w:rPr>
          <w:b/>
        </w:rPr>
      </w:pPr>
    </w:p>
    <w:p w:rsidR="00B41DC3" w:rsidRDefault="00B41DC3" w:rsidP="00B41DC3">
      <w:pPr>
        <w:spacing w:line="240" w:lineRule="auto"/>
        <w:jc w:val="left"/>
      </w:pPr>
      <w:r>
        <w:t xml:space="preserve">Core Communications, Inc. </w:t>
      </w:r>
      <w:r>
        <w:tab/>
      </w:r>
      <w:r>
        <w:tab/>
      </w:r>
      <w:r>
        <w:tab/>
      </w:r>
      <w:r>
        <w:tab/>
        <w:t>:</w:t>
      </w:r>
    </w:p>
    <w:p w:rsidR="00B41DC3" w:rsidRDefault="00B41DC3" w:rsidP="00B41DC3">
      <w:pPr>
        <w:spacing w:line="240" w:lineRule="auto"/>
        <w:jc w:val="left"/>
      </w:pPr>
      <w:r>
        <w:tab/>
      </w:r>
      <w:r>
        <w:tab/>
      </w:r>
      <w:r>
        <w:tab/>
      </w:r>
      <w:r>
        <w:tab/>
      </w:r>
      <w:r>
        <w:tab/>
      </w:r>
      <w:r>
        <w:tab/>
      </w:r>
      <w:r>
        <w:tab/>
        <w:t>:</w:t>
      </w:r>
    </w:p>
    <w:p w:rsidR="00B41DC3" w:rsidRDefault="00B41DC3" w:rsidP="00B41DC3">
      <w:pPr>
        <w:spacing w:line="240" w:lineRule="auto"/>
        <w:jc w:val="left"/>
      </w:pPr>
      <w:r>
        <w:tab/>
        <w:t>v.</w:t>
      </w:r>
      <w:r>
        <w:tab/>
      </w:r>
      <w:r>
        <w:tab/>
      </w:r>
      <w:r>
        <w:tab/>
      </w:r>
      <w:r>
        <w:tab/>
      </w:r>
      <w:r>
        <w:tab/>
      </w:r>
      <w:r>
        <w:tab/>
        <w:t>:</w:t>
      </w:r>
      <w:r>
        <w:tab/>
      </w:r>
      <w:r>
        <w:tab/>
      </w:r>
      <w:r>
        <w:tab/>
        <w:t>C-2014-2406550</w:t>
      </w:r>
    </w:p>
    <w:p w:rsidR="00B41DC3" w:rsidRDefault="00B41DC3" w:rsidP="00B41DC3">
      <w:pPr>
        <w:spacing w:line="240" w:lineRule="auto"/>
        <w:jc w:val="left"/>
      </w:pPr>
      <w:r>
        <w:tab/>
      </w:r>
      <w:r>
        <w:tab/>
      </w:r>
      <w:r>
        <w:tab/>
      </w:r>
      <w:r>
        <w:tab/>
      </w:r>
      <w:r>
        <w:tab/>
      </w:r>
      <w:r>
        <w:tab/>
      </w:r>
      <w:r>
        <w:tab/>
        <w:t>:</w:t>
      </w:r>
    </w:p>
    <w:p w:rsidR="00B41DC3" w:rsidRDefault="00B41DC3" w:rsidP="00B41DC3">
      <w:pPr>
        <w:spacing w:line="240" w:lineRule="auto"/>
        <w:jc w:val="left"/>
      </w:pPr>
      <w:r>
        <w:t xml:space="preserve">Verizon Pennsylvania LLC </w:t>
      </w:r>
      <w:r>
        <w:tab/>
      </w:r>
      <w:r>
        <w:tab/>
      </w:r>
      <w:r>
        <w:tab/>
      </w:r>
      <w:r>
        <w:tab/>
        <w:t>:</w:t>
      </w:r>
      <w:r>
        <w:tab/>
      </w:r>
    </w:p>
    <w:p w:rsidR="00B41DC3" w:rsidRDefault="00B41DC3" w:rsidP="00B41DC3">
      <w:pPr>
        <w:jc w:val="left"/>
      </w:pPr>
    </w:p>
    <w:p w:rsidR="00B41DC3" w:rsidRDefault="00B41DC3" w:rsidP="00B41DC3">
      <w:pPr>
        <w:jc w:val="left"/>
      </w:pPr>
    </w:p>
    <w:p w:rsidR="00B41DC3" w:rsidRDefault="00B41DC3" w:rsidP="00B41DC3">
      <w:pPr>
        <w:jc w:val="left"/>
      </w:pPr>
    </w:p>
    <w:p w:rsidR="00EE6A8D" w:rsidRDefault="00B41DC3" w:rsidP="00B41DC3">
      <w:pPr>
        <w:jc w:val="left"/>
        <w:rPr>
          <w:b/>
        </w:rPr>
      </w:pPr>
      <w:r>
        <w:rPr>
          <w:b/>
        </w:rPr>
        <w:t>TO WHOM IT MAY CONCERN:</w:t>
      </w:r>
    </w:p>
    <w:p w:rsidR="00B41DC3" w:rsidRDefault="00B41DC3" w:rsidP="00B41DC3">
      <w:pPr>
        <w:spacing w:line="240" w:lineRule="auto"/>
        <w:jc w:val="left"/>
      </w:pPr>
    </w:p>
    <w:p w:rsidR="00B41DC3" w:rsidRDefault="00B41DC3" w:rsidP="00B41DC3">
      <w:pPr>
        <w:spacing w:line="240" w:lineRule="auto"/>
        <w:jc w:val="left"/>
      </w:pPr>
      <w:r>
        <w:t>The undersigned is the _____________________________________________ of</w:t>
      </w:r>
    </w:p>
    <w:p w:rsidR="00B41DC3" w:rsidRDefault="00B41DC3" w:rsidP="00B41DC3">
      <w:pPr>
        <w:spacing w:line="240" w:lineRule="auto"/>
        <w:jc w:val="left"/>
      </w:pPr>
      <w:r>
        <w:t>__________________________</w:t>
      </w:r>
      <w:proofErr w:type="gramStart"/>
      <w:r>
        <w:t>_(</w:t>
      </w:r>
      <w:proofErr w:type="gramEnd"/>
      <w:r>
        <w:t>the retaining party) and hereby acknowledges that he/she does</w:t>
      </w:r>
    </w:p>
    <w:p w:rsidR="00B41DC3" w:rsidRDefault="00B41DC3" w:rsidP="00B41DC3">
      <w:pPr>
        <w:spacing w:line="240" w:lineRule="auto"/>
        <w:jc w:val="left"/>
      </w:pPr>
      <w:r>
        <w:t>Not hold any of the following positions with any competitor or affiliate of a competitor of the producing party (an officer, board member, significant stockholder, partner, owner of an employee) who is primarily involved in the pricing, development, and/or marketing of products or services that are offered in competition with those of the producing party.</w:t>
      </w:r>
    </w:p>
    <w:p w:rsidR="00B41DC3" w:rsidRDefault="00B41DC3" w:rsidP="00B41DC3">
      <w:pPr>
        <w:spacing w:line="240" w:lineRule="auto"/>
        <w:jc w:val="left"/>
      </w:pPr>
    </w:p>
    <w:p w:rsidR="00B41DC3" w:rsidRDefault="00B41DC3" w:rsidP="00B41DC3">
      <w:pPr>
        <w:spacing w:line="240" w:lineRule="auto"/>
        <w:jc w:val="left"/>
      </w:pPr>
      <w:r>
        <w:t xml:space="preserve">The undersigned has read and understands the Protective Order that deals with the treatment of Proprietary Information and Highly Confidential Information.  The undersigned agrees to be bound by, and comply with, </w:t>
      </w:r>
      <w:proofErr w:type="gramStart"/>
      <w:r>
        <w:t>the  terms</w:t>
      </w:r>
      <w:proofErr w:type="gramEnd"/>
      <w:r>
        <w:t xml:space="preserve"> and conditions of said Order.</w:t>
      </w:r>
    </w:p>
    <w:p w:rsidR="00B41DC3" w:rsidRDefault="00B41DC3" w:rsidP="00B41DC3">
      <w:pPr>
        <w:spacing w:line="240" w:lineRule="auto"/>
        <w:jc w:val="left"/>
      </w:pPr>
    </w:p>
    <w:p w:rsidR="00B41DC3" w:rsidRDefault="00B41DC3" w:rsidP="00B41DC3">
      <w:pPr>
        <w:spacing w:line="240" w:lineRule="auto"/>
        <w:jc w:val="left"/>
      </w:pPr>
      <w:r>
        <w:t>In the case of an independent expert, the undersigned represents that he/she has complied with the provisions of numbered Paragraph 4 (a</w:t>
      </w:r>
      <w:proofErr w:type="gramStart"/>
      <w:r>
        <w:t>)(</w:t>
      </w:r>
      <w:proofErr w:type="gramEnd"/>
      <w:r>
        <w:t>ii) of the Order prior to submitting this Acknowledgment.</w:t>
      </w:r>
    </w:p>
    <w:p w:rsidR="00B41DC3" w:rsidRDefault="00B41DC3" w:rsidP="00B41DC3">
      <w:pPr>
        <w:spacing w:line="240" w:lineRule="auto"/>
        <w:jc w:val="left"/>
      </w:pPr>
    </w:p>
    <w:p w:rsidR="00B41DC3" w:rsidRDefault="00B41DC3" w:rsidP="00B41DC3">
      <w:pPr>
        <w:spacing w:line="240" w:lineRule="auto"/>
        <w:jc w:val="left"/>
      </w:pPr>
    </w:p>
    <w:p w:rsidR="00B41DC3" w:rsidRDefault="00B41DC3" w:rsidP="00B41DC3">
      <w:pPr>
        <w:spacing w:line="240" w:lineRule="auto"/>
        <w:jc w:val="left"/>
      </w:pPr>
      <w:r>
        <w:tab/>
      </w:r>
      <w:r>
        <w:tab/>
      </w:r>
      <w:r>
        <w:tab/>
      </w:r>
      <w:r>
        <w:tab/>
      </w:r>
      <w:r>
        <w:tab/>
      </w:r>
      <w:r>
        <w:tab/>
      </w:r>
      <w:r>
        <w:tab/>
        <w:t>________________________________</w:t>
      </w:r>
    </w:p>
    <w:p w:rsidR="00B41DC3" w:rsidRDefault="00B41DC3" w:rsidP="00B41DC3">
      <w:pPr>
        <w:spacing w:line="240" w:lineRule="auto"/>
        <w:jc w:val="left"/>
      </w:pPr>
      <w:r>
        <w:tab/>
      </w:r>
      <w:r>
        <w:tab/>
      </w:r>
      <w:r>
        <w:tab/>
      </w:r>
      <w:r>
        <w:tab/>
      </w:r>
      <w:r>
        <w:tab/>
      </w:r>
      <w:r>
        <w:tab/>
      </w:r>
      <w:r>
        <w:tab/>
        <w:t>SIGNATURE</w:t>
      </w:r>
    </w:p>
    <w:p w:rsidR="00B41DC3" w:rsidRDefault="00B41DC3" w:rsidP="00B41DC3">
      <w:pPr>
        <w:spacing w:line="240" w:lineRule="auto"/>
        <w:jc w:val="left"/>
      </w:pPr>
    </w:p>
    <w:p w:rsidR="00B41DC3" w:rsidRDefault="00B41DC3" w:rsidP="00B41DC3">
      <w:pPr>
        <w:spacing w:line="240" w:lineRule="auto"/>
        <w:jc w:val="left"/>
      </w:pPr>
    </w:p>
    <w:p w:rsidR="00B41DC3" w:rsidRDefault="00B41DC3" w:rsidP="00B41DC3">
      <w:pPr>
        <w:spacing w:line="240" w:lineRule="auto"/>
        <w:jc w:val="left"/>
      </w:pPr>
      <w:r>
        <w:tab/>
      </w:r>
      <w:r>
        <w:tab/>
      </w:r>
      <w:r>
        <w:tab/>
      </w:r>
      <w:r>
        <w:tab/>
      </w:r>
      <w:r>
        <w:tab/>
      </w:r>
      <w:r>
        <w:tab/>
      </w:r>
      <w:r>
        <w:tab/>
        <w:t>________________________________</w:t>
      </w:r>
    </w:p>
    <w:p w:rsidR="00B41DC3" w:rsidRDefault="00B41DC3" w:rsidP="00B41DC3">
      <w:pPr>
        <w:spacing w:line="240" w:lineRule="auto"/>
        <w:jc w:val="left"/>
      </w:pPr>
      <w:r>
        <w:tab/>
      </w:r>
      <w:r>
        <w:tab/>
      </w:r>
      <w:r>
        <w:tab/>
      </w:r>
      <w:r>
        <w:tab/>
      </w:r>
      <w:r>
        <w:tab/>
      </w:r>
      <w:r>
        <w:tab/>
      </w:r>
      <w:r>
        <w:tab/>
        <w:t>PRINT NAME</w:t>
      </w:r>
    </w:p>
    <w:p w:rsidR="00B41DC3" w:rsidRDefault="00B41DC3" w:rsidP="00B41DC3">
      <w:pPr>
        <w:spacing w:line="240" w:lineRule="auto"/>
        <w:jc w:val="left"/>
      </w:pPr>
    </w:p>
    <w:p w:rsidR="00B41DC3" w:rsidRDefault="00B41DC3" w:rsidP="00B41DC3">
      <w:pPr>
        <w:spacing w:line="240" w:lineRule="auto"/>
        <w:jc w:val="left"/>
      </w:pPr>
    </w:p>
    <w:p w:rsidR="00B41DC3" w:rsidRDefault="00B41DC3" w:rsidP="00B41DC3">
      <w:pPr>
        <w:spacing w:line="240" w:lineRule="auto"/>
        <w:jc w:val="left"/>
      </w:pPr>
      <w:r>
        <w:t>______________</w:t>
      </w:r>
      <w:r>
        <w:tab/>
      </w:r>
      <w:r>
        <w:tab/>
      </w:r>
      <w:r>
        <w:tab/>
      </w:r>
      <w:r>
        <w:tab/>
      </w:r>
      <w:r>
        <w:tab/>
        <w:t>_________________________________</w:t>
      </w:r>
    </w:p>
    <w:p w:rsidR="00B41DC3" w:rsidRDefault="00B41DC3" w:rsidP="00B41DC3">
      <w:pPr>
        <w:spacing w:line="240" w:lineRule="auto"/>
        <w:jc w:val="left"/>
      </w:pPr>
      <w:r>
        <w:t>DATE</w:t>
      </w:r>
      <w:r>
        <w:tab/>
      </w:r>
      <w:r>
        <w:tab/>
      </w:r>
      <w:r>
        <w:tab/>
      </w:r>
      <w:r>
        <w:tab/>
      </w:r>
      <w:r>
        <w:tab/>
      </w:r>
      <w:r>
        <w:tab/>
      </w:r>
      <w:r>
        <w:tab/>
        <w:t>ADDRESS</w:t>
      </w:r>
    </w:p>
    <w:p w:rsidR="00B41DC3" w:rsidRDefault="00B41DC3" w:rsidP="00B41DC3">
      <w:pPr>
        <w:spacing w:line="240" w:lineRule="auto"/>
        <w:jc w:val="left"/>
      </w:pPr>
    </w:p>
    <w:p w:rsidR="00B41DC3" w:rsidRDefault="00B41DC3" w:rsidP="00B41DC3">
      <w:pPr>
        <w:spacing w:line="240" w:lineRule="auto"/>
        <w:jc w:val="left"/>
      </w:pPr>
    </w:p>
    <w:p w:rsidR="00B41DC3" w:rsidRDefault="00B41DC3" w:rsidP="00B41DC3">
      <w:pPr>
        <w:spacing w:line="240" w:lineRule="auto"/>
        <w:jc w:val="left"/>
      </w:pPr>
      <w:r>
        <w:tab/>
      </w:r>
      <w:r>
        <w:tab/>
      </w:r>
      <w:r>
        <w:tab/>
      </w:r>
      <w:r>
        <w:tab/>
      </w:r>
      <w:r>
        <w:tab/>
      </w:r>
      <w:r>
        <w:tab/>
      </w:r>
      <w:r>
        <w:tab/>
        <w:t>_________________________________</w:t>
      </w:r>
    </w:p>
    <w:p w:rsidR="00D75F43" w:rsidRDefault="00B41DC3" w:rsidP="00B41DC3">
      <w:pPr>
        <w:spacing w:line="240" w:lineRule="auto"/>
        <w:jc w:val="left"/>
        <w:sectPr w:rsidR="00D75F43" w:rsidSect="00EE6A8D">
          <w:footerReference w:type="default" r:id="rId7"/>
          <w:pgSz w:w="12240" w:h="15840"/>
          <w:pgMar w:top="1440" w:right="1440" w:bottom="1440" w:left="1440" w:header="720" w:footer="720" w:gutter="0"/>
          <w:cols w:space="720"/>
          <w:titlePg/>
          <w:docGrid w:linePitch="360"/>
        </w:sectPr>
      </w:pPr>
      <w:r>
        <w:tab/>
      </w:r>
      <w:r>
        <w:tab/>
      </w:r>
      <w:r>
        <w:tab/>
      </w:r>
      <w:r>
        <w:tab/>
      </w:r>
      <w:r>
        <w:tab/>
      </w:r>
      <w:r>
        <w:tab/>
      </w:r>
      <w:r>
        <w:tab/>
        <w:t>EMPLOYER</w:t>
      </w:r>
    </w:p>
    <w:p w:rsidR="00D75F43" w:rsidRDefault="00D75F43" w:rsidP="00D75F43">
      <w:pPr>
        <w:spacing w:line="240" w:lineRule="auto"/>
        <w:contextualSpacing/>
        <w:jc w:val="left"/>
        <w:rPr>
          <w:rFonts w:ascii="Microsoft Sans Serif"/>
        </w:rPr>
      </w:pPr>
      <w:r>
        <w:rPr>
          <w:rFonts w:ascii="Microsoft Sans Serif"/>
          <w:b/>
          <w:u w:val="single"/>
        </w:rPr>
        <w:lastRenderedPageBreak/>
        <w:t>C-2014-2406550 - CORE COMMUNICATIONS INC v. VERIZON PENNSYLVANIA LLC</w:t>
      </w:r>
      <w:r>
        <w:rPr>
          <w:rFonts w:ascii="Microsoft Sans Serif"/>
          <w:b/>
          <w:u w:val="single"/>
        </w:rPr>
        <w:cr/>
      </w:r>
      <w:r>
        <w:rPr>
          <w:rFonts w:ascii="Microsoft Sans Serif"/>
          <w:b/>
          <w:u w:val="single"/>
        </w:rPr>
        <w:cr/>
      </w:r>
      <w:r>
        <w:rPr>
          <w:rFonts w:ascii="Microsoft Sans Serif"/>
        </w:rPr>
        <w:t>CHRIS VAN DE VERG ESQUIRE</w:t>
      </w:r>
      <w:r>
        <w:rPr>
          <w:rFonts w:ascii="Microsoft Sans Serif"/>
        </w:rPr>
        <w:cr/>
        <w:t>CORE COMMUNICATIONS INC</w:t>
      </w:r>
      <w:r>
        <w:rPr>
          <w:rFonts w:ascii="Microsoft Sans Serif"/>
        </w:rPr>
        <w:cr/>
        <w:t>209 WEST STREET</w:t>
      </w:r>
      <w:r>
        <w:rPr>
          <w:rFonts w:ascii="Microsoft Sans Serif"/>
        </w:rPr>
        <w:cr/>
        <w:t>SUITE 302</w:t>
      </w:r>
      <w:r>
        <w:rPr>
          <w:rFonts w:ascii="Microsoft Sans Serif"/>
        </w:rPr>
        <w:cr/>
        <w:t>ANNAPOLIS MD  21401</w:t>
      </w:r>
      <w:r>
        <w:rPr>
          <w:rFonts w:ascii="Microsoft Sans Serif"/>
        </w:rPr>
        <w:cr/>
        <w:t>410.216.9865</w:t>
      </w:r>
    </w:p>
    <w:p w:rsidR="00D75F43" w:rsidRDefault="00D75F43" w:rsidP="00D75F43">
      <w:pPr>
        <w:spacing w:line="240" w:lineRule="auto"/>
        <w:contextualSpacing/>
        <w:jc w:val="left"/>
        <w:rPr>
          <w:rFonts w:ascii="Microsoft Sans Serif"/>
        </w:rPr>
      </w:pPr>
      <w:r>
        <w:rPr>
          <w:rFonts w:ascii="Microsoft Sans Serif"/>
          <w:i/>
        </w:rPr>
        <w:t>E-served</w:t>
      </w:r>
      <w:r>
        <w:rPr>
          <w:rFonts w:ascii="Microsoft Sans Serif"/>
        </w:rPr>
        <w:cr/>
      </w:r>
      <w:r>
        <w:rPr>
          <w:rFonts w:ascii="Microsoft Sans Serif"/>
        </w:rPr>
        <w:cr/>
        <w:t>MICHAEL A GRUIN ESQUIRE</w:t>
      </w:r>
      <w:r>
        <w:rPr>
          <w:rFonts w:ascii="Microsoft Sans Serif"/>
        </w:rPr>
        <w:cr/>
        <w:t>STEVENS &amp; LEE</w:t>
      </w:r>
      <w:r>
        <w:rPr>
          <w:rFonts w:ascii="Microsoft Sans Serif"/>
        </w:rPr>
        <w:cr/>
      </w:r>
      <w:bookmarkStart w:id="0" w:name="_GoBack"/>
      <w:bookmarkEnd w:id="0"/>
      <w:r>
        <w:rPr>
          <w:rFonts w:ascii="Microsoft Sans Serif"/>
        </w:rP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p>
    <w:p w:rsidR="00D75F43" w:rsidRPr="00A338A5" w:rsidRDefault="00D75F43" w:rsidP="00D75F43">
      <w:pPr>
        <w:spacing w:line="240" w:lineRule="auto"/>
        <w:contextualSpacing/>
        <w:jc w:val="left"/>
        <w:rPr>
          <w:rFonts w:ascii="Microsoft Sans Serif"/>
          <w:i/>
        </w:rPr>
      </w:pPr>
      <w:proofErr w:type="gramStart"/>
      <w:r>
        <w:rPr>
          <w:rFonts w:ascii="Microsoft Sans Serif"/>
          <w:i/>
        </w:rPr>
        <w:t>Representing Core Communications, Inc.</w:t>
      </w:r>
      <w:proofErr w:type="gramEnd"/>
      <w:r>
        <w:rPr>
          <w:rFonts w:ascii="Microsoft Sans Serif"/>
        </w:rPr>
        <w:cr/>
      </w:r>
      <w:r>
        <w:rPr>
          <w:rFonts w:ascii="Microsoft Sans Serif"/>
          <w:i/>
        </w:rPr>
        <w:t>E-served</w:t>
      </w:r>
    </w:p>
    <w:p w:rsidR="00D75F43" w:rsidRDefault="00D75F43" w:rsidP="00D75F43">
      <w:pPr>
        <w:spacing w:line="240" w:lineRule="auto"/>
        <w:contextualSpacing/>
        <w:jc w:val="left"/>
        <w:rPr>
          <w:rFonts w:ascii="Microsoft Sans Serif"/>
        </w:rPr>
      </w:pPr>
    </w:p>
    <w:p w:rsidR="00D75F43" w:rsidRDefault="00D75F43" w:rsidP="00D75F43">
      <w:pPr>
        <w:spacing w:line="240" w:lineRule="auto"/>
        <w:contextualSpacing/>
        <w:jc w:val="left"/>
      </w:pPr>
      <w:r>
        <w:rPr>
          <w:rFonts w:ascii="Microsoft Sans Serif"/>
        </w:rPr>
        <w:t>SUZAN D PAIVA ESQUIRE</w:t>
      </w:r>
      <w:r>
        <w:rPr>
          <w:rFonts w:ascii="Microsoft Sans Serif"/>
        </w:rPr>
        <w:cr/>
        <w:t>VERIZON</w:t>
      </w:r>
      <w:r>
        <w:rPr>
          <w:rFonts w:ascii="Microsoft Sans Serif"/>
        </w:rPr>
        <w:cr/>
        <w:t>1717 ARCH STREET</w:t>
      </w:r>
      <w:r>
        <w:rPr>
          <w:rFonts w:ascii="Microsoft Sans Serif"/>
        </w:rPr>
        <w:cr/>
        <w:t>3 EAST</w:t>
      </w:r>
      <w:r>
        <w:rPr>
          <w:rFonts w:ascii="Microsoft Sans Serif"/>
        </w:rPr>
        <w:cr/>
        <w:t>PHILADELPHIA PA  19103</w:t>
      </w:r>
      <w:r>
        <w:rPr>
          <w:rFonts w:ascii="Microsoft Sans Serif"/>
        </w:rPr>
        <w:cr/>
        <w:t>215.466.4755</w:t>
      </w:r>
      <w:r>
        <w:rPr>
          <w:rFonts w:ascii="Microsoft Sans Serif"/>
        </w:rPr>
        <w:cr/>
      </w:r>
      <w:r>
        <w:rPr>
          <w:rFonts w:ascii="Microsoft Sans Serif"/>
          <w:i/>
        </w:rPr>
        <w:t>E-served</w:t>
      </w:r>
    </w:p>
    <w:p w:rsidR="00B41DC3" w:rsidRDefault="00B41DC3" w:rsidP="00D75F43">
      <w:pPr>
        <w:spacing w:line="240" w:lineRule="auto"/>
        <w:jc w:val="left"/>
      </w:pPr>
    </w:p>
    <w:p w:rsidR="00B41DC3" w:rsidRDefault="00B41DC3" w:rsidP="00D75F43">
      <w:pPr>
        <w:spacing w:line="240" w:lineRule="auto"/>
        <w:jc w:val="left"/>
      </w:pPr>
    </w:p>
    <w:p w:rsidR="00B41DC3" w:rsidRPr="00B41DC3" w:rsidRDefault="00B41DC3" w:rsidP="00D75F43">
      <w:pPr>
        <w:spacing w:line="240" w:lineRule="auto"/>
        <w:jc w:val="left"/>
      </w:pPr>
      <w:r>
        <w:tab/>
      </w:r>
      <w:r>
        <w:tab/>
      </w:r>
      <w:r>
        <w:tab/>
      </w:r>
      <w:r>
        <w:tab/>
      </w:r>
      <w:r>
        <w:tab/>
      </w:r>
      <w:r>
        <w:tab/>
      </w:r>
      <w:r>
        <w:tab/>
      </w:r>
      <w:r>
        <w:tab/>
      </w:r>
      <w:r>
        <w:tab/>
      </w:r>
      <w:r>
        <w:tab/>
      </w:r>
      <w:r>
        <w:tab/>
      </w:r>
      <w:r>
        <w:tab/>
      </w:r>
      <w:r>
        <w:tab/>
      </w:r>
      <w:r>
        <w:tab/>
      </w:r>
    </w:p>
    <w:p w:rsidR="00EE6A8D" w:rsidRPr="00941E85" w:rsidRDefault="00EE6A8D" w:rsidP="00D75F43">
      <w:pPr>
        <w:jc w:val="left"/>
      </w:pPr>
    </w:p>
    <w:p w:rsidR="00EE6A8D" w:rsidRPr="00941E85" w:rsidRDefault="00EE6A8D" w:rsidP="00D75F43">
      <w:pPr>
        <w:jc w:val="left"/>
      </w:pPr>
    </w:p>
    <w:p w:rsidR="00EE6A8D" w:rsidRPr="00941E85" w:rsidRDefault="00EE6A8D" w:rsidP="00D75F43">
      <w:pPr>
        <w:jc w:val="left"/>
      </w:pPr>
    </w:p>
    <w:p w:rsidR="00EE6A8D" w:rsidRPr="00941E85" w:rsidRDefault="00EE6A8D" w:rsidP="00D75F43">
      <w:pPr>
        <w:jc w:val="left"/>
      </w:pPr>
    </w:p>
    <w:p w:rsidR="005F4BFF" w:rsidRPr="00941E85" w:rsidRDefault="005F4BFF" w:rsidP="00D75F43">
      <w:pPr>
        <w:jc w:val="left"/>
      </w:pPr>
    </w:p>
    <w:p w:rsidR="005F4BFF" w:rsidRPr="00941E85" w:rsidRDefault="005F4BFF" w:rsidP="00D75F43">
      <w:pPr>
        <w:jc w:val="left"/>
      </w:pPr>
    </w:p>
    <w:sectPr w:rsidR="005F4BFF" w:rsidRPr="00941E85" w:rsidSect="00EE6A8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12A" w:rsidRDefault="004B212A" w:rsidP="00EE6A8D">
      <w:pPr>
        <w:spacing w:line="240" w:lineRule="auto"/>
      </w:pPr>
      <w:r>
        <w:separator/>
      </w:r>
    </w:p>
  </w:endnote>
  <w:endnote w:type="continuationSeparator" w:id="0">
    <w:p w:rsidR="004B212A" w:rsidRDefault="004B212A" w:rsidP="00EE6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608961"/>
      <w:docPartObj>
        <w:docPartGallery w:val="Page Numbers (Bottom of Page)"/>
        <w:docPartUnique/>
      </w:docPartObj>
    </w:sdtPr>
    <w:sdtEndPr>
      <w:rPr>
        <w:noProof/>
      </w:rPr>
    </w:sdtEndPr>
    <w:sdtContent>
      <w:p w:rsidR="00EE6A8D" w:rsidRDefault="00EE6A8D">
        <w:pPr>
          <w:pStyle w:val="Footer"/>
        </w:pPr>
        <w:r>
          <w:fldChar w:fldCharType="begin"/>
        </w:r>
        <w:r>
          <w:instrText xml:space="preserve"> PAGE   \* MERGEFORMAT </w:instrText>
        </w:r>
        <w:r>
          <w:fldChar w:fldCharType="separate"/>
        </w:r>
        <w:r w:rsidR="00D75F43">
          <w:rPr>
            <w:noProof/>
          </w:rPr>
          <w:t>9</w:t>
        </w:r>
        <w:r>
          <w:rPr>
            <w:noProof/>
          </w:rPr>
          <w:fldChar w:fldCharType="end"/>
        </w:r>
      </w:p>
    </w:sdtContent>
  </w:sdt>
  <w:p w:rsidR="00EE6A8D" w:rsidRDefault="00EE6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12A" w:rsidRDefault="004B212A" w:rsidP="00EE6A8D">
      <w:pPr>
        <w:spacing w:line="240" w:lineRule="auto"/>
      </w:pPr>
      <w:r>
        <w:separator/>
      </w:r>
    </w:p>
  </w:footnote>
  <w:footnote w:type="continuationSeparator" w:id="0">
    <w:p w:rsidR="004B212A" w:rsidRDefault="004B212A" w:rsidP="00EE6A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0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8B"/>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BBA"/>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12A"/>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00C"/>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4BFF"/>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794"/>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1E85"/>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0E3D"/>
    <w:rsid w:val="009F19CB"/>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DC3"/>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5F43"/>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7A3"/>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E6A8D"/>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8D"/>
    <w:pPr>
      <w:tabs>
        <w:tab w:val="center" w:pos="4680"/>
        <w:tab w:val="right" w:pos="9360"/>
      </w:tabs>
      <w:spacing w:line="240" w:lineRule="auto"/>
    </w:pPr>
  </w:style>
  <w:style w:type="character" w:customStyle="1" w:styleId="HeaderChar">
    <w:name w:val="Header Char"/>
    <w:basedOn w:val="DefaultParagraphFont"/>
    <w:link w:val="Header"/>
    <w:uiPriority w:val="99"/>
    <w:rsid w:val="00EE6A8D"/>
  </w:style>
  <w:style w:type="paragraph" w:styleId="Footer">
    <w:name w:val="footer"/>
    <w:basedOn w:val="Normal"/>
    <w:link w:val="FooterChar"/>
    <w:uiPriority w:val="99"/>
    <w:unhideWhenUsed/>
    <w:rsid w:val="00EE6A8D"/>
    <w:pPr>
      <w:tabs>
        <w:tab w:val="center" w:pos="4680"/>
        <w:tab w:val="right" w:pos="9360"/>
      </w:tabs>
      <w:spacing w:line="240" w:lineRule="auto"/>
    </w:pPr>
  </w:style>
  <w:style w:type="character" w:customStyle="1" w:styleId="FooterChar">
    <w:name w:val="Footer Char"/>
    <w:basedOn w:val="DefaultParagraphFont"/>
    <w:link w:val="Footer"/>
    <w:uiPriority w:val="99"/>
    <w:rsid w:val="00EE6A8D"/>
  </w:style>
  <w:style w:type="paragraph" w:styleId="BalloonText">
    <w:name w:val="Balloon Text"/>
    <w:basedOn w:val="Normal"/>
    <w:link w:val="BalloonTextChar"/>
    <w:uiPriority w:val="99"/>
    <w:semiHidden/>
    <w:unhideWhenUsed/>
    <w:rsid w:val="00E747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8D"/>
    <w:pPr>
      <w:tabs>
        <w:tab w:val="center" w:pos="4680"/>
        <w:tab w:val="right" w:pos="9360"/>
      </w:tabs>
      <w:spacing w:line="240" w:lineRule="auto"/>
    </w:pPr>
  </w:style>
  <w:style w:type="character" w:customStyle="1" w:styleId="HeaderChar">
    <w:name w:val="Header Char"/>
    <w:basedOn w:val="DefaultParagraphFont"/>
    <w:link w:val="Header"/>
    <w:uiPriority w:val="99"/>
    <w:rsid w:val="00EE6A8D"/>
  </w:style>
  <w:style w:type="paragraph" w:styleId="Footer">
    <w:name w:val="footer"/>
    <w:basedOn w:val="Normal"/>
    <w:link w:val="FooterChar"/>
    <w:uiPriority w:val="99"/>
    <w:unhideWhenUsed/>
    <w:rsid w:val="00EE6A8D"/>
    <w:pPr>
      <w:tabs>
        <w:tab w:val="center" w:pos="4680"/>
        <w:tab w:val="right" w:pos="9360"/>
      </w:tabs>
      <w:spacing w:line="240" w:lineRule="auto"/>
    </w:pPr>
  </w:style>
  <w:style w:type="character" w:customStyle="1" w:styleId="FooterChar">
    <w:name w:val="Footer Char"/>
    <w:basedOn w:val="DefaultParagraphFont"/>
    <w:link w:val="Footer"/>
    <w:uiPriority w:val="99"/>
    <w:rsid w:val="00EE6A8D"/>
  </w:style>
  <w:style w:type="paragraph" w:styleId="BalloonText">
    <w:name w:val="Balloon Text"/>
    <w:basedOn w:val="Normal"/>
    <w:link w:val="BalloonTextChar"/>
    <w:uiPriority w:val="99"/>
    <w:semiHidden/>
    <w:unhideWhenUsed/>
    <w:rsid w:val="00E747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2014-06-13T18:40:00Z</cp:lastPrinted>
  <dcterms:created xsi:type="dcterms:W3CDTF">2014-06-13T18:38:00Z</dcterms:created>
  <dcterms:modified xsi:type="dcterms:W3CDTF">2014-06-13T18:40:00Z</dcterms:modified>
</cp:coreProperties>
</file>