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531043">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531043">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531043">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531043">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531043">
            <w:pPr>
              <w:widowControl/>
              <w:rPr>
                <w:sz w:val="26"/>
                <w:szCs w:val="26"/>
              </w:rPr>
            </w:pPr>
          </w:p>
        </w:tc>
        <w:tc>
          <w:tcPr>
            <w:tcW w:w="4428" w:type="dxa"/>
          </w:tcPr>
          <w:p w:rsidR="00F514FB" w:rsidRPr="00F514FB" w:rsidRDefault="00866E77" w:rsidP="00531043">
            <w:pPr>
              <w:widowControl/>
              <w:ind w:left="-198"/>
              <w:jc w:val="right"/>
              <w:rPr>
                <w:sz w:val="26"/>
                <w:szCs w:val="26"/>
              </w:rPr>
            </w:pPr>
            <w:r>
              <w:rPr>
                <w:sz w:val="26"/>
                <w:szCs w:val="26"/>
              </w:rPr>
              <w:t xml:space="preserve"> </w:t>
            </w:r>
            <w:r w:rsidR="00F514FB" w:rsidRPr="00F514FB">
              <w:rPr>
                <w:sz w:val="26"/>
                <w:szCs w:val="26"/>
              </w:rPr>
              <w:t xml:space="preserve">Public Meeting held </w:t>
            </w:r>
            <w:r w:rsidR="00455700">
              <w:rPr>
                <w:sz w:val="26"/>
                <w:szCs w:val="26"/>
              </w:rPr>
              <w:t>May</w:t>
            </w:r>
            <w:r w:rsidR="00677CDD">
              <w:rPr>
                <w:sz w:val="26"/>
                <w:szCs w:val="26"/>
              </w:rPr>
              <w:t xml:space="preserve"> </w:t>
            </w:r>
            <w:r w:rsidR="00455700">
              <w:rPr>
                <w:sz w:val="26"/>
                <w:szCs w:val="26"/>
              </w:rPr>
              <w:t>22</w:t>
            </w:r>
            <w:r w:rsidR="00940BD4">
              <w:rPr>
                <w:sz w:val="26"/>
                <w:szCs w:val="26"/>
              </w:rPr>
              <w:t>, 201</w:t>
            </w:r>
            <w:r w:rsidR="00455700">
              <w:rPr>
                <w:sz w:val="26"/>
                <w:szCs w:val="26"/>
              </w:rPr>
              <w:t>4</w:t>
            </w:r>
          </w:p>
          <w:p w:rsidR="00F514FB" w:rsidRPr="00F514FB" w:rsidRDefault="00F514FB" w:rsidP="00531043">
            <w:pPr>
              <w:widowControl/>
              <w:jc w:val="right"/>
              <w:rPr>
                <w:sz w:val="26"/>
                <w:szCs w:val="26"/>
              </w:rPr>
            </w:pPr>
          </w:p>
        </w:tc>
      </w:tr>
      <w:tr w:rsidR="00F514FB" w:rsidRPr="00F514FB" w:rsidTr="000C0324">
        <w:tc>
          <w:tcPr>
            <w:tcW w:w="5058" w:type="dxa"/>
          </w:tcPr>
          <w:p w:rsidR="00F514FB" w:rsidRDefault="00F514FB" w:rsidP="00531043">
            <w:pPr>
              <w:widowControl/>
              <w:rPr>
                <w:sz w:val="26"/>
                <w:szCs w:val="26"/>
              </w:rPr>
            </w:pPr>
            <w:r w:rsidRPr="00F514FB">
              <w:rPr>
                <w:sz w:val="26"/>
                <w:szCs w:val="26"/>
              </w:rPr>
              <w:t>Commissioners Present:</w:t>
            </w:r>
          </w:p>
          <w:p w:rsidR="00677CDD" w:rsidRPr="00F514FB" w:rsidRDefault="00677CDD" w:rsidP="00531043">
            <w:pPr>
              <w:widowControl/>
              <w:rPr>
                <w:sz w:val="26"/>
                <w:szCs w:val="26"/>
              </w:rPr>
            </w:pPr>
          </w:p>
          <w:p w:rsidR="00F514FB" w:rsidRPr="00F514FB" w:rsidRDefault="00F514FB" w:rsidP="00531043">
            <w:pPr>
              <w:widowControl/>
              <w:tabs>
                <w:tab w:val="left" w:pos="705"/>
              </w:tabs>
              <w:ind w:firstLine="720"/>
              <w:rPr>
                <w:sz w:val="26"/>
                <w:szCs w:val="26"/>
              </w:rPr>
            </w:pPr>
            <w:r w:rsidRPr="00F514FB">
              <w:rPr>
                <w:sz w:val="26"/>
                <w:szCs w:val="26"/>
              </w:rPr>
              <w:t xml:space="preserve">Robert F. </w:t>
            </w:r>
            <w:proofErr w:type="spellStart"/>
            <w:r w:rsidRPr="00F514FB">
              <w:rPr>
                <w:sz w:val="26"/>
                <w:szCs w:val="26"/>
              </w:rPr>
              <w:t>Powelson</w:t>
            </w:r>
            <w:proofErr w:type="spellEnd"/>
            <w:r w:rsidRPr="00F514FB">
              <w:rPr>
                <w:sz w:val="26"/>
                <w:szCs w:val="26"/>
              </w:rPr>
              <w:t>, Chairman</w:t>
            </w:r>
          </w:p>
          <w:p w:rsidR="00F514FB" w:rsidRPr="00F514FB" w:rsidRDefault="00F514FB" w:rsidP="00531043">
            <w:pPr>
              <w:widowControl/>
              <w:tabs>
                <w:tab w:val="left" w:pos="705"/>
              </w:tabs>
              <w:ind w:firstLine="720"/>
              <w:rPr>
                <w:sz w:val="26"/>
                <w:szCs w:val="26"/>
              </w:rPr>
            </w:pPr>
            <w:r w:rsidRPr="00F514FB">
              <w:rPr>
                <w:sz w:val="26"/>
                <w:szCs w:val="26"/>
              </w:rPr>
              <w:t>John F. Coleman, Jr., Vice Chairman</w:t>
            </w:r>
          </w:p>
          <w:p w:rsidR="00F514FB" w:rsidRPr="00F514FB" w:rsidRDefault="00F514FB" w:rsidP="00531043">
            <w:pPr>
              <w:widowControl/>
              <w:tabs>
                <w:tab w:val="left" w:pos="705"/>
              </w:tabs>
              <w:ind w:firstLine="720"/>
              <w:rPr>
                <w:sz w:val="26"/>
                <w:szCs w:val="26"/>
              </w:rPr>
            </w:pPr>
            <w:r w:rsidRPr="00F514FB">
              <w:rPr>
                <w:sz w:val="26"/>
                <w:szCs w:val="26"/>
              </w:rPr>
              <w:t>Wayne E. Gardner</w:t>
            </w:r>
          </w:p>
          <w:p w:rsidR="00F514FB" w:rsidRPr="00F514FB" w:rsidRDefault="00F514FB" w:rsidP="00531043">
            <w:pPr>
              <w:widowControl/>
              <w:tabs>
                <w:tab w:val="left" w:pos="705"/>
              </w:tabs>
              <w:ind w:firstLine="720"/>
              <w:rPr>
                <w:sz w:val="26"/>
                <w:szCs w:val="26"/>
              </w:rPr>
            </w:pPr>
            <w:r w:rsidRPr="00F514FB">
              <w:rPr>
                <w:sz w:val="26"/>
                <w:szCs w:val="26"/>
              </w:rPr>
              <w:t xml:space="preserve">James H. </w:t>
            </w:r>
            <w:proofErr w:type="spellStart"/>
            <w:r w:rsidRPr="00F514FB">
              <w:rPr>
                <w:sz w:val="26"/>
                <w:szCs w:val="26"/>
              </w:rPr>
              <w:t>Cawley</w:t>
            </w:r>
            <w:proofErr w:type="spellEnd"/>
          </w:p>
          <w:p w:rsidR="00F514FB" w:rsidRPr="00F514FB" w:rsidRDefault="00F514FB" w:rsidP="00531043">
            <w:pPr>
              <w:widowControl/>
              <w:tabs>
                <w:tab w:val="left" w:pos="705"/>
              </w:tabs>
              <w:ind w:firstLine="720"/>
              <w:rPr>
                <w:sz w:val="26"/>
                <w:szCs w:val="26"/>
              </w:rPr>
            </w:pPr>
            <w:r w:rsidRPr="00F514FB">
              <w:rPr>
                <w:sz w:val="26"/>
                <w:szCs w:val="26"/>
              </w:rPr>
              <w:t xml:space="preserve">Pamela A. </w:t>
            </w:r>
            <w:proofErr w:type="spellStart"/>
            <w:r w:rsidRPr="00F514FB">
              <w:rPr>
                <w:sz w:val="26"/>
                <w:szCs w:val="26"/>
              </w:rPr>
              <w:t>Witmer</w:t>
            </w:r>
            <w:proofErr w:type="spellEnd"/>
          </w:p>
          <w:p w:rsidR="00F514FB" w:rsidRDefault="00F514FB" w:rsidP="00531043">
            <w:pPr>
              <w:widowControl/>
              <w:rPr>
                <w:sz w:val="26"/>
                <w:szCs w:val="26"/>
              </w:rPr>
            </w:pPr>
          </w:p>
          <w:p w:rsidR="007F09A0" w:rsidRPr="00F514FB" w:rsidRDefault="007F09A0" w:rsidP="00531043">
            <w:pPr>
              <w:widowControl/>
              <w:rPr>
                <w:sz w:val="26"/>
                <w:szCs w:val="26"/>
              </w:rPr>
            </w:pPr>
          </w:p>
        </w:tc>
        <w:tc>
          <w:tcPr>
            <w:tcW w:w="4428" w:type="dxa"/>
          </w:tcPr>
          <w:p w:rsidR="00F514FB" w:rsidRPr="00F514FB" w:rsidRDefault="00F514FB" w:rsidP="00531043">
            <w:pPr>
              <w:widowControl/>
              <w:jc w:val="right"/>
              <w:rPr>
                <w:sz w:val="26"/>
                <w:szCs w:val="26"/>
              </w:rPr>
            </w:pPr>
          </w:p>
          <w:p w:rsidR="00F514FB" w:rsidRPr="00F514FB" w:rsidRDefault="00F514FB" w:rsidP="00531043">
            <w:pPr>
              <w:widowControl/>
              <w:jc w:val="right"/>
              <w:rPr>
                <w:sz w:val="26"/>
                <w:szCs w:val="26"/>
              </w:rPr>
            </w:pPr>
          </w:p>
        </w:tc>
      </w:tr>
      <w:tr w:rsidR="00F514FB" w:rsidRPr="00F514FB" w:rsidTr="00DE25AC">
        <w:tc>
          <w:tcPr>
            <w:tcW w:w="5058" w:type="dxa"/>
          </w:tcPr>
          <w:p w:rsidR="00F514FB" w:rsidRPr="00F514FB" w:rsidRDefault="00B32F2A" w:rsidP="00531043">
            <w:pPr>
              <w:widowControl/>
              <w:rPr>
                <w:sz w:val="26"/>
                <w:szCs w:val="26"/>
              </w:rPr>
            </w:pPr>
            <w:r>
              <w:rPr>
                <w:sz w:val="26"/>
                <w:szCs w:val="26"/>
              </w:rPr>
              <w:t>Danielle Douglas</w:t>
            </w:r>
            <w:r w:rsidR="00940BD4">
              <w:rPr>
                <w:sz w:val="26"/>
                <w:szCs w:val="26"/>
              </w:rPr>
              <w:t xml:space="preserve"> </w:t>
            </w:r>
          </w:p>
          <w:p w:rsidR="00F514FB" w:rsidRPr="00F514FB" w:rsidRDefault="00F514FB" w:rsidP="00531043">
            <w:pPr>
              <w:widowControl/>
              <w:jc w:val="right"/>
              <w:rPr>
                <w:sz w:val="26"/>
                <w:szCs w:val="26"/>
              </w:rPr>
            </w:pPr>
          </w:p>
        </w:tc>
        <w:tc>
          <w:tcPr>
            <w:tcW w:w="4428" w:type="dxa"/>
          </w:tcPr>
          <w:p w:rsidR="00DA4C18" w:rsidRDefault="00B32F2A" w:rsidP="00531043">
            <w:pPr>
              <w:widowControl/>
              <w:jc w:val="right"/>
              <w:rPr>
                <w:sz w:val="26"/>
                <w:szCs w:val="26"/>
              </w:rPr>
            </w:pPr>
            <w:r>
              <w:rPr>
                <w:sz w:val="26"/>
                <w:szCs w:val="26"/>
              </w:rPr>
              <w:t>F</w:t>
            </w:r>
            <w:r w:rsidR="00C56F6E">
              <w:rPr>
                <w:sz w:val="26"/>
                <w:szCs w:val="26"/>
              </w:rPr>
              <w:t>-201</w:t>
            </w:r>
            <w:r>
              <w:rPr>
                <w:sz w:val="26"/>
                <w:szCs w:val="26"/>
              </w:rPr>
              <w:t>0</w:t>
            </w:r>
            <w:r w:rsidR="00C56F6E">
              <w:rPr>
                <w:sz w:val="26"/>
                <w:szCs w:val="26"/>
              </w:rPr>
              <w:t>-2</w:t>
            </w:r>
            <w:r>
              <w:rPr>
                <w:sz w:val="26"/>
                <w:szCs w:val="26"/>
              </w:rPr>
              <w:t>1</w:t>
            </w:r>
            <w:r w:rsidR="00103B55">
              <w:rPr>
                <w:sz w:val="26"/>
                <w:szCs w:val="26"/>
              </w:rPr>
              <w:t>64</w:t>
            </w:r>
            <w:r>
              <w:rPr>
                <w:sz w:val="26"/>
                <w:szCs w:val="26"/>
              </w:rPr>
              <w:t>009</w:t>
            </w:r>
          </w:p>
          <w:p w:rsidR="00F514FB" w:rsidRPr="00F514FB" w:rsidRDefault="00F514FB" w:rsidP="00531043">
            <w:pPr>
              <w:widowControl/>
              <w:jc w:val="right"/>
              <w:rPr>
                <w:sz w:val="26"/>
                <w:szCs w:val="26"/>
              </w:rPr>
            </w:pPr>
          </w:p>
        </w:tc>
      </w:tr>
      <w:tr w:rsidR="00F514FB" w:rsidRPr="00F514FB" w:rsidTr="00DE25AC">
        <w:tc>
          <w:tcPr>
            <w:tcW w:w="5058" w:type="dxa"/>
          </w:tcPr>
          <w:p w:rsidR="00F514FB" w:rsidRPr="00F514FB" w:rsidRDefault="00103B55" w:rsidP="00531043">
            <w:pPr>
              <w:widowControl/>
              <w:rPr>
                <w:sz w:val="26"/>
                <w:szCs w:val="26"/>
              </w:rPr>
            </w:pPr>
            <w:r>
              <w:rPr>
                <w:sz w:val="26"/>
                <w:szCs w:val="26"/>
              </w:rPr>
              <w:t xml:space="preserve">             </w:t>
            </w:r>
            <w:proofErr w:type="gramStart"/>
            <w:r w:rsidR="00F514FB" w:rsidRPr="00F514FB">
              <w:rPr>
                <w:sz w:val="26"/>
                <w:szCs w:val="26"/>
              </w:rPr>
              <w:t>v</w:t>
            </w:r>
            <w:proofErr w:type="gramEnd"/>
            <w:r w:rsidR="00F514FB" w:rsidRPr="00F514FB">
              <w:rPr>
                <w:sz w:val="26"/>
                <w:szCs w:val="26"/>
              </w:rPr>
              <w:t>.</w:t>
            </w:r>
          </w:p>
          <w:p w:rsidR="00F514FB" w:rsidRPr="00F514FB" w:rsidRDefault="00F514FB" w:rsidP="00531043">
            <w:pPr>
              <w:widowControl/>
              <w:ind w:firstLine="1440"/>
              <w:rPr>
                <w:sz w:val="26"/>
                <w:szCs w:val="26"/>
              </w:rPr>
            </w:pPr>
          </w:p>
        </w:tc>
        <w:tc>
          <w:tcPr>
            <w:tcW w:w="4428" w:type="dxa"/>
          </w:tcPr>
          <w:p w:rsidR="00F514FB" w:rsidRPr="00F514FB" w:rsidRDefault="00F514FB" w:rsidP="00531043">
            <w:pPr>
              <w:widowControl/>
              <w:rPr>
                <w:sz w:val="26"/>
                <w:szCs w:val="26"/>
              </w:rPr>
            </w:pPr>
          </w:p>
        </w:tc>
      </w:tr>
      <w:tr w:rsidR="00F514FB" w:rsidRPr="00F514FB" w:rsidTr="000C0324">
        <w:tc>
          <w:tcPr>
            <w:tcW w:w="5058" w:type="dxa"/>
          </w:tcPr>
          <w:p w:rsidR="00F514FB" w:rsidRPr="00F514FB" w:rsidRDefault="00B32F2A" w:rsidP="00531043">
            <w:pPr>
              <w:widowControl/>
              <w:rPr>
                <w:sz w:val="26"/>
                <w:szCs w:val="26"/>
              </w:rPr>
            </w:pPr>
            <w:r>
              <w:rPr>
                <w:sz w:val="26"/>
                <w:szCs w:val="26"/>
              </w:rPr>
              <w:t>Philadelphia Gas Works</w:t>
            </w:r>
            <w:r w:rsidR="00940BD4">
              <w:rPr>
                <w:sz w:val="26"/>
                <w:szCs w:val="26"/>
              </w:rPr>
              <w:t xml:space="preserve"> </w:t>
            </w:r>
          </w:p>
        </w:tc>
        <w:tc>
          <w:tcPr>
            <w:tcW w:w="4428" w:type="dxa"/>
          </w:tcPr>
          <w:p w:rsidR="00F514FB" w:rsidRPr="00F514FB" w:rsidRDefault="00F514FB" w:rsidP="00531043">
            <w:pPr>
              <w:widowControl/>
              <w:rPr>
                <w:sz w:val="26"/>
                <w:szCs w:val="26"/>
              </w:rPr>
            </w:pPr>
          </w:p>
        </w:tc>
      </w:tr>
    </w:tbl>
    <w:p w:rsidR="00F514FB" w:rsidRDefault="00F514FB" w:rsidP="00531043">
      <w:pPr>
        <w:widowControl/>
        <w:rPr>
          <w:sz w:val="26"/>
          <w:szCs w:val="26"/>
        </w:rPr>
      </w:pPr>
    </w:p>
    <w:p w:rsidR="007F09A0" w:rsidRPr="00F514FB" w:rsidRDefault="007F09A0" w:rsidP="00531043">
      <w:pPr>
        <w:widowControl/>
        <w:rPr>
          <w:sz w:val="26"/>
          <w:szCs w:val="26"/>
        </w:rPr>
      </w:pPr>
    </w:p>
    <w:p w:rsidR="00F514FB" w:rsidRDefault="0030351B" w:rsidP="00531043">
      <w:pPr>
        <w:widowControl/>
        <w:jc w:val="center"/>
        <w:rPr>
          <w:b/>
          <w:sz w:val="26"/>
          <w:szCs w:val="26"/>
        </w:rPr>
      </w:pPr>
      <w:r>
        <w:rPr>
          <w:b/>
          <w:sz w:val="26"/>
          <w:szCs w:val="26"/>
        </w:rPr>
        <w:t>TENT</w:t>
      </w:r>
      <w:r w:rsidR="00C72151">
        <w:rPr>
          <w:b/>
          <w:sz w:val="26"/>
          <w:szCs w:val="26"/>
        </w:rPr>
        <w:t xml:space="preserve">ATIVE </w:t>
      </w:r>
      <w:r w:rsidR="00F514FB" w:rsidRPr="00F514FB">
        <w:rPr>
          <w:b/>
          <w:sz w:val="26"/>
          <w:szCs w:val="26"/>
        </w:rPr>
        <w:t xml:space="preserve">OPINION </w:t>
      </w:r>
      <w:smartTag w:uri="urn:schemas-microsoft-com:office:smarttags" w:element="stockticker">
        <w:r w:rsidR="00F514FB" w:rsidRPr="00F514FB">
          <w:rPr>
            <w:b/>
            <w:sz w:val="26"/>
            <w:szCs w:val="26"/>
          </w:rPr>
          <w:t>AND</w:t>
        </w:r>
      </w:smartTag>
      <w:r w:rsidR="00F514FB" w:rsidRPr="00F514FB">
        <w:rPr>
          <w:b/>
          <w:sz w:val="26"/>
          <w:szCs w:val="26"/>
        </w:rPr>
        <w:t xml:space="preserve"> ORDER</w:t>
      </w:r>
    </w:p>
    <w:p w:rsidR="0030351B" w:rsidRPr="00F514FB" w:rsidRDefault="0030351B" w:rsidP="00531043">
      <w:pPr>
        <w:widowControl/>
        <w:jc w:val="center"/>
        <w:rPr>
          <w:b/>
          <w:sz w:val="26"/>
          <w:szCs w:val="26"/>
        </w:rPr>
      </w:pPr>
    </w:p>
    <w:p w:rsidR="00F514FB" w:rsidRPr="00F514FB" w:rsidRDefault="00F514FB" w:rsidP="00531043">
      <w:pPr>
        <w:widowControl/>
        <w:jc w:val="center"/>
        <w:rPr>
          <w:b/>
          <w:sz w:val="26"/>
          <w:szCs w:val="26"/>
        </w:rPr>
      </w:pPr>
    </w:p>
    <w:p w:rsidR="00F514FB" w:rsidRPr="00F514FB" w:rsidRDefault="00F514FB" w:rsidP="00531043">
      <w:pPr>
        <w:widowControl/>
        <w:rPr>
          <w:b/>
          <w:sz w:val="26"/>
          <w:szCs w:val="26"/>
        </w:rPr>
      </w:pPr>
      <w:r w:rsidRPr="00F514FB">
        <w:rPr>
          <w:b/>
          <w:sz w:val="26"/>
          <w:szCs w:val="26"/>
        </w:rPr>
        <w:t>BY THE COMMISSION:</w:t>
      </w:r>
    </w:p>
    <w:p w:rsidR="00F514FB" w:rsidRPr="00F514FB" w:rsidRDefault="00F514FB" w:rsidP="00531043">
      <w:pPr>
        <w:widowControl/>
        <w:rPr>
          <w:sz w:val="26"/>
          <w:szCs w:val="26"/>
        </w:rPr>
      </w:pPr>
    </w:p>
    <w:p w:rsidR="005A5E63" w:rsidRDefault="00CA43A5" w:rsidP="00531043">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are</w:t>
      </w:r>
      <w:r w:rsidR="00C56F6E">
        <w:rPr>
          <w:color w:val="000000"/>
          <w:sz w:val="26"/>
        </w:rPr>
        <w:t xml:space="preserve"> the Exceptions of </w:t>
      </w:r>
      <w:r w:rsidR="00B32F2A">
        <w:rPr>
          <w:color w:val="000000"/>
          <w:sz w:val="26"/>
        </w:rPr>
        <w:t>Danielle Douglas</w:t>
      </w:r>
      <w:r w:rsidR="00671E4C">
        <w:rPr>
          <w:color w:val="000000"/>
          <w:sz w:val="26"/>
        </w:rPr>
        <w:t xml:space="preserve"> (</w:t>
      </w:r>
      <w:r w:rsidR="000F0AD9">
        <w:rPr>
          <w:color w:val="000000"/>
          <w:sz w:val="26"/>
        </w:rPr>
        <w:t>Complainant</w:t>
      </w:r>
      <w:r w:rsidR="00671E4C">
        <w:rPr>
          <w:color w:val="000000"/>
          <w:sz w:val="26"/>
        </w:rPr>
        <w:t xml:space="preserve">) filed on </w:t>
      </w:r>
      <w:r w:rsidR="00B32F2A">
        <w:rPr>
          <w:color w:val="000000"/>
          <w:sz w:val="26"/>
        </w:rPr>
        <w:t>March</w:t>
      </w:r>
      <w:r w:rsidR="000F0AD9">
        <w:rPr>
          <w:color w:val="000000"/>
          <w:sz w:val="26"/>
        </w:rPr>
        <w:t xml:space="preserve"> </w:t>
      </w:r>
      <w:r w:rsidR="00B32F2A">
        <w:rPr>
          <w:color w:val="000000"/>
          <w:sz w:val="26"/>
        </w:rPr>
        <w:t>10</w:t>
      </w:r>
      <w:r w:rsidR="00671E4C">
        <w:rPr>
          <w:color w:val="000000"/>
          <w:sz w:val="26"/>
        </w:rPr>
        <w:t>,</w:t>
      </w:r>
      <w:r w:rsidR="00CB4762">
        <w:rPr>
          <w:color w:val="000000"/>
          <w:sz w:val="26"/>
        </w:rPr>
        <w:t xml:space="preserve"> 201</w:t>
      </w:r>
      <w:r w:rsidR="00C56F6E">
        <w:rPr>
          <w:color w:val="000000"/>
          <w:sz w:val="26"/>
        </w:rPr>
        <w:t>2</w:t>
      </w:r>
      <w:r w:rsidR="00A44912">
        <w:rPr>
          <w:color w:val="000000"/>
          <w:sz w:val="26"/>
        </w:rPr>
        <w:t>,</w:t>
      </w:r>
      <w:r w:rsidR="000B3CAC">
        <w:rPr>
          <w:rStyle w:val="FootnoteReference"/>
          <w:color w:val="000000"/>
          <w:sz w:val="26"/>
        </w:rPr>
        <w:footnoteReference w:id="1"/>
      </w:r>
      <w:r w:rsidR="00671E4C">
        <w:rPr>
          <w:color w:val="000000"/>
          <w:sz w:val="26"/>
        </w:rPr>
        <w:t xml:space="preserve"> to the Initial Decision (I.D.) of Administrative Law Judge (ALJ) </w:t>
      </w:r>
      <w:r w:rsidR="00B32F2A">
        <w:rPr>
          <w:color w:val="000000"/>
          <w:sz w:val="26"/>
        </w:rPr>
        <w:t>Mark A. Hoyer</w:t>
      </w:r>
      <w:r w:rsidR="00671E4C">
        <w:rPr>
          <w:color w:val="000000"/>
          <w:sz w:val="26"/>
        </w:rPr>
        <w:t xml:space="preserve">, which was issued on </w:t>
      </w:r>
      <w:r w:rsidR="0023784B">
        <w:rPr>
          <w:color w:val="000000"/>
          <w:sz w:val="26"/>
        </w:rPr>
        <w:t>February</w:t>
      </w:r>
      <w:r w:rsidR="00C56F6E">
        <w:rPr>
          <w:color w:val="000000"/>
          <w:sz w:val="26"/>
        </w:rPr>
        <w:t xml:space="preserve"> </w:t>
      </w:r>
      <w:r w:rsidR="00B32F2A">
        <w:rPr>
          <w:color w:val="000000"/>
          <w:sz w:val="26"/>
        </w:rPr>
        <w:t>2</w:t>
      </w:r>
      <w:r w:rsidR="000A490A">
        <w:rPr>
          <w:color w:val="000000"/>
          <w:sz w:val="26"/>
        </w:rPr>
        <w:t>, 201</w:t>
      </w:r>
      <w:r w:rsidR="0023784B">
        <w:rPr>
          <w:color w:val="000000"/>
          <w:sz w:val="26"/>
        </w:rPr>
        <w:t>2</w:t>
      </w:r>
      <w:r w:rsidR="00671E4C">
        <w:rPr>
          <w:color w:val="000000"/>
          <w:sz w:val="26"/>
        </w:rPr>
        <w:t xml:space="preserve">, in the above-captioned proceeding.  Replies to Exceptions were filed by </w:t>
      </w:r>
      <w:r w:rsidR="00B32F2A">
        <w:rPr>
          <w:color w:val="000000"/>
          <w:sz w:val="26"/>
        </w:rPr>
        <w:t>Philadelphia Gas Works</w:t>
      </w:r>
      <w:r w:rsidR="00671E4C">
        <w:rPr>
          <w:color w:val="000000"/>
          <w:sz w:val="26"/>
        </w:rPr>
        <w:t xml:space="preserve"> (</w:t>
      </w:r>
      <w:r w:rsidR="00B32F2A">
        <w:rPr>
          <w:color w:val="000000"/>
          <w:sz w:val="26"/>
        </w:rPr>
        <w:t>PGW</w:t>
      </w:r>
      <w:r w:rsidR="00796DC6">
        <w:rPr>
          <w:color w:val="000000"/>
          <w:sz w:val="26"/>
        </w:rPr>
        <w:t>)</w:t>
      </w:r>
      <w:r w:rsidR="00671E4C">
        <w:rPr>
          <w:color w:val="000000"/>
          <w:sz w:val="26"/>
        </w:rPr>
        <w:t xml:space="preserve"> on </w:t>
      </w:r>
      <w:r w:rsidR="0023784B">
        <w:rPr>
          <w:color w:val="000000"/>
          <w:sz w:val="26"/>
        </w:rPr>
        <w:lastRenderedPageBreak/>
        <w:t>March</w:t>
      </w:r>
      <w:r w:rsidR="00911BC6">
        <w:rPr>
          <w:color w:val="000000"/>
          <w:sz w:val="26"/>
        </w:rPr>
        <w:t xml:space="preserve"> </w:t>
      </w:r>
      <w:r w:rsidR="00B32F2A">
        <w:rPr>
          <w:color w:val="000000"/>
          <w:sz w:val="26"/>
        </w:rPr>
        <w:t>2</w:t>
      </w:r>
      <w:r w:rsidR="0023784B">
        <w:rPr>
          <w:color w:val="000000"/>
          <w:sz w:val="26"/>
        </w:rPr>
        <w:t>6</w:t>
      </w:r>
      <w:r w:rsidR="00911BC6">
        <w:rPr>
          <w:color w:val="000000"/>
          <w:sz w:val="26"/>
        </w:rPr>
        <w:t>, 2012</w:t>
      </w:r>
      <w:r w:rsidR="00671E4C">
        <w:rPr>
          <w:color w:val="000000"/>
          <w:sz w:val="26"/>
        </w:rPr>
        <w:t xml:space="preserve">.  </w:t>
      </w:r>
      <w:r w:rsidRPr="00CA43A5">
        <w:rPr>
          <w:sz w:val="26"/>
          <w:szCs w:val="26"/>
        </w:rPr>
        <w:t xml:space="preserve">For the reasons stated below, we </w:t>
      </w:r>
      <w:r w:rsidR="006A224F">
        <w:rPr>
          <w:sz w:val="26"/>
          <w:szCs w:val="26"/>
        </w:rPr>
        <w:t xml:space="preserve">shall </w:t>
      </w:r>
      <w:r w:rsidR="00250734">
        <w:rPr>
          <w:sz w:val="26"/>
          <w:szCs w:val="26"/>
        </w:rPr>
        <w:t xml:space="preserve">grant the Exceptions, in part, </w:t>
      </w:r>
      <w:r w:rsidR="006A224F">
        <w:rPr>
          <w:sz w:val="26"/>
          <w:szCs w:val="26"/>
        </w:rPr>
        <w:t xml:space="preserve">and </w:t>
      </w:r>
      <w:r w:rsidR="00250734">
        <w:rPr>
          <w:sz w:val="26"/>
          <w:szCs w:val="26"/>
        </w:rPr>
        <w:t>modify</w:t>
      </w:r>
      <w:r w:rsidR="006A224F">
        <w:rPr>
          <w:sz w:val="26"/>
          <w:szCs w:val="26"/>
        </w:rPr>
        <w:t xml:space="preserve"> the </w:t>
      </w:r>
      <w:r w:rsidR="002511E1">
        <w:rPr>
          <w:sz w:val="26"/>
          <w:szCs w:val="26"/>
        </w:rPr>
        <w:t xml:space="preserve">ALJ’s </w:t>
      </w:r>
      <w:r w:rsidR="006A224F">
        <w:rPr>
          <w:sz w:val="26"/>
          <w:szCs w:val="26"/>
        </w:rPr>
        <w:t>Initial Decision</w:t>
      </w:r>
      <w:r w:rsidR="00C72151">
        <w:rPr>
          <w:sz w:val="26"/>
          <w:szCs w:val="26"/>
        </w:rPr>
        <w:t>, consistent with this Tentative Opinion and Order</w:t>
      </w:r>
      <w:r w:rsidRPr="00CA43A5">
        <w:rPr>
          <w:sz w:val="26"/>
          <w:szCs w:val="26"/>
        </w:rPr>
        <w:t>.</w:t>
      </w:r>
    </w:p>
    <w:p w:rsidR="005A5E63" w:rsidRDefault="005A5E63" w:rsidP="00531043">
      <w:pPr>
        <w:widowControl/>
        <w:spacing w:line="360" w:lineRule="auto"/>
        <w:jc w:val="center"/>
        <w:rPr>
          <w:sz w:val="26"/>
          <w:szCs w:val="26"/>
        </w:rPr>
      </w:pPr>
    </w:p>
    <w:p w:rsidR="00CA43A5" w:rsidRDefault="00CA43A5" w:rsidP="00531043">
      <w:pPr>
        <w:widowControl/>
        <w:spacing w:line="360" w:lineRule="auto"/>
        <w:jc w:val="center"/>
        <w:rPr>
          <w:b/>
          <w:sz w:val="26"/>
          <w:szCs w:val="26"/>
        </w:rPr>
      </w:pPr>
      <w:bookmarkStart w:id="0" w:name="OLE_LINK1"/>
      <w:bookmarkStart w:id="1" w:name="OLE_LINK2"/>
      <w:r w:rsidRPr="00CA43A5">
        <w:rPr>
          <w:b/>
          <w:sz w:val="26"/>
          <w:szCs w:val="26"/>
        </w:rPr>
        <w:t>History of the Proceeding</w:t>
      </w:r>
    </w:p>
    <w:p w:rsidR="005A5E63" w:rsidRPr="00A44912" w:rsidRDefault="005A5E63" w:rsidP="00531043">
      <w:pPr>
        <w:widowControl/>
        <w:spacing w:line="360" w:lineRule="auto"/>
        <w:jc w:val="center"/>
        <w:rPr>
          <w:sz w:val="26"/>
          <w:szCs w:val="26"/>
        </w:rPr>
      </w:pPr>
    </w:p>
    <w:bookmarkEnd w:id="0"/>
    <w:bookmarkEnd w:id="1"/>
    <w:p w:rsidR="002E5807" w:rsidRDefault="0051475B" w:rsidP="00531043">
      <w:pPr>
        <w:widowControl/>
        <w:spacing w:line="360" w:lineRule="auto"/>
        <w:ind w:firstLine="1440"/>
        <w:rPr>
          <w:sz w:val="26"/>
          <w:szCs w:val="24"/>
        </w:rPr>
      </w:pPr>
      <w:r w:rsidRPr="0051475B">
        <w:rPr>
          <w:sz w:val="26"/>
          <w:szCs w:val="24"/>
        </w:rPr>
        <w:t xml:space="preserve">On </w:t>
      </w:r>
      <w:r w:rsidR="000C0DB7">
        <w:rPr>
          <w:sz w:val="26"/>
          <w:szCs w:val="24"/>
        </w:rPr>
        <w:t>March</w:t>
      </w:r>
      <w:r w:rsidRPr="0051475B">
        <w:rPr>
          <w:sz w:val="26"/>
          <w:szCs w:val="24"/>
        </w:rPr>
        <w:t xml:space="preserve"> </w:t>
      </w:r>
      <w:r w:rsidR="0023784B">
        <w:rPr>
          <w:sz w:val="26"/>
          <w:szCs w:val="24"/>
        </w:rPr>
        <w:t>8</w:t>
      </w:r>
      <w:r w:rsidR="000C0DB7">
        <w:rPr>
          <w:sz w:val="26"/>
          <w:szCs w:val="24"/>
        </w:rPr>
        <w:t>, 20</w:t>
      </w:r>
      <w:r w:rsidR="0023784B">
        <w:rPr>
          <w:sz w:val="26"/>
          <w:szCs w:val="24"/>
        </w:rPr>
        <w:t>1</w:t>
      </w:r>
      <w:r w:rsidR="00250734">
        <w:rPr>
          <w:sz w:val="26"/>
          <w:szCs w:val="24"/>
        </w:rPr>
        <w:t>0</w:t>
      </w:r>
      <w:r w:rsidRPr="0051475B">
        <w:rPr>
          <w:sz w:val="26"/>
          <w:szCs w:val="24"/>
        </w:rPr>
        <w:t xml:space="preserve">, </w:t>
      </w:r>
      <w:r w:rsidR="00C56F6E">
        <w:rPr>
          <w:sz w:val="26"/>
          <w:szCs w:val="24"/>
        </w:rPr>
        <w:t xml:space="preserve">the Complainant </w:t>
      </w:r>
      <w:r w:rsidRPr="0051475B">
        <w:rPr>
          <w:sz w:val="26"/>
          <w:szCs w:val="24"/>
        </w:rPr>
        <w:t xml:space="preserve">filed a </w:t>
      </w:r>
      <w:r w:rsidR="00F438D0">
        <w:rPr>
          <w:sz w:val="26"/>
          <w:szCs w:val="24"/>
        </w:rPr>
        <w:t>Formal C</w:t>
      </w:r>
      <w:r w:rsidRPr="0051475B">
        <w:rPr>
          <w:sz w:val="26"/>
          <w:szCs w:val="24"/>
        </w:rPr>
        <w:t xml:space="preserve">omplaint </w:t>
      </w:r>
      <w:r w:rsidR="00816CBF">
        <w:rPr>
          <w:sz w:val="26"/>
          <w:szCs w:val="24"/>
        </w:rPr>
        <w:t xml:space="preserve">(Complaint) </w:t>
      </w:r>
      <w:r w:rsidR="00F438D0">
        <w:rPr>
          <w:sz w:val="26"/>
          <w:szCs w:val="24"/>
        </w:rPr>
        <w:t xml:space="preserve">against </w:t>
      </w:r>
      <w:r w:rsidR="000C0DB7">
        <w:rPr>
          <w:sz w:val="26"/>
          <w:szCs w:val="24"/>
        </w:rPr>
        <w:t>PGW</w:t>
      </w:r>
      <w:r w:rsidRPr="0051475B">
        <w:rPr>
          <w:sz w:val="26"/>
          <w:szCs w:val="24"/>
        </w:rPr>
        <w:t xml:space="preserve">, </w:t>
      </w:r>
      <w:r w:rsidR="00F438D0">
        <w:rPr>
          <w:sz w:val="26"/>
          <w:szCs w:val="24"/>
        </w:rPr>
        <w:t>alleging that</w:t>
      </w:r>
      <w:r w:rsidRPr="0051475B">
        <w:rPr>
          <w:sz w:val="26"/>
          <w:szCs w:val="24"/>
        </w:rPr>
        <w:t xml:space="preserve"> </w:t>
      </w:r>
      <w:r w:rsidR="00EB0055">
        <w:rPr>
          <w:sz w:val="26"/>
          <w:szCs w:val="24"/>
        </w:rPr>
        <w:t>t</w:t>
      </w:r>
      <w:r w:rsidR="00C56F6E">
        <w:rPr>
          <w:sz w:val="26"/>
          <w:szCs w:val="24"/>
        </w:rPr>
        <w:t>he</w:t>
      </w:r>
      <w:r w:rsidR="009A0AF2">
        <w:rPr>
          <w:sz w:val="26"/>
          <w:szCs w:val="24"/>
        </w:rPr>
        <w:t>re we</w:t>
      </w:r>
      <w:r w:rsidR="000C0DB7">
        <w:rPr>
          <w:sz w:val="26"/>
          <w:szCs w:val="24"/>
        </w:rPr>
        <w:t>re incorrect charges on her</w:t>
      </w:r>
      <w:r w:rsidR="00EB0055">
        <w:rPr>
          <w:sz w:val="26"/>
          <w:szCs w:val="24"/>
        </w:rPr>
        <w:t xml:space="preserve"> bill</w:t>
      </w:r>
      <w:r w:rsidR="000C0DB7">
        <w:rPr>
          <w:sz w:val="26"/>
          <w:szCs w:val="24"/>
        </w:rPr>
        <w:t xml:space="preserve"> and that PGW’s bills for gas service to her second floor apartment </w:t>
      </w:r>
      <w:r w:rsidR="005A49BB">
        <w:rPr>
          <w:sz w:val="26"/>
          <w:szCs w:val="24"/>
        </w:rPr>
        <w:t>we</w:t>
      </w:r>
      <w:r w:rsidR="000C0DB7">
        <w:rPr>
          <w:sz w:val="26"/>
          <w:szCs w:val="24"/>
        </w:rPr>
        <w:t>re significantly higher than those for her first floor apartment</w:t>
      </w:r>
      <w:r w:rsidR="0023784B">
        <w:rPr>
          <w:sz w:val="26"/>
          <w:szCs w:val="24"/>
        </w:rPr>
        <w:t>.</w:t>
      </w:r>
      <w:r w:rsidR="00C56F6E">
        <w:rPr>
          <w:sz w:val="26"/>
          <w:szCs w:val="24"/>
        </w:rPr>
        <w:t xml:space="preserve"> </w:t>
      </w:r>
      <w:r w:rsidR="0023784B">
        <w:rPr>
          <w:sz w:val="26"/>
          <w:szCs w:val="24"/>
        </w:rPr>
        <w:t xml:space="preserve"> </w:t>
      </w:r>
      <w:r w:rsidR="000C0324">
        <w:rPr>
          <w:sz w:val="26"/>
          <w:szCs w:val="24"/>
        </w:rPr>
        <w:t xml:space="preserve">The Complaint </w:t>
      </w:r>
      <w:r w:rsidR="005A49BB">
        <w:rPr>
          <w:sz w:val="26"/>
          <w:szCs w:val="24"/>
        </w:rPr>
        <w:t>wa</w:t>
      </w:r>
      <w:r w:rsidR="000C0324">
        <w:rPr>
          <w:sz w:val="26"/>
          <w:szCs w:val="24"/>
        </w:rPr>
        <w:t xml:space="preserve">s a timely appeal of a decision rendered on the Complainant’s informal complaint by the Commission’s Bureau of Consumer Services (BCS) at BCS Case No. 2358307.  </w:t>
      </w:r>
      <w:r w:rsidR="0023784B">
        <w:rPr>
          <w:sz w:val="26"/>
          <w:szCs w:val="24"/>
        </w:rPr>
        <w:t>Th</w:t>
      </w:r>
      <w:r w:rsidR="002E5807">
        <w:rPr>
          <w:sz w:val="26"/>
          <w:szCs w:val="24"/>
        </w:rPr>
        <w:t xml:space="preserve">e Commission served </w:t>
      </w:r>
      <w:r w:rsidR="000C0324">
        <w:rPr>
          <w:sz w:val="26"/>
          <w:szCs w:val="24"/>
        </w:rPr>
        <w:t>PGW</w:t>
      </w:r>
      <w:r w:rsidR="006410B5">
        <w:rPr>
          <w:sz w:val="26"/>
          <w:szCs w:val="24"/>
        </w:rPr>
        <w:t xml:space="preserve"> with the Complaint on Ma</w:t>
      </w:r>
      <w:r w:rsidR="000C0324">
        <w:rPr>
          <w:sz w:val="26"/>
          <w:szCs w:val="24"/>
        </w:rPr>
        <w:t>rch</w:t>
      </w:r>
      <w:r w:rsidR="002E5807">
        <w:rPr>
          <w:sz w:val="26"/>
          <w:szCs w:val="24"/>
        </w:rPr>
        <w:t xml:space="preserve"> </w:t>
      </w:r>
      <w:r w:rsidR="000C0324">
        <w:rPr>
          <w:sz w:val="26"/>
          <w:szCs w:val="24"/>
        </w:rPr>
        <w:t>15</w:t>
      </w:r>
      <w:r w:rsidR="002E5807">
        <w:rPr>
          <w:sz w:val="26"/>
          <w:szCs w:val="24"/>
        </w:rPr>
        <w:t>, 201</w:t>
      </w:r>
      <w:r w:rsidR="000C0324">
        <w:rPr>
          <w:sz w:val="26"/>
          <w:szCs w:val="24"/>
        </w:rPr>
        <w:t>0</w:t>
      </w:r>
      <w:r w:rsidR="001C302E">
        <w:rPr>
          <w:sz w:val="26"/>
          <w:szCs w:val="24"/>
        </w:rPr>
        <w:t>,</w:t>
      </w:r>
      <w:r w:rsidR="006410B5">
        <w:rPr>
          <w:sz w:val="26"/>
          <w:szCs w:val="24"/>
        </w:rPr>
        <w:t xml:space="preserve"> and docketed it at </w:t>
      </w:r>
      <w:r w:rsidR="000C0324">
        <w:rPr>
          <w:sz w:val="26"/>
          <w:szCs w:val="24"/>
        </w:rPr>
        <w:t>F</w:t>
      </w:r>
      <w:r w:rsidR="006410B5">
        <w:rPr>
          <w:sz w:val="26"/>
          <w:szCs w:val="24"/>
        </w:rPr>
        <w:t>-201</w:t>
      </w:r>
      <w:r w:rsidR="000C0324">
        <w:rPr>
          <w:sz w:val="26"/>
          <w:szCs w:val="24"/>
        </w:rPr>
        <w:t>0</w:t>
      </w:r>
      <w:r w:rsidR="006410B5">
        <w:rPr>
          <w:sz w:val="26"/>
          <w:szCs w:val="24"/>
        </w:rPr>
        <w:t>-2</w:t>
      </w:r>
      <w:r w:rsidR="000C0324">
        <w:rPr>
          <w:sz w:val="26"/>
          <w:szCs w:val="24"/>
        </w:rPr>
        <w:t>164009</w:t>
      </w:r>
      <w:r w:rsidR="002E5807">
        <w:rPr>
          <w:sz w:val="26"/>
          <w:szCs w:val="24"/>
        </w:rPr>
        <w:t>.</w:t>
      </w:r>
      <w:r w:rsidR="009154CD">
        <w:rPr>
          <w:sz w:val="26"/>
          <w:szCs w:val="24"/>
        </w:rPr>
        <w:t xml:space="preserve">  </w:t>
      </w:r>
    </w:p>
    <w:p w:rsidR="009A0AF2" w:rsidRDefault="009A0AF2" w:rsidP="00531043">
      <w:pPr>
        <w:widowControl/>
        <w:spacing w:line="360" w:lineRule="auto"/>
        <w:ind w:firstLine="1440"/>
        <w:rPr>
          <w:sz w:val="26"/>
          <w:szCs w:val="24"/>
        </w:rPr>
      </w:pPr>
    </w:p>
    <w:p w:rsidR="00EB0055" w:rsidRDefault="000C0324" w:rsidP="00531043">
      <w:pPr>
        <w:widowControl/>
        <w:spacing w:line="360" w:lineRule="auto"/>
        <w:ind w:firstLine="1440"/>
        <w:rPr>
          <w:sz w:val="26"/>
          <w:szCs w:val="24"/>
        </w:rPr>
      </w:pPr>
      <w:r>
        <w:rPr>
          <w:sz w:val="26"/>
          <w:szCs w:val="24"/>
        </w:rPr>
        <w:t>PGW</w:t>
      </w:r>
      <w:r w:rsidR="0051475B" w:rsidRPr="0051475B">
        <w:rPr>
          <w:sz w:val="26"/>
          <w:szCs w:val="24"/>
        </w:rPr>
        <w:t xml:space="preserve"> </w:t>
      </w:r>
      <w:r w:rsidR="00540506">
        <w:rPr>
          <w:sz w:val="26"/>
          <w:szCs w:val="24"/>
        </w:rPr>
        <w:t>filed an Answer</w:t>
      </w:r>
      <w:r w:rsidR="006410B5">
        <w:rPr>
          <w:sz w:val="26"/>
          <w:szCs w:val="24"/>
        </w:rPr>
        <w:t xml:space="preserve"> on </w:t>
      </w:r>
      <w:r>
        <w:rPr>
          <w:sz w:val="26"/>
          <w:szCs w:val="24"/>
        </w:rPr>
        <w:t>March</w:t>
      </w:r>
      <w:r w:rsidR="0051475B" w:rsidRPr="0051475B">
        <w:rPr>
          <w:sz w:val="26"/>
          <w:szCs w:val="24"/>
        </w:rPr>
        <w:t> </w:t>
      </w:r>
      <w:r>
        <w:rPr>
          <w:sz w:val="26"/>
          <w:szCs w:val="24"/>
        </w:rPr>
        <w:t>3</w:t>
      </w:r>
      <w:r w:rsidR="0023784B">
        <w:rPr>
          <w:sz w:val="26"/>
          <w:szCs w:val="24"/>
        </w:rPr>
        <w:t>1</w:t>
      </w:r>
      <w:r w:rsidR="0051475B" w:rsidRPr="0051475B">
        <w:rPr>
          <w:sz w:val="26"/>
          <w:szCs w:val="24"/>
        </w:rPr>
        <w:t>, 201</w:t>
      </w:r>
      <w:r>
        <w:rPr>
          <w:sz w:val="26"/>
          <w:szCs w:val="24"/>
        </w:rPr>
        <w:t>0</w:t>
      </w:r>
      <w:r w:rsidR="00540506">
        <w:rPr>
          <w:sz w:val="26"/>
          <w:szCs w:val="24"/>
        </w:rPr>
        <w:t>,</w:t>
      </w:r>
      <w:r w:rsidR="0051475B" w:rsidRPr="0051475B">
        <w:rPr>
          <w:sz w:val="26"/>
          <w:szCs w:val="24"/>
        </w:rPr>
        <w:t xml:space="preserve"> </w:t>
      </w:r>
      <w:r w:rsidR="00252CDB">
        <w:rPr>
          <w:sz w:val="26"/>
          <w:szCs w:val="24"/>
        </w:rPr>
        <w:t xml:space="preserve">in which it </w:t>
      </w:r>
      <w:r w:rsidR="006410B5">
        <w:rPr>
          <w:sz w:val="26"/>
          <w:szCs w:val="24"/>
        </w:rPr>
        <w:t>denied the allegations within the Complaint</w:t>
      </w:r>
      <w:r>
        <w:rPr>
          <w:sz w:val="26"/>
          <w:szCs w:val="24"/>
        </w:rPr>
        <w:t>.  PGW</w:t>
      </w:r>
      <w:r w:rsidR="006410B5">
        <w:rPr>
          <w:sz w:val="26"/>
          <w:szCs w:val="24"/>
        </w:rPr>
        <w:t xml:space="preserve"> </w:t>
      </w:r>
      <w:r w:rsidR="00EB0055">
        <w:rPr>
          <w:sz w:val="26"/>
          <w:szCs w:val="24"/>
        </w:rPr>
        <w:t xml:space="preserve">admitted that the Complainant’s </w:t>
      </w:r>
      <w:r>
        <w:rPr>
          <w:sz w:val="26"/>
          <w:szCs w:val="24"/>
        </w:rPr>
        <w:t xml:space="preserve">monthly </w:t>
      </w:r>
      <w:r w:rsidR="00EB0055">
        <w:rPr>
          <w:sz w:val="26"/>
          <w:szCs w:val="24"/>
        </w:rPr>
        <w:t>bill</w:t>
      </w:r>
      <w:r w:rsidR="00F7722B">
        <w:rPr>
          <w:sz w:val="26"/>
          <w:szCs w:val="24"/>
        </w:rPr>
        <w:t>s</w:t>
      </w:r>
      <w:r w:rsidR="00EB0055">
        <w:rPr>
          <w:sz w:val="26"/>
          <w:szCs w:val="24"/>
        </w:rPr>
        <w:t xml:space="preserve"> </w:t>
      </w:r>
      <w:r>
        <w:rPr>
          <w:sz w:val="26"/>
          <w:szCs w:val="24"/>
        </w:rPr>
        <w:t>for the second floor apartment were higher than the monthly bills for the first floor apartment.  PGW noted that the Complainant’s service is equipped with an automatic meter reading device</w:t>
      </w:r>
      <w:r w:rsidR="0099691F">
        <w:rPr>
          <w:sz w:val="26"/>
          <w:szCs w:val="24"/>
        </w:rPr>
        <w:t xml:space="preserve"> and her bills are based on actual gas usage.  Answer at 2.</w:t>
      </w:r>
    </w:p>
    <w:p w:rsidR="00EB0055" w:rsidRDefault="00EB0055" w:rsidP="00531043">
      <w:pPr>
        <w:widowControl/>
        <w:spacing w:line="360" w:lineRule="auto"/>
        <w:ind w:firstLine="1440"/>
        <w:rPr>
          <w:sz w:val="26"/>
          <w:szCs w:val="24"/>
        </w:rPr>
      </w:pPr>
    </w:p>
    <w:p w:rsidR="00B866E2" w:rsidRDefault="0051475B" w:rsidP="00531043">
      <w:pPr>
        <w:widowControl/>
        <w:spacing w:line="360" w:lineRule="auto"/>
        <w:ind w:firstLine="720"/>
        <w:rPr>
          <w:sz w:val="26"/>
          <w:szCs w:val="26"/>
        </w:rPr>
      </w:pPr>
      <w:r w:rsidRPr="0051475B">
        <w:rPr>
          <w:sz w:val="26"/>
          <w:szCs w:val="24"/>
        </w:rPr>
        <w:tab/>
      </w:r>
      <w:r w:rsidR="008F2510">
        <w:rPr>
          <w:sz w:val="26"/>
          <w:szCs w:val="24"/>
        </w:rPr>
        <w:t xml:space="preserve">ALJ </w:t>
      </w:r>
      <w:r w:rsidR="00B866E2">
        <w:rPr>
          <w:sz w:val="26"/>
          <w:szCs w:val="24"/>
        </w:rPr>
        <w:t>Hoyer</w:t>
      </w:r>
      <w:r w:rsidR="008F2510">
        <w:rPr>
          <w:sz w:val="26"/>
          <w:szCs w:val="24"/>
        </w:rPr>
        <w:t xml:space="preserve"> conducted a</w:t>
      </w:r>
      <w:r w:rsidR="00B866E2">
        <w:rPr>
          <w:sz w:val="26"/>
          <w:szCs w:val="24"/>
        </w:rPr>
        <w:t>n initial</w:t>
      </w:r>
      <w:r w:rsidR="00FA5277">
        <w:rPr>
          <w:sz w:val="26"/>
          <w:szCs w:val="24"/>
        </w:rPr>
        <w:t xml:space="preserve"> telephonic hearing on </w:t>
      </w:r>
      <w:r w:rsidR="00B866E2">
        <w:rPr>
          <w:sz w:val="26"/>
          <w:szCs w:val="24"/>
        </w:rPr>
        <w:t>May 10</w:t>
      </w:r>
      <w:r w:rsidRPr="0051475B">
        <w:rPr>
          <w:sz w:val="26"/>
          <w:szCs w:val="24"/>
        </w:rPr>
        <w:t xml:space="preserve">, 2011. </w:t>
      </w:r>
      <w:r w:rsidR="00EB0055">
        <w:rPr>
          <w:sz w:val="26"/>
          <w:szCs w:val="24"/>
        </w:rPr>
        <w:t xml:space="preserve"> </w:t>
      </w:r>
      <w:r w:rsidR="00377F25">
        <w:rPr>
          <w:sz w:val="26"/>
          <w:szCs w:val="24"/>
        </w:rPr>
        <w:t xml:space="preserve">The </w:t>
      </w:r>
      <w:r w:rsidRPr="0051475B">
        <w:rPr>
          <w:sz w:val="26"/>
          <w:szCs w:val="24"/>
        </w:rPr>
        <w:t xml:space="preserve">Complainant appeared </w:t>
      </w:r>
      <w:r w:rsidRPr="0051475B">
        <w:rPr>
          <w:i/>
          <w:sz w:val="26"/>
          <w:szCs w:val="24"/>
        </w:rPr>
        <w:t>pro se</w:t>
      </w:r>
      <w:r w:rsidRPr="0051475B">
        <w:rPr>
          <w:sz w:val="26"/>
          <w:szCs w:val="24"/>
        </w:rPr>
        <w:t xml:space="preserve">.  </w:t>
      </w:r>
      <w:r w:rsidR="00B866E2">
        <w:rPr>
          <w:sz w:val="26"/>
          <w:szCs w:val="24"/>
        </w:rPr>
        <w:t>PGW</w:t>
      </w:r>
      <w:r w:rsidR="00377F25">
        <w:rPr>
          <w:sz w:val="26"/>
          <w:szCs w:val="24"/>
        </w:rPr>
        <w:t xml:space="preserve"> was represented by counsel</w:t>
      </w:r>
      <w:r w:rsidR="00B866E2">
        <w:rPr>
          <w:sz w:val="26"/>
          <w:szCs w:val="24"/>
        </w:rPr>
        <w:t xml:space="preserve"> who offered </w:t>
      </w:r>
      <w:r w:rsidR="00B866E2" w:rsidRPr="00B866E2">
        <w:rPr>
          <w:sz w:val="26"/>
          <w:szCs w:val="26"/>
        </w:rPr>
        <w:t xml:space="preserve">an oral motion for a continuance </w:t>
      </w:r>
      <w:r w:rsidR="00A87EA0">
        <w:rPr>
          <w:sz w:val="26"/>
          <w:szCs w:val="26"/>
        </w:rPr>
        <w:t xml:space="preserve">of </w:t>
      </w:r>
      <w:r w:rsidR="00B866E2" w:rsidRPr="00B866E2">
        <w:rPr>
          <w:sz w:val="26"/>
          <w:szCs w:val="26"/>
        </w:rPr>
        <w:t>the hearing</w:t>
      </w:r>
      <w:r w:rsidR="00B866E2">
        <w:rPr>
          <w:sz w:val="26"/>
          <w:szCs w:val="26"/>
        </w:rPr>
        <w:t xml:space="preserve"> to allow the P</w:t>
      </w:r>
      <w:r w:rsidR="00B866E2" w:rsidRPr="00B866E2">
        <w:rPr>
          <w:sz w:val="26"/>
          <w:szCs w:val="26"/>
        </w:rPr>
        <w:t xml:space="preserve">arties to arrange a date and </w:t>
      </w:r>
      <w:r w:rsidR="00A87EA0">
        <w:rPr>
          <w:sz w:val="26"/>
          <w:szCs w:val="26"/>
        </w:rPr>
        <w:t>time for </w:t>
      </w:r>
      <w:r w:rsidR="00B866E2" w:rsidRPr="006E6197">
        <w:rPr>
          <w:sz w:val="26"/>
          <w:szCs w:val="26"/>
        </w:rPr>
        <w:t xml:space="preserve">a meter exchange so that PGW could test the meter for the second floor apartment. </w:t>
      </w:r>
      <w:r w:rsidR="00455700">
        <w:rPr>
          <w:sz w:val="26"/>
          <w:szCs w:val="26"/>
        </w:rPr>
        <w:t xml:space="preserve"> </w:t>
      </w:r>
      <w:r w:rsidR="00B866E2" w:rsidRPr="006E6197">
        <w:rPr>
          <w:sz w:val="26"/>
          <w:szCs w:val="26"/>
        </w:rPr>
        <w:t>The continuance was granted</w:t>
      </w:r>
      <w:r w:rsidR="00F94277" w:rsidRPr="006E6197">
        <w:rPr>
          <w:sz w:val="26"/>
          <w:szCs w:val="26"/>
        </w:rPr>
        <w:t xml:space="preserve"> by the ALJ</w:t>
      </w:r>
      <w:r w:rsidR="00B866E2" w:rsidRPr="006E6197">
        <w:rPr>
          <w:sz w:val="26"/>
          <w:szCs w:val="26"/>
        </w:rPr>
        <w:t>.</w:t>
      </w:r>
      <w:r w:rsidR="00455700" w:rsidRPr="006E6197">
        <w:rPr>
          <w:rStyle w:val="FootnoteReference"/>
          <w:sz w:val="26"/>
          <w:szCs w:val="26"/>
        </w:rPr>
        <w:footnoteReference w:id="2"/>
      </w:r>
      <w:r w:rsidR="00455700" w:rsidRPr="006E6197">
        <w:rPr>
          <w:sz w:val="26"/>
          <w:szCs w:val="26"/>
        </w:rPr>
        <w:t xml:space="preserve"> </w:t>
      </w:r>
      <w:r w:rsidR="00B866E2" w:rsidRPr="006E6197">
        <w:rPr>
          <w:sz w:val="26"/>
          <w:szCs w:val="26"/>
        </w:rPr>
        <w:t xml:space="preserve">  No exhibits were offered at the initial hea</w:t>
      </w:r>
      <w:r w:rsidR="00FF0F2D" w:rsidRPr="006E6197">
        <w:rPr>
          <w:sz w:val="26"/>
          <w:szCs w:val="26"/>
        </w:rPr>
        <w:t xml:space="preserve">ring and only the Complainant, appearing </w:t>
      </w:r>
      <w:r w:rsidR="00FF0F2D" w:rsidRPr="006E6197">
        <w:rPr>
          <w:i/>
          <w:sz w:val="26"/>
          <w:szCs w:val="26"/>
        </w:rPr>
        <w:t xml:space="preserve">pro se, </w:t>
      </w:r>
      <w:r w:rsidR="00B866E2" w:rsidRPr="006E6197">
        <w:rPr>
          <w:sz w:val="26"/>
          <w:szCs w:val="26"/>
        </w:rPr>
        <w:t>testified.</w:t>
      </w:r>
    </w:p>
    <w:p w:rsidR="003068D5" w:rsidRPr="006E6197" w:rsidRDefault="003068D5" w:rsidP="00531043">
      <w:pPr>
        <w:widowControl/>
        <w:spacing w:line="360" w:lineRule="auto"/>
        <w:rPr>
          <w:sz w:val="26"/>
          <w:szCs w:val="26"/>
        </w:rPr>
      </w:pPr>
    </w:p>
    <w:p w:rsidR="00772358" w:rsidRDefault="007321FB" w:rsidP="00531043">
      <w:pPr>
        <w:widowControl/>
        <w:spacing w:line="360" w:lineRule="auto"/>
        <w:ind w:firstLine="1440"/>
        <w:rPr>
          <w:sz w:val="26"/>
          <w:szCs w:val="26"/>
        </w:rPr>
      </w:pPr>
      <w:r>
        <w:rPr>
          <w:sz w:val="26"/>
          <w:szCs w:val="24"/>
        </w:rPr>
        <w:lastRenderedPageBreak/>
        <w:t xml:space="preserve">ALJ Hoyer conducted a </w:t>
      </w:r>
      <w:r>
        <w:rPr>
          <w:sz w:val="26"/>
          <w:szCs w:val="26"/>
        </w:rPr>
        <w:t xml:space="preserve">further telephonic hearing on </w:t>
      </w:r>
      <w:r w:rsidRPr="007321FB">
        <w:rPr>
          <w:sz w:val="26"/>
          <w:szCs w:val="26"/>
        </w:rPr>
        <w:t>October 6, 2011.</w:t>
      </w:r>
      <w:r w:rsidR="00D007AE">
        <w:rPr>
          <w:sz w:val="26"/>
          <w:szCs w:val="26"/>
        </w:rPr>
        <w:t xml:space="preserve">  </w:t>
      </w:r>
      <w:r w:rsidR="00A87EA0">
        <w:rPr>
          <w:sz w:val="26"/>
          <w:szCs w:val="26"/>
        </w:rPr>
        <w:t>The C</w:t>
      </w:r>
      <w:r w:rsidRPr="007321FB">
        <w:rPr>
          <w:sz w:val="26"/>
          <w:szCs w:val="26"/>
        </w:rPr>
        <w:t xml:space="preserve">omplainant appeared </w:t>
      </w:r>
      <w:r w:rsidRPr="007321FB">
        <w:rPr>
          <w:i/>
          <w:sz w:val="26"/>
          <w:szCs w:val="26"/>
        </w:rPr>
        <w:t xml:space="preserve">pro se </w:t>
      </w:r>
      <w:r w:rsidRPr="007321FB">
        <w:rPr>
          <w:sz w:val="26"/>
          <w:szCs w:val="26"/>
        </w:rPr>
        <w:t xml:space="preserve">and testified on her own behalf.  She did not call any additional witnesses or offer any exhibits.  PGW was represented by </w:t>
      </w:r>
      <w:r>
        <w:rPr>
          <w:sz w:val="26"/>
          <w:szCs w:val="26"/>
        </w:rPr>
        <w:t>counsel and p</w:t>
      </w:r>
      <w:r w:rsidRPr="007321FB">
        <w:rPr>
          <w:sz w:val="26"/>
          <w:szCs w:val="26"/>
        </w:rPr>
        <w:t>resented the testimony of one witness</w:t>
      </w:r>
      <w:r>
        <w:rPr>
          <w:sz w:val="26"/>
          <w:szCs w:val="26"/>
        </w:rPr>
        <w:t>.  PGW offered ten</w:t>
      </w:r>
      <w:r w:rsidRPr="007321FB">
        <w:rPr>
          <w:sz w:val="26"/>
          <w:szCs w:val="26"/>
        </w:rPr>
        <w:t xml:space="preserve"> exhibits th</w:t>
      </w:r>
      <w:r w:rsidR="00AF42B2">
        <w:rPr>
          <w:sz w:val="26"/>
          <w:szCs w:val="26"/>
        </w:rPr>
        <w:t>at were marked and admitted as PGW Exhibit 1 through and including PGW Exhibit 10.</w:t>
      </w:r>
      <w:r w:rsidRPr="007321FB">
        <w:rPr>
          <w:sz w:val="26"/>
          <w:szCs w:val="26"/>
        </w:rPr>
        <w:t xml:space="preserve">  </w:t>
      </w:r>
      <w:r w:rsidR="00772358">
        <w:rPr>
          <w:sz w:val="26"/>
          <w:szCs w:val="26"/>
        </w:rPr>
        <w:t xml:space="preserve">The hearings generated transcripts of 125 pages.  </w:t>
      </w:r>
      <w:r w:rsidRPr="007321FB">
        <w:rPr>
          <w:sz w:val="26"/>
          <w:szCs w:val="26"/>
        </w:rPr>
        <w:t xml:space="preserve">No briefs </w:t>
      </w:r>
      <w:r w:rsidR="00772358">
        <w:rPr>
          <w:sz w:val="26"/>
          <w:szCs w:val="26"/>
        </w:rPr>
        <w:t>were filed.  T</w:t>
      </w:r>
      <w:r w:rsidRPr="007321FB">
        <w:rPr>
          <w:sz w:val="26"/>
          <w:szCs w:val="26"/>
        </w:rPr>
        <w:t>he hearing record was closed by Interim Order dated November 2, 2011.</w:t>
      </w:r>
      <w:r w:rsidR="00A44912">
        <w:rPr>
          <w:sz w:val="26"/>
          <w:szCs w:val="26"/>
        </w:rPr>
        <w:t xml:space="preserve"> </w:t>
      </w:r>
    </w:p>
    <w:p w:rsidR="007321FB" w:rsidRPr="007321FB" w:rsidRDefault="007321FB" w:rsidP="00531043">
      <w:pPr>
        <w:widowControl/>
        <w:spacing w:line="360" w:lineRule="auto"/>
        <w:ind w:firstLine="720"/>
        <w:rPr>
          <w:sz w:val="26"/>
          <w:szCs w:val="26"/>
        </w:rPr>
      </w:pPr>
      <w:r w:rsidRPr="007321FB">
        <w:rPr>
          <w:sz w:val="26"/>
          <w:szCs w:val="26"/>
        </w:rPr>
        <w:t xml:space="preserve"> </w:t>
      </w:r>
    </w:p>
    <w:p w:rsidR="002511E1" w:rsidRDefault="00655657" w:rsidP="00531043">
      <w:pPr>
        <w:widowControl/>
        <w:spacing w:line="360" w:lineRule="auto"/>
        <w:rPr>
          <w:sz w:val="26"/>
          <w:szCs w:val="24"/>
        </w:rPr>
      </w:pPr>
      <w:r>
        <w:rPr>
          <w:sz w:val="26"/>
          <w:szCs w:val="24"/>
        </w:rPr>
        <w:tab/>
      </w:r>
      <w:r>
        <w:rPr>
          <w:sz w:val="26"/>
          <w:szCs w:val="24"/>
        </w:rPr>
        <w:tab/>
      </w:r>
      <w:r w:rsidR="004931C7">
        <w:rPr>
          <w:sz w:val="26"/>
          <w:szCs w:val="24"/>
        </w:rPr>
        <w:t xml:space="preserve">In </w:t>
      </w:r>
      <w:r w:rsidR="009A0AF2">
        <w:rPr>
          <w:sz w:val="26"/>
          <w:szCs w:val="24"/>
        </w:rPr>
        <w:t>his</w:t>
      </w:r>
      <w:r w:rsidR="004931C7">
        <w:rPr>
          <w:sz w:val="26"/>
          <w:szCs w:val="24"/>
        </w:rPr>
        <w:t xml:space="preserve"> Initia</w:t>
      </w:r>
      <w:r w:rsidR="009B22A2">
        <w:rPr>
          <w:sz w:val="26"/>
          <w:szCs w:val="24"/>
        </w:rPr>
        <w:t xml:space="preserve">l Decision, issued on </w:t>
      </w:r>
      <w:r w:rsidR="00F20D1A">
        <w:rPr>
          <w:sz w:val="26"/>
          <w:szCs w:val="24"/>
        </w:rPr>
        <w:t>February</w:t>
      </w:r>
      <w:r w:rsidR="009B22A2">
        <w:rPr>
          <w:sz w:val="26"/>
          <w:szCs w:val="24"/>
        </w:rPr>
        <w:t xml:space="preserve"> </w:t>
      </w:r>
      <w:r w:rsidR="00772358">
        <w:rPr>
          <w:sz w:val="26"/>
          <w:szCs w:val="24"/>
        </w:rPr>
        <w:t>2</w:t>
      </w:r>
      <w:r w:rsidR="009B22A2">
        <w:rPr>
          <w:sz w:val="26"/>
          <w:szCs w:val="24"/>
        </w:rPr>
        <w:t>, 201</w:t>
      </w:r>
      <w:r w:rsidR="00F20D1A">
        <w:rPr>
          <w:sz w:val="26"/>
          <w:szCs w:val="24"/>
        </w:rPr>
        <w:t>2</w:t>
      </w:r>
      <w:r w:rsidR="009B22A2">
        <w:rPr>
          <w:sz w:val="26"/>
          <w:szCs w:val="24"/>
        </w:rPr>
        <w:t xml:space="preserve">, ALJ </w:t>
      </w:r>
      <w:r w:rsidR="00772358">
        <w:rPr>
          <w:sz w:val="26"/>
          <w:szCs w:val="24"/>
        </w:rPr>
        <w:t>Hoyer</w:t>
      </w:r>
      <w:r w:rsidR="004931C7">
        <w:rPr>
          <w:sz w:val="26"/>
          <w:szCs w:val="24"/>
        </w:rPr>
        <w:t xml:space="preserve"> </w:t>
      </w:r>
      <w:r w:rsidR="00331C24">
        <w:rPr>
          <w:sz w:val="26"/>
          <w:szCs w:val="24"/>
        </w:rPr>
        <w:t xml:space="preserve">sustained the Complaint </w:t>
      </w:r>
      <w:r w:rsidR="00D007AE">
        <w:rPr>
          <w:sz w:val="26"/>
          <w:szCs w:val="24"/>
        </w:rPr>
        <w:t xml:space="preserve">in finding </w:t>
      </w:r>
      <w:r w:rsidR="004931C7">
        <w:rPr>
          <w:sz w:val="26"/>
          <w:szCs w:val="24"/>
        </w:rPr>
        <w:t xml:space="preserve">that </w:t>
      </w:r>
      <w:r w:rsidR="003748CB">
        <w:rPr>
          <w:sz w:val="26"/>
          <w:szCs w:val="24"/>
        </w:rPr>
        <w:t xml:space="preserve">the Complainant </w:t>
      </w:r>
      <w:r w:rsidR="00772358">
        <w:rPr>
          <w:sz w:val="26"/>
          <w:szCs w:val="24"/>
        </w:rPr>
        <w:t xml:space="preserve">met her burden of proving that she was overcharged for gas service provided by PGW because her gas meter was found to be 2.4% fast.  </w:t>
      </w:r>
      <w:r w:rsidR="00BB33EA">
        <w:rPr>
          <w:sz w:val="26"/>
          <w:szCs w:val="24"/>
        </w:rPr>
        <w:t>A</w:t>
      </w:r>
      <w:r w:rsidR="00331C24">
        <w:rPr>
          <w:sz w:val="26"/>
          <w:szCs w:val="24"/>
        </w:rPr>
        <w:t xml:space="preserve">s such, </w:t>
      </w:r>
      <w:r w:rsidR="00BB33EA">
        <w:rPr>
          <w:sz w:val="26"/>
          <w:szCs w:val="24"/>
        </w:rPr>
        <w:t xml:space="preserve">the ALJ </w:t>
      </w:r>
      <w:r w:rsidR="00331C24">
        <w:rPr>
          <w:sz w:val="26"/>
          <w:szCs w:val="24"/>
        </w:rPr>
        <w:t xml:space="preserve">directed </w:t>
      </w:r>
      <w:r w:rsidR="00772358">
        <w:rPr>
          <w:sz w:val="26"/>
          <w:szCs w:val="24"/>
        </w:rPr>
        <w:t xml:space="preserve">PGW </w:t>
      </w:r>
      <w:r w:rsidR="00331C24">
        <w:rPr>
          <w:sz w:val="26"/>
          <w:szCs w:val="24"/>
        </w:rPr>
        <w:t xml:space="preserve">to </w:t>
      </w:r>
      <w:r w:rsidR="00772358">
        <w:rPr>
          <w:sz w:val="26"/>
          <w:szCs w:val="24"/>
        </w:rPr>
        <w:t xml:space="preserve">recalculate the Complainant’s monthly bills for gas usage and refund the meter testing fee it charged </w:t>
      </w:r>
      <w:r w:rsidR="00BB33EA">
        <w:rPr>
          <w:sz w:val="26"/>
          <w:szCs w:val="24"/>
        </w:rPr>
        <w:t>the Complainant</w:t>
      </w:r>
      <w:r w:rsidR="00772358">
        <w:rPr>
          <w:sz w:val="26"/>
          <w:szCs w:val="24"/>
        </w:rPr>
        <w:t xml:space="preserve">.  </w:t>
      </w:r>
      <w:r w:rsidR="00023B44">
        <w:rPr>
          <w:sz w:val="26"/>
          <w:szCs w:val="24"/>
        </w:rPr>
        <w:t>I.D. at</w:t>
      </w:r>
      <w:r w:rsidR="006E6197">
        <w:rPr>
          <w:sz w:val="26"/>
          <w:szCs w:val="24"/>
        </w:rPr>
        <w:t> </w:t>
      </w:r>
      <w:r w:rsidR="00023B44">
        <w:rPr>
          <w:sz w:val="26"/>
          <w:szCs w:val="24"/>
        </w:rPr>
        <w:t>10-11</w:t>
      </w:r>
      <w:r w:rsidR="00AB1B65">
        <w:rPr>
          <w:sz w:val="26"/>
          <w:szCs w:val="24"/>
        </w:rPr>
        <w:t>.</w:t>
      </w:r>
    </w:p>
    <w:p w:rsidR="002511E1" w:rsidRDefault="002511E1" w:rsidP="00531043">
      <w:pPr>
        <w:widowControl/>
        <w:spacing w:line="360" w:lineRule="auto"/>
        <w:rPr>
          <w:sz w:val="26"/>
          <w:szCs w:val="24"/>
        </w:rPr>
      </w:pPr>
    </w:p>
    <w:p w:rsidR="00655657" w:rsidRDefault="002511E1" w:rsidP="00531043">
      <w:pPr>
        <w:widowControl/>
        <w:spacing w:line="360" w:lineRule="auto"/>
        <w:rPr>
          <w:sz w:val="26"/>
          <w:szCs w:val="24"/>
        </w:rPr>
      </w:pPr>
      <w:r>
        <w:rPr>
          <w:sz w:val="26"/>
          <w:szCs w:val="24"/>
        </w:rPr>
        <w:tab/>
      </w:r>
      <w:r>
        <w:rPr>
          <w:sz w:val="26"/>
          <w:szCs w:val="24"/>
        </w:rPr>
        <w:tab/>
      </w:r>
      <w:r w:rsidR="00655657">
        <w:rPr>
          <w:sz w:val="26"/>
          <w:szCs w:val="24"/>
        </w:rPr>
        <w:t xml:space="preserve">As </w:t>
      </w:r>
      <w:r>
        <w:rPr>
          <w:sz w:val="26"/>
          <w:szCs w:val="24"/>
        </w:rPr>
        <w:t>noted</w:t>
      </w:r>
      <w:r w:rsidR="00655657">
        <w:rPr>
          <w:sz w:val="26"/>
          <w:szCs w:val="24"/>
        </w:rPr>
        <w:t>, the Complain</w:t>
      </w:r>
      <w:r w:rsidR="009B22A2">
        <w:rPr>
          <w:sz w:val="26"/>
          <w:szCs w:val="24"/>
        </w:rPr>
        <w:t>ant filed Exceptions</w:t>
      </w:r>
      <w:r w:rsidR="00655657">
        <w:rPr>
          <w:rStyle w:val="FootnoteReference"/>
          <w:sz w:val="26"/>
          <w:szCs w:val="24"/>
        </w:rPr>
        <w:footnoteReference w:id="3"/>
      </w:r>
      <w:r w:rsidR="00A030DD">
        <w:rPr>
          <w:sz w:val="26"/>
          <w:szCs w:val="24"/>
        </w:rPr>
        <w:t xml:space="preserve"> </w:t>
      </w:r>
      <w:r w:rsidR="006E5B9D">
        <w:rPr>
          <w:sz w:val="26"/>
          <w:szCs w:val="24"/>
        </w:rPr>
        <w:t>and</w:t>
      </w:r>
      <w:r w:rsidR="00A030DD">
        <w:rPr>
          <w:sz w:val="26"/>
          <w:szCs w:val="24"/>
        </w:rPr>
        <w:t xml:space="preserve"> </w:t>
      </w:r>
      <w:r w:rsidR="00327887">
        <w:rPr>
          <w:sz w:val="26"/>
          <w:szCs w:val="24"/>
        </w:rPr>
        <w:t>PGW</w:t>
      </w:r>
      <w:r w:rsidR="009B22A2">
        <w:rPr>
          <w:sz w:val="26"/>
          <w:szCs w:val="24"/>
        </w:rPr>
        <w:t xml:space="preserve"> filed Repl</w:t>
      </w:r>
      <w:r w:rsidR="00C20909">
        <w:rPr>
          <w:sz w:val="26"/>
          <w:szCs w:val="24"/>
        </w:rPr>
        <w:t>ies to</w:t>
      </w:r>
      <w:r w:rsidR="00A030DD">
        <w:rPr>
          <w:sz w:val="26"/>
          <w:szCs w:val="24"/>
        </w:rPr>
        <w:t xml:space="preserve"> </w:t>
      </w:r>
      <w:r w:rsidR="009B22A2">
        <w:rPr>
          <w:sz w:val="26"/>
          <w:szCs w:val="24"/>
        </w:rPr>
        <w:t>Exceptions</w:t>
      </w:r>
      <w:r w:rsidR="00A030DD">
        <w:rPr>
          <w:sz w:val="26"/>
          <w:szCs w:val="24"/>
        </w:rPr>
        <w:t>.</w:t>
      </w:r>
    </w:p>
    <w:p w:rsidR="00BB33EA" w:rsidRDefault="00BB33EA" w:rsidP="00531043">
      <w:pPr>
        <w:widowControl/>
        <w:spacing w:line="360" w:lineRule="auto"/>
        <w:rPr>
          <w:sz w:val="26"/>
          <w:szCs w:val="24"/>
        </w:rPr>
      </w:pPr>
    </w:p>
    <w:p w:rsidR="00CA43A5" w:rsidRPr="00CA43A5" w:rsidRDefault="00CA43A5" w:rsidP="00531043">
      <w:pPr>
        <w:keepNext/>
        <w:widowControl/>
        <w:spacing w:line="360" w:lineRule="auto"/>
        <w:jc w:val="center"/>
        <w:rPr>
          <w:sz w:val="26"/>
          <w:szCs w:val="26"/>
        </w:rPr>
      </w:pPr>
      <w:r w:rsidRPr="00CA43A5">
        <w:rPr>
          <w:b/>
          <w:sz w:val="26"/>
          <w:szCs w:val="26"/>
        </w:rPr>
        <w:t>Discussion</w:t>
      </w:r>
    </w:p>
    <w:p w:rsidR="0043592C" w:rsidRDefault="0043592C" w:rsidP="00531043">
      <w:pPr>
        <w:keepNext/>
        <w:widowControl/>
        <w:spacing w:line="360" w:lineRule="auto"/>
        <w:ind w:firstLine="1440"/>
        <w:rPr>
          <w:sz w:val="26"/>
          <w:szCs w:val="26"/>
        </w:rPr>
      </w:pPr>
    </w:p>
    <w:p w:rsidR="0043592C" w:rsidRDefault="0043592C" w:rsidP="00531043">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sidR="00CE7C2C">
        <w:rPr>
          <w:sz w:val="26"/>
          <w:szCs w:val="26"/>
        </w:rPr>
        <w:t xml:space="preserve">Public Utility </w:t>
      </w:r>
      <w:r w:rsidRPr="00CA43A5">
        <w:rPr>
          <w:sz w:val="26"/>
          <w:szCs w:val="26"/>
        </w:rPr>
        <w:t>Code</w:t>
      </w:r>
      <w:r w:rsidR="00CE7C2C">
        <w:rPr>
          <w:sz w:val="26"/>
          <w:szCs w:val="26"/>
        </w:rPr>
        <w:t xml:space="preserve"> (Code),</w:t>
      </w:r>
      <w:r w:rsidRPr="00CA43A5">
        <w:rPr>
          <w:sz w:val="26"/>
          <w:szCs w:val="26"/>
        </w:rPr>
        <w:t xml:space="preserve">  66 Pa. C.S. § 332(a).  To establish a sufficient case and satisfy the burden of proof, the </w:t>
      </w:r>
      <w:r w:rsidRPr="00CA43A5">
        <w:rPr>
          <w:sz w:val="26"/>
          <w:szCs w:val="26"/>
        </w:rPr>
        <w:lastRenderedPageBreak/>
        <w:t xml:space="preserve">Complainant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 xml:space="preserve">Samuel J. </w:t>
      </w:r>
      <w:proofErr w:type="spellStart"/>
      <w:r w:rsidRPr="00CA43A5">
        <w:rPr>
          <w:i/>
          <w:iCs/>
          <w:sz w:val="26"/>
          <w:szCs w:val="26"/>
        </w:rPr>
        <w:t>Lansberry</w:t>
      </w:r>
      <w:proofErr w:type="spellEnd"/>
      <w:r w:rsidRPr="00CA43A5">
        <w:rPr>
          <w:i/>
          <w:iCs/>
          <w:sz w:val="26"/>
          <w:szCs w:val="26"/>
        </w:rPr>
        <w:t>, Inc. v. Pa. PUC</w:t>
      </w:r>
      <w:r w:rsidRPr="00CA43A5">
        <w:rPr>
          <w:sz w:val="26"/>
          <w:szCs w:val="26"/>
        </w:rPr>
        <w:t xml:space="preserve">, 578 A.2d 600 (Pa. </w:t>
      </w:r>
      <w:proofErr w:type="spellStart"/>
      <w:r w:rsidRPr="00CA43A5">
        <w:rPr>
          <w:sz w:val="26"/>
          <w:szCs w:val="26"/>
        </w:rPr>
        <w:t>Cmwlth</w:t>
      </w:r>
      <w:proofErr w:type="spellEnd"/>
      <w:r w:rsidRPr="00CA43A5">
        <w:rPr>
          <w:sz w:val="26"/>
          <w:szCs w:val="26"/>
        </w:rPr>
        <w:t xml:space="preserve">. 1990), </w:t>
      </w:r>
      <w:proofErr w:type="spellStart"/>
      <w:r w:rsidRPr="00CA43A5">
        <w:rPr>
          <w:i/>
          <w:sz w:val="26"/>
          <w:szCs w:val="26"/>
        </w:rPr>
        <w:t>alloc</w:t>
      </w:r>
      <w:proofErr w:type="spellEnd"/>
      <w:r w:rsidRPr="00CA43A5">
        <w:rPr>
          <w:i/>
          <w:sz w:val="26"/>
          <w:szCs w:val="26"/>
        </w:rPr>
        <w:t>. denied,</w:t>
      </w:r>
      <w:r w:rsidRPr="00CA43A5">
        <w:rPr>
          <w:sz w:val="26"/>
          <w:szCs w:val="26"/>
        </w:rPr>
        <w:t xml:space="preserve"> 529 Pa. 654, 602 A.2d 863 (1992).  That is, the Complainant’s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531043">
      <w:pPr>
        <w:widowControl/>
        <w:spacing w:line="360" w:lineRule="auto"/>
        <w:rPr>
          <w:sz w:val="26"/>
          <w:szCs w:val="26"/>
        </w:rPr>
      </w:pPr>
    </w:p>
    <w:p w:rsidR="00154CB6" w:rsidRDefault="00670BFD" w:rsidP="00531043">
      <w:pPr>
        <w:widowControl/>
        <w:spacing w:line="360" w:lineRule="auto"/>
        <w:ind w:firstLine="1440"/>
        <w:rPr>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going forward with the evidence</w:t>
      </w:r>
      <w:r w:rsidR="00FA0F38">
        <w:rPr>
          <w:sz w:val="26"/>
        </w:rPr>
        <w:t xml:space="preserve"> </w:t>
      </w:r>
      <w:r w:rsidRPr="00472547">
        <w:rPr>
          <w:sz w:val="26"/>
        </w:rPr>
        <w:t xml:space="preserve">to rebut the evidence of the </w:t>
      </w:r>
      <w:r w:rsidR="00D21E1C">
        <w:rPr>
          <w:sz w:val="26"/>
        </w:rPr>
        <w:t>complainant</w:t>
      </w:r>
      <w:r>
        <w:rPr>
          <w:sz w:val="26"/>
        </w:rPr>
        <w:t xml:space="preserve"> shifts</w:t>
      </w:r>
      <w:r w:rsidRPr="00472547">
        <w:rPr>
          <w:sz w:val="26"/>
        </w:rPr>
        <w:t xml:space="preserve"> to the respondent. </w:t>
      </w:r>
      <w:r w:rsidR="002E23A4">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 xml:space="preserve">has not been satisfied. </w:t>
      </w:r>
      <w:r w:rsidR="002E23A4">
        <w:rPr>
          <w:sz w:val="26"/>
        </w:rPr>
        <w:t xml:space="preserve"> </w:t>
      </w:r>
      <w:r w:rsidRPr="00472547">
        <w:rPr>
          <w:sz w:val="26"/>
        </w:rPr>
        <w:t>The complainant now has to provide some additional evidence to rebut that of the respondent</w:t>
      </w:r>
      <w:r>
        <w:rPr>
          <w:sz w:val="26"/>
        </w:rPr>
        <w:t xml:space="preserve">. </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w:t>
        </w:r>
        <w:proofErr w:type="spellStart"/>
        <w:r w:rsidR="00195F2E" w:rsidRPr="00154CB6">
          <w:rPr>
            <w:rStyle w:val="Hyperlink"/>
            <w:rFonts w:ascii="Times New (W1)" w:hAnsi="Times New (W1)"/>
            <w:iCs/>
            <w:color w:val="auto"/>
            <w:sz w:val="26"/>
            <w:u w:val="none"/>
          </w:rPr>
          <w:t>Cmwlth</w:t>
        </w:r>
        <w:proofErr w:type="spellEnd"/>
        <w:r w:rsidR="00195F2E" w:rsidRPr="00154CB6">
          <w:rPr>
            <w:rStyle w:val="Hyperlink"/>
            <w:rFonts w:ascii="Times New (W1)" w:hAnsi="Times New (W1)"/>
            <w:iCs/>
            <w:color w:val="auto"/>
            <w:sz w:val="26"/>
            <w:u w:val="none"/>
          </w:rPr>
          <w:t xml:space="preserve">. 1982), </w:t>
        </w:r>
        <w:proofErr w:type="spellStart"/>
        <w:r w:rsidR="00195F2E" w:rsidRPr="00154CB6">
          <w:rPr>
            <w:rStyle w:val="Hyperlink"/>
            <w:rFonts w:ascii="Times New (W1)" w:hAnsi="Times New (W1)"/>
            <w:i/>
            <w:iCs/>
            <w:color w:val="auto"/>
            <w:sz w:val="26"/>
            <w:u w:val="none"/>
          </w:rPr>
          <w:t>aff’d</w:t>
        </w:r>
        <w:proofErr w:type="spellEnd"/>
        <w:r w:rsidR="00195F2E" w:rsidRPr="00154CB6">
          <w:rPr>
            <w:rStyle w:val="Hyperlink"/>
            <w:rFonts w:ascii="Times New (W1)" w:hAnsi="Times New (W1)"/>
            <w:i/>
            <w:iCs/>
            <w:color w:val="auto"/>
            <w:sz w:val="26"/>
            <w:u w:val="none"/>
          </w:rPr>
          <w:t>,</w:t>
        </w:r>
        <w:r w:rsidR="00195F2E" w:rsidRPr="00154CB6">
          <w:rPr>
            <w:rStyle w:val="Hyperlink"/>
            <w:rFonts w:ascii="Times New (W1)" w:hAnsi="Times New (W1)"/>
            <w:iCs/>
            <w:color w:val="auto"/>
            <w:sz w:val="26"/>
            <w:u w:val="none"/>
          </w:rPr>
          <w:t xml:space="preserve"> 501 Pa. 433, 461 A.2d 1234 (1983).</w:t>
        </w:r>
      </w:hyperlink>
      <w:r w:rsidR="00F93FC0">
        <w:rPr>
          <w:rStyle w:val="Hyperlink"/>
          <w:rFonts w:ascii="Times New (W1)" w:hAnsi="Times New (W1)"/>
          <w:iCs/>
          <w:color w:val="auto"/>
          <w:sz w:val="26"/>
          <w:u w:val="none"/>
        </w:rPr>
        <w:t xml:space="preserve">  </w:t>
      </w:r>
      <w:r w:rsidRPr="00182752">
        <w:rPr>
          <w:sz w:val="26"/>
        </w:rPr>
        <w:t xml:space="preserve">While the burden of persuasion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 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proofErr w:type="spellStart"/>
      <w:r w:rsidR="00154CB6">
        <w:rPr>
          <w:i/>
          <w:sz w:val="26"/>
        </w:rPr>
        <w:t>Milkie</w:t>
      </w:r>
      <w:proofErr w:type="spellEnd"/>
      <w:r w:rsidR="00154CB6">
        <w:rPr>
          <w:i/>
          <w:sz w:val="26"/>
        </w:rPr>
        <w:t xml:space="preserve"> v. Pa. PUC, </w:t>
      </w:r>
      <w:r w:rsidR="00154CB6">
        <w:rPr>
          <w:sz w:val="26"/>
        </w:rPr>
        <w:t xml:space="preserve">768 A.2d 1217 (Pa. </w:t>
      </w:r>
      <w:proofErr w:type="spellStart"/>
      <w:r w:rsidR="00154CB6">
        <w:rPr>
          <w:sz w:val="26"/>
        </w:rPr>
        <w:t>Cmwlth</w:t>
      </w:r>
      <w:proofErr w:type="spellEnd"/>
      <w:r w:rsidR="00154CB6">
        <w:rPr>
          <w:sz w:val="26"/>
        </w:rPr>
        <w:t>. 2001).</w:t>
      </w:r>
    </w:p>
    <w:p w:rsidR="00154CB6" w:rsidRPr="006E5B9D" w:rsidRDefault="00154CB6" w:rsidP="00531043">
      <w:pPr>
        <w:widowControl/>
        <w:spacing w:line="360" w:lineRule="auto"/>
        <w:rPr>
          <w:sz w:val="26"/>
          <w:szCs w:val="26"/>
        </w:rPr>
      </w:pPr>
    </w:p>
    <w:p w:rsidR="00CA43A5" w:rsidRDefault="00CA43A5" w:rsidP="00531043">
      <w:pPr>
        <w:widowControl/>
        <w:spacing w:line="360" w:lineRule="auto"/>
        <w:ind w:firstLine="1440"/>
        <w:rPr>
          <w:sz w:val="26"/>
          <w:szCs w:val="26"/>
        </w:rPr>
      </w:pPr>
      <w:r w:rsidRPr="00CA43A5">
        <w:rPr>
          <w:sz w:val="26"/>
          <w:szCs w:val="26"/>
        </w:rPr>
        <w:t xml:space="preserve">ALJ </w:t>
      </w:r>
      <w:r w:rsidR="00EA45DD">
        <w:rPr>
          <w:sz w:val="26"/>
          <w:szCs w:val="26"/>
        </w:rPr>
        <w:t>Hoyer</w:t>
      </w:r>
      <w:r w:rsidRPr="00CA43A5">
        <w:rPr>
          <w:sz w:val="26"/>
          <w:szCs w:val="26"/>
        </w:rPr>
        <w:t xml:space="preserve"> made </w:t>
      </w:r>
      <w:r w:rsidR="00EA45DD">
        <w:rPr>
          <w:sz w:val="26"/>
          <w:szCs w:val="26"/>
        </w:rPr>
        <w:t>thirty-three</w:t>
      </w:r>
      <w:r w:rsidRPr="00CA43A5">
        <w:rPr>
          <w:sz w:val="26"/>
          <w:szCs w:val="26"/>
        </w:rPr>
        <w:t xml:space="preserve"> Findings of Fact and reached </w:t>
      </w:r>
      <w:r w:rsidR="00EA45DD">
        <w:rPr>
          <w:sz w:val="26"/>
          <w:szCs w:val="26"/>
        </w:rPr>
        <w:t>five</w:t>
      </w:r>
      <w:r w:rsidR="002E23A4">
        <w:rPr>
          <w:sz w:val="26"/>
          <w:szCs w:val="26"/>
        </w:rPr>
        <w:t xml:space="preserve"> </w:t>
      </w:r>
      <w:r w:rsidRPr="00CA43A5">
        <w:rPr>
          <w:sz w:val="26"/>
          <w:szCs w:val="26"/>
        </w:rPr>
        <w:t xml:space="preserve">Conclusions of Law.  </w:t>
      </w:r>
      <w:r w:rsidR="00745B05">
        <w:rPr>
          <w:sz w:val="26"/>
          <w:szCs w:val="26"/>
        </w:rPr>
        <w:t>I.D. at 2-</w:t>
      </w:r>
      <w:r w:rsidR="00EA45DD">
        <w:rPr>
          <w:sz w:val="26"/>
          <w:szCs w:val="26"/>
        </w:rPr>
        <w:t>7, 10-11</w:t>
      </w:r>
      <w:r w:rsidR="002E23A4">
        <w:rPr>
          <w:sz w:val="26"/>
          <w:szCs w:val="26"/>
        </w:rPr>
        <w:t xml:space="preserve">.  </w:t>
      </w:r>
      <w:r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3068D5" w:rsidRPr="00CA43A5" w:rsidRDefault="003068D5" w:rsidP="00531043">
      <w:pPr>
        <w:widowControl/>
        <w:spacing w:line="360" w:lineRule="auto"/>
        <w:ind w:firstLine="1440"/>
        <w:rPr>
          <w:sz w:val="26"/>
          <w:szCs w:val="26"/>
        </w:rPr>
      </w:pPr>
    </w:p>
    <w:p w:rsidR="00214B3E" w:rsidRPr="002A6750" w:rsidRDefault="00006F35" w:rsidP="00531043">
      <w:pPr>
        <w:widowControl/>
        <w:spacing w:line="360" w:lineRule="auto"/>
        <w:ind w:firstLine="1440"/>
        <w:rPr>
          <w:sz w:val="26"/>
          <w:szCs w:val="26"/>
        </w:rPr>
      </w:pPr>
      <w:r w:rsidRPr="002A6750">
        <w:rPr>
          <w:sz w:val="26"/>
          <w:szCs w:val="26"/>
        </w:rPr>
        <w:lastRenderedPageBreak/>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10" w:history="1">
        <w:r w:rsidR="002A6750" w:rsidRPr="002A6750">
          <w:rPr>
            <w:rStyle w:val="Emphasis"/>
            <w:color w:val="000000"/>
            <w:sz w:val="26"/>
            <w:szCs w:val="26"/>
          </w:rPr>
          <w:t xml:space="preserve">Consolidated Rail Corp. v. Pa. PUC, </w:t>
        </w:r>
        <w:r w:rsidR="002A6750" w:rsidRPr="002A6750">
          <w:rPr>
            <w:rStyle w:val="Hyperlink"/>
            <w:color w:val="000000"/>
            <w:sz w:val="26"/>
            <w:szCs w:val="26"/>
            <w:u w:val="none"/>
          </w:rPr>
          <w:t xml:space="preserve">625 A.2d 741 (Pa. </w:t>
        </w:r>
        <w:proofErr w:type="spellStart"/>
        <w:r w:rsidR="002A6750" w:rsidRPr="002A6750">
          <w:rPr>
            <w:rStyle w:val="Hyperlink"/>
            <w:color w:val="000000"/>
            <w:sz w:val="26"/>
            <w:szCs w:val="26"/>
            <w:u w:val="none"/>
          </w:rPr>
          <w:t>Cmwlth</w:t>
        </w:r>
        <w:proofErr w:type="spellEnd"/>
        <w:r w:rsidR="002A6750" w:rsidRPr="002A6750">
          <w:rPr>
            <w:rStyle w:val="Hyperlink"/>
            <w:color w:val="000000"/>
            <w:sz w:val="26"/>
            <w:szCs w:val="26"/>
            <w:u w:val="none"/>
          </w:rPr>
          <w:t>.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1"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xml:space="preserve">, 485 A.2d 1217 (Pa. </w:t>
        </w:r>
        <w:proofErr w:type="spellStart"/>
        <w:r w:rsidR="002A6750" w:rsidRPr="002A6750">
          <w:rPr>
            <w:rStyle w:val="Hyperlink"/>
            <w:color w:val="000000"/>
            <w:sz w:val="26"/>
            <w:szCs w:val="26"/>
            <w:u w:val="none"/>
          </w:rPr>
          <w:t>Cmwlth</w:t>
        </w:r>
        <w:proofErr w:type="spellEnd"/>
        <w:r w:rsidR="002A6750" w:rsidRPr="002A6750">
          <w:rPr>
            <w:rStyle w:val="Hyperlink"/>
            <w:color w:val="000000"/>
            <w:sz w:val="26"/>
            <w:szCs w:val="26"/>
            <w:u w:val="none"/>
          </w:rPr>
          <w:t>. 1984).</w:t>
        </w:r>
      </w:hyperlink>
      <w:r w:rsidR="00214B3E" w:rsidRPr="002A6750">
        <w:rPr>
          <w:sz w:val="26"/>
          <w:szCs w:val="26"/>
        </w:rPr>
        <w:t xml:space="preserve"> </w:t>
      </w:r>
    </w:p>
    <w:p w:rsidR="00006F35" w:rsidRDefault="00006F35" w:rsidP="00531043">
      <w:pPr>
        <w:widowControl/>
        <w:spacing w:line="360" w:lineRule="auto"/>
        <w:ind w:firstLine="1440"/>
        <w:rPr>
          <w:sz w:val="26"/>
          <w:szCs w:val="26"/>
        </w:rPr>
      </w:pPr>
    </w:p>
    <w:p w:rsidR="009F7ADE" w:rsidRPr="009F7ADE" w:rsidRDefault="00FC5E92" w:rsidP="00531043">
      <w:pPr>
        <w:widowControl/>
        <w:spacing w:line="360" w:lineRule="auto"/>
        <w:ind w:firstLine="1440"/>
        <w:rPr>
          <w:sz w:val="26"/>
          <w:szCs w:val="26"/>
        </w:rPr>
      </w:pPr>
      <w:r>
        <w:rPr>
          <w:sz w:val="26"/>
          <w:szCs w:val="26"/>
        </w:rPr>
        <w:t xml:space="preserve">In </w:t>
      </w:r>
      <w:r w:rsidR="00B94842">
        <w:rPr>
          <w:sz w:val="26"/>
          <w:szCs w:val="26"/>
        </w:rPr>
        <w:t>his</w:t>
      </w:r>
      <w:r>
        <w:rPr>
          <w:sz w:val="26"/>
          <w:szCs w:val="26"/>
        </w:rPr>
        <w:t xml:space="preserve"> Initial Decision, ALJ </w:t>
      </w:r>
      <w:r w:rsidR="00EA45DD">
        <w:rPr>
          <w:sz w:val="26"/>
          <w:szCs w:val="26"/>
        </w:rPr>
        <w:t>Hoyer</w:t>
      </w:r>
      <w:r>
        <w:rPr>
          <w:sz w:val="26"/>
          <w:szCs w:val="26"/>
        </w:rPr>
        <w:t xml:space="preserve"> </w:t>
      </w:r>
      <w:r w:rsidR="009F7ADE">
        <w:rPr>
          <w:sz w:val="26"/>
          <w:szCs w:val="26"/>
        </w:rPr>
        <w:t>found that when PGW tested the Complainant’s gas meter for the second floor apartment</w:t>
      </w:r>
      <w:r w:rsidR="00A941A1">
        <w:rPr>
          <w:sz w:val="26"/>
          <w:szCs w:val="26"/>
        </w:rPr>
        <w:t>,</w:t>
      </w:r>
      <w:r w:rsidR="009F7ADE">
        <w:rPr>
          <w:sz w:val="26"/>
          <w:szCs w:val="26"/>
        </w:rPr>
        <w:t xml:space="preserve"> the meter registered 2.4% fast. The ALJ referenced </w:t>
      </w:r>
      <w:r w:rsidR="009F7ADE" w:rsidRPr="009F7ADE">
        <w:rPr>
          <w:sz w:val="26"/>
          <w:szCs w:val="26"/>
        </w:rPr>
        <w:t xml:space="preserve">Section 59.22(a) of the Commission’s </w:t>
      </w:r>
      <w:r w:rsidR="00A941A1">
        <w:rPr>
          <w:sz w:val="26"/>
          <w:szCs w:val="26"/>
        </w:rPr>
        <w:t>R</w:t>
      </w:r>
      <w:r w:rsidR="009F7ADE" w:rsidRPr="009F7ADE">
        <w:rPr>
          <w:sz w:val="26"/>
          <w:szCs w:val="26"/>
        </w:rPr>
        <w:t>egulations</w:t>
      </w:r>
      <w:r w:rsidR="00A941A1">
        <w:rPr>
          <w:sz w:val="26"/>
          <w:szCs w:val="26"/>
        </w:rPr>
        <w:t>, 52 Pa. Code §</w:t>
      </w:r>
      <w:r w:rsidR="006E6197">
        <w:rPr>
          <w:sz w:val="26"/>
          <w:szCs w:val="26"/>
        </w:rPr>
        <w:t> </w:t>
      </w:r>
      <w:r w:rsidR="00A941A1">
        <w:rPr>
          <w:sz w:val="26"/>
          <w:szCs w:val="26"/>
        </w:rPr>
        <w:t>59.22(a),</w:t>
      </w:r>
      <w:r w:rsidR="009F7ADE" w:rsidRPr="009F7ADE">
        <w:rPr>
          <w:sz w:val="26"/>
          <w:szCs w:val="26"/>
        </w:rPr>
        <w:t xml:space="preserve"> entitled, “Adjustment of bills for meter error,” </w:t>
      </w:r>
      <w:r w:rsidR="006E5B9D">
        <w:rPr>
          <w:sz w:val="26"/>
          <w:szCs w:val="26"/>
        </w:rPr>
        <w:t xml:space="preserve">which </w:t>
      </w:r>
      <w:r w:rsidR="009F7ADE" w:rsidRPr="009F7ADE">
        <w:rPr>
          <w:sz w:val="26"/>
          <w:szCs w:val="26"/>
        </w:rPr>
        <w:t>provides as follows:</w:t>
      </w:r>
    </w:p>
    <w:p w:rsidR="009F7ADE" w:rsidRPr="009F7ADE" w:rsidRDefault="009F7ADE" w:rsidP="00531043">
      <w:pPr>
        <w:pStyle w:val="NormalWeb"/>
        <w:ind w:left="1440" w:right="1440"/>
        <w:rPr>
          <w:sz w:val="26"/>
          <w:szCs w:val="26"/>
        </w:rPr>
      </w:pPr>
      <w:bookmarkStart w:id="2" w:name="59.22."/>
      <w:r>
        <w:t> </w:t>
      </w:r>
      <w:r w:rsidRPr="009F7ADE">
        <w:rPr>
          <w:sz w:val="26"/>
          <w:szCs w:val="26"/>
        </w:rPr>
        <w:t>(a)  </w:t>
      </w:r>
      <w:r w:rsidRPr="009F7ADE">
        <w:rPr>
          <w:i/>
          <w:iCs/>
          <w:sz w:val="26"/>
          <w:szCs w:val="26"/>
        </w:rPr>
        <w:t xml:space="preserve">Fast meters. </w:t>
      </w:r>
      <w:r w:rsidRPr="009F7ADE">
        <w:rPr>
          <w:sz w:val="26"/>
          <w:szCs w:val="26"/>
        </w:rPr>
        <w:t xml:space="preserve">If, upon test of a meter, it is found to have an average error of more than 2.0% fast, the public utility shall refund to or credit the customer for the overcharge, based upon what the meter would have registered had it not been fast or slow for a period equal to 1/2 the time elapsed since the last previous test, but not to exceed 12 months or 1/2 the period of occupancy of the premises by the customer, whichever is less. If the period of registration error may be definitely fixed, the overcharge shall be computed for the period. If the meter has not been tested under §59.21 (relating to meter tests), the period for which it has been in service beyond the regular test period shall be included in computing the refund. </w:t>
      </w:r>
      <w:bookmarkEnd w:id="2"/>
      <w:r>
        <w:rPr>
          <w:sz w:val="26"/>
          <w:szCs w:val="26"/>
        </w:rPr>
        <w:t xml:space="preserve"> </w:t>
      </w:r>
    </w:p>
    <w:p w:rsidR="009F7ADE" w:rsidRDefault="002A0EF6" w:rsidP="00531043">
      <w:pPr>
        <w:widowControl/>
        <w:spacing w:line="360" w:lineRule="auto"/>
        <w:rPr>
          <w:sz w:val="26"/>
          <w:szCs w:val="26"/>
        </w:rPr>
      </w:pPr>
      <w:r>
        <w:rPr>
          <w:sz w:val="26"/>
          <w:szCs w:val="26"/>
        </w:rPr>
        <w:t>I.D. at 7.</w:t>
      </w:r>
    </w:p>
    <w:p w:rsidR="002A0EF6" w:rsidRDefault="002A0EF6" w:rsidP="00531043">
      <w:pPr>
        <w:widowControl/>
        <w:spacing w:line="360" w:lineRule="auto"/>
        <w:rPr>
          <w:sz w:val="26"/>
          <w:szCs w:val="26"/>
        </w:rPr>
      </w:pPr>
    </w:p>
    <w:p w:rsidR="00C926B6" w:rsidRDefault="00C926B6" w:rsidP="00531043">
      <w:pPr>
        <w:widowControl/>
        <w:spacing w:line="360" w:lineRule="auto"/>
        <w:rPr>
          <w:sz w:val="26"/>
          <w:szCs w:val="26"/>
        </w:rPr>
      </w:pPr>
      <w:r>
        <w:rPr>
          <w:sz w:val="26"/>
          <w:szCs w:val="26"/>
        </w:rPr>
        <w:tab/>
      </w:r>
      <w:r>
        <w:rPr>
          <w:sz w:val="26"/>
          <w:szCs w:val="26"/>
        </w:rPr>
        <w:tab/>
        <w:t xml:space="preserve">In light of the above, the ALJ concluded that PGW must recalculate the Complainant’s bill for gas service based upon the fast meter test results obtained on May 31, 2011, and credit her account in accordance with Section 59.22(a).  The ALJ noted that while PGW did adjust the Complainant’s bill for gas usage by crediting her account in the amount of $71.75 on June 9, 2011, it did not offer any evidence at the hearing regarding how it calculated that amount.  The ALJ directed PGW to issue the </w:t>
      </w:r>
      <w:r>
        <w:rPr>
          <w:sz w:val="26"/>
          <w:szCs w:val="26"/>
        </w:rPr>
        <w:lastRenderedPageBreak/>
        <w:t>Complainant a new bill showing the resulting adjustment and the supporting calculations on which t</w:t>
      </w:r>
      <w:r w:rsidR="00B310ED">
        <w:rPr>
          <w:sz w:val="26"/>
          <w:szCs w:val="26"/>
        </w:rPr>
        <w:t>he adjustment</w:t>
      </w:r>
      <w:r>
        <w:rPr>
          <w:sz w:val="26"/>
          <w:szCs w:val="26"/>
        </w:rPr>
        <w:t xml:space="preserve"> </w:t>
      </w:r>
      <w:r w:rsidR="00B310ED">
        <w:rPr>
          <w:sz w:val="26"/>
          <w:szCs w:val="26"/>
        </w:rPr>
        <w:t>wa</w:t>
      </w:r>
      <w:r>
        <w:rPr>
          <w:sz w:val="26"/>
          <w:szCs w:val="26"/>
        </w:rPr>
        <w:t xml:space="preserve">s based.  </w:t>
      </w:r>
      <w:r>
        <w:rPr>
          <w:i/>
          <w:sz w:val="26"/>
          <w:szCs w:val="26"/>
        </w:rPr>
        <w:t>Id.</w:t>
      </w:r>
      <w:r>
        <w:rPr>
          <w:sz w:val="26"/>
          <w:szCs w:val="26"/>
        </w:rPr>
        <w:t xml:space="preserve"> at 7-8.</w:t>
      </w:r>
    </w:p>
    <w:p w:rsidR="00C926B6" w:rsidRDefault="00C926B6" w:rsidP="00531043">
      <w:pPr>
        <w:widowControl/>
        <w:spacing w:line="360" w:lineRule="auto"/>
        <w:rPr>
          <w:sz w:val="26"/>
          <w:szCs w:val="26"/>
        </w:rPr>
      </w:pPr>
    </w:p>
    <w:p w:rsidR="00C926B6" w:rsidRPr="00A466DD" w:rsidRDefault="00C926B6" w:rsidP="00531043">
      <w:pPr>
        <w:widowControl/>
        <w:spacing w:line="360" w:lineRule="auto"/>
        <w:rPr>
          <w:sz w:val="26"/>
          <w:szCs w:val="26"/>
        </w:rPr>
      </w:pPr>
      <w:r>
        <w:rPr>
          <w:sz w:val="26"/>
          <w:szCs w:val="26"/>
        </w:rPr>
        <w:tab/>
      </w:r>
      <w:r>
        <w:rPr>
          <w:sz w:val="26"/>
          <w:szCs w:val="26"/>
        </w:rPr>
        <w:tab/>
        <w:t xml:space="preserve">Next, the ALJ recommended </w:t>
      </w:r>
      <w:r w:rsidRPr="00A466DD">
        <w:rPr>
          <w:sz w:val="26"/>
          <w:szCs w:val="26"/>
        </w:rPr>
        <w:t xml:space="preserve">that </w:t>
      </w:r>
      <w:r>
        <w:rPr>
          <w:sz w:val="26"/>
          <w:szCs w:val="26"/>
        </w:rPr>
        <w:t xml:space="preserve">PGW </w:t>
      </w:r>
      <w:r w:rsidRPr="00A466DD">
        <w:rPr>
          <w:sz w:val="26"/>
          <w:szCs w:val="26"/>
        </w:rPr>
        <w:t xml:space="preserve">credit </w:t>
      </w:r>
      <w:r>
        <w:rPr>
          <w:sz w:val="26"/>
          <w:szCs w:val="26"/>
        </w:rPr>
        <w:t xml:space="preserve">the Complainant’s </w:t>
      </w:r>
      <w:r w:rsidRPr="00A466DD">
        <w:rPr>
          <w:sz w:val="26"/>
          <w:szCs w:val="26"/>
        </w:rPr>
        <w:t xml:space="preserve">account </w:t>
      </w:r>
      <w:r>
        <w:rPr>
          <w:sz w:val="26"/>
          <w:szCs w:val="26"/>
        </w:rPr>
        <w:t xml:space="preserve">in </w:t>
      </w:r>
      <w:r w:rsidRPr="00A466DD">
        <w:rPr>
          <w:sz w:val="26"/>
          <w:szCs w:val="26"/>
        </w:rPr>
        <w:t xml:space="preserve">the amount </w:t>
      </w:r>
      <w:r>
        <w:rPr>
          <w:sz w:val="26"/>
          <w:szCs w:val="26"/>
        </w:rPr>
        <w:t xml:space="preserve">it </w:t>
      </w:r>
      <w:r w:rsidRPr="00A466DD">
        <w:rPr>
          <w:sz w:val="26"/>
          <w:szCs w:val="26"/>
        </w:rPr>
        <w:t xml:space="preserve">charged </w:t>
      </w:r>
      <w:r>
        <w:rPr>
          <w:sz w:val="26"/>
          <w:szCs w:val="26"/>
        </w:rPr>
        <w:t xml:space="preserve">her </w:t>
      </w:r>
      <w:r w:rsidRPr="00A466DD">
        <w:rPr>
          <w:sz w:val="26"/>
          <w:szCs w:val="26"/>
        </w:rPr>
        <w:t>to test the meter because t</w:t>
      </w:r>
      <w:r w:rsidR="00B310ED">
        <w:rPr>
          <w:sz w:val="26"/>
          <w:szCs w:val="26"/>
        </w:rPr>
        <w:t>he meter</w:t>
      </w:r>
      <w:r w:rsidRPr="00A466DD">
        <w:rPr>
          <w:sz w:val="26"/>
          <w:szCs w:val="26"/>
        </w:rPr>
        <w:t xml:space="preserve"> was found to be 2.4% fast</w:t>
      </w:r>
      <w:r>
        <w:rPr>
          <w:sz w:val="26"/>
          <w:szCs w:val="26"/>
        </w:rPr>
        <w:t xml:space="preserve">.  The ALJ referenced </w:t>
      </w:r>
      <w:r w:rsidRPr="00A466DD">
        <w:rPr>
          <w:sz w:val="26"/>
          <w:szCs w:val="26"/>
        </w:rPr>
        <w:t xml:space="preserve">Section 59.21(f)(1) of the Commission’s </w:t>
      </w:r>
      <w:r>
        <w:rPr>
          <w:sz w:val="26"/>
          <w:szCs w:val="26"/>
        </w:rPr>
        <w:t>R</w:t>
      </w:r>
      <w:r w:rsidRPr="00A466DD">
        <w:rPr>
          <w:sz w:val="26"/>
          <w:szCs w:val="26"/>
        </w:rPr>
        <w:t>egulations</w:t>
      </w:r>
      <w:r>
        <w:rPr>
          <w:sz w:val="26"/>
          <w:szCs w:val="26"/>
        </w:rPr>
        <w:t>, 52 Pa. Code § 59.21(f)(1),</w:t>
      </w:r>
      <w:r w:rsidRPr="00A466DD">
        <w:rPr>
          <w:sz w:val="26"/>
          <w:szCs w:val="26"/>
        </w:rPr>
        <w:t xml:space="preserve"> </w:t>
      </w:r>
      <w:r>
        <w:rPr>
          <w:sz w:val="26"/>
          <w:szCs w:val="26"/>
        </w:rPr>
        <w:t xml:space="preserve">which </w:t>
      </w:r>
      <w:r w:rsidRPr="00A466DD">
        <w:rPr>
          <w:sz w:val="26"/>
          <w:szCs w:val="26"/>
        </w:rPr>
        <w:t>provides as follows:</w:t>
      </w:r>
    </w:p>
    <w:p w:rsidR="00C926B6" w:rsidRDefault="00C926B6" w:rsidP="00531043">
      <w:pPr>
        <w:widowControl/>
        <w:spacing w:line="360" w:lineRule="auto"/>
        <w:rPr>
          <w:sz w:val="26"/>
          <w:szCs w:val="26"/>
        </w:rPr>
      </w:pPr>
    </w:p>
    <w:p w:rsidR="00E62089" w:rsidRDefault="00A466DD" w:rsidP="00531043">
      <w:pPr>
        <w:widowControl/>
        <w:ind w:left="1440" w:right="1440"/>
        <w:rPr>
          <w:sz w:val="26"/>
          <w:szCs w:val="26"/>
        </w:rPr>
      </w:pPr>
      <w:r w:rsidRPr="00A466DD">
        <w:rPr>
          <w:sz w:val="26"/>
          <w:szCs w:val="26"/>
        </w:rPr>
        <w:t xml:space="preserve"> (1)  If a customer requests, in writing, a test of the accuracy of the meter through which gas service is supplied and the meter is not due for periodic test, the public utility shall notify the customer of the conditions under which the test will be made by the utility or by a referee. If the customer then requests the utility to proceed with the test and remits an amount equal to the scheduled cost of a referee test, the utility shall make the test promptly. </w:t>
      </w:r>
      <w:r w:rsidRPr="00A466DD">
        <w:rPr>
          <w:sz w:val="26"/>
          <w:szCs w:val="26"/>
          <w:u w:val="single"/>
        </w:rPr>
        <w:t>If, when tested, the meter is found to be more than 2.0% fast or slow, the testing fee shall be promptly refunded to the customer.</w:t>
      </w:r>
      <w:r w:rsidR="00E62089">
        <w:rPr>
          <w:sz w:val="26"/>
          <w:szCs w:val="26"/>
        </w:rPr>
        <w:t xml:space="preserve">  </w:t>
      </w:r>
    </w:p>
    <w:p w:rsidR="006D63F4" w:rsidRDefault="006D63F4" w:rsidP="00531043">
      <w:pPr>
        <w:widowControl/>
        <w:ind w:left="1440" w:right="1440"/>
        <w:rPr>
          <w:sz w:val="26"/>
          <w:szCs w:val="26"/>
        </w:rPr>
      </w:pPr>
    </w:p>
    <w:p w:rsidR="00A466DD" w:rsidRDefault="00E62089" w:rsidP="00531043">
      <w:pPr>
        <w:widowControl/>
        <w:tabs>
          <w:tab w:val="left" w:pos="9360"/>
        </w:tabs>
        <w:ind w:right="1440"/>
        <w:rPr>
          <w:sz w:val="26"/>
          <w:szCs w:val="26"/>
        </w:rPr>
      </w:pPr>
      <w:r>
        <w:rPr>
          <w:i/>
          <w:sz w:val="26"/>
          <w:szCs w:val="26"/>
        </w:rPr>
        <w:t xml:space="preserve">Id. </w:t>
      </w:r>
      <w:r>
        <w:rPr>
          <w:sz w:val="26"/>
          <w:szCs w:val="26"/>
        </w:rPr>
        <w:t>at 8.</w:t>
      </w:r>
    </w:p>
    <w:p w:rsidR="009C1BC0" w:rsidRDefault="009C1BC0" w:rsidP="00531043">
      <w:pPr>
        <w:widowControl/>
        <w:spacing w:line="360" w:lineRule="auto"/>
        <w:rPr>
          <w:sz w:val="26"/>
          <w:szCs w:val="26"/>
        </w:rPr>
      </w:pPr>
    </w:p>
    <w:p w:rsidR="00B94842" w:rsidRDefault="00930323" w:rsidP="00B0479F">
      <w:pPr>
        <w:widowControl/>
        <w:spacing w:line="360" w:lineRule="auto"/>
        <w:ind w:firstLine="1440"/>
        <w:rPr>
          <w:sz w:val="26"/>
          <w:szCs w:val="26"/>
        </w:rPr>
      </w:pPr>
      <w:r>
        <w:rPr>
          <w:sz w:val="26"/>
          <w:szCs w:val="26"/>
        </w:rPr>
        <w:t xml:space="preserve">According to the ALJ, the </w:t>
      </w:r>
      <w:r w:rsidR="00D24165">
        <w:rPr>
          <w:sz w:val="26"/>
          <w:szCs w:val="26"/>
        </w:rPr>
        <w:t xml:space="preserve">Complainant in this case </w:t>
      </w:r>
      <w:r w:rsidR="0039203F">
        <w:rPr>
          <w:sz w:val="26"/>
          <w:szCs w:val="26"/>
        </w:rPr>
        <w:t xml:space="preserve">established a </w:t>
      </w:r>
      <w:r w:rsidR="0039203F">
        <w:rPr>
          <w:i/>
          <w:sz w:val="26"/>
          <w:szCs w:val="26"/>
        </w:rPr>
        <w:t xml:space="preserve">prima facie </w:t>
      </w:r>
      <w:r w:rsidR="0039203F">
        <w:rPr>
          <w:sz w:val="26"/>
          <w:szCs w:val="26"/>
        </w:rPr>
        <w:t xml:space="preserve">case and </w:t>
      </w:r>
      <w:r w:rsidR="00FE4963">
        <w:rPr>
          <w:sz w:val="26"/>
          <w:szCs w:val="26"/>
        </w:rPr>
        <w:t>met h</w:t>
      </w:r>
      <w:r w:rsidR="0039203F">
        <w:rPr>
          <w:sz w:val="26"/>
          <w:szCs w:val="26"/>
        </w:rPr>
        <w:t>er</w:t>
      </w:r>
      <w:r w:rsidR="00FE4963">
        <w:rPr>
          <w:sz w:val="26"/>
          <w:szCs w:val="26"/>
        </w:rPr>
        <w:t xml:space="preserve"> burden of proof that </w:t>
      </w:r>
      <w:r w:rsidR="0039203F">
        <w:rPr>
          <w:sz w:val="26"/>
          <w:szCs w:val="26"/>
        </w:rPr>
        <w:t>s</w:t>
      </w:r>
      <w:r w:rsidR="00FE4963">
        <w:rPr>
          <w:sz w:val="26"/>
          <w:szCs w:val="26"/>
        </w:rPr>
        <w:t xml:space="preserve">he </w:t>
      </w:r>
      <w:r w:rsidR="0039203F">
        <w:rPr>
          <w:sz w:val="26"/>
          <w:szCs w:val="26"/>
        </w:rPr>
        <w:t xml:space="preserve">was overcharged for gas utility service provided by PGW because her gas meter was found to be 2.4% fast.  As a result, the ALJ concluded that the Complainant </w:t>
      </w:r>
      <w:r w:rsidR="00DE3FBD">
        <w:rPr>
          <w:sz w:val="26"/>
          <w:szCs w:val="26"/>
        </w:rPr>
        <w:t>wa</w:t>
      </w:r>
      <w:r w:rsidR="00FE4963" w:rsidRPr="00FE4963">
        <w:rPr>
          <w:sz w:val="26"/>
          <w:szCs w:val="26"/>
        </w:rPr>
        <w:t>s entitled to relief</w:t>
      </w:r>
      <w:r w:rsidR="00FE4963">
        <w:rPr>
          <w:sz w:val="26"/>
          <w:szCs w:val="26"/>
        </w:rPr>
        <w:t xml:space="preserve"> because </w:t>
      </w:r>
      <w:r w:rsidR="0039203F">
        <w:rPr>
          <w:sz w:val="26"/>
          <w:szCs w:val="26"/>
        </w:rPr>
        <w:t>s</w:t>
      </w:r>
      <w:r w:rsidR="00FE4963">
        <w:rPr>
          <w:sz w:val="26"/>
          <w:szCs w:val="26"/>
        </w:rPr>
        <w:t xml:space="preserve">he </w:t>
      </w:r>
      <w:r w:rsidR="00D24165">
        <w:rPr>
          <w:sz w:val="26"/>
          <w:szCs w:val="26"/>
        </w:rPr>
        <w:t xml:space="preserve">met the </w:t>
      </w:r>
      <w:r>
        <w:rPr>
          <w:sz w:val="26"/>
          <w:szCs w:val="26"/>
        </w:rPr>
        <w:t xml:space="preserve">standard </w:t>
      </w:r>
      <w:r w:rsidR="00D24165">
        <w:rPr>
          <w:sz w:val="26"/>
          <w:szCs w:val="26"/>
        </w:rPr>
        <w:t xml:space="preserve">set forth </w:t>
      </w:r>
      <w:r>
        <w:rPr>
          <w:sz w:val="26"/>
          <w:szCs w:val="26"/>
        </w:rPr>
        <w:t xml:space="preserve">in </w:t>
      </w:r>
      <w:r>
        <w:rPr>
          <w:i/>
          <w:sz w:val="26"/>
          <w:szCs w:val="26"/>
        </w:rPr>
        <w:t xml:space="preserve">Waldron v. Philadelphia Electric Co., </w:t>
      </w:r>
      <w:r>
        <w:rPr>
          <w:sz w:val="26"/>
          <w:szCs w:val="26"/>
        </w:rPr>
        <w:t xml:space="preserve">54 </w:t>
      </w:r>
      <w:r w:rsidR="006762DB">
        <w:rPr>
          <w:sz w:val="26"/>
          <w:szCs w:val="26"/>
        </w:rPr>
        <w:t xml:space="preserve">Pa. </w:t>
      </w:r>
      <w:r>
        <w:rPr>
          <w:sz w:val="26"/>
          <w:szCs w:val="26"/>
        </w:rPr>
        <w:t>P</w:t>
      </w:r>
      <w:r w:rsidR="00DE3FBD">
        <w:rPr>
          <w:sz w:val="26"/>
          <w:szCs w:val="26"/>
        </w:rPr>
        <w:t>.</w:t>
      </w:r>
      <w:r>
        <w:rPr>
          <w:sz w:val="26"/>
          <w:szCs w:val="26"/>
        </w:rPr>
        <w:t>U</w:t>
      </w:r>
      <w:r w:rsidR="00DE3FBD">
        <w:rPr>
          <w:sz w:val="26"/>
          <w:szCs w:val="26"/>
        </w:rPr>
        <w:t>.</w:t>
      </w:r>
      <w:r>
        <w:rPr>
          <w:sz w:val="26"/>
          <w:szCs w:val="26"/>
        </w:rPr>
        <w:t>C</w:t>
      </w:r>
      <w:r w:rsidR="006762DB">
        <w:rPr>
          <w:sz w:val="26"/>
          <w:szCs w:val="26"/>
        </w:rPr>
        <w:t>.</w:t>
      </w:r>
      <w:r>
        <w:rPr>
          <w:sz w:val="26"/>
          <w:szCs w:val="26"/>
        </w:rPr>
        <w:t xml:space="preserve"> 9</w:t>
      </w:r>
      <w:r w:rsidR="00F4502B">
        <w:rPr>
          <w:sz w:val="26"/>
          <w:szCs w:val="26"/>
        </w:rPr>
        <w:t>8</w:t>
      </w:r>
      <w:r>
        <w:rPr>
          <w:sz w:val="26"/>
          <w:szCs w:val="26"/>
        </w:rPr>
        <w:t xml:space="preserve"> (1980)</w:t>
      </w:r>
      <w:r w:rsidR="00D24165">
        <w:rPr>
          <w:sz w:val="26"/>
          <w:szCs w:val="26"/>
        </w:rPr>
        <w:t>.</w:t>
      </w:r>
      <w:r>
        <w:rPr>
          <w:sz w:val="26"/>
          <w:szCs w:val="26"/>
        </w:rPr>
        <w:t xml:space="preserve"> </w:t>
      </w:r>
      <w:r w:rsidR="009A0AF2">
        <w:rPr>
          <w:sz w:val="26"/>
          <w:szCs w:val="26"/>
        </w:rPr>
        <w:t xml:space="preserve"> </w:t>
      </w:r>
      <w:r w:rsidR="00767725">
        <w:rPr>
          <w:sz w:val="26"/>
          <w:szCs w:val="26"/>
        </w:rPr>
        <w:t>Therefore, the ALJ recommended</w:t>
      </w:r>
      <w:r w:rsidR="0039203F">
        <w:rPr>
          <w:sz w:val="26"/>
          <w:szCs w:val="26"/>
        </w:rPr>
        <w:t xml:space="preserve"> that the Complaint be sustained</w:t>
      </w:r>
      <w:r w:rsidR="00DE3FBD">
        <w:rPr>
          <w:sz w:val="26"/>
          <w:szCs w:val="26"/>
        </w:rPr>
        <w:t xml:space="preserve"> and </w:t>
      </w:r>
      <w:r w:rsidR="0039203F">
        <w:rPr>
          <w:sz w:val="26"/>
          <w:szCs w:val="26"/>
        </w:rPr>
        <w:t xml:space="preserve">that PGW be ordered to recalculate the Complainant’s monthly bills and </w:t>
      </w:r>
      <w:r w:rsidR="00DE3FBD">
        <w:rPr>
          <w:sz w:val="26"/>
          <w:szCs w:val="26"/>
        </w:rPr>
        <w:t xml:space="preserve">to </w:t>
      </w:r>
      <w:r w:rsidR="0039203F">
        <w:rPr>
          <w:sz w:val="26"/>
          <w:szCs w:val="26"/>
        </w:rPr>
        <w:t xml:space="preserve">refund the meter testing fee.  Additionally, the ALJ recommended that PGW issue a new bill to the Complainant and </w:t>
      </w:r>
      <w:r w:rsidR="0039203F">
        <w:rPr>
          <w:sz w:val="26"/>
          <w:szCs w:val="26"/>
        </w:rPr>
        <w:lastRenderedPageBreak/>
        <w:t xml:space="preserve">provide a copy of such to the Commission’s Bureau of Consumer Services </w:t>
      </w:r>
      <w:r w:rsidR="00C926B6">
        <w:rPr>
          <w:sz w:val="26"/>
          <w:szCs w:val="26"/>
        </w:rPr>
        <w:t>“</w:t>
      </w:r>
      <w:r w:rsidR="0039203F">
        <w:rPr>
          <w:sz w:val="26"/>
          <w:szCs w:val="26"/>
        </w:rPr>
        <w:t>within thirty days</w:t>
      </w:r>
      <w:r w:rsidR="00C926B6">
        <w:rPr>
          <w:sz w:val="26"/>
          <w:szCs w:val="26"/>
        </w:rPr>
        <w:t xml:space="preserve"> </w:t>
      </w:r>
      <w:r w:rsidR="00A901AF">
        <w:rPr>
          <w:sz w:val="26"/>
          <w:szCs w:val="26"/>
        </w:rPr>
        <w:t>of the date of this Order</w:t>
      </w:r>
      <w:r w:rsidR="00DE3FBD">
        <w:rPr>
          <w:sz w:val="26"/>
          <w:szCs w:val="26"/>
        </w:rPr>
        <w:t>.</w:t>
      </w:r>
      <w:r w:rsidR="00A901AF">
        <w:rPr>
          <w:sz w:val="26"/>
          <w:szCs w:val="26"/>
        </w:rPr>
        <w:t>”</w:t>
      </w:r>
      <w:r w:rsidR="00B57849">
        <w:rPr>
          <w:sz w:val="26"/>
          <w:szCs w:val="26"/>
        </w:rPr>
        <w:t xml:space="preserve">  </w:t>
      </w:r>
      <w:r w:rsidR="0039203F">
        <w:rPr>
          <w:i/>
          <w:sz w:val="26"/>
          <w:szCs w:val="26"/>
        </w:rPr>
        <w:t xml:space="preserve">Id. </w:t>
      </w:r>
      <w:r w:rsidR="0039203F" w:rsidRPr="0039203F">
        <w:rPr>
          <w:sz w:val="26"/>
          <w:szCs w:val="26"/>
        </w:rPr>
        <w:t>at 10</w:t>
      </w:r>
      <w:r w:rsidR="00D811EA">
        <w:rPr>
          <w:sz w:val="26"/>
          <w:szCs w:val="26"/>
        </w:rPr>
        <w:t>,</w:t>
      </w:r>
      <w:r w:rsidR="00C54A50">
        <w:rPr>
          <w:sz w:val="26"/>
          <w:szCs w:val="26"/>
        </w:rPr>
        <w:t xml:space="preserve"> 11.</w:t>
      </w:r>
      <w:r w:rsidR="00C926B6">
        <w:rPr>
          <w:rStyle w:val="FootnoteReference"/>
          <w:sz w:val="26"/>
          <w:szCs w:val="26"/>
        </w:rPr>
        <w:footnoteReference w:id="4"/>
      </w:r>
    </w:p>
    <w:p w:rsidR="00D811EA" w:rsidRDefault="00D811EA" w:rsidP="00531043">
      <w:pPr>
        <w:widowControl/>
        <w:spacing w:line="360" w:lineRule="auto"/>
        <w:ind w:firstLine="1440"/>
        <w:rPr>
          <w:sz w:val="26"/>
          <w:szCs w:val="26"/>
        </w:rPr>
      </w:pPr>
    </w:p>
    <w:p w:rsidR="00903BFF" w:rsidRDefault="008E666E" w:rsidP="00531043">
      <w:pPr>
        <w:widowControl/>
        <w:spacing w:line="360" w:lineRule="auto"/>
        <w:ind w:firstLine="1440"/>
        <w:rPr>
          <w:sz w:val="26"/>
          <w:szCs w:val="26"/>
        </w:rPr>
      </w:pPr>
      <w:r w:rsidRPr="008E666E">
        <w:rPr>
          <w:sz w:val="26"/>
          <w:szCs w:val="26"/>
        </w:rPr>
        <w:t>In her Exceptions, the Complainant first submits that the refund PGW computes should include the period from 2007 through the date of the meter exchange.  The Complainant avers that, although she did not request a meter test, she believes that the period for which the meter had been in service beyond the regular test period should be included in computing the refund.  Exc. at 1.</w:t>
      </w:r>
    </w:p>
    <w:p w:rsidR="008E666E" w:rsidRDefault="008E666E" w:rsidP="00531043">
      <w:pPr>
        <w:widowControl/>
        <w:spacing w:line="360" w:lineRule="auto"/>
        <w:ind w:firstLine="1440"/>
        <w:rPr>
          <w:sz w:val="26"/>
          <w:szCs w:val="26"/>
        </w:rPr>
      </w:pPr>
    </w:p>
    <w:p w:rsidR="008E666E" w:rsidRDefault="008E666E" w:rsidP="00531043">
      <w:pPr>
        <w:widowControl/>
        <w:spacing w:line="360" w:lineRule="auto"/>
        <w:ind w:firstLine="1440"/>
        <w:rPr>
          <w:sz w:val="26"/>
          <w:szCs w:val="26"/>
        </w:rPr>
      </w:pPr>
      <w:r w:rsidRPr="008E666E">
        <w:rPr>
          <w:sz w:val="26"/>
          <w:szCs w:val="26"/>
        </w:rPr>
        <w:t>In support of this Exception, the Complainant claims that she clearly has demonstrated her persistence in trying to rectify this issue since April of 2007.  Exc. at 1.  In addition, the Complainant alleges that she was not aware that a meter test could have been done.  She alleges that, although PGW visited the premises in 2007, 2008 and 2009, no meter test was suggested or performed by the Company.  The Complainant notes that her initial call regarding the high bill was made on April 4, 2007, resulting in a June 2007 field visit by PGW.  Subsequently, PGW made two additional field visits to the premises without conducting a meter test.  As a result, the Complainant is of the opinion that it is appropriate to use the period from 2007 through the meter exchange date in computing the refund that is owed to her.  Exc. at 2.</w:t>
      </w:r>
    </w:p>
    <w:p w:rsidR="008E666E" w:rsidRDefault="008E666E" w:rsidP="00531043">
      <w:pPr>
        <w:widowControl/>
        <w:spacing w:line="360" w:lineRule="auto"/>
        <w:ind w:firstLine="1440"/>
        <w:rPr>
          <w:sz w:val="26"/>
          <w:szCs w:val="26"/>
        </w:rPr>
      </w:pPr>
    </w:p>
    <w:p w:rsidR="00017036" w:rsidRDefault="001F5292" w:rsidP="00531043">
      <w:pPr>
        <w:widowControl/>
        <w:spacing w:line="360" w:lineRule="auto"/>
        <w:ind w:firstLine="1440"/>
        <w:rPr>
          <w:sz w:val="26"/>
          <w:szCs w:val="26"/>
        </w:rPr>
      </w:pPr>
      <w:r>
        <w:rPr>
          <w:sz w:val="26"/>
          <w:szCs w:val="26"/>
        </w:rPr>
        <w:t xml:space="preserve">In its Replies to Exceptions, </w:t>
      </w:r>
      <w:r w:rsidR="00B7502E">
        <w:rPr>
          <w:sz w:val="26"/>
          <w:szCs w:val="26"/>
        </w:rPr>
        <w:t>PGW</w:t>
      </w:r>
      <w:r w:rsidR="00F647B5">
        <w:rPr>
          <w:sz w:val="26"/>
          <w:szCs w:val="26"/>
        </w:rPr>
        <w:t xml:space="preserve"> first states that</w:t>
      </w:r>
      <w:r w:rsidR="00B7502E">
        <w:rPr>
          <w:sz w:val="26"/>
          <w:szCs w:val="26"/>
        </w:rPr>
        <w:t>,</w:t>
      </w:r>
      <w:r w:rsidR="00F647B5">
        <w:rPr>
          <w:sz w:val="26"/>
          <w:szCs w:val="26"/>
        </w:rPr>
        <w:t xml:space="preserve"> </w:t>
      </w:r>
      <w:r w:rsidR="00B7502E">
        <w:rPr>
          <w:sz w:val="26"/>
          <w:szCs w:val="26"/>
        </w:rPr>
        <w:t>based on the meter test results, it calculated the amount that would be due the Complainant pursuant to 52 Pa. Code § 59.22(a).  According to PGW, this recalculation of the Complainant’s bill for the most recent twelve months resulted in a credit of $71.75.  PGW avers that the record does not reflect that this calculation violates the Code</w:t>
      </w:r>
      <w:r w:rsidR="0098215B">
        <w:rPr>
          <w:sz w:val="26"/>
          <w:szCs w:val="26"/>
        </w:rPr>
        <w:t>.</w:t>
      </w:r>
      <w:r w:rsidR="00B7502E">
        <w:rPr>
          <w:sz w:val="26"/>
          <w:szCs w:val="26"/>
        </w:rPr>
        <w:t xml:space="preserve"> </w:t>
      </w:r>
      <w:r w:rsidR="0098215B">
        <w:rPr>
          <w:sz w:val="26"/>
          <w:szCs w:val="26"/>
        </w:rPr>
        <w:t xml:space="preserve"> Nevertheless</w:t>
      </w:r>
      <w:r w:rsidR="00B7502E">
        <w:rPr>
          <w:sz w:val="26"/>
          <w:szCs w:val="26"/>
        </w:rPr>
        <w:t xml:space="preserve">, </w:t>
      </w:r>
      <w:r w:rsidR="0098215B">
        <w:rPr>
          <w:sz w:val="26"/>
          <w:szCs w:val="26"/>
        </w:rPr>
        <w:t xml:space="preserve">PGW indicates that </w:t>
      </w:r>
      <w:r w:rsidR="00B7502E">
        <w:rPr>
          <w:sz w:val="26"/>
          <w:szCs w:val="26"/>
        </w:rPr>
        <w:t xml:space="preserve">it </w:t>
      </w:r>
      <w:r w:rsidR="00B7502E">
        <w:rPr>
          <w:sz w:val="26"/>
          <w:szCs w:val="26"/>
        </w:rPr>
        <w:lastRenderedPageBreak/>
        <w:t xml:space="preserve">will research the history of the testing of the meter pursuant to 52 Pa. Code § 59.21(a) in its compliance with the Initial Decision.  R. Exc. at 3.  </w:t>
      </w:r>
    </w:p>
    <w:p w:rsidR="00B7502E" w:rsidRDefault="00B7502E" w:rsidP="00531043">
      <w:pPr>
        <w:widowControl/>
        <w:spacing w:line="360" w:lineRule="auto"/>
        <w:ind w:firstLine="1440"/>
        <w:rPr>
          <w:sz w:val="26"/>
          <w:szCs w:val="26"/>
        </w:rPr>
      </w:pPr>
    </w:p>
    <w:p w:rsidR="00BD48AB" w:rsidRDefault="001C7BEF" w:rsidP="00531043">
      <w:pPr>
        <w:widowControl/>
        <w:spacing w:line="360" w:lineRule="auto"/>
        <w:ind w:firstLine="1440"/>
        <w:rPr>
          <w:sz w:val="26"/>
          <w:szCs w:val="26"/>
        </w:rPr>
      </w:pPr>
      <w:r>
        <w:rPr>
          <w:sz w:val="26"/>
          <w:szCs w:val="26"/>
        </w:rPr>
        <w:t>Next, PGW</w:t>
      </w:r>
      <w:r w:rsidR="007D4BBD">
        <w:rPr>
          <w:sz w:val="26"/>
          <w:szCs w:val="26"/>
        </w:rPr>
        <w:t xml:space="preserve"> </w:t>
      </w:r>
      <w:r>
        <w:rPr>
          <w:sz w:val="26"/>
          <w:szCs w:val="26"/>
        </w:rPr>
        <w:t xml:space="preserve">asserts that the record of this proceeding shows that it had an interest in testing the Complainant’s meter but that the Complainant cancelled two previously scheduled meter exchanges </w:t>
      </w:r>
      <w:r w:rsidR="00723BFD">
        <w:rPr>
          <w:sz w:val="26"/>
          <w:szCs w:val="26"/>
        </w:rPr>
        <w:t xml:space="preserve">that would have allowed </w:t>
      </w:r>
      <w:r>
        <w:rPr>
          <w:sz w:val="26"/>
          <w:szCs w:val="26"/>
        </w:rPr>
        <w:t xml:space="preserve">the meter test </w:t>
      </w:r>
      <w:r w:rsidR="00723BFD">
        <w:rPr>
          <w:sz w:val="26"/>
          <w:szCs w:val="26"/>
        </w:rPr>
        <w:t xml:space="preserve">to </w:t>
      </w:r>
      <w:r>
        <w:rPr>
          <w:sz w:val="26"/>
          <w:szCs w:val="26"/>
        </w:rPr>
        <w:t xml:space="preserve">be performed.  </w:t>
      </w:r>
      <w:r w:rsidR="003B6511">
        <w:rPr>
          <w:sz w:val="26"/>
          <w:szCs w:val="26"/>
        </w:rPr>
        <w:t xml:space="preserve">R. Exc. at 4 (citing </w:t>
      </w:r>
      <w:r w:rsidR="00723BFD">
        <w:rPr>
          <w:sz w:val="26"/>
          <w:szCs w:val="26"/>
        </w:rPr>
        <w:t>FOF Nos. 18 and 28</w:t>
      </w:r>
      <w:r w:rsidR="003B6511">
        <w:rPr>
          <w:sz w:val="26"/>
          <w:szCs w:val="26"/>
        </w:rPr>
        <w:t>)</w:t>
      </w:r>
      <w:r w:rsidR="00723BFD">
        <w:rPr>
          <w:sz w:val="26"/>
          <w:szCs w:val="26"/>
        </w:rPr>
        <w:t>.  According to PGW, the Complainant’s cancellations of the meter exchanges prevented an earlier discovery of the fast meter.  PGW avers that the Complainant’s request to expand the recalculation period should be denied because 52 Pa. Code § 59.22(a) does not provide the Commission with the authority to expand the time for recalculation of the bill after a meter test because the Complainant was unaware of meter testing.  PGW opines that the cancellations illustrate that the Complainant was not as persistent in the pursuit of this matter as she argued in her Exceptions.  R. Exc. at 4.</w:t>
      </w:r>
    </w:p>
    <w:p w:rsidR="001F7623" w:rsidRDefault="001F7623" w:rsidP="00531043">
      <w:pPr>
        <w:widowControl/>
        <w:spacing w:line="360" w:lineRule="auto"/>
        <w:rPr>
          <w:b/>
          <w:sz w:val="26"/>
          <w:szCs w:val="26"/>
        </w:rPr>
      </w:pPr>
    </w:p>
    <w:p w:rsidR="002A28B6" w:rsidRPr="002A28B6" w:rsidRDefault="008610DF" w:rsidP="00531043">
      <w:pPr>
        <w:widowControl/>
        <w:spacing w:line="360" w:lineRule="auto"/>
        <w:ind w:firstLine="1440"/>
        <w:rPr>
          <w:sz w:val="26"/>
          <w:szCs w:val="26"/>
        </w:rPr>
      </w:pPr>
      <w:r>
        <w:rPr>
          <w:sz w:val="26"/>
          <w:szCs w:val="26"/>
        </w:rPr>
        <w:t>Initially, we note that the burden of proof for “h</w:t>
      </w:r>
      <w:r w:rsidR="001F7623">
        <w:rPr>
          <w:sz w:val="26"/>
          <w:szCs w:val="26"/>
        </w:rPr>
        <w:t>igh bill” complaints has been established</w:t>
      </w:r>
      <w:r>
        <w:rPr>
          <w:sz w:val="26"/>
          <w:szCs w:val="26"/>
        </w:rPr>
        <w:t xml:space="preserve"> in </w:t>
      </w:r>
      <w:r w:rsidRPr="00DA2CEC">
        <w:rPr>
          <w:i/>
          <w:sz w:val="26"/>
          <w:szCs w:val="26"/>
        </w:rPr>
        <w:t>Waldron</w:t>
      </w:r>
      <w:r>
        <w:rPr>
          <w:i/>
          <w:sz w:val="26"/>
          <w:szCs w:val="26"/>
        </w:rPr>
        <w:t>, supra,</w:t>
      </w:r>
      <w:r w:rsidRPr="00DA2CEC">
        <w:rPr>
          <w:i/>
          <w:sz w:val="26"/>
          <w:szCs w:val="26"/>
        </w:rPr>
        <w:t xml:space="preserve"> </w:t>
      </w:r>
      <w:r>
        <w:rPr>
          <w:sz w:val="26"/>
          <w:szCs w:val="26"/>
        </w:rPr>
        <w:t xml:space="preserve">and its progeny.  </w:t>
      </w:r>
      <w:r w:rsidRPr="00297213">
        <w:rPr>
          <w:sz w:val="26"/>
        </w:rPr>
        <w:t xml:space="preserve">In </w:t>
      </w:r>
      <w:r w:rsidRPr="00297213">
        <w:rPr>
          <w:i/>
          <w:sz w:val="26"/>
          <w:szCs w:val="26"/>
        </w:rPr>
        <w:t>Waldron</w:t>
      </w:r>
      <w:r w:rsidRPr="00297213">
        <w:rPr>
          <w:sz w:val="26"/>
        </w:rPr>
        <w:t xml:space="preserve">, </w:t>
      </w:r>
      <w:r w:rsidR="003A743D">
        <w:rPr>
          <w:sz w:val="26"/>
        </w:rPr>
        <w:t>we</w:t>
      </w:r>
      <w:r w:rsidRPr="00297213">
        <w:rPr>
          <w:sz w:val="26"/>
        </w:rPr>
        <w:t xml:space="preserve"> adopted the Michigan Public Service Commission’s policy </w:t>
      </w:r>
      <w:r>
        <w:rPr>
          <w:sz w:val="26"/>
        </w:rPr>
        <w:t>e</w:t>
      </w:r>
      <w:r w:rsidRPr="00297213">
        <w:rPr>
          <w:sz w:val="26"/>
        </w:rPr>
        <w:t xml:space="preserve">nunciated in </w:t>
      </w:r>
      <w:r w:rsidR="002A36F2" w:rsidRPr="00297213">
        <w:rPr>
          <w:i/>
          <w:sz w:val="26"/>
        </w:rPr>
        <w:t>Halifax</w:t>
      </w:r>
      <w:r>
        <w:rPr>
          <w:i/>
          <w:sz w:val="26"/>
        </w:rPr>
        <w:t xml:space="preserve"> </w:t>
      </w:r>
      <w:r w:rsidRPr="00297213">
        <w:rPr>
          <w:i/>
          <w:sz w:val="26"/>
        </w:rPr>
        <w:t>v. O &amp; A Electric Co-Op</w:t>
      </w:r>
      <w:r w:rsidRPr="00297213">
        <w:rPr>
          <w:sz w:val="26"/>
        </w:rPr>
        <w:t xml:space="preserve">, Case No. U-5825, May 1979, which stated that, while the accuracy of the meter is an important factor in resolving billing disputes, it is not the sole criterion.  </w:t>
      </w:r>
      <w:r w:rsidR="003A743D">
        <w:rPr>
          <w:sz w:val="26"/>
        </w:rPr>
        <w:t>We</w:t>
      </w:r>
      <w:r>
        <w:rPr>
          <w:sz w:val="26"/>
        </w:rPr>
        <w:t xml:space="preserve"> stated </w:t>
      </w:r>
      <w:r w:rsidRPr="00297213">
        <w:rPr>
          <w:sz w:val="26"/>
        </w:rPr>
        <w:t xml:space="preserve">that </w:t>
      </w:r>
      <w:r w:rsidR="003A743D">
        <w:rPr>
          <w:sz w:val="26"/>
        </w:rPr>
        <w:t>we</w:t>
      </w:r>
      <w:r w:rsidRPr="00297213">
        <w:rPr>
          <w:sz w:val="26"/>
        </w:rPr>
        <w:t xml:space="preserve">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297213" w:rsidDel="000555B3">
        <w:rPr>
          <w:rFonts w:eastAsiaTheme="minorEastAsia"/>
          <w:sz w:val="26"/>
          <w:vertAlign w:val="superscript"/>
        </w:rPr>
        <w:t xml:space="preserve"> </w:t>
      </w:r>
      <w:r w:rsidRPr="00297213">
        <w:rPr>
          <w:sz w:val="26"/>
        </w:rPr>
        <w:t xml:space="preserve"> </w:t>
      </w:r>
      <w:r w:rsidR="004547C2">
        <w:rPr>
          <w:sz w:val="26"/>
        </w:rPr>
        <w:t xml:space="preserve"> </w:t>
      </w:r>
      <w:r w:rsidRPr="00297213">
        <w:rPr>
          <w:i/>
          <w:sz w:val="26"/>
        </w:rPr>
        <w:t>Waldron</w:t>
      </w:r>
      <w:r w:rsidRPr="00297213">
        <w:rPr>
          <w:sz w:val="26"/>
        </w:rPr>
        <w:t xml:space="preserve"> at 100.</w:t>
      </w:r>
    </w:p>
    <w:p w:rsidR="002A28B6" w:rsidRPr="002A28B6" w:rsidRDefault="002A28B6" w:rsidP="00531043">
      <w:pPr>
        <w:widowControl/>
        <w:spacing w:line="360" w:lineRule="auto"/>
      </w:pPr>
    </w:p>
    <w:p w:rsidR="003A743D" w:rsidRDefault="00E21EF9" w:rsidP="00531043">
      <w:pPr>
        <w:widowControl/>
        <w:autoSpaceDE w:val="0"/>
        <w:autoSpaceDN w:val="0"/>
        <w:adjustRightInd w:val="0"/>
        <w:spacing w:line="360" w:lineRule="auto"/>
        <w:ind w:firstLine="1440"/>
        <w:rPr>
          <w:sz w:val="26"/>
        </w:rPr>
      </w:pPr>
      <w:r>
        <w:rPr>
          <w:sz w:val="26"/>
        </w:rPr>
        <w:t xml:space="preserve">In </w:t>
      </w:r>
      <w:r w:rsidRPr="00225383">
        <w:rPr>
          <w:i/>
          <w:sz w:val="26"/>
        </w:rPr>
        <w:t>Nehemiah B. Thomas v. PEC</w:t>
      </w:r>
      <w:r>
        <w:rPr>
          <w:sz w:val="26"/>
        </w:rPr>
        <w:t xml:space="preserve">O, </w:t>
      </w:r>
      <w:r w:rsidR="003A743D">
        <w:rPr>
          <w:sz w:val="26"/>
        </w:rPr>
        <w:t>Docket No. C-2010-2187197 (Order entered November 15, 2011)</w:t>
      </w:r>
      <w:r w:rsidR="001F7623">
        <w:rPr>
          <w:sz w:val="26"/>
        </w:rPr>
        <w:t xml:space="preserve"> (</w:t>
      </w:r>
      <w:r w:rsidR="001F7623">
        <w:rPr>
          <w:i/>
          <w:sz w:val="26"/>
        </w:rPr>
        <w:t>Thomas</w:t>
      </w:r>
      <w:r w:rsidR="001F7623">
        <w:rPr>
          <w:sz w:val="26"/>
        </w:rPr>
        <w:t>)</w:t>
      </w:r>
      <w:r w:rsidR="003A743D">
        <w:rPr>
          <w:sz w:val="26"/>
        </w:rPr>
        <w:t>, we</w:t>
      </w:r>
      <w:r>
        <w:rPr>
          <w:sz w:val="26"/>
        </w:rPr>
        <w:t xml:space="preserve"> recently reiterated </w:t>
      </w:r>
      <w:r w:rsidR="003A743D">
        <w:rPr>
          <w:sz w:val="26"/>
        </w:rPr>
        <w:t>our</w:t>
      </w:r>
      <w:r>
        <w:rPr>
          <w:sz w:val="26"/>
        </w:rPr>
        <w:t xml:space="preserve"> decision in </w:t>
      </w:r>
      <w:proofErr w:type="spellStart"/>
      <w:r w:rsidR="003A743D" w:rsidRPr="00225383">
        <w:rPr>
          <w:i/>
          <w:sz w:val="26"/>
        </w:rPr>
        <w:t>Charisse</w:t>
      </w:r>
      <w:proofErr w:type="spellEnd"/>
      <w:r w:rsidR="003A743D" w:rsidRPr="00225383">
        <w:rPr>
          <w:i/>
          <w:sz w:val="26"/>
        </w:rPr>
        <w:t xml:space="preserve"> Bennett v. Peoples Natural Gas Co</w:t>
      </w:r>
      <w:r w:rsidR="003A743D">
        <w:rPr>
          <w:sz w:val="26"/>
        </w:rPr>
        <w:t>., Docket No. C-2009-2122979 (Order entered October 13, 2010).  We stated the following:</w:t>
      </w:r>
    </w:p>
    <w:p w:rsidR="00FA0F38" w:rsidRDefault="00FA0F38" w:rsidP="00531043">
      <w:pPr>
        <w:widowControl/>
        <w:autoSpaceDE w:val="0"/>
        <w:autoSpaceDN w:val="0"/>
        <w:adjustRightInd w:val="0"/>
        <w:spacing w:line="360" w:lineRule="auto"/>
        <w:ind w:firstLine="1440"/>
        <w:rPr>
          <w:sz w:val="26"/>
        </w:rPr>
      </w:pPr>
    </w:p>
    <w:p w:rsidR="00A901AF" w:rsidRDefault="00E938C3" w:rsidP="00531043">
      <w:pPr>
        <w:widowControl/>
        <w:ind w:left="1440" w:right="1440"/>
        <w:rPr>
          <w:rFonts w:cs="Arial"/>
          <w:sz w:val="26"/>
          <w:szCs w:val="26"/>
        </w:rPr>
      </w:pPr>
      <w:r>
        <w:rPr>
          <w:sz w:val="26"/>
        </w:rPr>
        <w:t>[C]</w:t>
      </w:r>
      <w:proofErr w:type="spellStart"/>
      <w:r>
        <w:rPr>
          <w:sz w:val="26"/>
        </w:rPr>
        <w:t>o</w:t>
      </w:r>
      <w:r w:rsidRPr="00E938C3">
        <w:rPr>
          <w:rFonts w:cs="Arial"/>
          <w:color w:val="000000"/>
          <w:sz w:val="26"/>
          <w:szCs w:val="26"/>
        </w:rPr>
        <w:t>nsistent</w:t>
      </w:r>
      <w:proofErr w:type="spellEnd"/>
      <w:r w:rsidRPr="00E938C3">
        <w:rPr>
          <w:rFonts w:cs="Arial"/>
          <w:color w:val="000000"/>
          <w:sz w:val="26"/>
          <w:szCs w:val="26"/>
        </w:rPr>
        <w:t xml:space="preserve"> with our holding in </w:t>
      </w:r>
      <w:proofErr w:type="spellStart"/>
      <w:r w:rsidRPr="00E938C3">
        <w:rPr>
          <w:rFonts w:cs="Arial"/>
          <w:i/>
          <w:color w:val="000000"/>
          <w:sz w:val="26"/>
          <w:szCs w:val="26"/>
        </w:rPr>
        <w:t>Charisse</w:t>
      </w:r>
      <w:proofErr w:type="spellEnd"/>
      <w:r w:rsidRPr="00E938C3">
        <w:rPr>
          <w:rFonts w:cs="Arial"/>
          <w:i/>
          <w:color w:val="000000"/>
          <w:sz w:val="26"/>
          <w:szCs w:val="26"/>
        </w:rPr>
        <w:t xml:space="preserve"> Bennett v. Peoples Natural Gas Co.</w:t>
      </w:r>
      <w:r>
        <w:rPr>
          <w:rFonts w:cs="Arial"/>
          <w:i/>
          <w:color w:val="000000"/>
          <w:sz w:val="26"/>
          <w:szCs w:val="26"/>
        </w:rPr>
        <w:t>,</w:t>
      </w:r>
      <w:r w:rsidRPr="00E938C3">
        <w:rPr>
          <w:rFonts w:cs="Arial"/>
          <w:color w:val="000000"/>
          <w:sz w:val="26"/>
          <w:szCs w:val="26"/>
        </w:rPr>
        <w:t xml:space="preserve"> the </w:t>
      </w:r>
      <w:r w:rsidRPr="00E938C3">
        <w:rPr>
          <w:rFonts w:cs="Arial"/>
          <w:i/>
          <w:color w:val="000000"/>
          <w:sz w:val="26"/>
          <w:szCs w:val="26"/>
        </w:rPr>
        <w:t xml:space="preserve">Waldron </w:t>
      </w:r>
      <w:r w:rsidRPr="00E938C3">
        <w:rPr>
          <w:rFonts w:cs="Arial"/>
          <w:color w:val="000000"/>
          <w:sz w:val="26"/>
          <w:szCs w:val="26"/>
        </w:rPr>
        <w:t xml:space="preserve">Rule allows a complainant to establish a </w:t>
      </w:r>
      <w:r w:rsidRPr="00E938C3">
        <w:rPr>
          <w:rFonts w:cs="Arial"/>
          <w:i/>
          <w:color w:val="000000"/>
          <w:sz w:val="26"/>
          <w:szCs w:val="26"/>
        </w:rPr>
        <w:t xml:space="preserve">prima facie </w:t>
      </w:r>
      <w:r w:rsidRPr="00E938C3">
        <w:rPr>
          <w:rFonts w:cs="Arial"/>
          <w:color w:val="000000"/>
          <w:sz w:val="26"/>
          <w:szCs w:val="26"/>
        </w:rPr>
        <w:t xml:space="preserve">case in a “high bill” complaint by showing that the disputed bill is abnormally high when compared to prior usage patterns and his or her pattern of usage has not changed </w:t>
      </w:r>
      <w:r w:rsidRPr="00E938C3">
        <w:rPr>
          <w:rFonts w:cs="Arial"/>
          <w:i/>
          <w:color w:val="000000"/>
          <w:sz w:val="26"/>
          <w:szCs w:val="26"/>
        </w:rPr>
        <w:t>or</w:t>
      </w:r>
      <w:r w:rsidRPr="00E938C3">
        <w:rPr>
          <w:rFonts w:cs="Arial"/>
          <w:color w:val="000000"/>
          <w:sz w:val="26"/>
          <w:szCs w:val="26"/>
        </w:rPr>
        <w:t> </w:t>
      </w:r>
      <w:r w:rsidRPr="00E938C3">
        <w:rPr>
          <w:rFonts w:cs="Arial"/>
          <w:i/>
          <w:color w:val="000000"/>
          <w:sz w:val="26"/>
          <w:szCs w:val="26"/>
        </w:rPr>
        <w:t>by providing other relevant evidence showing that the disputed bill is unreasonably high</w:t>
      </w:r>
      <w:r w:rsidRPr="00E938C3">
        <w:rPr>
          <w:rFonts w:cs="Arial"/>
          <w:color w:val="000000"/>
          <w:sz w:val="26"/>
          <w:szCs w:val="26"/>
        </w:rPr>
        <w:t>.  In evaluating a “high bill” complaint,</w:t>
      </w:r>
      <w:r w:rsidRPr="00E938C3">
        <w:rPr>
          <w:rFonts w:cs="Arial"/>
          <w:sz w:val="26"/>
          <w:szCs w:val="26"/>
        </w:rPr>
        <w:t xml:space="preserve"> the Commission may consider such evidence as “the billing history of the account, any change in usage patterns (such as a change in the number of occupants residing in the household or potential energy utilization), </w:t>
      </w:r>
      <w:r w:rsidRPr="00E938C3">
        <w:rPr>
          <w:rFonts w:cs="Arial"/>
          <w:i/>
          <w:sz w:val="26"/>
          <w:szCs w:val="26"/>
        </w:rPr>
        <w:t>and</w:t>
      </w:r>
      <w:r w:rsidRPr="00E938C3">
        <w:rPr>
          <w:rFonts w:cs="Arial"/>
          <w:b/>
          <w:i/>
          <w:sz w:val="26"/>
          <w:szCs w:val="26"/>
        </w:rPr>
        <w:t xml:space="preserve"> </w:t>
      </w:r>
      <w:r w:rsidRPr="00E938C3">
        <w:rPr>
          <w:rFonts w:cs="Arial"/>
          <w:i/>
          <w:sz w:val="26"/>
          <w:szCs w:val="26"/>
        </w:rPr>
        <w:t>any other relevant facts or circumstances that come to light during the proceeding</w:t>
      </w:r>
      <w:r w:rsidRPr="00E938C3">
        <w:rPr>
          <w:rFonts w:cs="Arial"/>
          <w:sz w:val="26"/>
          <w:szCs w:val="26"/>
        </w:rPr>
        <w:t>.”</w:t>
      </w:r>
    </w:p>
    <w:p w:rsidR="00E938C3" w:rsidRPr="00E938C3" w:rsidRDefault="00E938C3" w:rsidP="00531043">
      <w:pPr>
        <w:widowControl/>
        <w:ind w:left="1440" w:right="1440"/>
        <w:rPr>
          <w:rFonts w:cs="Arial"/>
          <w:sz w:val="26"/>
          <w:szCs w:val="26"/>
        </w:rPr>
      </w:pPr>
      <w:r w:rsidRPr="00E938C3">
        <w:rPr>
          <w:rFonts w:cs="Arial"/>
          <w:sz w:val="26"/>
          <w:szCs w:val="26"/>
        </w:rPr>
        <w:t xml:space="preserve">  </w:t>
      </w:r>
    </w:p>
    <w:p w:rsidR="00E938C3" w:rsidRPr="00E938C3" w:rsidRDefault="00E938C3" w:rsidP="00531043">
      <w:pPr>
        <w:widowControl/>
        <w:autoSpaceDE w:val="0"/>
        <w:autoSpaceDN w:val="0"/>
        <w:adjustRightInd w:val="0"/>
        <w:spacing w:line="360" w:lineRule="auto"/>
        <w:rPr>
          <w:sz w:val="26"/>
        </w:rPr>
      </w:pPr>
      <w:r>
        <w:rPr>
          <w:i/>
          <w:sz w:val="26"/>
        </w:rPr>
        <w:t xml:space="preserve">Thomas </w:t>
      </w:r>
      <w:r>
        <w:rPr>
          <w:sz w:val="26"/>
        </w:rPr>
        <w:t>at 5.  (citations omitted).</w:t>
      </w:r>
    </w:p>
    <w:p w:rsidR="002A28B6" w:rsidRPr="002A28B6" w:rsidRDefault="002A28B6" w:rsidP="00531043">
      <w:pPr>
        <w:widowControl/>
        <w:autoSpaceDE w:val="0"/>
        <w:autoSpaceDN w:val="0"/>
        <w:adjustRightInd w:val="0"/>
        <w:spacing w:line="360" w:lineRule="auto"/>
        <w:ind w:firstLine="1440"/>
        <w:rPr>
          <w:sz w:val="26"/>
        </w:rPr>
      </w:pPr>
    </w:p>
    <w:p w:rsidR="00FE3FFB" w:rsidRDefault="002A28B6" w:rsidP="00531043">
      <w:pPr>
        <w:widowControl/>
        <w:spacing w:line="360" w:lineRule="auto"/>
        <w:ind w:firstLine="1440"/>
        <w:rPr>
          <w:sz w:val="26"/>
        </w:rPr>
      </w:pPr>
      <w:r>
        <w:rPr>
          <w:sz w:val="26"/>
        </w:rPr>
        <w:t>In this case, the Complainant</w:t>
      </w:r>
      <w:r w:rsidR="000B629B">
        <w:rPr>
          <w:sz w:val="26"/>
        </w:rPr>
        <w:t>, who resides in New York,</w:t>
      </w:r>
      <w:r>
        <w:rPr>
          <w:sz w:val="26"/>
        </w:rPr>
        <w:t xml:space="preserve"> </w:t>
      </w:r>
      <w:r w:rsidR="00F4502B">
        <w:rPr>
          <w:sz w:val="26"/>
        </w:rPr>
        <w:t>is a land</w:t>
      </w:r>
      <w:r w:rsidR="000B629B">
        <w:rPr>
          <w:sz w:val="26"/>
        </w:rPr>
        <w:t xml:space="preserve">lord of a duplex </w:t>
      </w:r>
      <w:r w:rsidR="00B96145">
        <w:rPr>
          <w:sz w:val="26"/>
        </w:rPr>
        <w:t xml:space="preserve">rental property </w:t>
      </w:r>
      <w:r w:rsidR="000B629B">
        <w:rPr>
          <w:sz w:val="26"/>
        </w:rPr>
        <w:t>in Philadelphia</w:t>
      </w:r>
      <w:r w:rsidR="00B04D8B">
        <w:rPr>
          <w:sz w:val="26"/>
        </w:rPr>
        <w:t>.</w:t>
      </w:r>
      <w:r w:rsidR="000B629B">
        <w:rPr>
          <w:sz w:val="26"/>
        </w:rPr>
        <w:t xml:space="preserve"> </w:t>
      </w:r>
      <w:r w:rsidR="000B79D6">
        <w:rPr>
          <w:sz w:val="26"/>
        </w:rPr>
        <w:t xml:space="preserve"> </w:t>
      </w:r>
      <w:r w:rsidR="00B04D8B">
        <w:rPr>
          <w:sz w:val="26"/>
        </w:rPr>
        <w:t xml:space="preserve">The </w:t>
      </w:r>
      <w:r w:rsidR="000B629B">
        <w:rPr>
          <w:sz w:val="26"/>
        </w:rPr>
        <w:t>natural gas service wa</w:t>
      </w:r>
      <w:r w:rsidR="00F4502B">
        <w:rPr>
          <w:sz w:val="26"/>
        </w:rPr>
        <w:t xml:space="preserve">s </w:t>
      </w:r>
      <w:r w:rsidR="000B629B">
        <w:rPr>
          <w:sz w:val="26"/>
        </w:rPr>
        <w:t>in</w:t>
      </w:r>
      <w:r w:rsidR="00F4502B">
        <w:rPr>
          <w:sz w:val="26"/>
        </w:rPr>
        <w:t xml:space="preserve"> h</w:t>
      </w:r>
      <w:r w:rsidR="000B629B">
        <w:rPr>
          <w:sz w:val="26"/>
        </w:rPr>
        <w:t>er</w:t>
      </w:r>
      <w:r w:rsidR="00F4502B">
        <w:rPr>
          <w:sz w:val="26"/>
        </w:rPr>
        <w:t xml:space="preserve"> name </w:t>
      </w:r>
      <w:r w:rsidR="000B629B">
        <w:rPr>
          <w:sz w:val="26"/>
        </w:rPr>
        <w:t>from the date she purchased this property in January 2007 through the winter of 2009.  Tr. at</w:t>
      </w:r>
      <w:r w:rsidR="00047558">
        <w:rPr>
          <w:sz w:val="26"/>
        </w:rPr>
        <w:t> </w:t>
      </w:r>
      <w:r w:rsidR="000B629B">
        <w:rPr>
          <w:sz w:val="26"/>
        </w:rPr>
        <w:t>13</w:t>
      </w:r>
      <w:r w:rsidR="005915A7">
        <w:rPr>
          <w:sz w:val="26"/>
        </w:rPr>
        <w:noBreakHyphen/>
      </w:r>
      <w:r w:rsidR="000B629B">
        <w:rPr>
          <w:sz w:val="26"/>
        </w:rPr>
        <w:t xml:space="preserve">19. </w:t>
      </w:r>
      <w:r w:rsidR="007D1482">
        <w:rPr>
          <w:sz w:val="26"/>
        </w:rPr>
        <w:t xml:space="preserve"> </w:t>
      </w:r>
      <w:r w:rsidR="000B629B">
        <w:rPr>
          <w:sz w:val="26"/>
        </w:rPr>
        <w:t xml:space="preserve">The Complainant testified that she maintained the thermostat in both the downstairs and upstairs units at the same setting, </w:t>
      </w:r>
      <w:r w:rsidR="00B2780A">
        <w:rPr>
          <w:sz w:val="26"/>
        </w:rPr>
        <w:t xml:space="preserve">50 to 55 degrees, </w:t>
      </w:r>
      <w:r w:rsidR="000B629B">
        <w:rPr>
          <w:sz w:val="26"/>
        </w:rPr>
        <w:t>yet the bills she received fro</w:t>
      </w:r>
      <w:r w:rsidR="00B2780A">
        <w:rPr>
          <w:sz w:val="26"/>
        </w:rPr>
        <w:t xml:space="preserve">m PGW for the individual </w:t>
      </w:r>
      <w:r w:rsidR="000B629B">
        <w:rPr>
          <w:sz w:val="26"/>
        </w:rPr>
        <w:t xml:space="preserve">units were significantly different.  Tr. at </w:t>
      </w:r>
      <w:r w:rsidR="00B2780A">
        <w:rPr>
          <w:sz w:val="26"/>
        </w:rPr>
        <w:t xml:space="preserve">13-15.  </w:t>
      </w:r>
      <w:r w:rsidR="007D1482">
        <w:rPr>
          <w:sz w:val="26"/>
        </w:rPr>
        <w:t xml:space="preserve">For </w:t>
      </w:r>
      <w:r w:rsidR="00B96145">
        <w:rPr>
          <w:sz w:val="26"/>
        </w:rPr>
        <w:t>natural gas</w:t>
      </w:r>
      <w:r w:rsidR="007D1482">
        <w:rPr>
          <w:sz w:val="26"/>
        </w:rPr>
        <w:t xml:space="preserve"> appliances, the </w:t>
      </w:r>
      <w:r w:rsidR="003E6658">
        <w:rPr>
          <w:sz w:val="26"/>
        </w:rPr>
        <w:t>Complainant</w:t>
      </w:r>
      <w:r w:rsidR="00B96145">
        <w:rPr>
          <w:sz w:val="26"/>
        </w:rPr>
        <w:t>’s rental property</w:t>
      </w:r>
      <w:r w:rsidR="003E6658">
        <w:rPr>
          <w:sz w:val="26"/>
        </w:rPr>
        <w:t xml:space="preserve"> has a </w:t>
      </w:r>
      <w:r w:rsidR="00B96145">
        <w:rPr>
          <w:sz w:val="26"/>
        </w:rPr>
        <w:t xml:space="preserve">water heater, furnace and stove.  </w:t>
      </w:r>
      <w:r w:rsidR="003E6658">
        <w:rPr>
          <w:sz w:val="26"/>
        </w:rPr>
        <w:t xml:space="preserve">Tr. at </w:t>
      </w:r>
      <w:r w:rsidR="00B2780A">
        <w:rPr>
          <w:sz w:val="26"/>
        </w:rPr>
        <w:t>12-</w:t>
      </w:r>
      <w:r w:rsidR="00B96145">
        <w:rPr>
          <w:sz w:val="26"/>
        </w:rPr>
        <w:t>1</w:t>
      </w:r>
      <w:r w:rsidR="00B2780A">
        <w:rPr>
          <w:sz w:val="26"/>
        </w:rPr>
        <w:t>3</w:t>
      </w:r>
      <w:r w:rsidR="003E6658">
        <w:rPr>
          <w:sz w:val="26"/>
        </w:rPr>
        <w:t xml:space="preserve">.  </w:t>
      </w:r>
      <w:r w:rsidR="008969D8">
        <w:rPr>
          <w:sz w:val="26"/>
        </w:rPr>
        <w:t>While the Complainant contacted PGW several times to dispute the amount of her gas bills for the upstairs unit</w:t>
      </w:r>
      <w:r w:rsidR="00B96145">
        <w:rPr>
          <w:sz w:val="26"/>
        </w:rPr>
        <w:t xml:space="preserve"> in question</w:t>
      </w:r>
      <w:r w:rsidR="008969D8">
        <w:rPr>
          <w:sz w:val="26"/>
        </w:rPr>
        <w:t>, she never requested that the meter be tested.  The Complainant’s meter was not tested until after the first hearing was held on May 10, 2011, upon the request of the ALJ.  Tr. at 39-40.</w:t>
      </w:r>
      <w:r w:rsidR="00B96145">
        <w:rPr>
          <w:sz w:val="26"/>
        </w:rPr>
        <w:t xml:space="preserve"> </w:t>
      </w:r>
      <w:r w:rsidR="008969D8">
        <w:rPr>
          <w:sz w:val="26"/>
        </w:rPr>
        <w:t xml:space="preserve"> The Complainant’s m</w:t>
      </w:r>
      <w:r w:rsidR="00521457">
        <w:rPr>
          <w:sz w:val="26"/>
        </w:rPr>
        <w:t xml:space="preserve">eter was tested by PGW on May 31, 2011, </w:t>
      </w:r>
      <w:r w:rsidR="008969D8">
        <w:rPr>
          <w:sz w:val="26"/>
        </w:rPr>
        <w:t>and was found to be 2.4 percent fast.  Tr. at</w:t>
      </w:r>
      <w:r w:rsidR="001878E2">
        <w:rPr>
          <w:sz w:val="26"/>
        </w:rPr>
        <w:t> </w:t>
      </w:r>
      <w:r w:rsidR="008969D8">
        <w:rPr>
          <w:sz w:val="26"/>
        </w:rPr>
        <w:t>99.</w:t>
      </w:r>
    </w:p>
    <w:p w:rsidR="009C223B" w:rsidRDefault="009C223B" w:rsidP="00531043">
      <w:pPr>
        <w:widowControl/>
        <w:spacing w:line="360" w:lineRule="auto"/>
        <w:ind w:firstLine="1440"/>
        <w:rPr>
          <w:sz w:val="26"/>
        </w:rPr>
      </w:pPr>
    </w:p>
    <w:p w:rsidR="0010114C" w:rsidRDefault="00B3341B" w:rsidP="00531043">
      <w:pPr>
        <w:widowControl/>
        <w:spacing w:line="360" w:lineRule="auto"/>
        <w:ind w:firstLine="1440"/>
        <w:rPr>
          <w:sz w:val="26"/>
          <w:szCs w:val="26"/>
        </w:rPr>
      </w:pPr>
      <w:r>
        <w:rPr>
          <w:sz w:val="26"/>
          <w:szCs w:val="26"/>
        </w:rPr>
        <w:t xml:space="preserve">Based upon </w:t>
      </w:r>
      <w:r w:rsidR="005126D8">
        <w:rPr>
          <w:sz w:val="26"/>
          <w:szCs w:val="26"/>
        </w:rPr>
        <w:t xml:space="preserve">our review of </w:t>
      </w:r>
      <w:r>
        <w:rPr>
          <w:sz w:val="26"/>
          <w:szCs w:val="26"/>
        </w:rPr>
        <w:t>t</w:t>
      </w:r>
      <w:r w:rsidR="00535AC0">
        <w:rPr>
          <w:sz w:val="26"/>
          <w:szCs w:val="26"/>
        </w:rPr>
        <w:t>he record</w:t>
      </w:r>
      <w:r w:rsidR="00061BB5">
        <w:rPr>
          <w:sz w:val="26"/>
          <w:szCs w:val="26"/>
        </w:rPr>
        <w:t xml:space="preserve"> and the applicable law</w:t>
      </w:r>
      <w:r w:rsidR="00535AC0">
        <w:rPr>
          <w:sz w:val="26"/>
          <w:szCs w:val="26"/>
        </w:rPr>
        <w:t xml:space="preserve">, </w:t>
      </w:r>
      <w:r w:rsidR="00F94384">
        <w:rPr>
          <w:sz w:val="26"/>
          <w:szCs w:val="26"/>
        </w:rPr>
        <w:t>w</w:t>
      </w:r>
      <w:r w:rsidR="00A030DD">
        <w:rPr>
          <w:sz w:val="26"/>
          <w:szCs w:val="26"/>
        </w:rPr>
        <w:t xml:space="preserve">e agree with the ALJ’s </w:t>
      </w:r>
      <w:r w:rsidR="00535AC0">
        <w:rPr>
          <w:sz w:val="26"/>
          <w:szCs w:val="26"/>
        </w:rPr>
        <w:t xml:space="preserve">determination </w:t>
      </w:r>
      <w:r w:rsidR="00A030DD">
        <w:rPr>
          <w:sz w:val="26"/>
          <w:szCs w:val="26"/>
        </w:rPr>
        <w:t>that</w:t>
      </w:r>
      <w:r w:rsidR="00535AC0">
        <w:rPr>
          <w:sz w:val="26"/>
          <w:szCs w:val="26"/>
        </w:rPr>
        <w:t xml:space="preserve"> </w:t>
      </w:r>
      <w:r w:rsidR="00521457">
        <w:rPr>
          <w:sz w:val="26"/>
          <w:szCs w:val="26"/>
        </w:rPr>
        <w:t xml:space="preserve">the Complainant </w:t>
      </w:r>
      <w:r w:rsidR="007C1DFB">
        <w:rPr>
          <w:sz w:val="26"/>
          <w:szCs w:val="26"/>
        </w:rPr>
        <w:t>prove</w:t>
      </w:r>
      <w:r w:rsidR="00521457">
        <w:rPr>
          <w:sz w:val="26"/>
          <w:szCs w:val="26"/>
        </w:rPr>
        <w:t>d</w:t>
      </w:r>
      <w:r w:rsidR="007C1DFB">
        <w:rPr>
          <w:sz w:val="26"/>
          <w:szCs w:val="26"/>
        </w:rPr>
        <w:t xml:space="preserve"> by a prepond</w:t>
      </w:r>
      <w:r w:rsidR="00521457">
        <w:rPr>
          <w:sz w:val="26"/>
          <w:szCs w:val="26"/>
        </w:rPr>
        <w:t xml:space="preserve">erance of the evidence </w:t>
      </w:r>
      <w:r w:rsidR="00521457">
        <w:rPr>
          <w:sz w:val="26"/>
          <w:szCs w:val="26"/>
        </w:rPr>
        <w:lastRenderedPageBreak/>
        <w:t>that she was overcharged for gas utility service by PGW</w:t>
      </w:r>
      <w:r w:rsidR="007C1DFB">
        <w:rPr>
          <w:sz w:val="26"/>
          <w:szCs w:val="26"/>
        </w:rPr>
        <w:t xml:space="preserve"> </w:t>
      </w:r>
      <w:r w:rsidR="00521457">
        <w:rPr>
          <w:sz w:val="26"/>
          <w:szCs w:val="26"/>
        </w:rPr>
        <w:t>because her gas meter was operating 2.4 percent fast.</w:t>
      </w:r>
      <w:r w:rsidR="007C1DFB">
        <w:rPr>
          <w:sz w:val="26"/>
          <w:szCs w:val="26"/>
        </w:rPr>
        <w:t xml:space="preserve">  </w:t>
      </w:r>
      <w:r w:rsidR="00521457">
        <w:rPr>
          <w:sz w:val="26"/>
          <w:szCs w:val="26"/>
        </w:rPr>
        <w:t>As a result, we</w:t>
      </w:r>
      <w:r w:rsidR="007C1DFB">
        <w:rPr>
          <w:sz w:val="26"/>
          <w:szCs w:val="26"/>
        </w:rPr>
        <w:t xml:space="preserve"> also agree with the ALJ that </w:t>
      </w:r>
      <w:r w:rsidR="00521457">
        <w:rPr>
          <w:sz w:val="26"/>
          <w:szCs w:val="26"/>
        </w:rPr>
        <w:t xml:space="preserve">PGW should recalculate the Complainant’s bill in accordance with 52 Pa. Code </w:t>
      </w:r>
      <w:r w:rsidR="00F02B7D">
        <w:rPr>
          <w:sz w:val="26"/>
          <w:szCs w:val="26"/>
        </w:rPr>
        <w:t xml:space="preserve">§ </w:t>
      </w:r>
      <w:r w:rsidR="00521457">
        <w:rPr>
          <w:sz w:val="26"/>
          <w:szCs w:val="26"/>
        </w:rPr>
        <w:t>59.22(a) and refund the meter testing fee paid by the Complainant</w:t>
      </w:r>
      <w:r w:rsidR="0010114C">
        <w:rPr>
          <w:sz w:val="26"/>
          <w:szCs w:val="26"/>
        </w:rPr>
        <w:t xml:space="preserve"> in accordance with 52 Pa. Code </w:t>
      </w:r>
    </w:p>
    <w:p w:rsidR="00D76AAC" w:rsidRDefault="0010114C" w:rsidP="00531043">
      <w:pPr>
        <w:widowControl/>
        <w:spacing w:line="360" w:lineRule="auto"/>
        <w:rPr>
          <w:sz w:val="26"/>
          <w:szCs w:val="26"/>
        </w:rPr>
      </w:pPr>
      <w:r>
        <w:rPr>
          <w:sz w:val="26"/>
          <w:szCs w:val="26"/>
        </w:rPr>
        <w:t xml:space="preserve">§ </w:t>
      </w:r>
      <w:r w:rsidRPr="00A466DD">
        <w:rPr>
          <w:sz w:val="26"/>
          <w:szCs w:val="26"/>
        </w:rPr>
        <w:t>59.21(f)(1)</w:t>
      </w:r>
      <w:r w:rsidR="00521457">
        <w:rPr>
          <w:sz w:val="26"/>
          <w:szCs w:val="26"/>
        </w:rPr>
        <w:t xml:space="preserve">. </w:t>
      </w:r>
      <w:r w:rsidR="00BE7AEB">
        <w:rPr>
          <w:sz w:val="26"/>
          <w:szCs w:val="26"/>
        </w:rPr>
        <w:t xml:space="preserve"> </w:t>
      </w:r>
      <w:r w:rsidR="00521457">
        <w:rPr>
          <w:sz w:val="26"/>
          <w:szCs w:val="26"/>
        </w:rPr>
        <w:t>However, it i</w:t>
      </w:r>
      <w:r w:rsidR="00BE7AEB">
        <w:rPr>
          <w:sz w:val="26"/>
          <w:szCs w:val="26"/>
        </w:rPr>
        <w:t xml:space="preserve">s important to note that we </w:t>
      </w:r>
      <w:r w:rsidR="00521457">
        <w:rPr>
          <w:sz w:val="26"/>
          <w:szCs w:val="26"/>
        </w:rPr>
        <w:t xml:space="preserve">also </w:t>
      </w:r>
      <w:r w:rsidR="00BE7AEB">
        <w:rPr>
          <w:sz w:val="26"/>
          <w:szCs w:val="26"/>
        </w:rPr>
        <w:t xml:space="preserve">are </w:t>
      </w:r>
      <w:r w:rsidR="00521457">
        <w:rPr>
          <w:sz w:val="26"/>
          <w:szCs w:val="26"/>
        </w:rPr>
        <w:t xml:space="preserve">in agreement with the statements of the ALJ that when PGW performed the meter </w:t>
      </w:r>
      <w:r w:rsidR="00BE7AEB">
        <w:rPr>
          <w:sz w:val="26"/>
          <w:szCs w:val="26"/>
        </w:rPr>
        <w:t>exchange on M</w:t>
      </w:r>
      <w:r w:rsidR="00521457">
        <w:rPr>
          <w:sz w:val="26"/>
          <w:szCs w:val="26"/>
        </w:rPr>
        <w:t xml:space="preserve">ay 26, 2011, it found that the Complainant’s </w:t>
      </w:r>
      <w:r w:rsidR="00BE7AEB">
        <w:rPr>
          <w:sz w:val="26"/>
          <w:szCs w:val="26"/>
        </w:rPr>
        <w:t>heating system was not operating properly and that PGW is not responsible for the condition of such.  Tr. at 101</w:t>
      </w:r>
      <w:r w:rsidR="00F02B7D">
        <w:rPr>
          <w:sz w:val="26"/>
          <w:szCs w:val="26"/>
        </w:rPr>
        <w:t>;</w:t>
      </w:r>
      <w:r w:rsidR="00BE7AEB">
        <w:rPr>
          <w:sz w:val="26"/>
          <w:szCs w:val="26"/>
        </w:rPr>
        <w:t xml:space="preserve"> I.D. at 10. </w:t>
      </w:r>
      <w:r w:rsidR="007C1DFB">
        <w:rPr>
          <w:sz w:val="26"/>
          <w:szCs w:val="26"/>
        </w:rPr>
        <w:t xml:space="preserve"> </w:t>
      </w:r>
    </w:p>
    <w:p w:rsidR="00BE7AEB" w:rsidRDefault="00BE7AEB" w:rsidP="00531043">
      <w:pPr>
        <w:widowControl/>
        <w:spacing w:line="360" w:lineRule="auto"/>
        <w:ind w:firstLine="1440"/>
        <w:rPr>
          <w:sz w:val="26"/>
          <w:szCs w:val="26"/>
        </w:rPr>
      </w:pPr>
    </w:p>
    <w:p w:rsidR="00015A18" w:rsidRDefault="00D76AAC" w:rsidP="00531043">
      <w:pPr>
        <w:pStyle w:val="NormalWeb"/>
        <w:spacing w:before="0" w:beforeAutospacing="0" w:after="0" w:afterAutospacing="0" w:line="360" w:lineRule="auto"/>
        <w:ind w:firstLine="1440"/>
        <w:rPr>
          <w:sz w:val="26"/>
          <w:szCs w:val="26"/>
        </w:rPr>
      </w:pPr>
      <w:r>
        <w:rPr>
          <w:sz w:val="26"/>
          <w:szCs w:val="26"/>
        </w:rPr>
        <w:t xml:space="preserve">The Complainant’s Exceptions </w:t>
      </w:r>
      <w:r w:rsidR="00BE7AEB">
        <w:rPr>
          <w:sz w:val="26"/>
          <w:szCs w:val="26"/>
        </w:rPr>
        <w:t>challenge the period over which her gas bill should be recomputed.  According to the Complainant, the period for which the meter had been in service beyond the regular test period should be included in computing the refund.  In reply, PGW states that it will research the history of the testing of the meter pursuant to 52 Pa. Code § 59.21(a) in its compliance with the Initial Decision.</w:t>
      </w:r>
      <w:r w:rsidR="001329C8">
        <w:rPr>
          <w:sz w:val="26"/>
          <w:szCs w:val="26"/>
        </w:rPr>
        <w:t xml:space="preserve">  </w:t>
      </w:r>
      <w:r w:rsidR="00741D83">
        <w:rPr>
          <w:sz w:val="26"/>
          <w:szCs w:val="26"/>
        </w:rPr>
        <w:t>According to 52 Pa. Code §</w:t>
      </w:r>
      <w:r w:rsidR="00015A18">
        <w:rPr>
          <w:sz w:val="26"/>
          <w:szCs w:val="26"/>
        </w:rPr>
        <w:t xml:space="preserve"> </w:t>
      </w:r>
      <w:r w:rsidR="00741D83">
        <w:rPr>
          <w:sz w:val="26"/>
          <w:szCs w:val="26"/>
        </w:rPr>
        <w:t xml:space="preserve">59.22(a), </w:t>
      </w:r>
      <w:r w:rsidR="00400CAF">
        <w:rPr>
          <w:sz w:val="26"/>
          <w:szCs w:val="26"/>
        </w:rPr>
        <w:t xml:space="preserve">the amount that a public utility is required to refund or credit the customer is based on “what the meter would have registered had it not been fast or slow for a period equal to 1/2 the time elapsed since the last previous test, but not to exceed 12 months or 1/2 the period of occupancy of the premises by the customer, whichever is less.  However, in instances when the meter has not been tested in accordance with the test schedules set forth in 52 Pa. Code </w:t>
      </w:r>
      <w:r w:rsidR="00741D83" w:rsidRPr="009F7ADE">
        <w:rPr>
          <w:sz w:val="26"/>
          <w:szCs w:val="26"/>
        </w:rPr>
        <w:t>§</w:t>
      </w:r>
      <w:r w:rsidR="00015A18">
        <w:rPr>
          <w:sz w:val="26"/>
          <w:szCs w:val="26"/>
        </w:rPr>
        <w:t xml:space="preserve"> </w:t>
      </w:r>
      <w:r w:rsidR="00741D83" w:rsidRPr="009F7ADE">
        <w:rPr>
          <w:sz w:val="26"/>
          <w:szCs w:val="26"/>
        </w:rPr>
        <w:t>59.21</w:t>
      </w:r>
      <w:r w:rsidR="000E2BAC">
        <w:rPr>
          <w:sz w:val="26"/>
          <w:szCs w:val="26"/>
        </w:rPr>
        <w:t>,</w:t>
      </w:r>
      <w:r w:rsidR="001E3BCB">
        <w:rPr>
          <w:rStyle w:val="FootnoteReference"/>
          <w:sz w:val="26"/>
          <w:szCs w:val="26"/>
        </w:rPr>
        <w:footnoteReference w:id="5"/>
      </w:r>
      <w:r w:rsidR="000E2BAC">
        <w:rPr>
          <w:sz w:val="26"/>
          <w:szCs w:val="26"/>
        </w:rPr>
        <w:t xml:space="preserve"> then “</w:t>
      </w:r>
      <w:r w:rsidR="00741D83" w:rsidRPr="009F7ADE">
        <w:rPr>
          <w:sz w:val="26"/>
          <w:szCs w:val="26"/>
        </w:rPr>
        <w:t>the period for which it has been in service beyond the regular test period shall be included in computing the refund.</w:t>
      </w:r>
      <w:r w:rsidR="00741D83">
        <w:rPr>
          <w:sz w:val="26"/>
          <w:szCs w:val="26"/>
        </w:rPr>
        <w:t xml:space="preserve">”  We take notice that the meter in question was in </w:t>
      </w:r>
      <w:r w:rsidR="00E459F4">
        <w:rPr>
          <w:sz w:val="26"/>
          <w:szCs w:val="26"/>
        </w:rPr>
        <w:t xml:space="preserve">use on the premises for approximately </w:t>
      </w:r>
      <w:r w:rsidR="00741D83">
        <w:rPr>
          <w:sz w:val="26"/>
          <w:szCs w:val="26"/>
        </w:rPr>
        <w:t>eleven years and that PGW calculated a bill adjustment of $71.75 based upon twelve months of usage.  Tr. at</w:t>
      </w:r>
      <w:r w:rsidR="001878E2">
        <w:rPr>
          <w:sz w:val="26"/>
          <w:szCs w:val="26"/>
        </w:rPr>
        <w:t> </w:t>
      </w:r>
      <w:r w:rsidR="00741D83">
        <w:rPr>
          <w:sz w:val="26"/>
          <w:szCs w:val="26"/>
        </w:rPr>
        <w:t xml:space="preserve">103.  </w:t>
      </w:r>
      <w:r w:rsidR="000E2BAC">
        <w:rPr>
          <w:sz w:val="26"/>
          <w:szCs w:val="26"/>
        </w:rPr>
        <w:t xml:space="preserve">Nevertheless, the record does not contain any information regarding how the bill adjustment was calculated or </w:t>
      </w:r>
      <w:r w:rsidR="00BC5EC8">
        <w:rPr>
          <w:sz w:val="26"/>
          <w:szCs w:val="26"/>
        </w:rPr>
        <w:t xml:space="preserve">when the Complainant’s meter was last tested pursuant to 52 Pa. Code </w:t>
      </w:r>
      <w:r w:rsidR="00BC5EC8" w:rsidRPr="009F7ADE">
        <w:rPr>
          <w:sz w:val="26"/>
          <w:szCs w:val="26"/>
        </w:rPr>
        <w:t>§</w:t>
      </w:r>
      <w:r w:rsidR="00015A18">
        <w:rPr>
          <w:sz w:val="26"/>
          <w:szCs w:val="26"/>
        </w:rPr>
        <w:t xml:space="preserve"> </w:t>
      </w:r>
      <w:r w:rsidR="00BC5EC8" w:rsidRPr="009F7ADE">
        <w:rPr>
          <w:sz w:val="26"/>
          <w:szCs w:val="26"/>
        </w:rPr>
        <w:t>59.21</w:t>
      </w:r>
      <w:r w:rsidR="00BC5EC8">
        <w:rPr>
          <w:sz w:val="26"/>
          <w:szCs w:val="26"/>
        </w:rPr>
        <w:t>.</w:t>
      </w:r>
      <w:r w:rsidR="000E2BAC">
        <w:rPr>
          <w:sz w:val="26"/>
          <w:szCs w:val="26"/>
        </w:rPr>
        <w:t xml:space="preserve"> </w:t>
      </w:r>
      <w:r w:rsidR="00BC5EC8">
        <w:rPr>
          <w:sz w:val="26"/>
          <w:szCs w:val="26"/>
        </w:rPr>
        <w:t xml:space="preserve"> </w:t>
      </w:r>
    </w:p>
    <w:p w:rsidR="00015A18" w:rsidRDefault="00015A18" w:rsidP="00531043">
      <w:pPr>
        <w:pStyle w:val="NormalWeb"/>
        <w:spacing w:before="0" w:beforeAutospacing="0" w:after="0" w:afterAutospacing="0" w:line="360" w:lineRule="auto"/>
        <w:ind w:firstLine="1440"/>
        <w:rPr>
          <w:sz w:val="26"/>
          <w:szCs w:val="26"/>
        </w:rPr>
      </w:pPr>
    </w:p>
    <w:p w:rsidR="001B4506" w:rsidRDefault="00015A18" w:rsidP="00531043">
      <w:pPr>
        <w:pStyle w:val="NormalWeb"/>
        <w:spacing w:before="0" w:beforeAutospacing="0" w:after="0" w:afterAutospacing="0" w:line="360" w:lineRule="auto"/>
        <w:ind w:firstLine="1440"/>
        <w:rPr>
          <w:sz w:val="26"/>
          <w:szCs w:val="26"/>
        </w:rPr>
      </w:pPr>
      <w:r>
        <w:rPr>
          <w:sz w:val="26"/>
          <w:szCs w:val="26"/>
        </w:rPr>
        <w:t>Accordingly</w:t>
      </w:r>
      <w:r w:rsidR="00741D83">
        <w:rPr>
          <w:sz w:val="26"/>
          <w:szCs w:val="26"/>
        </w:rPr>
        <w:t xml:space="preserve">, </w:t>
      </w:r>
      <w:r w:rsidR="00F81688">
        <w:rPr>
          <w:sz w:val="26"/>
          <w:szCs w:val="26"/>
        </w:rPr>
        <w:t xml:space="preserve">within thirty days of the entry date of this Tentative Opinion and Order, </w:t>
      </w:r>
      <w:r w:rsidR="00741D83">
        <w:rPr>
          <w:sz w:val="26"/>
          <w:szCs w:val="26"/>
        </w:rPr>
        <w:t xml:space="preserve">we </w:t>
      </w:r>
      <w:r w:rsidR="00D653BA">
        <w:rPr>
          <w:sz w:val="26"/>
          <w:szCs w:val="26"/>
        </w:rPr>
        <w:t>shall direct</w:t>
      </w:r>
      <w:r w:rsidR="00741D83">
        <w:rPr>
          <w:sz w:val="26"/>
          <w:szCs w:val="26"/>
        </w:rPr>
        <w:t xml:space="preserve"> PGW to</w:t>
      </w:r>
      <w:r w:rsidR="00FE4A4A">
        <w:rPr>
          <w:sz w:val="26"/>
          <w:szCs w:val="26"/>
        </w:rPr>
        <w:t xml:space="preserve"> </w:t>
      </w:r>
      <w:r w:rsidR="00F81688">
        <w:rPr>
          <w:sz w:val="26"/>
          <w:szCs w:val="26"/>
        </w:rPr>
        <w:t xml:space="preserve">file with the Commission and serve on the Complainant and the Commission’s Bureau of Consumer Services </w:t>
      </w:r>
      <w:r w:rsidR="004D2DD8">
        <w:rPr>
          <w:sz w:val="26"/>
          <w:szCs w:val="26"/>
        </w:rPr>
        <w:t>(BCS)</w:t>
      </w:r>
      <w:r w:rsidR="000112E4">
        <w:rPr>
          <w:sz w:val="26"/>
          <w:szCs w:val="26"/>
        </w:rPr>
        <w:t xml:space="preserve"> </w:t>
      </w:r>
      <w:r w:rsidR="00FE4A4A">
        <w:rPr>
          <w:sz w:val="26"/>
          <w:szCs w:val="26"/>
        </w:rPr>
        <w:t xml:space="preserve">the following information:  (1) the class of the </w:t>
      </w:r>
      <w:r w:rsidR="00D9346E">
        <w:rPr>
          <w:sz w:val="26"/>
          <w:szCs w:val="26"/>
        </w:rPr>
        <w:t>Complainant</w:t>
      </w:r>
      <w:r w:rsidR="00FE4A4A">
        <w:rPr>
          <w:sz w:val="26"/>
          <w:szCs w:val="26"/>
        </w:rPr>
        <w:t xml:space="preserve">’s meter; (2) </w:t>
      </w:r>
      <w:r w:rsidR="00D9346E">
        <w:rPr>
          <w:sz w:val="26"/>
          <w:szCs w:val="26"/>
        </w:rPr>
        <w:t xml:space="preserve">when </w:t>
      </w:r>
      <w:r w:rsidR="00FE4A4A">
        <w:rPr>
          <w:sz w:val="26"/>
          <w:szCs w:val="26"/>
        </w:rPr>
        <w:t xml:space="preserve">the meter was last tested; (3) </w:t>
      </w:r>
      <w:r w:rsidR="00D9346E">
        <w:rPr>
          <w:sz w:val="26"/>
          <w:szCs w:val="26"/>
        </w:rPr>
        <w:t xml:space="preserve">the appropriate billing adjustment done in </w:t>
      </w:r>
      <w:r w:rsidR="00D9346E" w:rsidRPr="00FC22C9">
        <w:rPr>
          <w:sz w:val="26"/>
          <w:szCs w:val="26"/>
        </w:rPr>
        <w:t xml:space="preserve">accordance with </w:t>
      </w:r>
      <w:r w:rsidR="00D9346E">
        <w:rPr>
          <w:sz w:val="26"/>
          <w:szCs w:val="26"/>
        </w:rPr>
        <w:t xml:space="preserve">Section </w:t>
      </w:r>
      <w:r w:rsidR="00D9346E" w:rsidRPr="00FC22C9">
        <w:rPr>
          <w:sz w:val="26"/>
          <w:szCs w:val="26"/>
        </w:rPr>
        <w:t>59.22(a)</w:t>
      </w:r>
      <w:r w:rsidR="00D9346E">
        <w:rPr>
          <w:sz w:val="26"/>
          <w:szCs w:val="26"/>
        </w:rPr>
        <w:t xml:space="preserve"> of our Regulations</w:t>
      </w:r>
      <w:r w:rsidR="00FE4A4A">
        <w:rPr>
          <w:sz w:val="26"/>
          <w:szCs w:val="26"/>
        </w:rPr>
        <w:t>; and (4) the support</w:t>
      </w:r>
      <w:r w:rsidR="001043CA">
        <w:rPr>
          <w:sz w:val="26"/>
          <w:szCs w:val="26"/>
        </w:rPr>
        <w:t>ing calculations of</w:t>
      </w:r>
      <w:r w:rsidR="00FE4A4A">
        <w:rPr>
          <w:sz w:val="26"/>
          <w:szCs w:val="26"/>
        </w:rPr>
        <w:t xml:space="preserve"> the billing adjustment.</w:t>
      </w:r>
      <w:r w:rsidR="00F81688">
        <w:rPr>
          <w:sz w:val="26"/>
          <w:szCs w:val="26"/>
        </w:rPr>
        <w:t xml:space="preserve">  </w:t>
      </w:r>
      <w:r w:rsidR="00996BC6">
        <w:rPr>
          <w:sz w:val="26"/>
          <w:szCs w:val="26"/>
        </w:rPr>
        <w:t xml:space="preserve">We will </w:t>
      </w:r>
      <w:r w:rsidR="00C26179">
        <w:rPr>
          <w:sz w:val="26"/>
          <w:szCs w:val="26"/>
        </w:rPr>
        <w:t xml:space="preserve">also </w:t>
      </w:r>
      <w:r w:rsidR="00D653BA">
        <w:rPr>
          <w:sz w:val="26"/>
          <w:szCs w:val="26"/>
        </w:rPr>
        <w:t>provide the</w:t>
      </w:r>
      <w:r w:rsidR="00996BC6">
        <w:rPr>
          <w:sz w:val="26"/>
          <w:szCs w:val="26"/>
        </w:rPr>
        <w:t xml:space="preserve"> Complainant </w:t>
      </w:r>
      <w:r w:rsidR="006D6FF6">
        <w:rPr>
          <w:sz w:val="26"/>
          <w:szCs w:val="26"/>
        </w:rPr>
        <w:t xml:space="preserve">and </w:t>
      </w:r>
      <w:r w:rsidR="004D2DD8">
        <w:rPr>
          <w:sz w:val="26"/>
          <w:szCs w:val="26"/>
        </w:rPr>
        <w:t>BCS</w:t>
      </w:r>
      <w:r w:rsidR="006D6FF6">
        <w:rPr>
          <w:sz w:val="26"/>
          <w:szCs w:val="26"/>
        </w:rPr>
        <w:t xml:space="preserve"> </w:t>
      </w:r>
      <w:r w:rsidR="00C26179">
        <w:rPr>
          <w:sz w:val="26"/>
          <w:szCs w:val="26"/>
        </w:rPr>
        <w:t xml:space="preserve">with the opportunity </w:t>
      </w:r>
      <w:r w:rsidR="00996BC6">
        <w:rPr>
          <w:sz w:val="26"/>
          <w:szCs w:val="26"/>
        </w:rPr>
        <w:t xml:space="preserve">to </w:t>
      </w:r>
      <w:r w:rsidR="00C26179">
        <w:rPr>
          <w:sz w:val="26"/>
          <w:szCs w:val="26"/>
        </w:rPr>
        <w:t>file a response</w:t>
      </w:r>
      <w:r w:rsidR="00996BC6">
        <w:rPr>
          <w:sz w:val="26"/>
          <w:szCs w:val="26"/>
        </w:rPr>
        <w:t xml:space="preserve"> to PGW’s submissions within </w:t>
      </w:r>
      <w:r w:rsidR="001B4506">
        <w:rPr>
          <w:sz w:val="26"/>
          <w:szCs w:val="26"/>
        </w:rPr>
        <w:t>sixty days of the entry date of this Tentative Opinion and Order</w:t>
      </w:r>
      <w:r w:rsidR="00996BC6">
        <w:rPr>
          <w:sz w:val="26"/>
          <w:szCs w:val="26"/>
        </w:rPr>
        <w:t xml:space="preserve">. </w:t>
      </w:r>
      <w:r w:rsidR="00741D83">
        <w:rPr>
          <w:sz w:val="26"/>
          <w:szCs w:val="26"/>
        </w:rPr>
        <w:t xml:space="preserve"> </w:t>
      </w:r>
      <w:r w:rsidR="00CD36BF">
        <w:rPr>
          <w:sz w:val="26"/>
          <w:szCs w:val="26"/>
        </w:rPr>
        <w:t xml:space="preserve">If the Complainant </w:t>
      </w:r>
      <w:r w:rsidR="006D6FF6">
        <w:rPr>
          <w:sz w:val="26"/>
          <w:szCs w:val="26"/>
        </w:rPr>
        <w:t xml:space="preserve">and </w:t>
      </w:r>
      <w:r w:rsidR="004D2DD8">
        <w:rPr>
          <w:sz w:val="26"/>
          <w:szCs w:val="26"/>
        </w:rPr>
        <w:t>BCS</w:t>
      </w:r>
      <w:r w:rsidR="006D6FF6">
        <w:rPr>
          <w:sz w:val="26"/>
          <w:szCs w:val="26"/>
        </w:rPr>
        <w:t xml:space="preserve"> </w:t>
      </w:r>
      <w:r w:rsidR="00CD36BF">
        <w:rPr>
          <w:sz w:val="26"/>
          <w:szCs w:val="26"/>
        </w:rPr>
        <w:t xml:space="preserve">agree with or do not file a response to PGW’s submissions, the Tentative Opinion and Order will become final without further Commission action.  </w:t>
      </w:r>
      <w:r w:rsidR="006D6FF6">
        <w:rPr>
          <w:sz w:val="26"/>
          <w:szCs w:val="26"/>
        </w:rPr>
        <w:t xml:space="preserve">In that event, </w:t>
      </w:r>
      <w:r w:rsidR="00C4613E">
        <w:rPr>
          <w:sz w:val="26"/>
          <w:szCs w:val="26"/>
        </w:rPr>
        <w:t>PGW</w:t>
      </w:r>
      <w:r w:rsidR="006D6FF6">
        <w:rPr>
          <w:sz w:val="26"/>
          <w:szCs w:val="26"/>
        </w:rPr>
        <w:t xml:space="preserve"> is directed to refund the appropriate billing adjustment to the Complainant.  </w:t>
      </w:r>
      <w:r w:rsidR="00DB1B9C">
        <w:rPr>
          <w:sz w:val="26"/>
          <w:szCs w:val="26"/>
        </w:rPr>
        <w:t xml:space="preserve">If the Complainant </w:t>
      </w:r>
      <w:r w:rsidR="006D6FF6">
        <w:rPr>
          <w:sz w:val="26"/>
          <w:szCs w:val="26"/>
        </w:rPr>
        <w:t xml:space="preserve">or </w:t>
      </w:r>
      <w:r w:rsidR="00C4613E">
        <w:rPr>
          <w:sz w:val="26"/>
          <w:szCs w:val="26"/>
        </w:rPr>
        <w:t>BCS</w:t>
      </w:r>
      <w:r w:rsidR="006D6FF6">
        <w:rPr>
          <w:sz w:val="26"/>
          <w:szCs w:val="26"/>
        </w:rPr>
        <w:t xml:space="preserve"> </w:t>
      </w:r>
      <w:r w:rsidR="00DB1B9C">
        <w:rPr>
          <w:sz w:val="26"/>
          <w:szCs w:val="26"/>
        </w:rPr>
        <w:t xml:space="preserve">files a response to PGW’s submissions, we will issue a </w:t>
      </w:r>
      <w:r w:rsidR="008A5553">
        <w:rPr>
          <w:sz w:val="26"/>
          <w:szCs w:val="26"/>
        </w:rPr>
        <w:t>f</w:t>
      </w:r>
      <w:r w:rsidR="00DB1B9C">
        <w:rPr>
          <w:sz w:val="26"/>
          <w:szCs w:val="26"/>
        </w:rPr>
        <w:t xml:space="preserve">inal Opinion and Order addressing the </w:t>
      </w:r>
      <w:r w:rsidR="008A5553">
        <w:rPr>
          <w:sz w:val="26"/>
          <w:szCs w:val="26"/>
        </w:rPr>
        <w:t>response</w:t>
      </w:r>
      <w:r w:rsidR="00DB1B9C">
        <w:rPr>
          <w:sz w:val="26"/>
          <w:szCs w:val="26"/>
        </w:rPr>
        <w:t xml:space="preserve">.  </w:t>
      </w:r>
    </w:p>
    <w:p w:rsidR="001B4506" w:rsidRDefault="001B4506" w:rsidP="00531043">
      <w:pPr>
        <w:pStyle w:val="NormalWeb"/>
        <w:spacing w:before="0" w:beforeAutospacing="0" w:after="0" w:afterAutospacing="0" w:line="360" w:lineRule="auto"/>
        <w:ind w:firstLine="1440"/>
        <w:rPr>
          <w:sz w:val="26"/>
          <w:szCs w:val="26"/>
        </w:rPr>
      </w:pPr>
    </w:p>
    <w:p w:rsidR="00CD72F3" w:rsidRDefault="001B4506" w:rsidP="00531043">
      <w:pPr>
        <w:pStyle w:val="NormalWeb"/>
        <w:spacing w:before="0" w:beforeAutospacing="0" w:after="0" w:afterAutospacing="0" w:line="360" w:lineRule="auto"/>
        <w:ind w:firstLine="1440"/>
        <w:rPr>
          <w:sz w:val="26"/>
          <w:szCs w:val="26"/>
        </w:rPr>
      </w:pPr>
      <w:r>
        <w:rPr>
          <w:sz w:val="26"/>
          <w:szCs w:val="26"/>
        </w:rPr>
        <w:t>Lastly, we note that nothing precludes PGW from contacting the Complainant and attempting</w:t>
      </w:r>
      <w:r w:rsidR="00822701">
        <w:rPr>
          <w:sz w:val="26"/>
          <w:szCs w:val="26"/>
        </w:rPr>
        <w:t xml:space="preserve"> to reach an amicable resolution of this matter</w:t>
      </w:r>
      <w:r w:rsidR="00CB299A">
        <w:rPr>
          <w:sz w:val="26"/>
          <w:szCs w:val="26"/>
        </w:rPr>
        <w:t>,</w:t>
      </w:r>
      <w:r w:rsidR="00822701">
        <w:rPr>
          <w:sz w:val="26"/>
          <w:szCs w:val="26"/>
        </w:rPr>
        <w:t xml:space="preserve"> even at this stage of the proceeding.  If PGW is able to reach an amicable resolution with the Complainant, it can file a certificate of satisfaction to close out this matter in lieu of submitting the aforementioned information.  Otherwise, this matter will proceed as set forth </w:t>
      </w:r>
      <w:r w:rsidR="00CB299A">
        <w:rPr>
          <w:sz w:val="26"/>
          <w:szCs w:val="26"/>
        </w:rPr>
        <w:t>in this Tentative Opinion and Order.</w:t>
      </w:r>
    </w:p>
    <w:p w:rsidR="00796536" w:rsidRDefault="00796536" w:rsidP="00531043">
      <w:pPr>
        <w:widowControl/>
        <w:spacing w:after="200" w:line="276" w:lineRule="auto"/>
        <w:rPr>
          <w:sz w:val="26"/>
          <w:szCs w:val="26"/>
        </w:rPr>
      </w:pPr>
    </w:p>
    <w:p w:rsidR="00CA43A5" w:rsidRPr="00CA43A5" w:rsidRDefault="00CA43A5" w:rsidP="00531043">
      <w:pPr>
        <w:widowControl/>
        <w:spacing w:line="360" w:lineRule="auto"/>
        <w:jc w:val="center"/>
        <w:rPr>
          <w:b/>
          <w:sz w:val="26"/>
          <w:szCs w:val="26"/>
        </w:rPr>
      </w:pPr>
      <w:r w:rsidRPr="00CA43A5">
        <w:rPr>
          <w:b/>
          <w:sz w:val="26"/>
          <w:szCs w:val="26"/>
        </w:rPr>
        <w:t>Conclusion</w:t>
      </w:r>
    </w:p>
    <w:p w:rsidR="00CA43A5" w:rsidRPr="00CA43A5" w:rsidRDefault="00CA43A5" w:rsidP="00531043">
      <w:pPr>
        <w:widowControl/>
        <w:spacing w:line="360" w:lineRule="auto"/>
        <w:ind w:firstLine="1440"/>
        <w:rPr>
          <w:sz w:val="26"/>
          <w:szCs w:val="26"/>
        </w:rPr>
      </w:pPr>
    </w:p>
    <w:p w:rsidR="00CA43A5" w:rsidRPr="00CA43A5" w:rsidRDefault="00CA43A5" w:rsidP="00531043">
      <w:pPr>
        <w:widowControl/>
        <w:spacing w:line="360" w:lineRule="auto"/>
        <w:ind w:firstLine="1440"/>
        <w:rPr>
          <w:sz w:val="26"/>
          <w:szCs w:val="26"/>
        </w:rPr>
      </w:pPr>
      <w:r w:rsidRPr="00CA43A5">
        <w:rPr>
          <w:sz w:val="26"/>
          <w:szCs w:val="26"/>
        </w:rPr>
        <w:t xml:space="preserve">Based upon the foregoing discussion, we shall </w:t>
      </w:r>
      <w:r w:rsidR="00833162">
        <w:rPr>
          <w:sz w:val="26"/>
          <w:szCs w:val="26"/>
        </w:rPr>
        <w:t>grant</w:t>
      </w:r>
      <w:r w:rsidR="00384F43">
        <w:rPr>
          <w:sz w:val="26"/>
          <w:szCs w:val="26"/>
        </w:rPr>
        <w:t xml:space="preserve"> </w:t>
      </w:r>
      <w:r w:rsidR="006E4254">
        <w:rPr>
          <w:sz w:val="26"/>
          <w:szCs w:val="26"/>
        </w:rPr>
        <w:t>the Complainant’s Exceptions</w:t>
      </w:r>
      <w:r w:rsidR="001B4506">
        <w:rPr>
          <w:sz w:val="26"/>
          <w:szCs w:val="26"/>
        </w:rPr>
        <w:t>,</w:t>
      </w:r>
      <w:r w:rsidR="00384F43">
        <w:rPr>
          <w:sz w:val="26"/>
          <w:szCs w:val="26"/>
        </w:rPr>
        <w:t xml:space="preserve"> </w:t>
      </w:r>
      <w:r w:rsidR="00822701">
        <w:rPr>
          <w:sz w:val="26"/>
          <w:szCs w:val="26"/>
        </w:rPr>
        <w:t xml:space="preserve">in part, </w:t>
      </w:r>
      <w:r w:rsidR="001B4506">
        <w:rPr>
          <w:sz w:val="26"/>
          <w:szCs w:val="26"/>
        </w:rPr>
        <w:t xml:space="preserve">and modify the Initial Decision, </w:t>
      </w:r>
      <w:r w:rsidR="00384F43">
        <w:rPr>
          <w:sz w:val="26"/>
          <w:szCs w:val="26"/>
        </w:rPr>
        <w:t>consistent with this Tentative Opinion and Order</w:t>
      </w:r>
      <w:r w:rsidRPr="00CA43A5">
        <w:rPr>
          <w:sz w:val="26"/>
          <w:szCs w:val="26"/>
        </w:rPr>
        <w:t xml:space="preserve">; </w:t>
      </w:r>
      <w:r w:rsidRPr="00CA43A5">
        <w:rPr>
          <w:b/>
          <w:sz w:val="26"/>
          <w:szCs w:val="26"/>
        </w:rPr>
        <w:t>THEREFORE,</w:t>
      </w:r>
    </w:p>
    <w:p w:rsidR="00CA43A5" w:rsidRPr="00CA43A5" w:rsidRDefault="00CA43A5" w:rsidP="00531043">
      <w:pPr>
        <w:widowControl/>
        <w:spacing w:line="360" w:lineRule="auto"/>
        <w:rPr>
          <w:sz w:val="26"/>
          <w:szCs w:val="26"/>
        </w:rPr>
      </w:pPr>
    </w:p>
    <w:p w:rsidR="00CA43A5" w:rsidRPr="00CA43A5" w:rsidRDefault="00CA43A5" w:rsidP="00DE5073">
      <w:pPr>
        <w:keepNext/>
        <w:widowControl/>
        <w:spacing w:line="360" w:lineRule="auto"/>
        <w:ind w:firstLine="1440"/>
        <w:rPr>
          <w:b/>
          <w:sz w:val="26"/>
          <w:szCs w:val="26"/>
        </w:rPr>
      </w:pPr>
      <w:r w:rsidRPr="00CA43A5">
        <w:rPr>
          <w:b/>
          <w:sz w:val="26"/>
          <w:szCs w:val="26"/>
        </w:rPr>
        <w:lastRenderedPageBreak/>
        <w:t>IT IS ORDERED:</w:t>
      </w:r>
    </w:p>
    <w:p w:rsidR="00CA43A5" w:rsidRPr="00CA43A5" w:rsidRDefault="00CA43A5" w:rsidP="00DE5073">
      <w:pPr>
        <w:keepNext/>
        <w:widowControl/>
        <w:spacing w:line="360" w:lineRule="auto"/>
        <w:rPr>
          <w:sz w:val="26"/>
          <w:szCs w:val="26"/>
        </w:rPr>
      </w:pPr>
    </w:p>
    <w:p w:rsidR="009155F7" w:rsidRDefault="009155F7" w:rsidP="00DE5073">
      <w:pPr>
        <w:keepNext/>
        <w:widowControl/>
        <w:numPr>
          <w:ilvl w:val="0"/>
          <w:numId w:val="1"/>
        </w:numPr>
        <w:tabs>
          <w:tab w:val="clear" w:pos="2160"/>
          <w:tab w:val="num" w:pos="0"/>
        </w:tabs>
        <w:spacing w:line="360" w:lineRule="auto"/>
        <w:ind w:left="0" w:firstLine="1440"/>
        <w:rPr>
          <w:sz w:val="26"/>
          <w:szCs w:val="26"/>
        </w:rPr>
      </w:pPr>
      <w:r>
        <w:rPr>
          <w:sz w:val="26"/>
          <w:szCs w:val="26"/>
        </w:rPr>
        <w:t>That the Exceptions of</w:t>
      </w:r>
      <w:r w:rsidR="00E45735">
        <w:rPr>
          <w:sz w:val="26"/>
          <w:szCs w:val="26"/>
        </w:rPr>
        <w:t xml:space="preserve"> Danielle Douglas</w:t>
      </w:r>
      <w:r w:rsidR="009D4C89">
        <w:rPr>
          <w:sz w:val="26"/>
          <w:szCs w:val="26"/>
        </w:rPr>
        <w:t xml:space="preserve"> </w:t>
      </w:r>
      <w:r w:rsidR="00797F65">
        <w:rPr>
          <w:sz w:val="26"/>
          <w:szCs w:val="26"/>
        </w:rPr>
        <w:t xml:space="preserve">to Administrative Law Judge </w:t>
      </w:r>
      <w:r w:rsidR="00E45735">
        <w:rPr>
          <w:sz w:val="26"/>
          <w:szCs w:val="26"/>
        </w:rPr>
        <w:t>Mark A Hoyer</w:t>
      </w:r>
      <w:r w:rsidR="00797F65">
        <w:rPr>
          <w:sz w:val="26"/>
          <w:szCs w:val="26"/>
        </w:rPr>
        <w:t>’s Initial Decision</w:t>
      </w:r>
      <w:r w:rsidR="009D4C89">
        <w:rPr>
          <w:sz w:val="26"/>
          <w:szCs w:val="26"/>
        </w:rPr>
        <w:t xml:space="preserve">, </w:t>
      </w:r>
      <w:r w:rsidR="00797F65">
        <w:rPr>
          <w:sz w:val="26"/>
          <w:szCs w:val="26"/>
        </w:rPr>
        <w:t xml:space="preserve">which was issued on </w:t>
      </w:r>
      <w:r w:rsidR="008D23A1">
        <w:rPr>
          <w:sz w:val="26"/>
          <w:szCs w:val="26"/>
        </w:rPr>
        <w:t>February</w:t>
      </w:r>
      <w:r w:rsidR="00797F65">
        <w:rPr>
          <w:sz w:val="26"/>
          <w:szCs w:val="26"/>
        </w:rPr>
        <w:t xml:space="preserve"> </w:t>
      </w:r>
      <w:r w:rsidR="00E45735">
        <w:rPr>
          <w:sz w:val="26"/>
          <w:szCs w:val="26"/>
        </w:rPr>
        <w:t>2</w:t>
      </w:r>
      <w:r w:rsidR="00797F65">
        <w:rPr>
          <w:sz w:val="26"/>
          <w:szCs w:val="26"/>
        </w:rPr>
        <w:t>, 201</w:t>
      </w:r>
      <w:r w:rsidR="008D23A1">
        <w:rPr>
          <w:sz w:val="26"/>
          <w:szCs w:val="26"/>
        </w:rPr>
        <w:t>2</w:t>
      </w:r>
      <w:r w:rsidR="00797F65">
        <w:rPr>
          <w:sz w:val="26"/>
          <w:szCs w:val="26"/>
        </w:rPr>
        <w:t xml:space="preserve">, </w:t>
      </w:r>
      <w:r>
        <w:rPr>
          <w:sz w:val="26"/>
          <w:szCs w:val="26"/>
        </w:rPr>
        <w:t>are</w:t>
      </w:r>
      <w:r w:rsidR="00E45735">
        <w:rPr>
          <w:sz w:val="26"/>
          <w:szCs w:val="26"/>
        </w:rPr>
        <w:t xml:space="preserve"> granted</w:t>
      </w:r>
      <w:r w:rsidR="00822701">
        <w:rPr>
          <w:sz w:val="26"/>
          <w:szCs w:val="26"/>
        </w:rPr>
        <w:t>, in part</w:t>
      </w:r>
      <w:r w:rsidR="00E45735">
        <w:rPr>
          <w:sz w:val="26"/>
          <w:szCs w:val="26"/>
        </w:rPr>
        <w:t>,</w:t>
      </w:r>
      <w:r w:rsidR="003F51F4">
        <w:rPr>
          <w:sz w:val="26"/>
          <w:szCs w:val="26"/>
        </w:rPr>
        <w:t xml:space="preserve"> consistent with this </w:t>
      </w:r>
      <w:r w:rsidR="00C72151">
        <w:rPr>
          <w:sz w:val="26"/>
          <w:szCs w:val="26"/>
        </w:rPr>
        <w:t xml:space="preserve">Tentative </w:t>
      </w:r>
      <w:r w:rsidR="003F51F4">
        <w:rPr>
          <w:sz w:val="26"/>
          <w:szCs w:val="26"/>
        </w:rPr>
        <w:t xml:space="preserve">Opinion </w:t>
      </w:r>
      <w:r w:rsidR="00B80C43">
        <w:rPr>
          <w:sz w:val="26"/>
          <w:szCs w:val="26"/>
        </w:rPr>
        <w:t>and Order</w:t>
      </w:r>
      <w:r>
        <w:rPr>
          <w:sz w:val="26"/>
          <w:szCs w:val="26"/>
        </w:rPr>
        <w:t>.</w:t>
      </w:r>
    </w:p>
    <w:p w:rsidR="0008598C" w:rsidRDefault="0008598C" w:rsidP="00531043">
      <w:pPr>
        <w:widowControl/>
        <w:spacing w:line="360" w:lineRule="auto"/>
        <w:ind w:left="1440"/>
        <w:rPr>
          <w:sz w:val="26"/>
          <w:szCs w:val="26"/>
        </w:rPr>
      </w:pPr>
    </w:p>
    <w:p w:rsidR="0008598C" w:rsidRDefault="009D4C89" w:rsidP="00531043">
      <w:pPr>
        <w:widowControl/>
        <w:spacing w:line="360" w:lineRule="auto"/>
        <w:ind w:firstLine="1440"/>
        <w:rPr>
          <w:sz w:val="26"/>
          <w:szCs w:val="26"/>
        </w:rPr>
      </w:pPr>
      <w:r>
        <w:rPr>
          <w:sz w:val="26"/>
          <w:szCs w:val="26"/>
        </w:rPr>
        <w:t>2.</w:t>
      </w:r>
      <w:r>
        <w:rPr>
          <w:sz w:val="26"/>
          <w:szCs w:val="26"/>
        </w:rPr>
        <w:tab/>
      </w:r>
      <w:r w:rsidR="00CA43A5" w:rsidRPr="009D4C89">
        <w:rPr>
          <w:sz w:val="26"/>
          <w:szCs w:val="26"/>
        </w:rPr>
        <w:t xml:space="preserve">That the Initial Decision of Administrative Law Judge </w:t>
      </w:r>
      <w:r w:rsidR="00E45735">
        <w:rPr>
          <w:sz w:val="26"/>
          <w:szCs w:val="26"/>
        </w:rPr>
        <w:t>Mark A. Hoyer</w:t>
      </w:r>
      <w:r w:rsidR="00CA43A5" w:rsidRPr="009D4C89">
        <w:rPr>
          <w:sz w:val="26"/>
          <w:szCs w:val="26"/>
        </w:rPr>
        <w:t xml:space="preserve"> is </w:t>
      </w:r>
      <w:r w:rsidRPr="009D4C89">
        <w:rPr>
          <w:sz w:val="26"/>
          <w:szCs w:val="26"/>
        </w:rPr>
        <w:t>adopted</w:t>
      </w:r>
      <w:r w:rsidR="00FC22C9">
        <w:rPr>
          <w:sz w:val="26"/>
          <w:szCs w:val="26"/>
        </w:rPr>
        <w:t>,</w:t>
      </w:r>
      <w:r w:rsidR="00E45735">
        <w:rPr>
          <w:sz w:val="26"/>
          <w:szCs w:val="26"/>
        </w:rPr>
        <w:t xml:space="preserve"> </w:t>
      </w:r>
      <w:r w:rsidR="0023401F">
        <w:rPr>
          <w:sz w:val="26"/>
          <w:szCs w:val="26"/>
        </w:rPr>
        <w:t>as modified by this</w:t>
      </w:r>
      <w:r w:rsidR="00662FA0">
        <w:rPr>
          <w:sz w:val="26"/>
          <w:szCs w:val="26"/>
        </w:rPr>
        <w:t xml:space="preserve"> </w:t>
      </w:r>
      <w:r w:rsidR="00C72151">
        <w:rPr>
          <w:sz w:val="26"/>
          <w:szCs w:val="26"/>
        </w:rPr>
        <w:t xml:space="preserve">Tentative </w:t>
      </w:r>
      <w:r w:rsidR="00E45735">
        <w:rPr>
          <w:sz w:val="26"/>
          <w:szCs w:val="26"/>
        </w:rPr>
        <w:t>Opinion and Order</w:t>
      </w:r>
      <w:r w:rsidR="008D23A1">
        <w:rPr>
          <w:sz w:val="26"/>
          <w:szCs w:val="26"/>
        </w:rPr>
        <w:t>.</w:t>
      </w:r>
    </w:p>
    <w:p w:rsidR="0030351B" w:rsidRDefault="0030351B" w:rsidP="00531043">
      <w:pPr>
        <w:widowControl/>
        <w:spacing w:line="360" w:lineRule="auto"/>
        <w:ind w:firstLine="1440"/>
        <w:rPr>
          <w:sz w:val="26"/>
          <w:szCs w:val="26"/>
        </w:rPr>
      </w:pPr>
    </w:p>
    <w:p w:rsidR="00E45735" w:rsidRDefault="009D4C89" w:rsidP="00531043">
      <w:pPr>
        <w:widowControl/>
        <w:spacing w:line="360" w:lineRule="auto"/>
        <w:ind w:firstLine="1440"/>
        <w:rPr>
          <w:sz w:val="26"/>
          <w:szCs w:val="26"/>
        </w:rPr>
      </w:pPr>
      <w:r>
        <w:rPr>
          <w:sz w:val="26"/>
          <w:szCs w:val="26"/>
        </w:rPr>
        <w:t>3.</w:t>
      </w:r>
      <w:r>
        <w:rPr>
          <w:sz w:val="26"/>
          <w:szCs w:val="26"/>
        </w:rPr>
        <w:tab/>
        <w:t>That</w:t>
      </w:r>
      <w:r w:rsidR="00B3341B">
        <w:rPr>
          <w:sz w:val="26"/>
          <w:szCs w:val="26"/>
        </w:rPr>
        <w:t xml:space="preserve"> the </w:t>
      </w:r>
      <w:r w:rsidR="00797F65">
        <w:rPr>
          <w:sz w:val="26"/>
          <w:szCs w:val="26"/>
        </w:rPr>
        <w:t xml:space="preserve">Formal </w:t>
      </w:r>
      <w:r w:rsidR="009331CB">
        <w:rPr>
          <w:sz w:val="26"/>
          <w:szCs w:val="26"/>
        </w:rPr>
        <w:t>Complaint filed by</w:t>
      </w:r>
      <w:r w:rsidR="00E45735">
        <w:rPr>
          <w:sz w:val="26"/>
          <w:szCs w:val="26"/>
        </w:rPr>
        <w:t xml:space="preserve"> Danielle Douglas</w:t>
      </w:r>
      <w:r w:rsidR="00B3341B">
        <w:rPr>
          <w:sz w:val="26"/>
          <w:szCs w:val="26"/>
        </w:rPr>
        <w:t xml:space="preserve"> </w:t>
      </w:r>
      <w:r>
        <w:rPr>
          <w:sz w:val="26"/>
          <w:szCs w:val="26"/>
        </w:rPr>
        <w:t>against</w:t>
      </w:r>
      <w:r w:rsidR="00E45735">
        <w:rPr>
          <w:sz w:val="26"/>
          <w:szCs w:val="26"/>
        </w:rPr>
        <w:t xml:space="preserve"> Philadelphia </w:t>
      </w:r>
      <w:r w:rsidR="008D23A1">
        <w:rPr>
          <w:sz w:val="26"/>
          <w:szCs w:val="26"/>
        </w:rPr>
        <w:t xml:space="preserve">Gas </w:t>
      </w:r>
      <w:r w:rsidR="00E45735">
        <w:rPr>
          <w:sz w:val="26"/>
          <w:szCs w:val="26"/>
        </w:rPr>
        <w:t>Works</w:t>
      </w:r>
      <w:r w:rsidR="0008598C">
        <w:rPr>
          <w:sz w:val="26"/>
          <w:szCs w:val="26"/>
        </w:rPr>
        <w:t>,</w:t>
      </w:r>
      <w:r w:rsidR="00E45735">
        <w:rPr>
          <w:sz w:val="26"/>
          <w:szCs w:val="26"/>
        </w:rPr>
        <w:t xml:space="preserve"> at Docket No. F</w:t>
      </w:r>
      <w:r w:rsidR="00040251">
        <w:rPr>
          <w:sz w:val="26"/>
          <w:szCs w:val="26"/>
        </w:rPr>
        <w:noBreakHyphen/>
      </w:r>
      <w:r>
        <w:rPr>
          <w:sz w:val="26"/>
          <w:szCs w:val="26"/>
        </w:rPr>
        <w:t>201</w:t>
      </w:r>
      <w:r w:rsidR="00E45735">
        <w:rPr>
          <w:sz w:val="26"/>
          <w:szCs w:val="26"/>
        </w:rPr>
        <w:t>0</w:t>
      </w:r>
      <w:r>
        <w:rPr>
          <w:sz w:val="26"/>
          <w:szCs w:val="26"/>
        </w:rPr>
        <w:t>-</w:t>
      </w:r>
      <w:r w:rsidR="00D653BA">
        <w:rPr>
          <w:sz w:val="26"/>
          <w:szCs w:val="26"/>
        </w:rPr>
        <w:t>2164009</w:t>
      </w:r>
      <w:r>
        <w:rPr>
          <w:sz w:val="26"/>
          <w:szCs w:val="26"/>
        </w:rPr>
        <w:t xml:space="preserve"> </w:t>
      </w:r>
      <w:r w:rsidR="003A4D33">
        <w:rPr>
          <w:sz w:val="26"/>
          <w:szCs w:val="26"/>
        </w:rPr>
        <w:t>is</w:t>
      </w:r>
      <w:r w:rsidR="00E45735">
        <w:rPr>
          <w:sz w:val="26"/>
          <w:szCs w:val="26"/>
        </w:rPr>
        <w:t xml:space="preserve"> sustained</w:t>
      </w:r>
      <w:r w:rsidR="00C72151">
        <w:rPr>
          <w:sz w:val="26"/>
          <w:szCs w:val="26"/>
        </w:rPr>
        <w:t>, consistent with this Tentative Opinion and Order</w:t>
      </w:r>
      <w:r>
        <w:rPr>
          <w:sz w:val="26"/>
          <w:szCs w:val="26"/>
        </w:rPr>
        <w:t>.</w:t>
      </w:r>
    </w:p>
    <w:p w:rsidR="00FA0F38" w:rsidRDefault="00FA0F38" w:rsidP="00531043">
      <w:pPr>
        <w:widowControl/>
        <w:spacing w:line="360" w:lineRule="auto"/>
        <w:ind w:firstLine="1440"/>
        <w:rPr>
          <w:sz w:val="26"/>
          <w:szCs w:val="26"/>
        </w:rPr>
      </w:pPr>
    </w:p>
    <w:p w:rsidR="00633AD9" w:rsidRDefault="00E45735" w:rsidP="00531043">
      <w:pPr>
        <w:widowControl/>
        <w:spacing w:line="360" w:lineRule="auto"/>
        <w:ind w:firstLine="1440"/>
        <w:rPr>
          <w:sz w:val="26"/>
          <w:szCs w:val="26"/>
        </w:rPr>
      </w:pPr>
      <w:r w:rsidRPr="00FC22C9">
        <w:rPr>
          <w:sz w:val="26"/>
          <w:szCs w:val="26"/>
        </w:rPr>
        <w:t>4.</w:t>
      </w:r>
      <w:r w:rsidR="00FC22C9" w:rsidRPr="00FC22C9">
        <w:rPr>
          <w:sz w:val="26"/>
          <w:szCs w:val="26"/>
        </w:rPr>
        <w:tab/>
        <w:t xml:space="preserve">That </w:t>
      </w:r>
      <w:r w:rsidR="0023401F" w:rsidRPr="00FC22C9">
        <w:rPr>
          <w:sz w:val="26"/>
          <w:szCs w:val="26"/>
        </w:rPr>
        <w:t xml:space="preserve">within thirty (30) days of the date of </w:t>
      </w:r>
      <w:r w:rsidR="0023401F">
        <w:rPr>
          <w:sz w:val="26"/>
          <w:szCs w:val="26"/>
        </w:rPr>
        <w:t xml:space="preserve">entry of </w:t>
      </w:r>
      <w:r w:rsidR="0023401F" w:rsidRPr="00FC22C9">
        <w:rPr>
          <w:sz w:val="26"/>
          <w:szCs w:val="26"/>
        </w:rPr>
        <w:t xml:space="preserve">this </w:t>
      </w:r>
      <w:r w:rsidR="0030351B">
        <w:rPr>
          <w:sz w:val="26"/>
          <w:szCs w:val="26"/>
        </w:rPr>
        <w:t xml:space="preserve">Tentative </w:t>
      </w:r>
      <w:r w:rsidR="0023401F">
        <w:rPr>
          <w:sz w:val="26"/>
          <w:szCs w:val="26"/>
        </w:rPr>
        <w:t xml:space="preserve">Opinion and </w:t>
      </w:r>
      <w:r w:rsidR="0023401F" w:rsidRPr="00FC22C9">
        <w:rPr>
          <w:sz w:val="26"/>
          <w:szCs w:val="26"/>
        </w:rPr>
        <w:t>Order</w:t>
      </w:r>
      <w:r w:rsidR="0023401F">
        <w:rPr>
          <w:sz w:val="26"/>
          <w:szCs w:val="26"/>
        </w:rPr>
        <w:t>, Philadelphia Gas Works shall</w:t>
      </w:r>
      <w:r w:rsidR="005D52C6">
        <w:rPr>
          <w:sz w:val="26"/>
          <w:szCs w:val="26"/>
        </w:rPr>
        <w:t xml:space="preserve"> </w:t>
      </w:r>
      <w:r w:rsidR="0022270B">
        <w:rPr>
          <w:sz w:val="26"/>
          <w:szCs w:val="26"/>
        </w:rPr>
        <w:t xml:space="preserve">file with the Commission </w:t>
      </w:r>
      <w:r w:rsidR="005D52C6">
        <w:rPr>
          <w:sz w:val="26"/>
          <w:szCs w:val="26"/>
        </w:rPr>
        <w:t>the following information</w:t>
      </w:r>
      <w:r w:rsidR="0023401F">
        <w:rPr>
          <w:sz w:val="26"/>
          <w:szCs w:val="26"/>
        </w:rPr>
        <w:t xml:space="preserve">: (a) </w:t>
      </w:r>
      <w:r w:rsidR="005D52C6">
        <w:rPr>
          <w:sz w:val="26"/>
          <w:szCs w:val="26"/>
        </w:rPr>
        <w:t>the class of the Complainant’s meter;</w:t>
      </w:r>
      <w:r w:rsidR="0043390B">
        <w:rPr>
          <w:sz w:val="26"/>
          <w:szCs w:val="26"/>
        </w:rPr>
        <w:t xml:space="preserve"> (b) </w:t>
      </w:r>
      <w:r w:rsidR="005D52C6">
        <w:rPr>
          <w:sz w:val="26"/>
          <w:szCs w:val="26"/>
        </w:rPr>
        <w:t>when the meter was last tested</w:t>
      </w:r>
      <w:r w:rsidR="0023401F">
        <w:rPr>
          <w:sz w:val="26"/>
          <w:szCs w:val="26"/>
        </w:rPr>
        <w:t>; (</w:t>
      </w:r>
      <w:r w:rsidR="0043390B">
        <w:rPr>
          <w:sz w:val="26"/>
          <w:szCs w:val="26"/>
        </w:rPr>
        <w:t>c</w:t>
      </w:r>
      <w:r w:rsidR="0023401F">
        <w:rPr>
          <w:sz w:val="26"/>
          <w:szCs w:val="26"/>
        </w:rPr>
        <w:t>)</w:t>
      </w:r>
      <w:r w:rsidR="00FC22C9">
        <w:rPr>
          <w:sz w:val="26"/>
          <w:szCs w:val="26"/>
        </w:rPr>
        <w:t xml:space="preserve"> </w:t>
      </w:r>
      <w:r w:rsidR="005D52C6">
        <w:rPr>
          <w:sz w:val="26"/>
          <w:szCs w:val="26"/>
        </w:rPr>
        <w:t xml:space="preserve">the appropriate billing adjustment done in </w:t>
      </w:r>
      <w:r w:rsidR="00FC22C9" w:rsidRPr="00FC22C9">
        <w:rPr>
          <w:sz w:val="26"/>
          <w:szCs w:val="26"/>
        </w:rPr>
        <w:t xml:space="preserve">accordance with </w:t>
      </w:r>
      <w:r w:rsidR="001043CA">
        <w:rPr>
          <w:sz w:val="26"/>
          <w:szCs w:val="26"/>
        </w:rPr>
        <w:t xml:space="preserve">Section </w:t>
      </w:r>
      <w:r w:rsidR="00FC22C9" w:rsidRPr="00FC22C9">
        <w:rPr>
          <w:sz w:val="26"/>
          <w:szCs w:val="26"/>
        </w:rPr>
        <w:t>59.22(a)</w:t>
      </w:r>
      <w:r w:rsidR="005D52C6">
        <w:rPr>
          <w:sz w:val="26"/>
          <w:szCs w:val="26"/>
        </w:rPr>
        <w:t xml:space="preserve"> of our </w:t>
      </w:r>
      <w:r w:rsidR="001043CA">
        <w:rPr>
          <w:sz w:val="26"/>
          <w:szCs w:val="26"/>
        </w:rPr>
        <w:t>R</w:t>
      </w:r>
      <w:r w:rsidR="005D52C6">
        <w:rPr>
          <w:sz w:val="26"/>
          <w:szCs w:val="26"/>
        </w:rPr>
        <w:t>egulations</w:t>
      </w:r>
      <w:r w:rsidR="001043CA">
        <w:rPr>
          <w:sz w:val="26"/>
          <w:szCs w:val="26"/>
        </w:rPr>
        <w:t>, 52 Pa. Code § 59.22(a)</w:t>
      </w:r>
      <w:r w:rsidR="00FC22C9" w:rsidRPr="00FC22C9">
        <w:rPr>
          <w:sz w:val="26"/>
          <w:szCs w:val="26"/>
        </w:rPr>
        <w:t xml:space="preserve">; and </w:t>
      </w:r>
      <w:r w:rsidR="00A44912">
        <w:rPr>
          <w:sz w:val="26"/>
          <w:szCs w:val="26"/>
        </w:rPr>
        <w:t>(</w:t>
      </w:r>
      <w:r w:rsidR="0043390B">
        <w:rPr>
          <w:sz w:val="26"/>
          <w:szCs w:val="26"/>
        </w:rPr>
        <w:t>d</w:t>
      </w:r>
      <w:r w:rsidR="00A44912">
        <w:rPr>
          <w:sz w:val="26"/>
          <w:szCs w:val="26"/>
        </w:rPr>
        <w:t xml:space="preserve">) </w:t>
      </w:r>
      <w:r w:rsidR="005D52C6">
        <w:rPr>
          <w:sz w:val="26"/>
          <w:szCs w:val="26"/>
        </w:rPr>
        <w:t>the supporting calculations of the billing adjustment</w:t>
      </w:r>
      <w:r w:rsidR="00FC22C9" w:rsidRPr="00FC22C9">
        <w:rPr>
          <w:sz w:val="26"/>
          <w:szCs w:val="26"/>
        </w:rPr>
        <w:t>.  A copy of th</w:t>
      </w:r>
      <w:r w:rsidR="007C7446">
        <w:rPr>
          <w:sz w:val="26"/>
          <w:szCs w:val="26"/>
        </w:rPr>
        <w:t>is information</w:t>
      </w:r>
      <w:r w:rsidR="00FC22C9" w:rsidRPr="00FC22C9">
        <w:rPr>
          <w:sz w:val="26"/>
          <w:szCs w:val="26"/>
        </w:rPr>
        <w:t xml:space="preserve"> shall be served on </w:t>
      </w:r>
      <w:r w:rsidR="0043390B">
        <w:rPr>
          <w:sz w:val="26"/>
          <w:szCs w:val="26"/>
        </w:rPr>
        <w:t xml:space="preserve">the Parties to this proceeding and </w:t>
      </w:r>
      <w:r w:rsidR="001043CA">
        <w:rPr>
          <w:sz w:val="26"/>
          <w:szCs w:val="26"/>
        </w:rPr>
        <w:t xml:space="preserve">on </w:t>
      </w:r>
      <w:r w:rsidR="00FC22C9" w:rsidRPr="00FC22C9">
        <w:rPr>
          <w:sz w:val="26"/>
          <w:szCs w:val="26"/>
        </w:rPr>
        <w:t>the Commission’s Bureau of Consumer Services.</w:t>
      </w:r>
    </w:p>
    <w:p w:rsidR="00DE5073" w:rsidRPr="00FC22C9" w:rsidRDefault="00DE5073" w:rsidP="00531043">
      <w:pPr>
        <w:widowControl/>
        <w:spacing w:line="360" w:lineRule="auto"/>
        <w:ind w:firstLine="1440"/>
        <w:rPr>
          <w:sz w:val="26"/>
          <w:szCs w:val="26"/>
        </w:rPr>
      </w:pPr>
    </w:p>
    <w:p w:rsidR="00786734" w:rsidRDefault="00786734" w:rsidP="00DE5073">
      <w:pPr>
        <w:widowControl/>
        <w:tabs>
          <w:tab w:val="left" w:pos="0"/>
        </w:tabs>
        <w:spacing w:line="360" w:lineRule="auto"/>
        <w:rPr>
          <w:sz w:val="26"/>
          <w:szCs w:val="26"/>
        </w:rPr>
      </w:pPr>
      <w:r>
        <w:rPr>
          <w:sz w:val="26"/>
          <w:szCs w:val="26"/>
        </w:rPr>
        <w:tab/>
      </w:r>
      <w:r>
        <w:rPr>
          <w:sz w:val="26"/>
          <w:szCs w:val="26"/>
        </w:rPr>
        <w:tab/>
      </w:r>
      <w:r w:rsidR="00FC22C9">
        <w:rPr>
          <w:sz w:val="26"/>
          <w:szCs w:val="26"/>
        </w:rPr>
        <w:t>5</w:t>
      </w:r>
      <w:r w:rsidR="00040251">
        <w:rPr>
          <w:sz w:val="26"/>
          <w:szCs w:val="26"/>
        </w:rPr>
        <w:t>.</w:t>
      </w:r>
      <w:r>
        <w:rPr>
          <w:sz w:val="26"/>
          <w:szCs w:val="26"/>
        </w:rPr>
        <w:tab/>
        <w:t>That</w:t>
      </w:r>
      <w:r w:rsidR="0030351B">
        <w:rPr>
          <w:sz w:val="26"/>
          <w:szCs w:val="26"/>
        </w:rPr>
        <w:t xml:space="preserve"> within </w:t>
      </w:r>
      <w:r w:rsidR="00822701">
        <w:rPr>
          <w:sz w:val="26"/>
          <w:szCs w:val="26"/>
        </w:rPr>
        <w:t>sixty</w:t>
      </w:r>
      <w:r w:rsidR="0030351B">
        <w:rPr>
          <w:sz w:val="26"/>
          <w:szCs w:val="26"/>
        </w:rPr>
        <w:t xml:space="preserve"> (</w:t>
      </w:r>
      <w:r w:rsidR="007C7446">
        <w:rPr>
          <w:sz w:val="26"/>
          <w:szCs w:val="26"/>
        </w:rPr>
        <w:t>6</w:t>
      </w:r>
      <w:r w:rsidR="0030351B">
        <w:rPr>
          <w:sz w:val="26"/>
          <w:szCs w:val="26"/>
        </w:rPr>
        <w:t xml:space="preserve">0) days of the date of </w:t>
      </w:r>
      <w:r w:rsidR="007C7446">
        <w:rPr>
          <w:sz w:val="26"/>
          <w:szCs w:val="26"/>
        </w:rPr>
        <w:t>entry of this Tentative Opinion and Order</w:t>
      </w:r>
      <w:r w:rsidR="0030351B">
        <w:rPr>
          <w:sz w:val="26"/>
          <w:szCs w:val="26"/>
        </w:rPr>
        <w:t xml:space="preserve">, </w:t>
      </w:r>
      <w:r w:rsidR="007C7446">
        <w:rPr>
          <w:sz w:val="26"/>
          <w:szCs w:val="26"/>
        </w:rPr>
        <w:t>the Complainant</w:t>
      </w:r>
      <w:r w:rsidR="0030351B">
        <w:rPr>
          <w:sz w:val="26"/>
          <w:szCs w:val="26"/>
        </w:rPr>
        <w:t xml:space="preserve"> </w:t>
      </w:r>
      <w:r w:rsidR="00905C7F">
        <w:rPr>
          <w:sz w:val="26"/>
          <w:szCs w:val="26"/>
        </w:rPr>
        <w:t xml:space="preserve">and the </w:t>
      </w:r>
      <w:r w:rsidR="0022270B">
        <w:rPr>
          <w:sz w:val="26"/>
          <w:szCs w:val="26"/>
        </w:rPr>
        <w:t xml:space="preserve">Commission’s </w:t>
      </w:r>
      <w:r w:rsidR="00905C7F">
        <w:rPr>
          <w:sz w:val="26"/>
          <w:szCs w:val="26"/>
        </w:rPr>
        <w:t xml:space="preserve">Bureau of Consumer Services </w:t>
      </w:r>
      <w:r w:rsidR="0043390B">
        <w:rPr>
          <w:sz w:val="26"/>
          <w:szCs w:val="26"/>
        </w:rPr>
        <w:t>may</w:t>
      </w:r>
      <w:r w:rsidR="0030351B">
        <w:rPr>
          <w:sz w:val="26"/>
          <w:szCs w:val="26"/>
        </w:rPr>
        <w:t xml:space="preserve"> file a </w:t>
      </w:r>
      <w:r w:rsidR="0043390B">
        <w:rPr>
          <w:sz w:val="26"/>
          <w:szCs w:val="26"/>
        </w:rPr>
        <w:t>response</w:t>
      </w:r>
      <w:r w:rsidR="0030351B">
        <w:rPr>
          <w:sz w:val="26"/>
          <w:szCs w:val="26"/>
        </w:rPr>
        <w:t xml:space="preserve"> to the submissions of Philadelphia Gas Works</w:t>
      </w:r>
      <w:r>
        <w:rPr>
          <w:sz w:val="26"/>
          <w:szCs w:val="26"/>
        </w:rPr>
        <w:t>.</w:t>
      </w:r>
    </w:p>
    <w:p w:rsidR="007C7446" w:rsidRDefault="007C7446" w:rsidP="00DE5073">
      <w:pPr>
        <w:widowControl/>
        <w:tabs>
          <w:tab w:val="left" w:pos="0"/>
        </w:tabs>
        <w:spacing w:line="360" w:lineRule="auto"/>
        <w:rPr>
          <w:sz w:val="26"/>
          <w:szCs w:val="26"/>
        </w:rPr>
      </w:pPr>
    </w:p>
    <w:p w:rsidR="00461306" w:rsidRDefault="007C7446" w:rsidP="00DE5073">
      <w:pPr>
        <w:widowControl/>
        <w:tabs>
          <w:tab w:val="left" w:pos="0"/>
        </w:tabs>
        <w:spacing w:line="360" w:lineRule="auto"/>
        <w:rPr>
          <w:sz w:val="26"/>
          <w:szCs w:val="26"/>
        </w:rPr>
      </w:pPr>
      <w:r>
        <w:rPr>
          <w:sz w:val="26"/>
          <w:szCs w:val="26"/>
        </w:rPr>
        <w:tab/>
      </w:r>
      <w:r>
        <w:rPr>
          <w:sz w:val="26"/>
          <w:szCs w:val="26"/>
        </w:rPr>
        <w:tab/>
        <w:t>6.</w:t>
      </w:r>
      <w:r>
        <w:rPr>
          <w:sz w:val="26"/>
          <w:szCs w:val="26"/>
        </w:rPr>
        <w:tab/>
        <w:t>That if no responses to the submissions of Philadelphia Gas Works are received</w:t>
      </w:r>
      <w:r w:rsidR="00796536">
        <w:rPr>
          <w:sz w:val="26"/>
          <w:szCs w:val="26"/>
        </w:rPr>
        <w:t>:</w:t>
      </w:r>
      <w:r>
        <w:rPr>
          <w:sz w:val="26"/>
          <w:szCs w:val="26"/>
        </w:rPr>
        <w:t xml:space="preserve"> </w:t>
      </w:r>
    </w:p>
    <w:p w:rsidR="00461306" w:rsidRDefault="00811878" w:rsidP="00DE5073">
      <w:pPr>
        <w:widowControl/>
        <w:spacing w:line="360" w:lineRule="auto"/>
        <w:ind w:left="2160"/>
        <w:rPr>
          <w:sz w:val="26"/>
          <w:szCs w:val="26"/>
        </w:rPr>
      </w:pPr>
      <w:r>
        <w:rPr>
          <w:sz w:val="26"/>
          <w:szCs w:val="26"/>
        </w:rPr>
        <w:t>a.</w:t>
      </w:r>
      <w:r>
        <w:rPr>
          <w:sz w:val="26"/>
          <w:szCs w:val="26"/>
        </w:rPr>
        <w:tab/>
        <w:t xml:space="preserve">This Tentative Opinion and Order will become final without further Commission action; </w:t>
      </w:r>
    </w:p>
    <w:p w:rsidR="00B95096" w:rsidRDefault="00B95096" w:rsidP="00DE5073">
      <w:pPr>
        <w:widowControl/>
        <w:tabs>
          <w:tab w:val="left" w:pos="0"/>
        </w:tabs>
        <w:spacing w:line="360" w:lineRule="auto"/>
        <w:rPr>
          <w:sz w:val="26"/>
          <w:szCs w:val="26"/>
        </w:rPr>
      </w:pPr>
    </w:p>
    <w:p w:rsidR="00461306" w:rsidRDefault="00461306" w:rsidP="00DE5073">
      <w:pPr>
        <w:widowControl/>
        <w:tabs>
          <w:tab w:val="left" w:pos="270"/>
        </w:tabs>
        <w:spacing w:line="360" w:lineRule="auto"/>
        <w:ind w:left="2160"/>
        <w:rPr>
          <w:sz w:val="26"/>
          <w:szCs w:val="26"/>
        </w:rPr>
      </w:pPr>
      <w:r>
        <w:rPr>
          <w:sz w:val="26"/>
          <w:szCs w:val="26"/>
        </w:rPr>
        <w:t>b.</w:t>
      </w:r>
      <w:r>
        <w:rPr>
          <w:sz w:val="26"/>
          <w:szCs w:val="26"/>
        </w:rPr>
        <w:tab/>
        <w:t>Philadelphia Gas Works shall refund the appropriate billing adjustment, as calculated pursuant to Ordering Paragraph No. 4, to Danielle Douglas;</w:t>
      </w:r>
    </w:p>
    <w:p w:rsidR="00B95096" w:rsidRDefault="00B95096" w:rsidP="00DE5073">
      <w:pPr>
        <w:widowControl/>
        <w:tabs>
          <w:tab w:val="left" w:pos="0"/>
        </w:tabs>
        <w:spacing w:line="360" w:lineRule="auto"/>
        <w:rPr>
          <w:sz w:val="26"/>
          <w:szCs w:val="26"/>
        </w:rPr>
      </w:pPr>
    </w:p>
    <w:p w:rsidR="00461306" w:rsidRDefault="00461306" w:rsidP="00DE5073">
      <w:pPr>
        <w:widowControl/>
        <w:tabs>
          <w:tab w:val="left" w:pos="360"/>
        </w:tabs>
        <w:spacing w:line="360" w:lineRule="auto"/>
        <w:ind w:left="2160"/>
        <w:rPr>
          <w:sz w:val="26"/>
          <w:szCs w:val="26"/>
        </w:rPr>
      </w:pPr>
      <w:r>
        <w:rPr>
          <w:sz w:val="26"/>
          <w:szCs w:val="26"/>
        </w:rPr>
        <w:t>c.</w:t>
      </w:r>
      <w:r>
        <w:rPr>
          <w:sz w:val="26"/>
          <w:szCs w:val="26"/>
        </w:rPr>
        <w:tab/>
        <w:t>Philadelphia Gas Works shall notify the Commission when it issues the refund to Danielle Douglas;</w:t>
      </w:r>
    </w:p>
    <w:p w:rsidR="00B95096" w:rsidRDefault="00B95096" w:rsidP="00DE5073">
      <w:pPr>
        <w:widowControl/>
        <w:tabs>
          <w:tab w:val="left" w:pos="0"/>
        </w:tabs>
        <w:spacing w:line="360" w:lineRule="auto"/>
        <w:rPr>
          <w:sz w:val="26"/>
          <w:szCs w:val="26"/>
        </w:rPr>
      </w:pPr>
    </w:p>
    <w:p w:rsidR="00905C7F" w:rsidRDefault="00A9057C" w:rsidP="00DE5073">
      <w:pPr>
        <w:widowControl/>
        <w:spacing w:line="360" w:lineRule="auto"/>
        <w:ind w:left="2160"/>
        <w:rPr>
          <w:sz w:val="26"/>
          <w:szCs w:val="26"/>
        </w:rPr>
      </w:pPr>
      <w:r>
        <w:rPr>
          <w:sz w:val="26"/>
          <w:szCs w:val="26"/>
        </w:rPr>
        <w:t>d.</w:t>
      </w:r>
      <w:r>
        <w:rPr>
          <w:sz w:val="26"/>
          <w:szCs w:val="26"/>
        </w:rPr>
        <w:tab/>
        <w:t>This case shall be marked closed upon the Commission’s receipt and approval of such notification from Philadelphia Gas Works.</w:t>
      </w:r>
    </w:p>
    <w:p w:rsidR="007C7446" w:rsidRDefault="007C7446" w:rsidP="00DE5073">
      <w:pPr>
        <w:widowControl/>
        <w:tabs>
          <w:tab w:val="left" w:pos="0"/>
        </w:tabs>
        <w:spacing w:line="360" w:lineRule="auto"/>
        <w:rPr>
          <w:sz w:val="26"/>
          <w:szCs w:val="26"/>
        </w:rPr>
      </w:pPr>
    </w:p>
    <w:p w:rsidR="007C7446" w:rsidRDefault="007C7446" w:rsidP="00DE5073">
      <w:pPr>
        <w:keepLines/>
        <w:widowControl/>
        <w:tabs>
          <w:tab w:val="left" w:pos="0"/>
        </w:tabs>
        <w:spacing w:line="360" w:lineRule="auto"/>
        <w:rPr>
          <w:sz w:val="26"/>
          <w:szCs w:val="26"/>
        </w:rPr>
      </w:pPr>
      <w:r>
        <w:rPr>
          <w:sz w:val="26"/>
          <w:szCs w:val="26"/>
        </w:rPr>
        <w:tab/>
      </w:r>
      <w:r>
        <w:rPr>
          <w:sz w:val="26"/>
          <w:szCs w:val="26"/>
        </w:rPr>
        <w:tab/>
        <w:t>7.</w:t>
      </w:r>
      <w:r>
        <w:rPr>
          <w:sz w:val="26"/>
          <w:szCs w:val="26"/>
        </w:rPr>
        <w:tab/>
        <w:t xml:space="preserve">That if </w:t>
      </w:r>
      <w:r w:rsidR="00B50754">
        <w:rPr>
          <w:sz w:val="26"/>
          <w:szCs w:val="26"/>
        </w:rPr>
        <w:t>any</w:t>
      </w:r>
      <w:r w:rsidR="00624BF4">
        <w:rPr>
          <w:sz w:val="26"/>
          <w:szCs w:val="26"/>
        </w:rPr>
        <w:t xml:space="preserve"> </w:t>
      </w:r>
      <w:r>
        <w:rPr>
          <w:sz w:val="26"/>
          <w:szCs w:val="26"/>
        </w:rPr>
        <w:t>response</w:t>
      </w:r>
      <w:r w:rsidR="00B50754">
        <w:rPr>
          <w:sz w:val="26"/>
          <w:szCs w:val="26"/>
        </w:rPr>
        <w:t>s</w:t>
      </w:r>
      <w:r>
        <w:rPr>
          <w:sz w:val="26"/>
          <w:szCs w:val="26"/>
        </w:rPr>
        <w:t xml:space="preserve"> to the submissions of Philadelphia Gas Works</w:t>
      </w:r>
      <w:r w:rsidR="00B50754">
        <w:rPr>
          <w:sz w:val="26"/>
          <w:szCs w:val="26"/>
        </w:rPr>
        <w:t xml:space="preserve"> are received</w:t>
      </w:r>
      <w:r>
        <w:rPr>
          <w:sz w:val="26"/>
          <w:szCs w:val="26"/>
        </w:rPr>
        <w:t>, the Commission will issue a final Opinion and Order addressing such response</w:t>
      </w:r>
      <w:r w:rsidR="00B50754">
        <w:rPr>
          <w:sz w:val="26"/>
          <w:szCs w:val="26"/>
        </w:rPr>
        <w:t>s</w:t>
      </w:r>
      <w:r>
        <w:rPr>
          <w:sz w:val="26"/>
          <w:szCs w:val="26"/>
        </w:rPr>
        <w:t xml:space="preserve">. </w:t>
      </w:r>
    </w:p>
    <w:p w:rsidR="003A4D33" w:rsidRPr="00CA43A5" w:rsidRDefault="003A4D33" w:rsidP="00DE5073">
      <w:pPr>
        <w:keepLines/>
        <w:widowControl/>
        <w:tabs>
          <w:tab w:val="left" w:pos="0"/>
        </w:tabs>
        <w:spacing w:line="360" w:lineRule="auto"/>
        <w:rPr>
          <w:sz w:val="26"/>
          <w:szCs w:val="26"/>
        </w:rPr>
      </w:pPr>
    </w:p>
    <w:p w:rsidR="00CA43A5" w:rsidRPr="00CA43A5" w:rsidRDefault="000441E3" w:rsidP="00DE5073">
      <w:pPr>
        <w:keepLines/>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2DEC0A47" wp14:editId="53530542">
            <wp:simplePos x="0" y="0"/>
            <wp:positionH relativeFrom="column">
              <wp:posOffset>2827655</wp:posOffset>
            </wp:positionH>
            <wp:positionV relativeFrom="paragraph">
              <wp:posOffset>78740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rsidR="00CA43A5" w:rsidRPr="00CA43A5" w:rsidRDefault="00CA43A5" w:rsidP="00DE5073">
      <w:pPr>
        <w:keepLines/>
        <w:widowControl/>
        <w:tabs>
          <w:tab w:val="left" w:pos="-720"/>
        </w:tabs>
        <w:rPr>
          <w:sz w:val="26"/>
          <w:szCs w:val="26"/>
        </w:rPr>
      </w:pPr>
    </w:p>
    <w:p w:rsidR="00CA43A5" w:rsidRPr="00CA43A5" w:rsidRDefault="00CA43A5" w:rsidP="00DE5073">
      <w:pPr>
        <w:keepLines/>
        <w:widowControl/>
        <w:tabs>
          <w:tab w:val="left" w:pos="-720"/>
        </w:tabs>
        <w:rPr>
          <w:sz w:val="26"/>
          <w:szCs w:val="26"/>
        </w:rPr>
      </w:pPr>
    </w:p>
    <w:p w:rsidR="00CA43A5" w:rsidRPr="00CA43A5" w:rsidRDefault="00CA43A5" w:rsidP="00DE5073">
      <w:pPr>
        <w:keepLines/>
        <w:widowControl/>
        <w:tabs>
          <w:tab w:val="left" w:pos="-720"/>
        </w:tabs>
        <w:rPr>
          <w:sz w:val="26"/>
          <w:szCs w:val="26"/>
        </w:rPr>
      </w:pPr>
    </w:p>
    <w:p w:rsidR="00CA43A5" w:rsidRPr="00CA43A5" w:rsidRDefault="00564565" w:rsidP="00DE5073">
      <w:pPr>
        <w:keepLines/>
        <w:widowControl/>
        <w:tabs>
          <w:tab w:val="left" w:pos="-720"/>
        </w:tabs>
        <w:ind w:firstLine="5040"/>
        <w:rPr>
          <w:b/>
          <w:sz w:val="26"/>
          <w:szCs w:val="26"/>
        </w:rPr>
      </w:pPr>
      <w:r>
        <w:rPr>
          <w:sz w:val="26"/>
          <w:szCs w:val="26"/>
        </w:rPr>
        <w:t>Rosemary Chiavetta</w:t>
      </w:r>
    </w:p>
    <w:p w:rsidR="003A4D33" w:rsidRPr="00CA43A5" w:rsidRDefault="00CA43A5" w:rsidP="00DE5073">
      <w:pPr>
        <w:keepLines/>
        <w:widowControl/>
        <w:tabs>
          <w:tab w:val="left" w:pos="-720"/>
        </w:tabs>
        <w:ind w:firstLine="5040"/>
        <w:rPr>
          <w:sz w:val="26"/>
          <w:szCs w:val="26"/>
        </w:rPr>
      </w:pPr>
      <w:r w:rsidRPr="00CA43A5">
        <w:rPr>
          <w:sz w:val="26"/>
          <w:szCs w:val="26"/>
        </w:rPr>
        <w:t>Secretary</w:t>
      </w:r>
    </w:p>
    <w:p w:rsidR="00CA43A5" w:rsidRDefault="00CA43A5" w:rsidP="00DE5073">
      <w:pPr>
        <w:keepLines/>
        <w:widowControl/>
        <w:tabs>
          <w:tab w:val="left" w:pos="-720"/>
        </w:tabs>
        <w:rPr>
          <w:sz w:val="26"/>
          <w:szCs w:val="26"/>
        </w:rPr>
      </w:pPr>
    </w:p>
    <w:p w:rsidR="00DE5073" w:rsidRDefault="00DE5073" w:rsidP="00DE5073">
      <w:pPr>
        <w:keepLines/>
        <w:widowControl/>
        <w:tabs>
          <w:tab w:val="left" w:pos="-720"/>
        </w:tabs>
        <w:rPr>
          <w:sz w:val="26"/>
          <w:szCs w:val="26"/>
        </w:rPr>
      </w:pPr>
    </w:p>
    <w:p w:rsidR="00DE5073" w:rsidRPr="00CA43A5" w:rsidRDefault="00DE5073" w:rsidP="00DE5073">
      <w:pPr>
        <w:keepLines/>
        <w:widowControl/>
        <w:tabs>
          <w:tab w:val="left" w:pos="-720"/>
        </w:tabs>
        <w:rPr>
          <w:sz w:val="26"/>
          <w:szCs w:val="26"/>
        </w:rPr>
      </w:pPr>
    </w:p>
    <w:p w:rsidR="00CA43A5" w:rsidRPr="00CA43A5" w:rsidRDefault="00CA43A5" w:rsidP="00DE5073">
      <w:pPr>
        <w:keepLines/>
        <w:widowControl/>
        <w:tabs>
          <w:tab w:val="left" w:pos="-720"/>
        </w:tabs>
        <w:rPr>
          <w:sz w:val="26"/>
          <w:szCs w:val="26"/>
        </w:rPr>
      </w:pPr>
      <w:r w:rsidRPr="00CA43A5">
        <w:rPr>
          <w:sz w:val="26"/>
          <w:szCs w:val="26"/>
        </w:rPr>
        <w:t>(SEAL)</w:t>
      </w:r>
    </w:p>
    <w:p w:rsidR="00CA43A5" w:rsidRPr="00CA43A5" w:rsidRDefault="00CA43A5" w:rsidP="00DE5073">
      <w:pPr>
        <w:keepLines/>
        <w:widowControl/>
        <w:tabs>
          <w:tab w:val="left" w:pos="-720"/>
        </w:tabs>
        <w:rPr>
          <w:sz w:val="26"/>
          <w:szCs w:val="26"/>
        </w:rPr>
      </w:pPr>
    </w:p>
    <w:p w:rsidR="00CA43A5" w:rsidRDefault="00CA43A5" w:rsidP="00DE5073">
      <w:pPr>
        <w:keepLines/>
        <w:widowControl/>
        <w:tabs>
          <w:tab w:val="left" w:pos="-720"/>
        </w:tabs>
        <w:rPr>
          <w:sz w:val="26"/>
          <w:szCs w:val="26"/>
        </w:rPr>
      </w:pPr>
      <w:r w:rsidRPr="00CA43A5">
        <w:rPr>
          <w:sz w:val="26"/>
          <w:szCs w:val="26"/>
        </w:rPr>
        <w:t>ORDER ADOPTED:</w:t>
      </w:r>
      <w:r w:rsidR="00B3341B">
        <w:rPr>
          <w:sz w:val="26"/>
          <w:szCs w:val="26"/>
        </w:rPr>
        <w:t xml:space="preserve">  </w:t>
      </w:r>
      <w:r w:rsidR="00822701">
        <w:rPr>
          <w:sz w:val="26"/>
          <w:szCs w:val="26"/>
        </w:rPr>
        <w:t>May</w:t>
      </w:r>
      <w:r w:rsidR="00B3341B">
        <w:rPr>
          <w:sz w:val="26"/>
          <w:szCs w:val="26"/>
        </w:rPr>
        <w:t xml:space="preserve"> </w:t>
      </w:r>
      <w:r w:rsidR="00822701">
        <w:rPr>
          <w:sz w:val="26"/>
          <w:szCs w:val="26"/>
        </w:rPr>
        <w:t>22</w:t>
      </w:r>
      <w:r w:rsidR="009D4C89">
        <w:rPr>
          <w:sz w:val="26"/>
          <w:szCs w:val="26"/>
        </w:rPr>
        <w:t>, 201</w:t>
      </w:r>
      <w:r w:rsidR="00662FA0">
        <w:rPr>
          <w:sz w:val="26"/>
          <w:szCs w:val="26"/>
        </w:rPr>
        <w:t>4</w:t>
      </w:r>
      <w:r w:rsidRPr="00CA43A5">
        <w:rPr>
          <w:sz w:val="26"/>
          <w:szCs w:val="26"/>
        </w:rPr>
        <w:t xml:space="preserve"> </w:t>
      </w:r>
    </w:p>
    <w:p w:rsidR="00DE5073" w:rsidRDefault="00DE5073" w:rsidP="00DE5073">
      <w:pPr>
        <w:keepLines/>
        <w:widowControl/>
        <w:tabs>
          <w:tab w:val="left" w:pos="-720"/>
        </w:tabs>
        <w:rPr>
          <w:sz w:val="26"/>
          <w:szCs w:val="26"/>
        </w:rPr>
      </w:pPr>
    </w:p>
    <w:p w:rsidR="00CA43A5" w:rsidRPr="00CA43A5" w:rsidRDefault="00FC22C9" w:rsidP="00DE5073">
      <w:pPr>
        <w:keepLines/>
        <w:widowControl/>
        <w:tabs>
          <w:tab w:val="left" w:pos="-720"/>
        </w:tabs>
        <w:rPr>
          <w:sz w:val="26"/>
          <w:szCs w:val="26"/>
        </w:rPr>
      </w:pPr>
      <w:r>
        <w:rPr>
          <w:sz w:val="26"/>
          <w:szCs w:val="26"/>
        </w:rPr>
        <w:t xml:space="preserve">ORDER ENTERED: </w:t>
      </w:r>
      <w:r w:rsidR="000441E3">
        <w:rPr>
          <w:sz w:val="26"/>
          <w:szCs w:val="26"/>
        </w:rPr>
        <w:t>June 17, 2014</w:t>
      </w:r>
      <w:bookmarkStart w:id="3" w:name="_GoBack"/>
      <w:bookmarkEnd w:id="3"/>
    </w:p>
    <w:sectPr w:rsidR="00CA43A5" w:rsidRPr="00CA43A5" w:rsidSect="00F9641D">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D98" w:rsidRDefault="00522D98" w:rsidP="001B7DA2">
      <w:r>
        <w:separator/>
      </w:r>
    </w:p>
  </w:endnote>
  <w:endnote w:type="continuationSeparator" w:id="0">
    <w:p w:rsidR="00522D98" w:rsidRDefault="00522D98"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71551"/>
      <w:docPartObj>
        <w:docPartGallery w:val="Page Numbers (Bottom of Page)"/>
        <w:docPartUnique/>
      </w:docPartObj>
    </w:sdtPr>
    <w:sdtEndPr>
      <w:rPr>
        <w:noProof/>
        <w:sz w:val="26"/>
        <w:szCs w:val="26"/>
      </w:rPr>
    </w:sdtEndPr>
    <w:sdtContent>
      <w:p w:rsidR="0039203F" w:rsidRPr="00E01D37" w:rsidRDefault="0039203F">
        <w:pPr>
          <w:pStyle w:val="Footer"/>
          <w:jc w:val="center"/>
          <w:rPr>
            <w:sz w:val="26"/>
            <w:szCs w:val="26"/>
          </w:rPr>
        </w:pPr>
        <w:r w:rsidRPr="00E01D37">
          <w:rPr>
            <w:sz w:val="26"/>
            <w:szCs w:val="26"/>
          </w:rPr>
          <w:fldChar w:fldCharType="begin"/>
        </w:r>
        <w:r w:rsidRPr="00E01D37">
          <w:rPr>
            <w:sz w:val="26"/>
            <w:szCs w:val="26"/>
          </w:rPr>
          <w:instrText xml:space="preserve"> PAGE   \* MERGEFORMAT </w:instrText>
        </w:r>
        <w:r w:rsidRPr="00E01D37">
          <w:rPr>
            <w:sz w:val="26"/>
            <w:szCs w:val="26"/>
          </w:rPr>
          <w:fldChar w:fldCharType="separate"/>
        </w:r>
        <w:r w:rsidR="000441E3">
          <w:rPr>
            <w:noProof/>
            <w:sz w:val="26"/>
            <w:szCs w:val="26"/>
          </w:rPr>
          <w:t>13</w:t>
        </w:r>
        <w:r w:rsidRPr="00E01D37">
          <w:rPr>
            <w:noProof/>
            <w:sz w:val="26"/>
            <w:szCs w:val="26"/>
          </w:rPr>
          <w:fldChar w:fldCharType="end"/>
        </w:r>
      </w:p>
    </w:sdtContent>
  </w:sdt>
  <w:p w:rsidR="0039203F" w:rsidRDefault="00392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D98" w:rsidRDefault="00522D98" w:rsidP="001B7DA2">
      <w:r>
        <w:separator/>
      </w:r>
    </w:p>
  </w:footnote>
  <w:footnote w:type="continuationSeparator" w:id="0">
    <w:p w:rsidR="00522D98" w:rsidRDefault="00522D98" w:rsidP="001B7DA2">
      <w:r>
        <w:continuationSeparator/>
      </w:r>
    </w:p>
  </w:footnote>
  <w:footnote w:id="1">
    <w:p w:rsidR="0039203F" w:rsidRPr="000B2B02" w:rsidRDefault="0039203F" w:rsidP="00531043">
      <w:pPr>
        <w:pStyle w:val="FootnoteText"/>
        <w:keepLines/>
        <w:ind w:firstLine="720"/>
        <w:rPr>
          <w:sz w:val="26"/>
          <w:szCs w:val="26"/>
        </w:rPr>
      </w:pPr>
      <w:r w:rsidRPr="000B2B02">
        <w:rPr>
          <w:rStyle w:val="FootnoteReference"/>
          <w:sz w:val="26"/>
          <w:szCs w:val="26"/>
        </w:rPr>
        <w:footnoteRef/>
      </w:r>
      <w:r>
        <w:rPr>
          <w:sz w:val="26"/>
          <w:szCs w:val="26"/>
        </w:rPr>
        <w:tab/>
        <w:t xml:space="preserve">By letter dated March 6, 2012, the Secretary’s Bureau extended the period for filing Exceptions until March 12, 2012.  The Exceptions that were filed with </w:t>
      </w:r>
      <w:r w:rsidR="005A49BB">
        <w:rPr>
          <w:sz w:val="26"/>
          <w:szCs w:val="26"/>
        </w:rPr>
        <w:t xml:space="preserve">the </w:t>
      </w:r>
      <w:r>
        <w:rPr>
          <w:sz w:val="26"/>
          <w:szCs w:val="26"/>
        </w:rPr>
        <w:t xml:space="preserve">Secretary’s Bureau on March 10, 2012, did not include a Certificate of Service.  As such, by letter dated March 14, 2012, the Secretary’s Bureau </w:t>
      </w:r>
      <w:r w:rsidRPr="00365F73">
        <w:rPr>
          <w:sz w:val="26"/>
          <w:szCs w:val="26"/>
        </w:rPr>
        <w:t>provided a copy of the Exceptions to all Parties</w:t>
      </w:r>
      <w:r>
        <w:rPr>
          <w:sz w:val="26"/>
          <w:szCs w:val="26"/>
        </w:rPr>
        <w:t xml:space="preserve"> in the case noting that </w:t>
      </w:r>
      <w:r w:rsidR="00455700">
        <w:rPr>
          <w:sz w:val="26"/>
          <w:szCs w:val="26"/>
        </w:rPr>
        <w:t xml:space="preserve">although </w:t>
      </w:r>
      <w:r>
        <w:rPr>
          <w:sz w:val="26"/>
          <w:szCs w:val="26"/>
        </w:rPr>
        <w:t xml:space="preserve">the Complainant filed timely Exceptions, </w:t>
      </w:r>
      <w:r w:rsidR="00455700">
        <w:rPr>
          <w:sz w:val="26"/>
          <w:szCs w:val="26"/>
        </w:rPr>
        <w:t>she</w:t>
      </w:r>
      <w:r>
        <w:rPr>
          <w:sz w:val="26"/>
          <w:szCs w:val="26"/>
        </w:rPr>
        <w:t xml:space="preserve"> failed to serve a copy of the Exceptions on the Parties.  I</w:t>
      </w:r>
      <w:r w:rsidRPr="00365F73">
        <w:rPr>
          <w:sz w:val="26"/>
          <w:szCs w:val="26"/>
        </w:rPr>
        <w:t>n order to avoid prejudice to any Party</w:t>
      </w:r>
      <w:r>
        <w:rPr>
          <w:sz w:val="26"/>
          <w:szCs w:val="26"/>
        </w:rPr>
        <w:t xml:space="preserve"> who may have wanted to file Replies to Exceptions, the March 14, 2012 letter deemed March 14, 2012, as the filing date for the Exceptions.</w:t>
      </w:r>
    </w:p>
  </w:footnote>
  <w:footnote w:id="2">
    <w:p w:rsidR="00455700" w:rsidRPr="00B866E2" w:rsidRDefault="00455700" w:rsidP="00531043">
      <w:pPr>
        <w:pStyle w:val="FootnoteText"/>
        <w:keepLines/>
        <w:ind w:firstLine="720"/>
        <w:rPr>
          <w:sz w:val="26"/>
          <w:szCs w:val="26"/>
        </w:rPr>
      </w:pPr>
      <w:r w:rsidRPr="00B866E2">
        <w:rPr>
          <w:rStyle w:val="FootnoteReference"/>
          <w:sz w:val="26"/>
          <w:szCs w:val="26"/>
        </w:rPr>
        <w:footnoteRef/>
      </w:r>
      <w:r>
        <w:rPr>
          <w:sz w:val="26"/>
          <w:szCs w:val="26"/>
        </w:rPr>
        <w:tab/>
      </w:r>
      <w:r w:rsidRPr="00B866E2">
        <w:rPr>
          <w:sz w:val="26"/>
          <w:szCs w:val="26"/>
        </w:rPr>
        <w:t xml:space="preserve">Ms. Douglas paid </w:t>
      </w:r>
      <w:r>
        <w:rPr>
          <w:sz w:val="26"/>
          <w:szCs w:val="26"/>
        </w:rPr>
        <w:t xml:space="preserve">$10.00 </w:t>
      </w:r>
      <w:r w:rsidRPr="00B866E2">
        <w:rPr>
          <w:sz w:val="26"/>
          <w:szCs w:val="26"/>
        </w:rPr>
        <w:t>for a meter test that had not been performed prior to the hearing.</w:t>
      </w:r>
      <w:r>
        <w:rPr>
          <w:sz w:val="26"/>
          <w:szCs w:val="26"/>
        </w:rPr>
        <w:t xml:space="preserve"> Tr. at 24-25.</w:t>
      </w:r>
      <w:r w:rsidRPr="00B866E2">
        <w:rPr>
          <w:sz w:val="26"/>
          <w:szCs w:val="26"/>
        </w:rPr>
        <w:t xml:space="preserve">  Since this </w:t>
      </w:r>
      <w:r>
        <w:rPr>
          <w:sz w:val="26"/>
          <w:szCs w:val="26"/>
        </w:rPr>
        <w:t>C</w:t>
      </w:r>
      <w:r w:rsidRPr="00B866E2">
        <w:rPr>
          <w:sz w:val="26"/>
          <w:szCs w:val="26"/>
        </w:rPr>
        <w:t xml:space="preserve">omplaint </w:t>
      </w:r>
      <w:r>
        <w:rPr>
          <w:sz w:val="26"/>
          <w:szCs w:val="26"/>
        </w:rPr>
        <w:t>wa</w:t>
      </w:r>
      <w:r w:rsidRPr="00B866E2">
        <w:rPr>
          <w:sz w:val="26"/>
          <w:szCs w:val="26"/>
        </w:rPr>
        <w:t xml:space="preserve">s a “high </w:t>
      </w:r>
      <w:r>
        <w:rPr>
          <w:sz w:val="26"/>
          <w:szCs w:val="26"/>
        </w:rPr>
        <w:t xml:space="preserve">bill complaint,” the </w:t>
      </w:r>
      <w:r w:rsidRPr="00B866E2">
        <w:rPr>
          <w:sz w:val="26"/>
          <w:szCs w:val="26"/>
        </w:rPr>
        <w:t>ALJ wanted the meter test to</w:t>
      </w:r>
      <w:r>
        <w:rPr>
          <w:sz w:val="26"/>
          <w:szCs w:val="26"/>
        </w:rPr>
        <w:t xml:space="preserve"> be performed, reviewed by the P</w:t>
      </w:r>
      <w:r w:rsidRPr="00B866E2">
        <w:rPr>
          <w:sz w:val="26"/>
          <w:szCs w:val="26"/>
        </w:rPr>
        <w:t>arti</w:t>
      </w:r>
      <w:r>
        <w:rPr>
          <w:sz w:val="26"/>
          <w:szCs w:val="26"/>
        </w:rPr>
        <w:t>es and possibly included in the</w:t>
      </w:r>
      <w:r w:rsidRPr="00B866E2">
        <w:rPr>
          <w:sz w:val="26"/>
          <w:szCs w:val="26"/>
        </w:rPr>
        <w:t xml:space="preserve"> record so as to </w:t>
      </w:r>
      <w:r>
        <w:rPr>
          <w:sz w:val="26"/>
          <w:szCs w:val="26"/>
        </w:rPr>
        <w:t>create a complete record.  The P</w:t>
      </w:r>
      <w:r w:rsidRPr="00B866E2">
        <w:rPr>
          <w:sz w:val="26"/>
          <w:szCs w:val="26"/>
        </w:rPr>
        <w:t>arties agreed.</w:t>
      </w:r>
    </w:p>
  </w:footnote>
  <w:footnote w:id="3">
    <w:p w:rsidR="0039203F" w:rsidRDefault="0039203F" w:rsidP="00C16E76">
      <w:pPr>
        <w:pStyle w:val="FootnoteText"/>
        <w:tabs>
          <w:tab w:val="left" w:pos="720"/>
          <w:tab w:val="left" w:pos="1440"/>
        </w:tabs>
        <w:rPr>
          <w:sz w:val="26"/>
        </w:rPr>
      </w:pPr>
      <w:r>
        <w:tab/>
      </w:r>
      <w:r w:rsidRPr="00655657">
        <w:rPr>
          <w:rStyle w:val="FootnoteReference"/>
          <w:sz w:val="22"/>
          <w:szCs w:val="22"/>
        </w:rPr>
        <w:footnoteRef/>
      </w:r>
      <w:r>
        <w:tab/>
      </w:r>
      <w:r w:rsidRPr="00655657">
        <w:rPr>
          <w:sz w:val="26"/>
        </w:rPr>
        <w:t xml:space="preserve">We acknowledge that the format of the Complainant’s Exceptions does not strictly comply with Section 5.533(b) of our Regulations, 52 Pa. Code § 5.533(b), which requires that exceptions be numbered, </w:t>
      </w:r>
      <w:proofErr w:type="gramStart"/>
      <w:r w:rsidRPr="00655657">
        <w:rPr>
          <w:sz w:val="26"/>
        </w:rPr>
        <w:t>identify</w:t>
      </w:r>
      <w:proofErr w:type="gramEnd"/>
      <w:r w:rsidRPr="00655657">
        <w:rPr>
          <w:sz w:val="26"/>
        </w:rPr>
        <w:t xml:space="preserve"> the finding of fact and conclusion of law to which exception is taken, and cite to the relevant pages of the Initial Decision.  Nevertheless, particularly because the Complainant is appearing </w:t>
      </w:r>
      <w:r w:rsidRPr="00655657">
        <w:rPr>
          <w:i/>
          <w:sz w:val="26"/>
        </w:rPr>
        <w:t>pro se</w:t>
      </w:r>
      <w:r w:rsidRPr="00655657">
        <w:rPr>
          <w:sz w:val="26"/>
        </w:rPr>
        <w:t>, we will accept the Exceptions as filed pursuant to Section 1.2(</w:t>
      </w:r>
      <w:r>
        <w:rPr>
          <w:sz w:val="26"/>
        </w:rPr>
        <w:t>a</w:t>
      </w:r>
      <w:r w:rsidRPr="00655657">
        <w:rPr>
          <w:sz w:val="26"/>
        </w:rPr>
        <w:t xml:space="preserve">) of our Regulations, 52 Pa. Code </w:t>
      </w:r>
    </w:p>
    <w:p w:rsidR="0039203F" w:rsidRPr="00655657" w:rsidRDefault="0039203F" w:rsidP="00C16E76">
      <w:pPr>
        <w:pStyle w:val="FootnoteText"/>
        <w:tabs>
          <w:tab w:val="left" w:pos="720"/>
          <w:tab w:val="left" w:pos="1440"/>
        </w:tabs>
      </w:pPr>
      <w:r w:rsidRPr="00655657">
        <w:rPr>
          <w:sz w:val="26"/>
        </w:rPr>
        <w:t>§ 1.2(</w:t>
      </w:r>
      <w:r w:rsidR="002E6E78">
        <w:rPr>
          <w:sz w:val="26"/>
        </w:rPr>
        <w:t>a</w:t>
      </w:r>
      <w:r w:rsidRPr="00655657">
        <w:rPr>
          <w:sz w:val="26"/>
        </w:rPr>
        <w:t>)</w:t>
      </w:r>
      <w:r>
        <w:rPr>
          <w:sz w:val="26"/>
        </w:rPr>
        <w:t>, in order to secure a just, speedy, and inexpensive determination</w:t>
      </w:r>
      <w:r w:rsidRPr="00655657">
        <w:rPr>
          <w:sz w:val="26"/>
        </w:rPr>
        <w:t>.</w:t>
      </w:r>
    </w:p>
    <w:p w:rsidR="0039203F" w:rsidRDefault="0039203F" w:rsidP="00655657">
      <w:pPr>
        <w:pStyle w:val="FootnoteText"/>
        <w:ind w:firstLine="720"/>
      </w:pPr>
    </w:p>
  </w:footnote>
  <w:footnote w:id="4">
    <w:p w:rsidR="00C926B6" w:rsidRPr="00F40A88" w:rsidRDefault="00C926B6" w:rsidP="00B0479F">
      <w:pPr>
        <w:pStyle w:val="FootnoteText"/>
        <w:keepLines/>
        <w:widowControl/>
        <w:rPr>
          <w:sz w:val="26"/>
        </w:rPr>
      </w:pPr>
      <w:r w:rsidRPr="00F40A88">
        <w:rPr>
          <w:sz w:val="26"/>
        </w:rPr>
        <w:tab/>
      </w:r>
      <w:r w:rsidRPr="00F40A88">
        <w:rPr>
          <w:rStyle w:val="FootnoteReference"/>
          <w:sz w:val="26"/>
        </w:rPr>
        <w:footnoteRef/>
      </w:r>
      <w:r w:rsidRPr="00F40A88">
        <w:rPr>
          <w:sz w:val="26"/>
        </w:rPr>
        <w:tab/>
      </w:r>
      <w:r>
        <w:rPr>
          <w:sz w:val="26"/>
        </w:rPr>
        <w:t xml:space="preserve">We interpret the ALJ’s directive </w:t>
      </w:r>
      <w:r w:rsidRPr="005141B6">
        <w:rPr>
          <w:sz w:val="26"/>
        </w:rPr>
        <w:t xml:space="preserve">that PGW issue a new bill to the Complainant and provide a copy of such to the Commission’s Bureau of Consumer Services within thirty days “of the date of this Order” </w:t>
      </w:r>
      <w:r>
        <w:rPr>
          <w:sz w:val="26"/>
        </w:rPr>
        <w:t>to mean within thirty days “of a final entered Order in this proceeding.”</w:t>
      </w:r>
    </w:p>
  </w:footnote>
  <w:footnote w:id="5">
    <w:p w:rsidR="001E3BCB" w:rsidRPr="00271030" w:rsidRDefault="001E3BCB" w:rsidP="005915A7">
      <w:pPr>
        <w:pStyle w:val="FootnoteText"/>
        <w:keepLines/>
        <w:ind w:firstLine="720"/>
        <w:rPr>
          <w:sz w:val="26"/>
        </w:rPr>
      </w:pPr>
      <w:r w:rsidRPr="00271030">
        <w:rPr>
          <w:rStyle w:val="FootnoteReference"/>
          <w:sz w:val="26"/>
        </w:rPr>
        <w:footnoteRef/>
      </w:r>
      <w:r w:rsidRPr="00271030">
        <w:rPr>
          <w:sz w:val="26"/>
        </w:rPr>
        <w:t xml:space="preserve"> </w:t>
      </w:r>
      <w:r w:rsidRPr="00271030">
        <w:rPr>
          <w:sz w:val="26"/>
        </w:rPr>
        <w:tab/>
        <w:t>Section 59.21 of the Commission’s Regulations, 52 Pa. Code § 59.21, governs meter tests and contains the standard test schedules for meters, which vary depen</w:t>
      </w:r>
      <w:r w:rsidR="005915A7">
        <w:rPr>
          <w:sz w:val="26"/>
        </w:rPr>
        <w:t>ding on the class of the meter.</w:t>
      </w:r>
    </w:p>
    <w:p w:rsidR="001E3BCB" w:rsidRDefault="001E3BC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12E4"/>
    <w:rsid w:val="00015A18"/>
    <w:rsid w:val="00016D57"/>
    <w:rsid w:val="00017036"/>
    <w:rsid w:val="00017852"/>
    <w:rsid w:val="00021E46"/>
    <w:rsid w:val="00022B74"/>
    <w:rsid w:val="00023B44"/>
    <w:rsid w:val="00024C65"/>
    <w:rsid w:val="00024D5A"/>
    <w:rsid w:val="0002524C"/>
    <w:rsid w:val="00025F3F"/>
    <w:rsid w:val="00026CD2"/>
    <w:rsid w:val="00040251"/>
    <w:rsid w:val="00040A8E"/>
    <w:rsid w:val="00040AEA"/>
    <w:rsid w:val="000441E3"/>
    <w:rsid w:val="00045161"/>
    <w:rsid w:val="00047558"/>
    <w:rsid w:val="00047874"/>
    <w:rsid w:val="00047F4A"/>
    <w:rsid w:val="000523D1"/>
    <w:rsid w:val="00052B8F"/>
    <w:rsid w:val="00054612"/>
    <w:rsid w:val="0005572E"/>
    <w:rsid w:val="00056286"/>
    <w:rsid w:val="00057C80"/>
    <w:rsid w:val="00057F6C"/>
    <w:rsid w:val="000612FD"/>
    <w:rsid w:val="00061BB5"/>
    <w:rsid w:val="000642AA"/>
    <w:rsid w:val="000649EC"/>
    <w:rsid w:val="00066EE5"/>
    <w:rsid w:val="00067260"/>
    <w:rsid w:val="000711D3"/>
    <w:rsid w:val="00072808"/>
    <w:rsid w:val="00076F35"/>
    <w:rsid w:val="000819DC"/>
    <w:rsid w:val="00084573"/>
    <w:rsid w:val="00084AF9"/>
    <w:rsid w:val="0008598C"/>
    <w:rsid w:val="0008712B"/>
    <w:rsid w:val="000918D4"/>
    <w:rsid w:val="00092CC5"/>
    <w:rsid w:val="00093164"/>
    <w:rsid w:val="0009612D"/>
    <w:rsid w:val="00097504"/>
    <w:rsid w:val="000A365D"/>
    <w:rsid w:val="000A3F6A"/>
    <w:rsid w:val="000A490A"/>
    <w:rsid w:val="000B216D"/>
    <w:rsid w:val="000B2755"/>
    <w:rsid w:val="000B2B02"/>
    <w:rsid w:val="000B3CAC"/>
    <w:rsid w:val="000B4A15"/>
    <w:rsid w:val="000B4EAE"/>
    <w:rsid w:val="000B5238"/>
    <w:rsid w:val="000B607A"/>
    <w:rsid w:val="000B629B"/>
    <w:rsid w:val="000B6B15"/>
    <w:rsid w:val="000B79D6"/>
    <w:rsid w:val="000C0324"/>
    <w:rsid w:val="000C0DB7"/>
    <w:rsid w:val="000C2AE3"/>
    <w:rsid w:val="000C380E"/>
    <w:rsid w:val="000C709A"/>
    <w:rsid w:val="000D26DA"/>
    <w:rsid w:val="000E1F4C"/>
    <w:rsid w:val="000E2BAC"/>
    <w:rsid w:val="000F0AD9"/>
    <w:rsid w:val="000F179E"/>
    <w:rsid w:val="000F4307"/>
    <w:rsid w:val="000F46E4"/>
    <w:rsid w:val="0010114C"/>
    <w:rsid w:val="0010158F"/>
    <w:rsid w:val="00101F51"/>
    <w:rsid w:val="001026CA"/>
    <w:rsid w:val="0010366F"/>
    <w:rsid w:val="00103B55"/>
    <w:rsid w:val="001043CA"/>
    <w:rsid w:val="00104D9B"/>
    <w:rsid w:val="00115BA3"/>
    <w:rsid w:val="00117CB2"/>
    <w:rsid w:val="00120B39"/>
    <w:rsid w:val="001238E5"/>
    <w:rsid w:val="00123A2E"/>
    <w:rsid w:val="00124071"/>
    <w:rsid w:val="001267D4"/>
    <w:rsid w:val="0013100B"/>
    <w:rsid w:val="001329C8"/>
    <w:rsid w:val="00135972"/>
    <w:rsid w:val="001360FC"/>
    <w:rsid w:val="00137A52"/>
    <w:rsid w:val="001447A0"/>
    <w:rsid w:val="0014497F"/>
    <w:rsid w:val="001464E4"/>
    <w:rsid w:val="00146DDD"/>
    <w:rsid w:val="00146E58"/>
    <w:rsid w:val="00147145"/>
    <w:rsid w:val="00150096"/>
    <w:rsid w:val="001508E4"/>
    <w:rsid w:val="00151438"/>
    <w:rsid w:val="0015380A"/>
    <w:rsid w:val="00154CB6"/>
    <w:rsid w:val="0016002B"/>
    <w:rsid w:val="00164DA4"/>
    <w:rsid w:val="00166298"/>
    <w:rsid w:val="001663C8"/>
    <w:rsid w:val="00173224"/>
    <w:rsid w:val="00174D3D"/>
    <w:rsid w:val="00181F6E"/>
    <w:rsid w:val="00182478"/>
    <w:rsid w:val="001863BC"/>
    <w:rsid w:val="00186A97"/>
    <w:rsid w:val="001878E2"/>
    <w:rsid w:val="001920D1"/>
    <w:rsid w:val="0019530E"/>
    <w:rsid w:val="00195F2E"/>
    <w:rsid w:val="001B1DB4"/>
    <w:rsid w:val="001B44DB"/>
    <w:rsid w:val="001B4506"/>
    <w:rsid w:val="001B7DA2"/>
    <w:rsid w:val="001C302E"/>
    <w:rsid w:val="001C4978"/>
    <w:rsid w:val="001C7BEF"/>
    <w:rsid w:val="001D0ED2"/>
    <w:rsid w:val="001D4A94"/>
    <w:rsid w:val="001E0B61"/>
    <w:rsid w:val="001E1276"/>
    <w:rsid w:val="001E2C66"/>
    <w:rsid w:val="001E3BCB"/>
    <w:rsid w:val="001F285E"/>
    <w:rsid w:val="001F5292"/>
    <w:rsid w:val="001F7623"/>
    <w:rsid w:val="00202524"/>
    <w:rsid w:val="002028BC"/>
    <w:rsid w:val="00202E1D"/>
    <w:rsid w:val="00210736"/>
    <w:rsid w:val="00210F81"/>
    <w:rsid w:val="0021100E"/>
    <w:rsid w:val="00211622"/>
    <w:rsid w:val="00213B49"/>
    <w:rsid w:val="00214B3E"/>
    <w:rsid w:val="0021681A"/>
    <w:rsid w:val="0022010E"/>
    <w:rsid w:val="0022270B"/>
    <w:rsid w:val="00224218"/>
    <w:rsid w:val="00225383"/>
    <w:rsid w:val="0022698E"/>
    <w:rsid w:val="00227912"/>
    <w:rsid w:val="00227AFD"/>
    <w:rsid w:val="002311EE"/>
    <w:rsid w:val="00232200"/>
    <w:rsid w:val="00233251"/>
    <w:rsid w:val="0023401F"/>
    <w:rsid w:val="002370F5"/>
    <w:rsid w:val="0023784B"/>
    <w:rsid w:val="00240ACA"/>
    <w:rsid w:val="00240D7B"/>
    <w:rsid w:val="00240E6F"/>
    <w:rsid w:val="00241299"/>
    <w:rsid w:val="00250734"/>
    <w:rsid w:val="002511E1"/>
    <w:rsid w:val="00252CDB"/>
    <w:rsid w:val="00255462"/>
    <w:rsid w:val="00260957"/>
    <w:rsid w:val="00264646"/>
    <w:rsid w:val="00264AC2"/>
    <w:rsid w:val="00267BC2"/>
    <w:rsid w:val="00271027"/>
    <w:rsid w:val="0027232D"/>
    <w:rsid w:val="002732AB"/>
    <w:rsid w:val="00274D0F"/>
    <w:rsid w:val="00277500"/>
    <w:rsid w:val="00281A5F"/>
    <w:rsid w:val="00286A45"/>
    <w:rsid w:val="00286F12"/>
    <w:rsid w:val="002916C2"/>
    <w:rsid w:val="00291F68"/>
    <w:rsid w:val="002A060A"/>
    <w:rsid w:val="002A0EF6"/>
    <w:rsid w:val="002A1DB3"/>
    <w:rsid w:val="002A28B6"/>
    <w:rsid w:val="002A36F2"/>
    <w:rsid w:val="002A4450"/>
    <w:rsid w:val="002A6750"/>
    <w:rsid w:val="002B2296"/>
    <w:rsid w:val="002B4407"/>
    <w:rsid w:val="002B67B7"/>
    <w:rsid w:val="002C0429"/>
    <w:rsid w:val="002C19E4"/>
    <w:rsid w:val="002C6CC4"/>
    <w:rsid w:val="002D13C4"/>
    <w:rsid w:val="002D275E"/>
    <w:rsid w:val="002D3EBB"/>
    <w:rsid w:val="002D6357"/>
    <w:rsid w:val="002D7584"/>
    <w:rsid w:val="002D78D7"/>
    <w:rsid w:val="002E0008"/>
    <w:rsid w:val="002E23A4"/>
    <w:rsid w:val="002E3026"/>
    <w:rsid w:val="002E3F06"/>
    <w:rsid w:val="002E5807"/>
    <w:rsid w:val="002E5D8C"/>
    <w:rsid w:val="002E6E78"/>
    <w:rsid w:val="002E6FFA"/>
    <w:rsid w:val="002E79DE"/>
    <w:rsid w:val="002E7F8F"/>
    <w:rsid w:val="002F00E7"/>
    <w:rsid w:val="002F3B01"/>
    <w:rsid w:val="002F3F04"/>
    <w:rsid w:val="002F41BA"/>
    <w:rsid w:val="002F6096"/>
    <w:rsid w:val="002F7C24"/>
    <w:rsid w:val="003018AA"/>
    <w:rsid w:val="00301D1D"/>
    <w:rsid w:val="0030351B"/>
    <w:rsid w:val="00303B99"/>
    <w:rsid w:val="00304757"/>
    <w:rsid w:val="003047C1"/>
    <w:rsid w:val="003051FF"/>
    <w:rsid w:val="00305D99"/>
    <w:rsid w:val="003068D5"/>
    <w:rsid w:val="0030714F"/>
    <w:rsid w:val="003073E2"/>
    <w:rsid w:val="00307DDF"/>
    <w:rsid w:val="00310531"/>
    <w:rsid w:val="00314A43"/>
    <w:rsid w:val="00322040"/>
    <w:rsid w:val="003240B8"/>
    <w:rsid w:val="00325422"/>
    <w:rsid w:val="00325D89"/>
    <w:rsid w:val="00327887"/>
    <w:rsid w:val="00327BCE"/>
    <w:rsid w:val="00331C24"/>
    <w:rsid w:val="00332DA2"/>
    <w:rsid w:val="00333FDA"/>
    <w:rsid w:val="003340DE"/>
    <w:rsid w:val="00340D19"/>
    <w:rsid w:val="00344804"/>
    <w:rsid w:val="00350356"/>
    <w:rsid w:val="003518C8"/>
    <w:rsid w:val="003533B5"/>
    <w:rsid w:val="00355ACA"/>
    <w:rsid w:val="00360890"/>
    <w:rsid w:val="003622CA"/>
    <w:rsid w:val="00363030"/>
    <w:rsid w:val="0036462C"/>
    <w:rsid w:val="00364A42"/>
    <w:rsid w:val="00365F73"/>
    <w:rsid w:val="00373184"/>
    <w:rsid w:val="003748CB"/>
    <w:rsid w:val="003755FB"/>
    <w:rsid w:val="0037577C"/>
    <w:rsid w:val="00377F25"/>
    <w:rsid w:val="00384F43"/>
    <w:rsid w:val="00385502"/>
    <w:rsid w:val="00391A43"/>
    <w:rsid w:val="0039203F"/>
    <w:rsid w:val="0039373D"/>
    <w:rsid w:val="003A4D33"/>
    <w:rsid w:val="003A743D"/>
    <w:rsid w:val="003B0611"/>
    <w:rsid w:val="003B42D9"/>
    <w:rsid w:val="003B648A"/>
    <w:rsid w:val="003B6511"/>
    <w:rsid w:val="003C3140"/>
    <w:rsid w:val="003C3E02"/>
    <w:rsid w:val="003C3FE8"/>
    <w:rsid w:val="003C73F9"/>
    <w:rsid w:val="003D0E11"/>
    <w:rsid w:val="003D560B"/>
    <w:rsid w:val="003D5F07"/>
    <w:rsid w:val="003D6AB5"/>
    <w:rsid w:val="003E15FF"/>
    <w:rsid w:val="003E3FF5"/>
    <w:rsid w:val="003E5354"/>
    <w:rsid w:val="003E6658"/>
    <w:rsid w:val="003F51F4"/>
    <w:rsid w:val="003F52C6"/>
    <w:rsid w:val="003F558E"/>
    <w:rsid w:val="00400CAF"/>
    <w:rsid w:val="00401D1F"/>
    <w:rsid w:val="00403D6E"/>
    <w:rsid w:val="00407AC0"/>
    <w:rsid w:val="00412E30"/>
    <w:rsid w:val="004170AF"/>
    <w:rsid w:val="00426814"/>
    <w:rsid w:val="00432BB7"/>
    <w:rsid w:val="004331E9"/>
    <w:rsid w:val="0043390B"/>
    <w:rsid w:val="00433E8D"/>
    <w:rsid w:val="0043592C"/>
    <w:rsid w:val="00441207"/>
    <w:rsid w:val="004422CA"/>
    <w:rsid w:val="00443807"/>
    <w:rsid w:val="00443B22"/>
    <w:rsid w:val="004462F7"/>
    <w:rsid w:val="004508F7"/>
    <w:rsid w:val="00454324"/>
    <w:rsid w:val="004547C2"/>
    <w:rsid w:val="00455700"/>
    <w:rsid w:val="0046019D"/>
    <w:rsid w:val="00461016"/>
    <w:rsid w:val="00461306"/>
    <w:rsid w:val="00464536"/>
    <w:rsid w:val="0046514E"/>
    <w:rsid w:val="0046623C"/>
    <w:rsid w:val="00467739"/>
    <w:rsid w:val="00470D0C"/>
    <w:rsid w:val="00474E22"/>
    <w:rsid w:val="0047608F"/>
    <w:rsid w:val="00476554"/>
    <w:rsid w:val="004813D4"/>
    <w:rsid w:val="00491D91"/>
    <w:rsid w:val="004931C7"/>
    <w:rsid w:val="0049580C"/>
    <w:rsid w:val="0049768F"/>
    <w:rsid w:val="004A04E5"/>
    <w:rsid w:val="004A1495"/>
    <w:rsid w:val="004A2165"/>
    <w:rsid w:val="004A51E8"/>
    <w:rsid w:val="004A5F74"/>
    <w:rsid w:val="004B07B9"/>
    <w:rsid w:val="004B1052"/>
    <w:rsid w:val="004B6B14"/>
    <w:rsid w:val="004B709C"/>
    <w:rsid w:val="004C7594"/>
    <w:rsid w:val="004D2DD8"/>
    <w:rsid w:val="004E27E1"/>
    <w:rsid w:val="004E47EC"/>
    <w:rsid w:val="004E514F"/>
    <w:rsid w:val="004E737F"/>
    <w:rsid w:val="004F03DE"/>
    <w:rsid w:val="004F21B3"/>
    <w:rsid w:val="004F22DA"/>
    <w:rsid w:val="00502165"/>
    <w:rsid w:val="0050295C"/>
    <w:rsid w:val="00504544"/>
    <w:rsid w:val="00504834"/>
    <w:rsid w:val="00504C7A"/>
    <w:rsid w:val="00505AEE"/>
    <w:rsid w:val="0050632E"/>
    <w:rsid w:val="0050752D"/>
    <w:rsid w:val="00511EF3"/>
    <w:rsid w:val="005126D8"/>
    <w:rsid w:val="00514507"/>
    <w:rsid w:val="0051475B"/>
    <w:rsid w:val="00515B78"/>
    <w:rsid w:val="00521350"/>
    <w:rsid w:val="00521457"/>
    <w:rsid w:val="00522D98"/>
    <w:rsid w:val="00526EEC"/>
    <w:rsid w:val="00531043"/>
    <w:rsid w:val="005351B9"/>
    <w:rsid w:val="00535AC0"/>
    <w:rsid w:val="00536011"/>
    <w:rsid w:val="00540506"/>
    <w:rsid w:val="00550B79"/>
    <w:rsid w:val="0055150B"/>
    <w:rsid w:val="005532F9"/>
    <w:rsid w:val="0055440B"/>
    <w:rsid w:val="0055708D"/>
    <w:rsid w:val="005606BE"/>
    <w:rsid w:val="00560E65"/>
    <w:rsid w:val="00561CA6"/>
    <w:rsid w:val="00564565"/>
    <w:rsid w:val="005647BE"/>
    <w:rsid w:val="00566299"/>
    <w:rsid w:val="005665B4"/>
    <w:rsid w:val="005725F6"/>
    <w:rsid w:val="005773FE"/>
    <w:rsid w:val="00581851"/>
    <w:rsid w:val="00586817"/>
    <w:rsid w:val="00586D92"/>
    <w:rsid w:val="00587507"/>
    <w:rsid w:val="005915A7"/>
    <w:rsid w:val="00594ABF"/>
    <w:rsid w:val="00596A0B"/>
    <w:rsid w:val="00596E05"/>
    <w:rsid w:val="00596F85"/>
    <w:rsid w:val="005970FA"/>
    <w:rsid w:val="005A0176"/>
    <w:rsid w:val="005A088E"/>
    <w:rsid w:val="005A1648"/>
    <w:rsid w:val="005A2298"/>
    <w:rsid w:val="005A28C1"/>
    <w:rsid w:val="005A39B3"/>
    <w:rsid w:val="005A49BB"/>
    <w:rsid w:val="005A5E63"/>
    <w:rsid w:val="005A72FC"/>
    <w:rsid w:val="005B0388"/>
    <w:rsid w:val="005B109A"/>
    <w:rsid w:val="005B4030"/>
    <w:rsid w:val="005C2FD5"/>
    <w:rsid w:val="005C5378"/>
    <w:rsid w:val="005D2AB9"/>
    <w:rsid w:val="005D34E2"/>
    <w:rsid w:val="005D496E"/>
    <w:rsid w:val="005D52C6"/>
    <w:rsid w:val="005D7C20"/>
    <w:rsid w:val="005E3378"/>
    <w:rsid w:val="005E6960"/>
    <w:rsid w:val="005E7EB8"/>
    <w:rsid w:val="005F18D6"/>
    <w:rsid w:val="00603024"/>
    <w:rsid w:val="00605A0F"/>
    <w:rsid w:val="00606A76"/>
    <w:rsid w:val="0061115F"/>
    <w:rsid w:val="006116E3"/>
    <w:rsid w:val="0061780F"/>
    <w:rsid w:val="00624400"/>
    <w:rsid w:val="00624799"/>
    <w:rsid w:val="00624BF4"/>
    <w:rsid w:val="00624E51"/>
    <w:rsid w:val="00626162"/>
    <w:rsid w:val="00633AD9"/>
    <w:rsid w:val="00634719"/>
    <w:rsid w:val="006410B5"/>
    <w:rsid w:val="006503E8"/>
    <w:rsid w:val="00651FC6"/>
    <w:rsid w:val="00654A4A"/>
    <w:rsid w:val="0065545A"/>
    <w:rsid w:val="00655657"/>
    <w:rsid w:val="006556A7"/>
    <w:rsid w:val="00655B32"/>
    <w:rsid w:val="00662FA0"/>
    <w:rsid w:val="006661CF"/>
    <w:rsid w:val="00670BFD"/>
    <w:rsid w:val="0067156F"/>
    <w:rsid w:val="00671E4C"/>
    <w:rsid w:val="00674295"/>
    <w:rsid w:val="006762DB"/>
    <w:rsid w:val="00677CDD"/>
    <w:rsid w:val="006818A8"/>
    <w:rsid w:val="00681A51"/>
    <w:rsid w:val="00682469"/>
    <w:rsid w:val="00683D97"/>
    <w:rsid w:val="00684FCA"/>
    <w:rsid w:val="00686B5C"/>
    <w:rsid w:val="00696997"/>
    <w:rsid w:val="006A213E"/>
    <w:rsid w:val="006A224F"/>
    <w:rsid w:val="006A758C"/>
    <w:rsid w:val="006B023D"/>
    <w:rsid w:val="006B22C2"/>
    <w:rsid w:val="006B346F"/>
    <w:rsid w:val="006B5A0A"/>
    <w:rsid w:val="006C1EEC"/>
    <w:rsid w:val="006C3CB9"/>
    <w:rsid w:val="006C3FEA"/>
    <w:rsid w:val="006C69E7"/>
    <w:rsid w:val="006C7697"/>
    <w:rsid w:val="006D10AE"/>
    <w:rsid w:val="006D29F2"/>
    <w:rsid w:val="006D63F4"/>
    <w:rsid w:val="006D6FF6"/>
    <w:rsid w:val="006D7CA2"/>
    <w:rsid w:val="006E065B"/>
    <w:rsid w:val="006E09D3"/>
    <w:rsid w:val="006E1E6C"/>
    <w:rsid w:val="006E4254"/>
    <w:rsid w:val="006E5505"/>
    <w:rsid w:val="006E5B9D"/>
    <w:rsid w:val="006E6197"/>
    <w:rsid w:val="006F240A"/>
    <w:rsid w:val="006F247E"/>
    <w:rsid w:val="006F2FB3"/>
    <w:rsid w:val="006F4CCF"/>
    <w:rsid w:val="006F531B"/>
    <w:rsid w:val="006F5717"/>
    <w:rsid w:val="006F62BC"/>
    <w:rsid w:val="00701370"/>
    <w:rsid w:val="00702493"/>
    <w:rsid w:val="00704DD3"/>
    <w:rsid w:val="00714F3B"/>
    <w:rsid w:val="00715FA6"/>
    <w:rsid w:val="007166F7"/>
    <w:rsid w:val="00716AEF"/>
    <w:rsid w:val="00717076"/>
    <w:rsid w:val="00717296"/>
    <w:rsid w:val="0072248E"/>
    <w:rsid w:val="00723BFD"/>
    <w:rsid w:val="00723FB6"/>
    <w:rsid w:val="00727370"/>
    <w:rsid w:val="007321FB"/>
    <w:rsid w:val="00735D9E"/>
    <w:rsid w:val="0074109C"/>
    <w:rsid w:val="00741841"/>
    <w:rsid w:val="00741D83"/>
    <w:rsid w:val="00742335"/>
    <w:rsid w:val="00742842"/>
    <w:rsid w:val="00745B05"/>
    <w:rsid w:val="00751652"/>
    <w:rsid w:val="00753376"/>
    <w:rsid w:val="007543B0"/>
    <w:rsid w:val="007568A9"/>
    <w:rsid w:val="00761514"/>
    <w:rsid w:val="00763CE7"/>
    <w:rsid w:val="00766EBB"/>
    <w:rsid w:val="00767725"/>
    <w:rsid w:val="00770536"/>
    <w:rsid w:val="00770A31"/>
    <w:rsid w:val="0077128B"/>
    <w:rsid w:val="00772177"/>
    <w:rsid w:val="00772358"/>
    <w:rsid w:val="00775C65"/>
    <w:rsid w:val="0077639A"/>
    <w:rsid w:val="0078100C"/>
    <w:rsid w:val="00781571"/>
    <w:rsid w:val="0078157F"/>
    <w:rsid w:val="00783563"/>
    <w:rsid w:val="00786734"/>
    <w:rsid w:val="00786F48"/>
    <w:rsid w:val="0078772C"/>
    <w:rsid w:val="007878E4"/>
    <w:rsid w:val="00790E8E"/>
    <w:rsid w:val="007963BD"/>
    <w:rsid w:val="00796536"/>
    <w:rsid w:val="00796DC6"/>
    <w:rsid w:val="00797F65"/>
    <w:rsid w:val="007A4783"/>
    <w:rsid w:val="007A5191"/>
    <w:rsid w:val="007B0500"/>
    <w:rsid w:val="007B0EA0"/>
    <w:rsid w:val="007B111B"/>
    <w:rsid w:val="007B2BDE"/>
    <w:rsid w:val="007B30B2"/>
    <w:rsid w:val="007B3AE8"/>
    <w:rsid w:val="007B4418"/>
    <w:rsid w:val="007B5F62"/>
    <w:rsid w:val="007B66B3"/>
    <w:rsid w:val="007B7077"/>
    <w:rsid w:val="007C1DFB"/>
    <w:rsid w:val="007C3003"/>
    <w:rsid w:val="007C36D2"/>
    <w:rsid w:val="007C455B"/>
    <w:rsid w:val="007C6B60"/>
    <w:rsid w:val="007C6F85"/>
    <w:rsid w:val="007C7446"/>
    <w:rsid w:val="007D1482"/>
    <w:rsid w:val="007D1612"/>
    <w:rsid w:val="007D3AA0"/>
    <w:rsid w:val="007D3FE2"/>
    <w:rsid w:val="007D4BBD"/>
    <w:rsid w:val="007D5690"/>
    <w:rsid w:val="007D69FA"/>
    <w:rsid w:val="007E1600"/>
    <w:rsid w:val="007E78B9"/>
    <w:rsid w:val="007F09A0"/>
    <w:rsid w:val="007F271A"/>
    <w:rsid w:val="007F7EA2"/>
    <w:rsid w:val="00810603"/>
    <w:rsid w:val="00811878"/>
    <w:rsid w:val="00814283"/>
    <w:rsid w:val="00816CBF"/>
    <w:rsid w:val="00820209"/>
    <w:rsid w:val="00820F35"/>
    <w:rsid w:val="00820FEC"/>
    <w:rsid w:val="00822701"/>
    <w:rsid w:val="00823529"/>
    <w:rsid w:val="0082393D"/>
    <w:rsid w:val="008264BF"/>
    <w:rsid w:val="0082730A"/>
    <w:rsid w:val="00833162"/>
    <w:rsid w:val="0083324D"/>
    <w:rsid w:val="00833A67"/>
    <w:rsid w:val="00841733"/>
    <w:rsid w:val="00844D38"/>
    <w:rsid w:val="00844D85"/>
    <w:rsid w:val="00846E83"/>
    <w:rsid w:val="00847024"/>
    <w:rsid w:val="008524BE"/>
    <w:rsid w:val="00853950"/>
    <w:rsid w:val="00853BC2"/>
    <w:rsid w:val="00854278"/>
    <w:rsid w:val="00856063"/>
    <w:rsid w:val="00857172"/>
    <w:rsid w:val="008610DF"/>
    <w:rsid w:val="0086236A"/>
    <w:rsid w:val="00866E77"/>
    <w:rsid w:val="0087035A"/>
    <w:rsid w:val="0087282C"/>
    <w:rsid w:val="0087347D"/>
    <w:rsid w:val="008761C7"/>
    <w:rsid w:val="0087708E"/>
    <w:rsid w:val="00877528"/>
    <w:rsid w:val="00882DAD"/>
    <w:rsid w:val="00883F94"/>
    <w:rsid w:val="00885263"/>
    <w:rsid w:val="00892DA5"/>
    <w:rsid w:val="0089494A"/>
    <w:rsid w:val="008949B1"/>
    <w:rsid w:val="008969D8"/>
    <w:rsid w:val="0089713E"/>
    <w:rsid w:val="008A10F3"/>
    <w:rsid w:val="008A11D2"/>
    <w:rsid w:val="008A5553"/>
    <w:rsid w:val="008A5C0F"/>
    <w:rsid w:val="008B1596"/>
    <w:rsid w:val="008B4C0D"/>
    <w:rsid w:val="008C09C4"/>
    <w:rsid w:val="008C1F44"/>
    <w:rsid w:val="008C646F"/>
    <w:rsid w:val="008D23A1"/>
    <w:rsid w:val="008D260A"/>
    <w:rsid w:val="008D3B80"/>
    <w:rsid w:val="008D4748"/>
    <w:rsid w:val="008D4E37"/>
    <w:rsid w:val="008E0053"/>
    <w:rsid w:val="008E3E4B"/>
    <w:rsid w:val="008E4EF9"/>
    <w:rsid w:val="008E666E"/>
    <w:rsid w:val="008E6DFC"/>
    <w:rsid w:val="008E7710"/>
    <w:rsid w:val="008F2510"/>
    <w:rsid w:val="00900A6F"/>
    <w:rsid w:val="00900D4D"/>
    <w:rsid w:val="00903BFF"/>
    <w:rsid w:val="00903F34"/>
    <w:rsid w:val="00905C0A"/>
    <w:rsid w:val="00905C7F"/>
    <w:rsid w:val="00911BC6"/>
    <w:rsid w:val="009122F8"/>
    <w:rsid w:val="009154CD"/>
    <w:rsid w:val="00915520"/>
    <w:rsid w:val="009155F7"/>
    <w:rsid w:val="00916FFF"/>
    <w:rsid w:val="00921131"/>
    <w:rsid w:val="009247F5"/>
    <w:rsid w:val="00926AB2"/>
    <w:rsid w:val="00930323"/>
    <w:rsid w:val="00931750"/>
    <w:rsid w:val="00932029"/>
    <w:rsid w:val="009331CB"/>
    <w:rsid w:val="009356E6"/>
    <w:rsid w:val="009407FE"/>
    <w:rsid w:val="00940BD4"/>
    <w:rsid w:val="009419FA"/>
    <w:rsid w:val="00941BC1"/>
    <w:rsid w:val="00942436"/>
    <w:rsid w:val="00955D84"/>
    <w:rsid w:val="00955E7F"/>
    <w:rsid w:val="00957603"/>
    <w:rsid w:val="009579E7"/>
    <w:rsid w:val="00957A1D"/>
    <w:rsid w:val="0096487B"/>
    <w:rsid w:val="00966F28"/>
    <w:rsid w:val="009728EC"/>
    <w:rsid w:val="009757D1"/>
    <w:rsid w:val="00980754"/>
    <w:rsid w:val="00981535"/>
    <w:rsid w:val="0098215B"/>
    <w:rsid w:val="009825C8"/>
    <w:rsid w:val="0098409F"/>
    <w:rsid w:val="00985537"/>
    <w:rsid w:val="00990546"/>
    <w:rsid w:val="00991698"/>
    <w:rsid w:val="00991C17"/>
    <w:rsid w:val="00992D1E"/>
    <w:rsid w:val="0099691F"/>
    <w:rsid w:val="00996BC6"/>
    <w:rsid w:val="00997EB2"/>
    <w:rsid w:val="009A06F5"/>
    <w:rsid w:val="009A0788"/>
    <w:rsid w:val="009A0AF2"/>
    <w:rsid w:val="009A0E92"/>
    <w:rsid w:val="009A17EC"/>
    <w:rsid w:val="009B03DF"/>
    <w:rsid w:val="009B22A2"/>
    <w:rsid w:val="009B6AF0"/>
    <w:rsid w:val="009C1BC0"/>
    <w:rsid w:val="009C223B"/>
    <w:rsid w:val="009C292D"/>
    <w:rsid w:val="009C5F0C"/>
    <w:rsid w:val="009C67C0"/>
    <w:rsid w:val="009D1035"/>
    <w:rsid w:val="009D13D0"/>
    <w:rsid w:val="009D2068"/>
    <w:rsid w:val="009D41EA"/>
    <w:rsid w:val="009D4C89"/>
    <w:rsid w:val="009D59C3"/>
    <w:rsid w:val="009D7D33"/>
    <w:rsid w:val="009E4DD4"/>
    <w:rsid w:val="009E4E3F"/>
    <w:rsid w:val="009E698B"/>
    <w:rsid w:val="009F1547"/>
    <w:rsid w:val="009F4ABA"/>
    <w:rsid w:val="009F7ADE"/>
    <w:rsid w:val="009F7C51"/>
    <w:rsid w:val="00A00043"/>
    <w:rsid w:val="00A01A6A"/>
    <w:rsid w:val="00A030DD"/>
    <w:rsid w:val="00A066AE"/>
    <w:rsid w:val="00A10DD9"/>
    <w:rsid w:val="00A12C6B"/>
    <w:rsid w:val="00A14117"/>
    <w:rsid w:val="00A149FA"/>
    <w:rsid w:val="00A15EA3"/>
    <w:rsid w:val="00A17DF0"/>
    <w:rsid w:val="00A20F78"/>
    <w:rsid w:val="00A218F1"/>
    <w:rsid w:val="00A248A4"/>
    <w:rsid w:val="00A27DEE"/>
    <w:rsid w:val="00A31B93"/>
    <w:rsid w:val="00A375EF"/>
    <w:rsid w:val="00A43075"/>
    <w:rsid w:val="00A43B7E"/>
    <w:rsid w:val="00A44912"/>
    <w:rsid w:val="00A466DD"/>
    <w:rsid w:val="00A46A8D"/>
    <w:rsid w:val="00A46E91"/>
    <w:rsid w:val="00A528C2"/>
    <w:rsid w:val="00A53114"/>
    <w:rsid w:val="00A54AFD"/>
    <w:rsid w:val="00A54E69"/>
    <w:rsid w:val="00A6006E"/>
    <w:rsid w:val="00A61B06"/>
    <w:rsid w:val="00A62113"/>
    <w:rsid w:val="00A6759C"/>
    <w:rsid w:val="00A67923"/>
    <w:rsid w:val="00A713ED"/>
    <w:rsid w:val="00A714B8"/>
    <w:rsid w:val="00A73A13"/>
    <w:rsid w:val="00A7480D"/>
    <w:rsid w:val="00A74901"/>
    <w:rsid w:val="00A75733"/>
    <w:rsid w:val="00A76308"/>
    <w:rsid w:val="00A77C08"/>
    <w:rsid w:val="00A81527"/>
    <w:rsid w:val="00A82058"/>
    <w:rsid w:val="00A829B5"/>
    <w:rsid w:val="00A84AE7"/>
    <w:rsid w:val="00A869B0"/>
    <w:rsid w:val="00A87E57"/>
    <w:rsid w:val="00A87EA0"/>
    <w:rsid w:val="00A901AF"/>
    <w:rsid w:val="00A9057C"/>
    <w:rsid w:val="00A9289F"/>
    <w:rsid w:val="00A92C1D"/>
    <w:rsid w:val="00A941A1"/>
    <w:rsid w:val="00AA0C77"/>
    <w:rsid w:val="00AA1D27"/>
    <w:rsid w:val="00AA1E8F"/>
    <w:rsid w:val="00AA204C"/>
    <w:rsid w:val="00AA2D57"/>
    <w:rsid w:val="00AA3941"/>
    <w:rsid w:val="00AA56D0"/>
    <w:rsid w:val="00AB0C9F"/>
    <w:rsid w:val="00AB143A"/>
    <w:rsid w:val="00AB1B65"/>
    <w:rsid w:val="00AB36ED"/>
    <w:rsid w:val="00AC003C"/>
    <w:rsid w:val="00AC0103"/>
    <w:rsid w:val="00AC1404"/>
    <w:rsid w:val="00AD039F"/>
    <w:rsid w:val="00AD3902"/>
    <w:rsid w:val="00AD4C29"/>
    <w:rsid w:val="00AD6010"/>
    <w:rsid w:val="00AD776F"/>
    <w:rsid w:val="00AE33FF"/>
    <w:rsid w:val="00AE47DB"/>
    <w:rsid w:val="00AF06D5"/>
    <w:rsid w:val="00AF09DD"/>
    <w:rsid w:val="00AF2F2D"/>
    <w:rsid w:val="00AF42B2"/>
    <w:rsid w:val="00B02655"/>
    <w:rsid w:val="00B0479F"/>
    <w:rsid w:val="00B04D8B"/>
    <w:rsid w:val="00B05102"/>
    <w:rsid w:val="00B06E02"/>
    <w:rsid w:val="00B113EC"/>
    <w:rsid w:val="00B1377D"/>
    <w:rsid w:val="00B16A34"/>
    <w:rsid w:val="00B25453"/>
    <w:rsid w:val="00B2780A"/>
    <w:rsid w:val="00B310ED"/>
    <w:rsid w:val="00B311F2"/>
    <w:rsid w:val="00B31B9C"/>
    <w:rsid w:val="00B32F2A"/>
    <w:rsid w:val="00B3341B"/>
    <w:rsid w:val="00B34D6C"/>
    <w:rsid w:val="00B35C64"/>
    <w:rsid w:val="00B378C2"/>
    <w:rsid w:val="00B37D2E"/>
    <w:rsid w:val="00B503C6"/>
    <w:rsid w:val="00B50754"/>
    <w:rsid w:val="00B5544F"/>
    <w:rsid w:val="00B55E5D"/>
    <w:rsid w:val="00B57849"/>
    <w:rsid w:val="00B60A36"/>
    <w:rsid w:val="00B66867"/>
    <w:rsid w:val="00B66994"/>
    <w:rsid w:val="00B6706C"/>
    <w:rsid w:val="00B71AFB"/>
    <w:rsid w:val="00B71F3A"/>
    <w:rsid w:val="00B73C97"/>
    <w:rsid w:val="00B7502E"/>
    <w:rsid w:val="00B76340"/>
    <w:rsid w:val="00B80275"/>
    <w:rsid w:val="00B80C43"/>
    <w:rsid w:val="00B866E2"/>
    <w:rsid w:val="00B94786"/>
    <w:rsid w:val="00B94842"/>
    <w:rsid w:val="00B94AEC"/>
    <w:rsid w:val="00B95096"/>
    <w:rsid w:val="00B96145"/>
    <w:rsid w:val="00BA6DE7"/>
    <w:rsid w:val="00BA78B6"/>
    <w:rsid w:val="00BB26AD"/>
    <w:rsid w:val="00BB33EA"/>
    <w:rsid w:val="00BB79BD"/>
    <w:rsid w:val="00BC4652"/>
    <w:rsid w:val="00BC5EC8"/>
    <w:rsid w:val="00BC6764"/>
    <w:rsid w:val="00BC7208"/>
    <w:rsid w:val="00BD0B48"/>
    <w:rsid w:val="00BD1382"/>
    <w:rsid w:val="00BD2A0A"/>
    <w:rsid w:val="00BD2AF6"/>
    <w:rsid w:val="00BD3E17"/>
    <w:rsid w:val="00BD45FC"/>
    <w:rsid w:val="00BD48AB"/>
    <w:rsid w:val="00BD5D0F"/>
    <w:rsid w:val="00BD7C68"/>
    <w:rsid w:val="00BE1CBC"/>
    <w:rsid w:val="00BE29DC"/>
    <w:rsid w:val="00BE7AEB"/>
    <w:rsid w:val="00BE7B14"/>
    <w:rsid w:val="00BF43DA"/>
    <w:rsid w:val="00BF697A"/>
    <w:rsid w:val="00BF6ADB"/>
    <w:rsid w:val="00C03776"/>
    <w:rsid w:val="00C11A68"/>
    <w:rsid w:val="00C13821"/>
    <w:rsid w:val="00C14051"/>
    <w:rsid w:val="00C15F73"/>
    <w:rsid w:val="00C16E76"/>
    <w:rsid w:val="00C2037B"/>
    <w:rsid w:val="00C20909"/>
    <w:rsid w:val="00C22FF7"/>
    <w:rsid w:val="00C23BBE"/>
    <w:rsid w:val="00C26179"/>
    <w:rsid w:val="00C27F76"/>
    <w:rsid w:val="00C30DA4"/>
    <w:rsid w:val="00C31EE8"/>
    <w:rsid w:val="00C44719"/>
    <w:rsid w:val="00C4613E"/>
    <w:rsid w:val="00C50108"/>
    <w:rsid w:val="00C51056"/>
    <w:rsid w:val="00C54A50"/>
    <w:rsid w:val="00C56F6E"/>
    <w:rsid w:val="00C6572C"/>
    <w:rsid w:val="00C70CFF"/>
    <w:rsid w:val="00C72151"/>
    <w:rsid w:val="00C75655"/>
    <w:rsid w:val="00C837C3"/>
    <w:rsid w:val="00C84497"/>
    <w:rsid w:val="00C868F6"/>
    <w:rsid w:val="00C90955"/>
    <w:rsid w:val="00C9137C"/>
    <w:rsid w:val="00C91644"/>
    <w:rsid w:val="00C926B6"/>
    <w:rsid w:val="00C9663B"/>
    <w:rsid w:val="00CA019E"/>
    <w:rsid w:val="00CA43A5"/>
    <w:rsid w:val="00CA7C0B"/>
    <w:rsid w:val="00CB14F6"/>
    <w:rsid w:val="00CB299A"/>
    <w:rsid w:val="00CB4762"/>
    <w:rsid w:val="00CB6E2B"/>
    <w:rsid w:val="00CB6FF7"/>
    <w:rsid w:val="00CB7302"/>
    <w:rsid w:val="00CC1E9F"/>
    <w:rsid w:val="00CC5896"/>
    <w:rsid w:val="00CD36BF"/>
    <w:rsid w:val="00CD72F3"/>
    <w:rsid w:val="00CE0C35"/>
    <w:rsid w:val="00CE3810"/>
    <w:rsid w:val="00CE3EC9"/>
    <w:rsid w:val="00CE52B4"/>
    <w:rsid w:val="00CE5DCD"/>
    <w:rsid w:val="00CE701C"/>
    <w:rsid w:val="00CE7599"/>
    <w:rsid w:val="00CE7C2C"/>
    <w:rsid w:val="00CF36CD"/>
    <w:rsid w:val="00CF414A"/>
    <w:rsid w:val="00CF4FF0"/>
    <w:rsid w:val="00CF5017"/>
    <w:rsid w:val="00CF5B35"/>
    <w:rsid w:val="00CF5B47"/>
    <w:rsid w:val="00D007AE"/>
    <w:rsid w:val="00D051BD"/>
    <w:rsid w:val="00D104F9"/>
    <w:rsid w:val="00D14323"/>
    <w:rsid w:val="00D16008"/>
    <w:rsid w:val="00D166D4"/>
    <w:rsid w:val="00D21E1C"/>
    <w:rsid w:val="00D24165"/>
    <w:rsid w:val="00D26388"/>
    <w:rsid w:val="00D30254"/>
    <w:rsid w:val="00D318C8"/>
    <w:rsid w:val="00D33768"/>
    <w:rsid w:val="00D33D87"/>
    <w:rsid w:val="00D35077"/>
    <w:rsid w:val="00D35A6E"/>
    <w:rsid w:val="00D408A8"/>
    <w:rsid w:val="00D45FFE"/>
    <w:rsid w:val="00D4672C"/>
    <w:rsid w:val="00D46DAE"/>
    <w:rsid w:val="00D51C8F"/>
    <w:rsid w:val="00D5204B"/>
    <w:rsid w:val="00D54C10"/>
    <w:rsid w:val="00D55191"/>
    <w:rsid w:val="00D55CD0"/>
    <w:rsid w:val="00D57544"/>
    <w:rsid w:val="00D57973"/>
    <w:rsid w:val="00D60CE2"/>
    <w:rsid w:val="00D612EC"/>
    <w:rsid w:val="00D6153E"/>
    <w:rsid w:val="00D623C4"/>
    <w:rsid w:val="00D653BA"/>
    <w:rsid w:val="00D722DF"/>
    <w:rsid w:val="00D75F46"/>
    <w:rsid w:val="00D76AAC"/>
    <w:rsid w:val="00D811EA"/>
    <w:rsid w:val="00D84675"/>
    <w:rsid w:val="00D84707"/>
    <w:rsid w:val="00D8491F"/>
    <w:rsid w:val="00D8526A"/>
    <w:rsid w:val="00D86252"/>
    <w:rsid w:val="00D917F3"/>
    <w:rsid w:val="00D9346E"/>
    <w:rsid w:val="00D97BAA"/>
    <w:rsid w:val="00DA3AF3"/>
    <w:rsid w:val="00DA4C18"/>
    <w:rsid w:val="00DA5455"/>
    <w:rsid w:val="00DA5C2B"/>
    <w:rsid w:val="00DB1B9C"/>
    <w:rsid w:val="00DB36B4"/>
    <w:rsid w:val="00DB5EFB"/>
    <w:rsid w:val="00DB6C21"/>
    <w:rsid w:val="00DB6EF1"/>
    <w:rsid w:val="00DC0060"/>
    <w:rsid w:val="00DC19BB"/>
    <w:rsid w:val="00DC3789"/>
    <w:rsid w:val="00DC6404"/>
    <w:rsid w:val="00DD7FDF"/>
    <w:rsid w:val="00DE039E"/>
    <w:rsid w:val="00DE1703"/>
    <w:rsid w:val="00DE25AC"/>
    <w:rsid w:val="00DE3FBD"/>
    <w:rsid w:val="00DE5073"/>
    <w:rsid w:val="00DF4B1A"/>
    <w:rsid w:val="00DF568D"/>
    <w:rsid w:val="00E00CCB"/>
    <w:rsid w:val="00E00F37"/>
    <w:rsid w:val="00E01D37"/>
    <w:rsid w:val="00E033A3"/>
    <w:rsid w:val="00E042C7"/>
    <w:rsid w:val="00E0781A"/>
    <w:rsid w:val="00E11475"/>
    <w:rsid w:val="00E16AD9"/>
    <w:rsid w:val="00E175A7"/>
    <w:rsid w:val="00E20168"/>
    <w:rsid w:val="00E20740"/>
    <w:rsid w:val="00E20E92"/>
    <w:rsid w:val="00E21EF9"/>
    <w:rsid w:val="00E245DA"/>
    <w:rsid w:val="00E24645"/>
    <w:rsid w:val="00E31BCB"/>
    <w:rsid w:val="00E32963"/>
    <w:rsid w:val="00E32E85"/>
    <w:rsid w:val="00E337BC"/>
    <w:rsid w:val="00E350CD"/>
    <w:rsid w:val="00E36603"/>
    <w:rsid w:val="00E372A9"/>
    <w:rsid w:val="00E4001B"/>
    <w:rsid w:val="00E45735"/>
    <w:rsid w:val="00E459F4"/>
    <w:rsid w:val="00E51FDE"/>
    <w:rsid w:val="00E534B2"/>
    <w:rsid w:val="00E56B66"/>
    <w:rsid w:val="00E579AF"/>
    <w:rsid w:val="00E62089"/>
    <w:rsid w:val="00E6720F"/>
    <w:rsid w:val="00E705B7"/>
    <w:rsid w:val="00E7086E"/>
    <w:rsid w:val="00E70ECC"/>
    <w:rsid w:val="00E71A89"/>
    <w:rsid w:val="00E763E1"/>
    <w:rsid w:val="00E77197"/>
    <w:rsid w:val="00E81B1A"/>
    <w:rsid w:val="00E846BF"/>
    <w:rsid w:val="00E84FB3"/>
    <w:rsid w:val="00E87037"/>
    <w:rsid w:val="00E938C3"/>
    <w:rsid w:val="00EA0F03"/>
    <w:rsid w:val="00EA1EF9"/>
    <w:rsid w:val="00EA2CA0"/>
    <w:rsid w:val="00EA45DD"/>
    <w:rsid w:val="00EA7237"/>
    <w:rsid w:val="00EB0055"/>
    <w:rsid w:val="00EB055B"/>
    <w:rsid w:val="00EB112A"/>
    <w:rsid w:val="00EB1383"/>
    <w:rsid w:val="00EC012F"/>
    <w:rsid w:val="00EC1212"/>
    <w:rsid w:val="00EC1833"/>
    <w:rsid w:val="00EC1D3D"/>
    <w:rsid w:val="00EC3331"/>
    <w:rsid w:val="00EC677E"/>
    <w:rsid w:val="00EC7E67"/>
    <w:rsid w:val="00ED5B5C"/>
    <w:rsid w:val="00ED70BD"/>
    <w:rsid w:val="00EE0B3E"/>
    <w:rsid w:val="00EE37BB"/>
    <w:rsid w:val="00EF4099"/>
    <w:rsid w:val="00EF6BDC"/>
    <w:rsid w:val="00F01C4C"/>
    <w:rsid w:val="00F02786"/>
    <w:rsid w:val="00F02B7D"/>
    <w:rsid w:val="00F035B0"/>
    <w:rsid w:val="00F0434F"/>
    <w:rsid w:val="00F0670F"/>
    <w:rsid w:val="00F07FA6"/>
    <w:rsid w:val="00F11BB3"/>
    <w:rsid w:val="00F13036"/>
    <w:rsid w:val="00F20D1A"/>
    <w:rsid w:val="00F21D1A"/>
    <w:rsid w:val="00F22865"/>
    <w:rsid w:val="00F24D75"/>
    <w:rsid w:val="00F261E3"/>
    <w:rsid w:val="00F3484C"/>
    <w:rsid w:val="00F34B2F"/>
    <w:rsid w:val="00F34F33"/>
    <w:rsid w:val="00F36D1F"/>
    <w:rsid w:val="00F3769E"/>
    <w:rsid w:val="00F40F06"/>
    <w:rsid w:val="00F42418"/>
    <w:rsid w:val="00F42669"/>
    <w:rsid w:val="00F438D0"/>
    <w:rsid w:val="00F4502B"/>
    <w:rsid w:val="00F455A0"/>
    <w:rsid w:val="00F45C84"/>
    <w:rsid w:val="00F4749B"/>
    <w:rsid w:val="00F514FB"/>
    <w:rsid w:val="00F56CE9"/>
    <w:rsid w:val="00F5724C"/>
    <w:rsid w:val="00F61151"/>
    <w:rsid w:val="00F647B5"/>
    <w:rsid w:val="00F64ECE"/>
    <w:rsid w:val="00F67B6E"/>
    <w:rsid w:val="00F7722B"/>
    <w:rsid w:val="00F77765"/>
    <w:rsid w:val="00F77EC3"/>
    <w:rsid w:val="00F81688"/>
    <w:rsid w:val="00F85DAE"/>
    <w:rsid w:val="00F85E98"/>
    <w:rsid w:val="00F93FC0"/>
    <w:rsid w:val="00F94277"/>
    <w:rsid w:val="00F94384"/>
    <w:rsid w:val="00F9641D"/>
    <w:rsid w:val="00FA0F38"/>
    <w:rsid w:val="00FA5277"/>
    <w:rsid w:val="00FA7C8B"/>
    <w:rsid w:val="00FB0249"/>
    <w:rsid w:val="00FB793A"/>
    <w:rsid w:val="00FC15E1"/>
    <w:rsid w:val="00FC22C9"/>
    <w:rsid w:val="00FC5D6D"/>
    <w:rsid w:val="00FC5E92"/>
    <w:rsid w:val="00FC6E3C"/>
    <w:rsid w:val="00FD6657"/>
    <w:rsid w:val="00FD7C75"/>
    <w:rsid w:val="00FE0269"/>
    <w:rsid w:val="00FE1FD3"/>
    <w:rsid w:val="00FE3FFB"/>
    <w:rsid w:val="00FE4963"/>
    <w:rsid w:val="00FE4A4A"/>
    <w:rsid w:val="00FF03B3"/>
    <w:rsid w:val="00FF0F2D"/>
    <w:rsid w:val="00FF1A54"/>
    <w:rsid w:val="00FF6DC8"/>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paragraph" w:styleId="Revision">
    <w:name w:val="Revision"/>
    <w:hidden/>
    <w:uiPriority w:val="99"/>
    <w:semiHidden/>
    <w:rsid w:val="00D21E1C"/>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9F7ADE"/>
    <w:pPr>
      <w:widowControl/>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301D1D"/>
    <w:rPr>
      <w:sz w:val="16"/>
      <w:szCs w:val="16"/>
    </w:rPr>
  </w:style>
  <w:style w:type="paragraph" w:styleId="CommentText">
    <w:name w:val="annotation text"/>
    <w:basedOn w:val="Normal"/>
    <w:link w:val="CommentTextChar"/>
    <w:uiPriority w:val="99"/>
    <w:semiHidden/>
    <w:unhideWhenUsed/>
    <w:rsid w:val="00301D1D"/>
  </w:style>
  <w:style w:type="character" w:customStyle="1" w:styleId="CommentTextChar">
    <w:name w:val="Comment Text Char"/>
    <w:basedOn w:val="DefaultParagraphFont"/>
    <w:link w:val="CommentText"/>
    <w:uiPriority w:val="99"/>
    <w:semiHidden/>
    <w:rsid w:val="00301D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1D1D"/>
    <w:rPr>
      <w:b/>
      <w:bCs/>
    </w:rPr>
  </w:style>
  <w:style w:type="character" w:customStyle="1" w:styleId="CommentSubjectChar">
    <w:name w:val="Comment Subject Char"/>
    <w:basedOn w:val="CommentTextChar"/>
    <w:link w:val="CommentSubject"/>
    <w:uiPriority w:val="99"/>
    <w:semiHidden/>
    <w:rsid w:val="00301D1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paragraph" w:styleId="Revision">
    <w:name w:val="Revision"/>
    <w:hidden/>
    <w:uiPriority w:val="99"/>
    <w:semiHidden/>
    <w:rsid w:val="00D21E1C"/>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9F7ADE"/>
    <w:pPr>
      <w:widowControl/>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301D1D"/>
    <w:rPr>
      <w:sz w:val="16"/>
      <w:szCs w:val="16"/>
    </w:rPr>
  </w:style>
  <w:style w:type="paragraph" w:styleId="CommentText">
    <w:name w:val="annotation text"/>
    <w:basedOn w:val="Normal"/>
    <w:link w:val="CommentTextChar"/>
    <w:uiPriority w:val="99"/>
    <w:semiHidden/>
    <w:unhideWhenUsed/>
    <w:rsid w:val="00301D1D"/>
  </w:style>
  <w:style w:type="character" w:customStyle="1" w:styleId="CommentTextChar">
    <w:name w:val="Comment Text Char"/>
    <w:basedOn w:val="DefaultParagraphFont"/>
    <w:link w:val="CommentText"/>
    <w:uiPriority w:val="99"/>
    <w:semiHidden/>
    <w:rsid w:val="00301D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1D1D"/>
    <w:rPr>
      <w:b/>
      <w:bCs/>
    </w:rPr>
  </w:style>
  <w:style w:type="character" w:customStyle="1" w:styleId="CommentSubjectChar">
    <w:name w:val="Comment Subject Char"/>
    <w:basedOn w:val="CommentTextChar"/>
    <w:link w:val="CommentSubject"/>
    <w:uiPriority w:val="99"/>
    <w:semiHidden/>
    <w:rsid w:val="00301D1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9437C-A1FF-4A84-8DEF-64971E7D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3372</Words>
  <Characters>19225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3</cp:revision>
  <cp:lastPrinted>2014-06-17T14:05:00Z</cp:lastPrinted>
  <dcterms:created xsi:type="dcterms:W3CDTF">2014-06-04T20:45:00Z</dcterms:created>
  <dcterms:modified xsi:type="dcterms:W3CDTF">2014-06-17T14:05:00Z</dcterms:modified>
</cp:coreProperties>
</file>