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D3" w:rsidRPr="00A90F47" w:rsidRDefault="004756D3" w:rsidP="004756D3">
      <w:pPr>
        <w:jc w:val="center"/>
        <w:rPr>
          <w:b/>
          <w:sz w:val="24"/>
          <w:szCs w:val="24"/>
        </w:rPr>
      </w:pPr>
      <w:bookmarkStart w:id="0" w:name="_GoBack"/>
      <w:bookmarkEnd w:id="0"/>
      <w:r w:rsidRPr="00A90F47">
        <w:rPr>
          <w:b/>
          <w:sz w:val="24"/>
          <w:szCs w:val="24"/>
        </w:rPr>
        <w:t>BEFORE THE</w:t>
      </w:r>
    </w:p>
    <w:p w:rsidR="004756D3" w:rsidRPr="00A90F47" w:rsidRDefault="004756D3" w:rsidP="004756D3">
      <w:pPr>
        <w:jc w:val="center"/>
        <w:rPr>
          <w:b/>
          <w:sz w:val="24"/>
          <w:szCs w:val="24"/>
        </w:rPr>
      </w:pPr>
      <w:r w:rsidRPr="00A90F47">
        <w:rPr>
          <w:b/>
          <w:sz w:val="24"/>
          <w:szCs w:val="24"/>
        </w:rPr>
        <w:t>PENNSYLVANIA PUBLIC UTILITY COMMISSION</w:t>
      </w:r>
    </w:p>
    <w:p w:rsidR="004756D3" w:rsidRPr="00A90F47" w:rsidRDefault="004756D3" w:rsidP="004756D3">
      <w:pPr>
        <w:jc w:val="center"/>
        <w:rPr>
          <w:b/>
          <w:sz w:val="24"/>
          <w:szCs w:val="24"/>
        </w:rPr>
      </w:pPr>
    </w:p>
    <w:p w:rsidR="004756D3" w:rsidRPr="00A90F47" w:rsidRDefault="004756D3" w:rsidP="004756D3">
      <w:pPr>
        <w:jc w:val="center"/>
        <w:rPr>
          <w:b/>
          <w:sz w:val="24"/>
          <w:szCs w:val="24"/>
        </w:rPr>
      </w:pPr>
    </w:p>
    <w:p w:rsidR="004756D3" w:rsidRPr="00A90F47" w:rsidRDefault="004756D3" w:rsidP="004756D3">
      <w:pPr>
        <w:jc w:val="center"/>
        <w:rPr>
          <w:b/>
          <w:sz w:val="24"/>
          <w:szCs w:val="24"/>
        </w:rPr>
      </w:pPr>
    </w:p>
    <w:p w:rsidR="004756D3" w:rsidRPr="00A90F47" w:rsidRDefault="005454B5" w:rsidP="004756D3">
      <w:pPr>
        <w:rPr>
          <w:sz w:val="24"/>
          <w:szCs w:val="24"/>
        </w:rPr>
      </w:pPr>
      <w:r w:rsidRPr="00A90F47">
        <w:rPr>
          <w:sz w:val="24"/>
          <w:szCs w:val="24"/>
        </w:rPr>
        <w:t>Titus Wright</w:t>
      </w:r>
      <w:r w:rsidRPr="00A90F47">
        <w:rPr>
          <w:sz w:val="24"/>
          <w:szCs w:val="24"/>
        </w:rPr>
        <w:tab/>
      </w:r>
      <w:r w:rsidR="004756D3" w:rsidRPr="00A90F47">
        <w:rPr>
          <w:sz w:val="24"/>
          <w:szCs w:val="24"/>
        </w:rPr>
        <w:tab/>
      </w:r>
      <w:r w:rsidR="004756D3" w:rsidRPr="00A90F47">
        <w:rPr>
          <w:sz w:val="24"/>
          <w:szCs w:val="24"/>
        </w:rPr>
        <w:tab/>
      </w:r>
      <w:r w:rsidR="004756D3" w:rsidRPr="00A90F47">
        <w:rPr>
          <w:sz w:val="24"/>
          <w:szCs w:val="24"/>
        </w:rPr>
        <w:tab/>
      </w:r>
      <w:r w:rsidR="004756D3" w:rsidRPr="00A90F47">
        <w:rPr>
          <w:sz w:val="24"/>
          <w:szCs w:val="24"/>
        </w:rPr>
        <w:tab/>
      </w:r>
      <w:r w:rsidR="004756D3" w:rsidRPr="00A90F47">
        <w:rPr>
          <w:sz w:val="24"/>
          <w:szCs w:val="24"/>
        </w:rPr>
        <w:tab/>
        <w:t>:</w:t>
      </w:r>
    </w:p>
    <w:p w:rsidR="004756D3" w:rsidRPr="00A90F47" w:rsidRDefault="004756D3" w:rsidP="004756D3">
      <w:pPr>
        <w:rPr>
          <w:sz w:val="24"/>
          <w:szCs w:val="24"/>
        </w:rPr>
      </w:pP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t>:</w:t>
      </w:r>
    </w:p>
    <w:p w:rsidR="004756D3" w:rsidRPr="00A90F47" w:rsidRDefault="00440735" w:rsidP="004756D3">
      <w:pPr>
        <w:rPr>
          <w:sz w:val="24"/>
          <w:szCs w:val="24"/>
        </w:rPr>
      </w:pPr>
      <w:r w:rsidRPr="00A90F47">
        <w:rPr>
          <w:sz w:val="24"/>
          <w:szCs w:val="24"/>
        </w:rPr>
        <w:tab/>
        <w:t>v.</w:t>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t>:</w:t>
      </w:r>
      <w:r w:rsidRPr="00A90F47">
        <w:rPr>
          <w:sz w:val="24"/>
          <w:szCs w:val="24"/>
        </w:rPr>
        <w:tab/>
      </w:r>
      <w:r w:rsidRPr="00A90F47">
        <w:rPr>
          <w:sz w:val="24"/>
          <w:szCs w:val="24"/>
        </w:rPr>
        <w:tab/>
        <w:t>C-2013-2368462</w:t>
      </w:r>
    </w:p>
    <w:p w:rsidR="004756D3" w:rsidRPr="00A90F47" w:rsidRDefault="004756D3" w:rsidP="004756D3">
      <w:pPr>
        <w:rPr>
          <w:sz w:val="24"/>
          <w:szCs w:val="24"/>
        </w:rPr>
      </w:pP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t>:</w:t>
      </w:r>
    </w:p>
    <w:p w:rsidR="004756D3" w:rsidRPr="00A90F47" w:rsidRDefault="004756D3" w:rsidP="004756D3">
      <w:pPr>
        <w:rPr>
          <w:sz w:val="24"/>
          <w:szCs w:val="24"/>
        </w:rPr>
      </w:pPr>
      <w:r w:rsidRPr="00A90F47">
        <w:rPr>
          <w:sz w:val="24"/>
          <w:szCs w:val="24"/>
        </w:rPr>
        <w:t>Philadelphia Gas Works</w:t>
      </w:r>
      <w:r w:rsidRPr="00A90F47">
        <w:rPr>
          <w:sz w:val="24"/>
          <w:szCs w:val="24"/>
        </w:rPr>
        <w:tab/>
      </w:r>
      <w:r w:rsidRPr="00A90F47">
        <w:rPr>
          <w:sz w:val="24"/>
          <w:szCs w:val="24"/>
        </w:rPr>
        <w:tab/>
      </w:r>
      <w:r w:rsidRPr="00A90F47">
        <w:rPr>
          <w:sz w:val="24"/>
          <w:szCs w:val="24"/>
        </w:rPr>
        <w:tab/>
      </w:r>
      <w:r w:rsidRPr="00A90F47">
        <w:rPr>
          <w:sz w:val="24"/>
          <w:szCs w:val="24"/>
        </w:rPr>
        <w:tab/>
        <w:t>:</w:t>
      </w:r>
    </w:p>
    <w:p w:rsidR="004756D3" w:rsidRPr="00A90F47" w:rsidRDefault="004756D3" w:rsidP="004756D3">
      <w:pPr>
        <w:rPr>
          <w:sz w:val="24"/>
          <w:szCs w:val="24"/>
        </w:rPr>
      </w:pPr>
    </w:p>
    <w:p w:rsidR="00225D82" w:rsidRPr="00A90F47" w:rsidRDefault="00225D82" w:rsidP="004756D3">
      <w:pPr>
        <w:rPr>
          <w:sz w:val="24"/>
          <w:szCs w:val="24"/>
        </w:rPr>
      </w:pPr>
    </w:p>
    <w:p w:rsidR="004756D3" w:rsidRPr="00A90F47" w:rsidRDefault="004756D3" w:rsidP="004756D3">
      <w:pPr>
        <w:rPr>
          <w:sz w:val="24"/>
          <w:szCs w:val="24"/>
        </w:rPr>
      </w:pPr>
    </w:p>
    <w:p w:rsidR="00C04960" w:rsidRPr="00A90F47" w:rsidRDefault="004756D3" w:rsidP="004756D3">
      <w:pPr>
        <w:jc w:val="center"/>
        <w:rPr>
          <w:b/>
          <w:sz w:val="24"/>
          <w:szCs w:val="24"/>
          <w:u w:val="single"/>
        </w:rPr>
      </w:pPr>
      <w:r w:rsidRPr="00A90F47">
        <w:rPr>
          <w:b/>
          <w:sz w:val="24"/>
          <w:szCs w:val="24"/>
          <w:u w:val="single"/>
        </w:rPr>
        <w:t>INITIAL DECISION</w:t>
      </w:r>
    </w:p>
    <w:p w:rsidR="004756D3" w:rsidRPr="00A90F47" w:rsidRDefault="004756D3" w:rsidP="004756D3">
      <w:pPr>
        <w:jc w:val="center"/>
        <w:rPr>
          <w:b/>
          <w:sz w:val="24"/>
          <w:szCs w:val="24"/>
          <w:u w:val="single"/>
        </w:rPr>
      </w:pPr>
    </w:p>
    <w:p w:rsidR="004756D3" w:rsidRPr="00A90F47" w:rsidRDefault="004756D3" w:rsidP="004756D3">
      <w:pPr>
        <w:jc w:val="center"/>
        <w:rPr>
          <w:b/>
          <w:sz w:val="24"/>
          <w:szCs w:val="24"/>
          <w:u w:val="single"/>
        </w:rPr>
      </w:pPr>
    </w:p>
    <w:p w:rsidR="004756D3" w:rsidRPr="00A90F47" w:rsidRDefault="004756D3" w:rsidP="004756D3">
      <w:pPr>
        <w:jc w:val="center"/>
        <w:rPr>
          <w:sz w:val="24"/>
          <w:szCs w:val="24"/>
        </w:rPr>
      </w:pPr>
      <w:r w:rsidRPr="00A90F47">
        <w:rPr>
          <w:sz w:val="24"/>
          <w:szCs w:val="24"/>
        </w:rPr>
        <w:t>Before</w:t>
      </w:r>
    </w:p>
    <w:p w:rsidR="004756D3" w:rsidRPr="00A90F47" w:rsidRDefault="007E2140" w:rsidP="004756D3">
      <w:pPr>
        <w:jc w:val="center"/>
        <w:rPr>
          <w:sz w:val="24"/>
          <w:szCs w:val="24"/>
        </w:rPr>
      </w:pPr>
      <w:r w:rsidRPr="00A90F47">
        <w:rPr>
          <w:sz w:val="24"/>
          <w:szCs w:val="24"/>
        </w:rPr>
        <w:t>Kandace F. Melillo</w:t>
      </w:r>
    </w:p>
    <w:p w:rsidR="004756D3" w:rsidRPr="00A90F47" w:rsidRDefault="004756D3" w:rsidP="004756D3">
      <w:pPr>
        <w:jc w:val="center"/>
        <w:rPr>
          <w:sz w:val="24"/>
          <w:szCs w:val="24"/>
        </w:rPr>
      </w:pPr>
      <w:r w:rsidRPr="00A90F47">
        <w:rPr>
          <w:sz w:val="24"/>
          <w:szCs w:val="24"/>
        </w:rPr>
        <w:t>Administrative Law Judge</w:t>
      </w:r>
    </w:p>
    <w:p w:rsidR="004756D3" w:rsidRPr="00A90F47" w:rsidRDefault="004756D3" w:rsidP="004756D3">
      <w:pPr>
        <w:jc w:val="center"/>
        <w:rPr>
          <w:sz w:val="24"/>
          <w:szCs w:val="24"/>
        </w:rPr>
      </w:pPr>
    </w:p>
    <w:p w:rsidR="004756D3" w:rsidRPr="00A90F47" w:rsidRDefault="004756D3" w:rsidP="004756D3">
      <w:pPr>
        <w:jc w:val="center"/>
        <w:rPr>
          <w:sz w:val="24"/>
          <w:szCs w:val="24"/>
        </w:rPr>
      </w:pPr>
    </w:p>
    <w:p w:rsidR="003D1704" w:rsidRDefault="003D1704" w:rsidP="004756D3">
      <w:pPr>
        <w:jc w:val="center"/>
        <w:rPr>
          <w:sz w:val="24"/>
          <w:szCs w:val="24"/>
          <w:u w:val="single"/>
        </w:rPr>
      </w:pPr>
    </w:p>
    <w:p w:rsidR="004756D3" w:rsidRPr="00A90F47" w:rsidRDefault="00221258" w:rsidP="004756D3">
      <w:pPr>
        <w:jc w:val="center"/>
        <w:rPr>
          <w:sz w:val="24"/>
          <w:szCs w:val="24"/>
          <w:u w:val="single"/>
        </w:rPr>
      </w:pPr>
      <w:r w:rsidRPr="00A90F47">
        <w:rPr>
          <w:sz w:val="24"/>
          <w:szCs w:val="24"/>
          <w:u w:val="single"/>
        </w:rPr>
        <w:t>INTRODUCTION</w:t>
      </w:r>
    </w:p>
    <w:p w:rsidR="004756D3" w:rsidRPr="00A90F47" w:rsidRDefault="004756D3" w:rsidP="004756D3">
      <w:pPr>
        <w:jc w:val="center"/>
        <w:rPr>
          <w:sz w:val="24"/>
          <w:szCs w:val="24"/>
          <w:u w:val="single"/>
        </w:rPr>
      </w:pPr>
    </w:p>
    <w:p w:rsidR="004756D3" w:rsidRPr="00A90F47" w:rsidRDefault="004756D3" w:rsidP="004756D3">
      <w:pPr>
        <w:jc w:val="center"/>
        <w:rPr>
          <w:sz w:val="24"/>
          <w:szCs w:val="24"/>
          <w:u w:val="single"/>
        </w:rPr>
      </w:pPr>
    </w:p>
    <w:p w:rsidR="001F7056" w:rsidRPr="00A90F47" w:rsidRDefault="004756D3" w:rsidP="001C03F5">
      <w:pPr>
        <w:spacing w:line="360" w:lineRule="auto"/>
        <w:rPr>
          <w:sz w:val="24"/>
          <w:szCs w:val="24"/>
        </w:rPr>
      </w:pPr>
      <w:r w:rsidRPr="00A90F47">
        <w:rPr>
          <w:sz w:val="24"/>
          <w:szCs w:val="24"/>
        </w:rPr>
        <w:tab/>
      </w:r>
      <w:r w:rsidRPr="00A90F47">
        <w:rPr>
          <w:sz w:val="24"/>
          <w:szCs w:val="24"/>
        </w:rPr>
        <w:tab/>
      </w:r>
      <w:r w:rsidR="004550C6" w:rsidRPr="00A90F47">
        <w:rPr>
          <w:sz w:val="24"/>
          <w:szCs w:val="24"/>
        </w:rPr>
        <w:t xml:space="preserve">This </w:t>
      </w:r>
      <w:r w:rsidRPr="00A90F47">
        <w:rPr>
          <w:sz w:val="24"/>
          <w:szCs w:val="24"/>
        </w:rPr>
        <w:t xml:space="preserve">Initial Decision </w:t>
      </w:r>
      <w:r w:rsidR="00E1461E" w:rsidRPr="00A90F47">
        <w:rPr>
          <w:sz w:val="24"/>
          <w:szCs w:val="24"/>
        </w:rPr>
        <w:t>grants the utility’s</w:t>
      </w:r>
      <w:r w:rsidR="003E657C" w:rsidRPr="00A90F47">
        <w:rPr>
          <w:sz w:val="24"/>
          <w:szCs w:val="24"/>
        </w:rPr>
        <w:t xml:space="preserve"> </w:t>
      </w:r>
      <w:r w:rsidR="00106069">
        <w:rPr>
          <w:sz w:val="24"/>
          <w:szCs w:val="24"/>
        </w:rPr>
        <w:t xml:space="preserve">oral </w:t>
      </w:r>
      <w:r w:rsidR="003E657C" w:rsidRPr="00A90F47">
        <w:rPr>
          <w:sz w:val="24"/>
          <w:szCs w:val="24"/>
        </w:rPr>
        <w:t>motion</w:t>
      </w:r>
      <w:r w:rsidR="00E1461E" w:rsidRPr="00A90F47">
        <w:rPr>
          <w:sz w:val="24"/>
          <w:szCs w:val="24"/>
        </w:rPr>
        <w:t xml:space="preserve">, made at </w:t>
      </w:r>
      <w:r w:rsidR="003E657C" w:rsidRPr="00A90F47">
        <w:rPr>
          <w:sz w:val="24"/>
          <w:szCs w:val="24"/>
        </w:rPr>
        <w:t>the</w:t>
      </w:r>
      <w:r w:rsidR="00E1461E" w:rsidRPr="00A90F47">
        <w:rPr>
          <w:sz w:val="24"/>
          <w:szCs w:val="24"/>
        </w:rPr>
        <w:t xml:space="preserve"> hearing, </w:t>
      </w:r>
      <w:r w:rsidR="003C6D74" w:rsidRPr="00A90F47">
        <w:rPr>
          <w:sz w:val="24"/>
          <w:szCs w:val="24"/>
        </w:rPr>
        <w:t xml:space="preserve">and dismisses </w:t>
      </w:r>
      <w:r w:rsidR="00087AAA" w:rsidRPr="00A90F47">
        <w:rPr>
          <w:sz w:val="24"/>
          <w:szCs w:val="24"/>
        </w:rPr>
        <w:t>a high bill complaint, which relates to</w:t>
      </w:r>
      <w:r w:rsidR="003C6D74" w:rsidRPr="00A90F47">
        <w:rPr>
          <w:sz w:val="24"/>
          <w:szCs w:val="24"/>
        </w:rPr>
        <w:t xml:space="preserve"> </w:t>
      </w:r>
      <w:r w:rsidR="00285905" w:rsidRPr="00A90F47">
        <w:rPr>
          <w:sz w:val="24"/>
          <w:szCs w:val="24"/>
        </w:rPr>
        <w:t xml:space="preserve">two (2) bills in the winter of 2009-2010 and two (2) bills in the winter of 2010-2011.  The customer added the </w:t>
      </w:r>
      <w:r w:rsidR="003C6D74" w:rsidRPr="00A90F47">
        <w:rPr>
          <w:sz w:val="24"/>
          <w:szCs w:val="24"/>
        </w:rPr>
        <w:t>two (2) earlier bills to his complaint during the hearing, and the utility did not object.</w:t>
      </w:r>
      <w:r w:rsidR="00285905" w:rsidRPr="00A90F47">
        <w:rPr>
          <w:sz w:val="24"/>
          <w:szCs w:val="24"/>
        </w:rPr>
        <w:t xml:space="preserve">  These bills were the subject matter of prior </w:t>
      </w:r>
      <w:r w:rsidR="00071EC9" w:rsidRPr="00A90F47">
        <w:rPr>
          <w:sz w:val="24"/>
          <w:szCs w:val="24"/>
        </w:rPr>
        <w:t xml:space="preserve">consolidated </w:t>
      </w:r>
      <w:r w:rsidR="00285905" w:rsidRPr="00A90F47">
        <w:rPr>
          <w:sz w:val="24"/>
          <w:szCs w:val="24"/>
        </w:rPr>
        <w:t>complaints at Docket Nos. F-2010-2192191 and C-2011-2225996, which were settled through an unobjected to Certificate of Satisfaction.</w:t>
      </w:r>
      <w:r w:rsidR="008871B5">
        <w:rPr>
          <w:sz w:val="24"/>
          <w:szCs w:val="24"/>
        </w:rPr>
        <w:t xml:space="preserve">  </w:t>
      </w:r>
      <w:r w:rsidR="00CC3D24" w:rsidRPr="00A90F47">
        <w:rPr>
          <w:sz w:val="24"/>
          <w:szCs w:val="24"/>
        </w:rPr>
        <w:t xml:space="preserve">The utility did remove late payment charges </w:t>
      </w:r>
      <w:r w:rsidR="0078501F" w:rsidRPr="00A90F47">
        <w:rPr>
          <w:sz w:val="24"/>
          <w:szCs w:val="24"/>
        </w:rPr>
        <w:t>in the amount</w:t>
      </w:r>
      <w:r w:rsidR="001F7056" w:rsidRPr="00A90F47">
        <w:rPr>
          <w:sz w:val="24"/>
          <w:szCs w:val="24"/>
        </w:rPr>
        <w:t xml:space="preserve"> of $2</w:t>
      </w:r>
      <w:r w:rsidR="0096722A" w:rsidRPr="00A90F47">
        <w:rPr>
          <w:sz w:val="24"/>
          <w:szCs w:val="24"/>
        </w:rPr>
        <w:t>05.42 from the account, which i</w:t>
      </w:r>
      <w:r w:rsidR="001F7056" w:rsidRPr="00A90F47">
        <w:rPr>
          <w:sz w:val="24"/>
          <w:szCs w:val="24"/>
        </w:rPr>
        <w:t>s related</w:t>
      </w:r>
      <w:r w:rsidR="00577894" w:rsidRPr="00A90F47">
        <w:rPr>
          <w:sz w:val="24"/>
          <w:szCs w:val="24"/>
        </w:rPr>
        <w:t xml:space="preserve"> to the time </w:t>
      </w:r>
      <w:r w:rsidR="004A7F39" w:rsidRPr="00A90F47">
        <w:rPr>
          <w:sz w:val="24"/>
          <w:szCs w:val="24"/>
        </w:rPr>
        <w:t xml:space="preserve">period when the </w:t>
      </w:r>
      <w:r w:rsidR="0096722A" w:rsidRPr="00A90F47">
        <w:rPr>
          <w:sz w:val="24"/>
          <w:szCs w:val="24"/>
        </w:rPr>
        <w:t>bills were in dispute.</w:t>
      </w:r>
    </w:p>
    <w:p w:rsidR="001F7056" w:rsidRPr="00A90F47" w:rsidRDefault="001F7056" w:rsidP="002B4E39">
      <w:pPr>
        <w:rPr>
          <w:sz w:val="24"/>
          <w:szCs w:val="24"/>
        </w:rPr>
      </w:pPr>
    </w:p>
    <w:p w:rsidR="003D1704" w:rsidRDefault="003D1704" w:rsidP="00FC4CF7">
      <w:pPr>
        <w:jc w:val="center"/>
        <w:rPr>
          <w:sz w:val="24"/>
          <w:szCs w:val="24"/>
          <w:u w:val="single"/>
        </w:rPr>
      </w:pPr>
    </w:p>
    <w:p w:rsidR="00221258" w:rsidRPr="00FC4CF7" w:rsidRDefault="00221258" w:rsidP="00FC4CF7">
      <w:pPr>
        <w:jc w:val="center"/>
        <w:rPr>
          <w:sz w:val="24"/>
          <w:szCs w:val="24"/>
          <w:u w:val="single"/>
        </w:rPr>
      </w:pPr>
      <w:r w:rsidRPr="00A90F47">
        <w:rPr>
          <w:sz w:val="24"/>
          <w:szCs w:val="24"/>
          <w:u w:val="single"/>
        </w:rPr>
        <w:t>HISTORY OF THE PROCEEDINGS</w:t>
      </w:r>
    </w:p>
    <w:p w:rsidR="00221258" w:rsidRDefault="00221258" w:rsidP="002B4E39">
      <w:pPr>
        <w:rPr>
          <w:sz w:val="24"/>
          <w:szCs w:val="24"/>
        </w:rPr>
      </w:pPr>
    </w:p>
    <w:p w:rsidR="002B4E39" w:rsidRPr="00A90F47" w:rsidRDefault="002B4E39" w:rsidP="002B4E39">
      <w:pPr>
        <w:rPr>
          <w:sz w:val="24"/>
          <w:szCs w:val="24"/>
        </w:rPr>
      </w:pPr>
    </w:p>
    <w:p w:rsidR="004756D3" w:rsidRPr="00A90F47" w:rsidRDefault="004756D3" w:rsidP="004756D3">
      <w:pPr>
        <w:spacing w:line="360" w:lineRule="auto"/>
        <w:rPr>
          <w:sz w:val="24"/>
          <w:szCs w:val="24"/>
        </w:rPr>
      </w:pPr>
      <w:r w:rsidRPr="00A90F47">
        <w:rPr>
          <w:sz w:val="24"/>
          <w:szCs w:val="24"/>
        </w:rPr>
        <w:tab/>
      </w:r>
      <w:r w:rsidRPr="00A90F47">
        <w:rPr>
          <w:sz w:val="24"/>
          <w:szCs w:val="24"/>
        </w:rPr>
        <w:tab/>
        <w:t xml:space="preserve">On </w:t>
      </w:r>
      <w:r w:rsidR="00565F99" w:rsidRPr="00A90F47">
        <w:rPr>
          <w:sz w:val="24"/>
          <w:szCs w:val="24"/>
        </w:rPr>
        <w:t>June 7, 2013, Titus Wright (Mr. Wright or Complainant) filed a F</w:t>
      </w:r>
      <w:r w:rsidRPr="00A90F47">
        <w:rPr>
          <w:sz w:val="24"/>
          <w:szCs w:val="24"/>
        </w:rPr>
        <w:t>ormal Complaint against Philadelphia Gas Works (PG</w:t>
      </w:r>
      <w:r w:rsidR="00440735" w:rsidRPr="00A90F47">
        <w:rPr>
          <w:sz w:val="24"/>
          <w:szCs w:val="24"/>
        </w:rPr>
        <w:t>W</w:t>
      </w:r>
      <w:r w:rsidR="00565F99" w:rsidRPr="00A90F47">
        <w:rPr>
          <w:sz w:val="24"/>
          <w:szCs w:val="24"/>
        </w:rPr>
        <w:t>, Respondent, or the Company)</w:t>
      </w:r>
      <w:r w:rsidR="007A68D1" w:rsidRPr="00A90F47">
        <w:rPr>
          <w:sz w:val="24"/>
          <w:szCs w:val="24"/>
        </w:rPr>
        <w:t>,</w:t>
      </w:r>
      <w:r w:rsidR="002B4E39">
        <w:rPr>
          <w:sz w:val="24"/>
          <w:szCs w:val="24"/>
        </w:rPr>
        <w:t xml:space="preserve"> </w:t>
      </w:r>
      <w:r w:rsidR="00C85927" w:rsidRPr="00A90F47">
        <w:rPr>
          <w:sz w:val="24"/>
          <w:szCs w:val="24"/>
        </w:rPr>
        <w:t xml:space="preserve">                                                                                                                                                                                                                                                                                                                                                                                                                                                                                                                                                                                                                                                                                                                                                                                                                                                                                                                                                                                                                                                                                                                                                                                                                                                                                                                                                                                                                                                                                                                                                                                         </w:t>
      </w:r>
      <w:r w:rsidR="00440735" w:rsidRPr="00A90F47">
        <w:rPr>
          <w:sz w:val="24"/>
          <w:szCs w:val="24"/>
        </w:rPr>
        <w:t xml:space="preserve">      </w:t>
      </w:r>
      <w:r w:rsidR="00565F99" w:rsidRPr="00A90F47">
        <w:rPr>
          <w:sz w:val="24"/>
          <w:szCs w:val="24"/>
        </w:rPr>
        <w:t xml:space="preserve">    </w:t>
      </w:r>
      <w:r w:rsidRPr="00A90F47">
        <w:rPr>
          <w:sz w:val="24"/>
          <w:szCs w:val="24"/>
        </w:rPr>
        <w:t xml:space="preserve">alleging that there </w:t>
      </w:r>
      <w:r w:rsidR="00565F99" w:rsidRPr="00A90F47">
        <w:rPr>
          <w:sz w:val="24"/>
          <w:szCs w:val="24"/>
        </w:rPr>
        <w:t>were</w:t>
      </w:r>
      <w:r w:rsidRPr="00A90F47">
        <w:rPr>
          <w:sz w:val="24"/>
          <w:szCs w:val="24"/>
        </w:rPr>
        <w:t xml:space="preserve"> incorrect charges on his bill</w:t>
      </w:r>
      <w:r w:rsidR="00565F99" w:rsidRPr="00A90F47">
        <w:rPr>
          <w:sz w:val="24"/>
          <w:szCs w:val="24"/>
        </w:rPr>
        <w:t xml:space="preserve"> </w:t>
      </w:r>
      <w:r w:rsidR="0067750C" w:rsidRPr="00A90F47">
        <w:rPr>
          <w:sz w:val="24"/>
          <w:szCs w:val="24"/>
        </w:rPr>
        <w:t xml:space="preserve">for </w:t>
      </w:r>
      <w:r w:rsidR="008D2AAD" w:rsidRPr="00A90F47">
        <w:rPr>
          <w:sz w:val="24"/>
          <w:szCs w:val="24"/>
        </w:rPr>
        <w:t>December</w:t>
      </w:r>
      <w:r w:rsidR="00D04941">
        <w:rPr>
          <w:sz w:val="24"/>
          <w:szCs w:val="24"/>
        </w:rPr>
        <w:t>,</w:t>
      </w:r>
      <w:r w:rsidR="008D2AAD" w:rsidRPr="00A90F47">
        <w:rPr>
          <w:sz w:val="24"/>
          <w:szCs w:val="24"/>
        </w:rPr>
        <w:t xml:space="preserve"> 2010 </w:t>
      </w:r>
      <w:r w:rsidR="00565F99" w:rsidRPr="00A90F47">
        <w:rPr>
          <w:sz w:val="24"/>
          <w:szCs w:val="24"/>
        </w:rPr>
        <w:t xml:space="preserve">and </w:t>
      </w:r>
      <w:r w:rsidR="008D2AAD" w:rsidRPr="00A90F47">
        <w:rPr>
          <w:sz w:val="24"/>
          <w:szCs w:val="24"/>
        </w:rPr>
        <w:t>January</w:t>
      </w:r>
      <w:r w:rsidR="00D04941">
        <w:rPr>
          <w:sz w:val="24"/>
          <w:szCs w:val="24"/>
        </w:rPr>
        <w:t>,</w:t>
      </w:r>
      <w:r w:rsidR="008D2AAD" w:rsidRPr="00A90F47">
        <w:rPr>
          <w:sz w:val="24"/>
          <w:szCs w:val="24"/>
        </w:rPr>
        <w:t xml:space="preserve"> 2011 and </w:t>
      </w:r>
      <w:r w:rsidR="0067750C" w:rsidRPr="00A90F47">
        <w:rPr>
          <w:sz w:val="24"/>
          <w:szCs w:val="24"/>
        </w:rPr>
        <w:lastRenderedPageBreak/>
        <w:t xml:space="preserve">that </w:t>
      </w:r>
      <w:r w:rsidR="00565F99" w:rsidRPr="00A90F47">
        <w:rPr>
          <w:sz w:val="24"/>
          <w:szCs w:val="24"/>
        </w:rPr>
        <w:t>the Company was threatening to shut-off service</w:t>
      </w:r>
      <w:r w:rsidRPr="00A90F47">
        <w:rPr>
          <w:sz w:val="24"/>
          <w:szCs w:val="24"/>
        </w:rPr>
        <w:t>.  He allege</w:t>
      </w:r>
      <w:r w:rsidR="00565F99" w:rsidRPr="00A90F47">
        <w:rPr>
          <w:sz w:val="24"/>
          <w:szCs w:val="24"/>
        </w:rPr>
        <w:t>d</w:t>
      </w:r>
      <w:r w:rsidRPr="00A90F47">
        <w:rPr>
          <w:sz w:val="24"/>
          <w:szCs w:val="24"/>
        </w:rPr>
        <w:t xml:space="preserve"> that the</w:t>
      </w:r>
      <w:r w:rsidR="008D2AAD" w:rsidRPr="00A90F47">
        <w:rPr>
          <w:sz w:val="24"/>
          <w:szCs w:val="24"/>
        </w:rPr>
        <w:t>se</w:t>
      </w:r>
      <w:r w:rsidRPr="00A90F47">
        <w:rPr>
          <w:sz w:val="24"/>
          <w:szCs w:val="24"/>
        </w:rPr>
        <w:t xml:space="preserve"> </w:t>
      </w:r>
      <w:r w:rsidR="0096722A" w:rsidRPr="00A90F47">
        <w:rPr>
          <w:sz w:val="24"/>
          <w:szCs w:val="24"/>
        </w:rPr>
        <w:t xml:space="preserve">two (2) </w:t>
      </w:r>
      <w:r w:rsidR="008D2AAD" w:rsidRPr="00A90F47">
        <w:rPr>
          <w:sz w:val="24"/>
          <w:szCs w:val="24"/>
        </w:rPr>
        <w:t xml:space="preserve">bills, which were </w:t>
      </w:r>
      <w:r w:rsidR="00565F99" w:rsidRPr="00A90F47">
        <w:rPr>
          <w:sz w:val="24"/>
          <w:szCs w:val="24"/>
        </w:rPr>
        <w:t>from a prior residence</w:t>
      </w:r>
      <w:r w:rsidR="008D2AAD" w:rsidRPr="00A90F47">
        <w:rPr>
          <w:sz w:val="24"/>
          <w:szCs w:val="24"/>
        </w:rPr>
        <w:t>,</w:t>
      </w:r>
      <w:r w:rsidR="00565F99" w:rsidRPr="00A90F47">
        <w:rPr>
          <w:sz w:val="24"/>
          <w:szCs w:val="24"/>
        </w:rPr>
        <w:t xml:space="preserve"> had been transferred to his present service location and that the</w:t>
      </w:r>
      <w:r w:rsidR="008D2AAD" w:rsidRPr="00A90F47">
        <w:rPr>
          <w:sz w:val="24"/>
          <w:szCs w:val="24"/>
        </w:rPr>
        <w:t>y were in</w:t>
      </w:r>
      <w:r w:rsidR="00565F99" w:rsidRPr="00A90F47">
        <w:rPr>
          <w:sz w:val="24"/>
          <w:szCs w:val="24"/>
        </w:rPr>
        <w:t>correct</w:t>
      </w:r>
      <w:r w:rsidR="003079C8" w:rsidRPr="00A90F47">
        <w:rPr>
          <w:sz w:val="24"/>
          <w:szCs w:val="24"/>
        </w:rPr>
        <w:t xml:space="preserve"> and resulted in placement of liens</w:t>
      </w:r>
      <w:r w:rsidR="00565F99" w:rsidRPr="00A90F47">
        <w:rPr>
          <w:sz w:val="24"/>
          <w:szCs w:val="24"/>
        </w:rPr>
        <w:t xml:space="preserve">.  As relief, he requested that PGW be required to adjust </w:t>
      </w:r>
      <w:r w:rsidR="00F9391A" w:rsidRPr="00A90F47">
        <w:rPr>
          <w:sz w:val="24"/>
          <w:szCs w:val="24"/>
        </w:rPr>
        <w:t>his ac</w:t>
      </w:r>
      <w:r w:rsidR="00071EC9" w:rsidRPr="00A90F47">
        <w:rPr>
          <w:sz w:val="24"/>
          <w:szCs w:val="24"/>
        </w:rPr>
        <w:t xml:space="preserve">count by at least $2,000 and </w:t>
      </w:r>
      <w:r w:rsidR="00F9391A" w:rsidRPr="00A90F47">
        <w:rPr>
          <w:sz w:val="24"/>
          <w:szCs w:val="24"/>
        </w:rPr>
        <w:t>refrain from terminating service.</w:t>
      </w:r>
    </w:p>
    <w:p w:rsidR="00F9391A" w:rsidRPr="00A90F47" w:rsidRDefault="00F9391A" w:rsidP="004756D3">
      <w:pPr>
        <w:spacing w:line="360" w:lineRule="auto"/>
        <w:rPr>
          <w:sz w:val="24"/>
          <w:szCs w:val="24"/>
        </w:rPr>
      </w:pPr>
    </w:p>
    <w:p w:rsidR="002F31DB" w:rsidRPr="00A90F47" w:rsidRDefault="004756D3" w:rsidP="002F31DB">
      <w:pPr>
        <w:spacing w:line="360" w:lineRule="auto"/>
        <w:rPr>
          <w:sz w:val="24"/>
          <w:szCs w:val="24"/>
        </w:rPr>
      </w:pPr>
      <w:r w:rsidRPr="00A90F47">
        <w:rPr>
          <w:sz w:val="24"/>
          <w:szCs w:val="24"/>
        </w:rPr>
        <w:tab/>
      </w:r>
      <w:r w:rsidRPr="00A90F47">
        <w:rPr>
          <w:sz w:val="24"/>
          <w:szCs w:val="24"/>
        </w:rPr>
        <w:tab/>
      </w:r>
      <w:r w:rsidR="00F9391A" w:rsidRPr="00A90F47">
        <w:rPr>
          <w:sz w:val="24"/>
          <w:szCs w:val="24"/>
        </w:rPr>
        <w:t xml:space="preserve">On </w:t>
      </w:r>
      <w:r w:rsidR="00145FDB" w:rsidRPr="00A90F47">
        <w:rPr>
          <w:sz w:val="24"/>
          <w:szCs w:val="24"/>
        </w:rPr>
        <w:t xml:space="preserve">or about July 3, 2013, PGW filed an Answer </w:t>
      </w:r>
      <w:r w:rsidR="002F31DB" w:rsidRPr="00A90F47">
        <w:rPr>
          <w:sz w:val="24"/>
          <w:szCs w:val="24"/>
        </w:rPr>
        <w:t>which averred that the bills were based on actual gas usage registered on a meter that tested within the Commission’s 2% allowable tolerance</w:t>
      </w:r>
      <w:r w:rsidR="00103997" w:rsidRPr="00A90F47">
        <w:rPr>
          <w:sz w:val="24"/>
          <w:szCs w:val="24"/>
        </w:rPr>
        <w:t>s</w:t>
      </w:r>
      <w:r w:rsidR="002F31DB" w:rsidRPr="00A90F47">
        <w:rPr>
          <w:sz w:val="24"/>
          <w:szCs w:val="24"/>
        </w:rPr>
        <w:t xml:space="preserve">.  </w:t>
      </w:r>
      <w:r w:rsidR="00B859C5" w:rsidRPr="00A90F47">
        <w:rPr>
          <w:sz w:val="24"/>
          <w:szCs w:val="24"/>
        </w:rPr>
        <w:t>The Company further averred that it was working to remove a lien which had been erroneously filed.  PGW</w:t>
      </w:r>
      <w:r w:rsidR="002F31DB" w:rsidRPr="00A90F47">
        <w:rPr>
          <w:sz w:val="24"/>
          <w:szCs w:val="24"/>
        </w:rPr>
        <w:t xml:space="preserve"> </w:t>
      </w:r>
      <w:r w:rsidR="00B859C5" w:rsidRPr="00A90F47">
        <w:rPr>
          <w:sz w:val="24"/>
          <w:szCs w:val="24"/>
        </w:rPr>
        <w:t xml:space="preserve">also </w:t>
      </w:r>
      <w:r w:rsidR="002F31DB" w:rsidRPr="00A90F47">
        <w:rPr>
          <w:sz w:val="24"/>
          <w:szCs w:val="24"/>
        </w:rPr>
        <w:t>contended that the subject matter of the</w:t>
      </w:r>
      <w:r w:rsidR="00B859C5" w:rsidRPr="00A90F47">
        <w:rPr>
          <w:sz w:val="24"/>
          <w:szCs w:val="24"/>
        </w:rPr>
        <w:t xml:space="preserve"> Complaint had been raised in </w:t>
      </w:r>
      <w:r w:rsidR="007B3A91" w:rsidRPr="00A90F47">
        <w:rPr>
          <w:sz w:val="24"/>
          <w:szCs w:val="24"/>
        </w:rPr>
        <w:t xml:space="preserve">a </w:t>
      </w:r>
      <w:r w:rsidR="002F31DB" w:rsidRPr="00A90F47">
        <w:rPr>
          <w:sz w:val="24"/>
          <w:szCs w:val="24"/>
        </w:rPr>
        <w:t xml:space="preserve">prior complaint </w:t>
      </w:r>
      <w:r w:rsidR="007B3A91" w:rsidRPr="00A90F47">
        <w:rPr>
          <w:sz w:val="24"/>
          <w:szCs w:val="24"/>
        </w:rPr>
        <w:t xml:space="preserve">and resolved in a </w:t>
      </w:r>
      <w:r w:rsidR="002F31DB" w:rsidRPr="00A90F47">
        <w:rPr>
          <w:sz w:val="24"/>
          <w:szCs w:val="24"/>
        </w:rPr>
        <w:t>settlement</w:t>
      </w:r>
      <w:r w:rsidR="00B859C5" w:rsidRPr="00A90F47">
        <w:rPr>
          <w:sz w:val="24"/>
          <w:szCs w:val="24"/>
        </w:rPr>
        <w:t>, which was attached as Exhibit A.</w:t>
      </w:r>
      <w:r w:rsidR="002F31DB" w:rsidRPr="00A90F47">
        <w:rPr>
          <w:sz w:val="24"/>
          <w:szCs w:val="24"/>
        </w:rPr>
        <w:t xml:space="preserve"> </w:t>
      </w:r>
      <w:r w:rsidR="00113BFE">
        <w:rPr>
          <w:sz w:val="24"/>
          <w:szCs w:val="24"/>
        </w:rPr>
        <w:t xml:space="preserve"> </w:t>
      </w:r>
      <w:r w:rsidR="002F31DB" w:rsidRPr="00A90F47">
        <w:rPr>
          <w:sz w:val="24"/>
          <w:szCs w:val="24"/>
        </w:rPr>
        <w:t>PG</w:t>
      </w:r>
      <w:r w:rsidR="00103997" w:rsidRPr="00A90F47">
        <w:rPr>
          <w:sz w:val="24"/>
          <w:szCs w:val="24"/>
        </w:rPr>
        <w:t>W therefore requested that the C</w:t>
      </w:r>
      <w:r w:rsidR="002F31DB" w:rsidRPr="00A90F47">
        <w:rPr>
          <w:sz w:val="24"/>
          <w:szCs w:val="24"/>
        </w:rPr>
        <w:t>omplaint be dismissed.</w:t>
      </w:r>
      <w:r w:rsidR="008D2AAD" w:rsidRPr="00A90F47">
        <w:rPr>
          <w:sz w:val="24"/>
          <w:szCs w:val="24"/>
        </w:rPr>
        <w:t xml:space="preserve">  PGW did not set forth its allegation of a prior settl</w:t>
      </w:r>
      <w:r w:rsidR="003079C8" w:rsidRPr="00A90F47">
        <w:rPr>
          <w:sz w:val="24"/>
          <w:szCs w:val="24"/>
        </w:rPr>
        <w:t>ement in New M</w:t>
      </w:r>
      <w:r w:rsidR="008D2AAD" w:rsidRPr="00A90F47">
        <w:rPr>
          <w:sz w:val="24"/>
          <w:szCs w:val="24"/>
        </w:rPr>
        <w:t>atter and did not file any preliminary objections or motions.</w:t>
      </w:r>
    </w:p>
    <w:p w:rsidR="00A4215E" w:rsidRPr="00A90F47" w:rsidRDefault="00A4215E" w:rsidP="002F31DB">
      <w:pPr>
        <w:spacing w:line="360" w:lineRule="auto"/>
        <w:rPr>
          <w:sz w:val="24"/>
          <w:szCs w:val="24"/>
        </w:rPr>
      </w:pPr>
    </w:p>
    <w:p w:rsidR="00A4215E" w:rsidRPr="00A90F47" w:rsidRDefault="00A4215E" w:rsidP="004756D3">
      <w:pPr>
        <w:spacing w:line="360" w:lineRule="auto"/>
        <w:rPr>
          <w:sz w:val="24"/>
          <w:szCs w:val="24"/>
        </w:rPr>
      </w:pPr>
      <w:r w:rsidRPr="00A90F47">
        <w:rPr>
          <w:sz w:val="24"/>
          <w:szCs w:val="24"/>
        </w:rPr>
        <w:tab/>
      </w:r>
      <w:r w:rsidRPr="00A90F47">
        <w:rPr>
          <w:sz w:val="24"/>
          <w:szCs w:val="24"/>
        </w:rPr>
        <w:tab/>
      </w:r>
      <w:r w:rsidR="002F31DB" w:rsidRPr="00A90F47">
        <w:rPr>
          <w:sz w:val="24"/>
          <w:szCs w:val="24"/>
        </w:rPr>
        <w:t xml:space="preserve">On </w:t>
      </w:r>
      <w:r w:rsidR="00103997" w:rsidRPr="00A90F47">
        <w:rPr>
          <w:sz w:val="24"/>
          <w:szCs w:val="24"/>
        </w:rPr>
        <w:t>August 15, 2013, a Telephon</w:t>
      </w:r>
      <w:r w:rsidR="00725258" w:rsidRPr="00A90F47">
        <w:rPr>
          <w:sz w:val="24"/>
          <w:szCs w:val="24"/>
        </w:rPr>
        <w:t>ic</w:t>
      </w:r>
      <w:r w:rsidR="00103997" w:rsidRPr="00A90F47">
        <w:rPr>
          <w:sz w:val="24"/>
          <w:szCs w:val="24"/>
        </w:rPr>
        <w:t xml:space="preserve"> Hearing N</w:t>
      </w:r>
      <w:r w:rsidRPr="00A90F47">
        <w:rPr>
          <w:sz w:val="24"/>
          <w:szCs w:val="24"/>
        </w:rPr>
        <w:t>otic</w:t>
      </w:r>
      <w:r w:rsidR="00103997" w:rsidRPr="00A90F47">
        <w:rPr>
          <w:sz w:val="24"/>
          <w:szCs w:val="24"/>
        </w:rPr>
        <w:t>e was issued</w:t>
      </w:r>
      <w:r w:rsidRPr="00A90F47">
        <w:rPr>
          <w:sz w:val="24"/>
          <w:szCs w:val="24"/>
        </w:rPr>
        <w:t xml:space="preserve">, </w:t>
      </w:r>
      <w:r w:rsidR="00CD411F" w:rsidRPr="00A90F47">
        <w:rPr>
          <w:sz w:val="24"/>
          <w:szCs w:val="24"/>
        </w:rPr>
        <w:t>scheduling</w:t>
      </w:r>
      <w:r w:rsidRPr="00A90F47">
        <w:rPr>
          <w:sz w:val="24"/>
          <w:szCs w:val="24"/>
        </w:rPr>
        <w:t xml:space="preserve"> the hearing for </w:t>
      </w:r>
      <w:r w:rsidR="00725258" w:rsidRPr="00A90F47">
        <w:rPr>
          <w:sz w:val="24"/>
          <w:szCs w:val="24"/>
        </w:rPr>
        <w:t xml:space="preserve">Tuesday, </w:t>
      </w:r>
      <w:r w:rsidR="00103997" w:rsidRPr="00A90F47">
        <w:rPr>
          <w:sz w:val="24"/>
          <w:szCs w:val="24"/>
        </w:rPr>
        <w:t>November 12, 2013,</w:t>
      </w:r>
      <w:r w:rsidRPr="00A90F47">
        <w:rPr>
          <w:sz w:val="24"/>
          <w:szCs w:val="24"/>
        </w:rPr>
        <w:t xml:space="preserve"> </w:t>
      </w:r>
      <w:r w:rsidR="00725258" w:rsidRPr="00A90F47">
        <w:rPr>
          <w:sz w:val="24"/>
          <w:szCs w:val="24"/>
        </w:rPr>
        <w:t xml:space="preserve">at 10:00 a.m., </w:t>
      </w:r>
      <w:r w:rsidRPr="00A90F47">
        <w:rPr>
          <w:sz w:val="24"/>
          <w:szCs w:val="24"/>
        </w:rPr>
        <w:t>and assign</w:t>
      </w:r>
      <w:r w:rsidR="00103997" w:rsidRPr="00A90F47">
        <w:rPr>
          <w:sz w:val="24"/>
          <w:szCs w:val="24"/>
        </w:rPr>
        <w:t>ing</w:t>
      </w:r>
      <w:r w:rsidRPr="00A90F47">
        <w:rPr>
          <w:sz w:val="24"/>
          <w:szCs w:val="24"/>
        </w:rPr>
        <w:t xml:space="preserve"> the matter to me.  I issued</w:t>
      </w:r>
      <w:r w:rsidR="00103997" w:rsidRPr="00A90F47">
        <w:rPr>
          <w:sz w:val="24"/>
          <w:szCs w:val="24"/>
        </w:rPr>
        <w:t xml:space="preserve"> a Prehearing Order on August 20, 2013, </w:t>
      </w:r>
      <w:r w:rsidRPr="00A90F47">
        <w:rPr>
          <w:sz w:val="24"/>
          <w:szCs w:val="24"/>
        </w:rPr>
        <w:t xml:space="preserve">which set forth </w:t>
      </w:r>
      <w:r w:rsidR="00FD7395" w:rsidRPr="00A90F47">
        <w:rPr>
          <w:sz w:val="24"/>
          <w:szCs w:val="24"/>
        </w:rPr>
        <w:t>applicable procedures regarding the conduct of the case, and required the parties to attempt settlement.  Complainant was given notice that he had the burden of proof.</w:t>
      </w:r>
    </w:p>
    <w:p w:rsidR="00FD7395" w:rsidRPr="00A90F47" w:rsidRDefault="00FD7395" w:rsidP="004756D3">
      <w:pPr>
        <w:spacing w:line="360" w:lineRule="auto"/>
        <w:rPr>
          <w:sz w:val="24"/>
          <w:szCs w:val="24"/>
        </w:rPr>
      </w:pPr>
    </w:p>
    <w:p w:rsidR="00F71030" w:rsidRPr="00A90F47" w:rsidRDefault="00FD7395" w:rsidP="004756D3">
      <w:pPr>
        <w:spacing w:line="360" w:lineRule="auto"/>
        <w:rPr>
          <w:sz w:val="24"/>
          <w:szCs w:val="24"/>
        </w:rPr>
      </w:pPr>
      <w:r w:rsidRPr="00A90F47">
        <w:rPr>
          <w:sz w:val="24"/>
          <w:szCs w:val="24"/>
        </w:rPr>
        <w:tab/>
      </w:r>
      <w:r w:rsidRPr="00A90F47">
        <w:rPr>
          <w:sz w:val="24"/>
          <w:szCs w:val="24"/>
        </w:rPr>
        <w:tab/>
        <w:t xml:space="preserve">The hearing convened as scheduled </w:t>
      </w:r>
      <w:r w:rsidR="008D2AAD" w:rsidRPr="00A90F47">
        <w:rPr>
          <w:sz w:val="24"/>
          <w:szCs w:val="24"/>
        </w:rPr>
        <w:t xml:space="preserve">on November 12, 2013.  The </w:t>
      </w:r>
      <w:r w:rsidRPr="00A90F47">
        <w:rPr>
          <w:sz w:val="24"/>
          <w:szCs w:val="24"/>
        </w:rPr>
        <w:t xml:space="preserve">parties discussed settlement </w:t>
      </w:r>
      <w:r w:rsidR="008D2AAD" w:rsidRPr="00A90F47">
        <w:rPr>
          <w:sz w:val="24"/>
          <w:szCs w:val="24"/>
        </w:rPr>
        <w:t xml:space="preserve">prior to the hearing and </w:t>
      </w:r>
      <w:r w:rsidRPr="00A90F47">
        <w:rPr>
          <w:sz w:val="24"/>
          <w:szCs w:val="24"/>
        </w:rPr>
        <w:t>announced that a settlement had been achieved.  A Certificate of Satisfaction was filed by PGW on or about November 12, 2013.</w:t>
      </w:r>
    </w:p>
    <w:p w:rsidR="00F71030" w:rsidRPr="00A90F47" w:rsidRDefault="00F71030" w:rsidP="004756D3">
      <w:pPr>
        <w:spacing w:line="360" w:lineRule="auto"/>
        <w:rPr>
          <w:sz w:val="24"/>
          <w:szCs w:val="24"/>
        </w:rPr>
      </w:pPr>
    </w:p>
    <w:p w:rsidR="00214706" w:rsidRPr="00A90F47" w:rsidRDefault="00F71030" w:rsidP="004756D3">
      <w:pPr>
        <w:spacing w:line="360" w:lineRule="auto"/>
        <w:rPr>
          <w:sz w:val="24"/>
          <w:szCs w:val="24"/>
        </w:rPr>
      </w:pPr>
      <w:r w:rsidRPr="00A90F47">
        <w:rPr>
          <w:sz w:val="24"/>
          <w:szCs w:val="24"/>
        </w:rPr>
        <w:tab/>
      </w:r>
      <w:r w:rsidRPr="00A90F47">
        <w:rPr>
          <w:sz w:val="24"/>
          <w:szCs w:val="24"/>
        </w:rPr>
        <w:tab/>
        <w:t xml:space="preserve">Under the terms of the Certificate of Satisfaction, Mr. Wright was given ten (10) days in which to object to the terms.  </w:t>
      </w:r>
      <w:r w:rsidR="00060E7A" w:rsidRPr="00A90F47">
        <w:rPr>
          <w:sz w:val="24"/>
          <w:szCs w:val="24"/>
        </w:rPr>
        <w:t>He</w:t>
      </w:r>
      <w:r w:rsidRPr="00A90F47">
        <w:rPr>
          <w:sz w:val="24"/>
          <w:szCs w:val="24"/>
        </w:rPr>
        <w:t xml:space="preserve"> elected to file a timely objection, by letter dated November 16, 2013, and the matter was then rescheduled for a hearing.  A Telephonic Hearing Notice, dated November 22, 2013, notified the parties that </w:t>
      </w:r>
      <w:r w:rsidR="00696AB8" w:rsidRPr="00A90F47">
        <w:rPr>
          <w:sz w:val="24"/>
          <w:szCs w:val="24"/>
        </w:rPr>
        <w:t>the</w:t>
      </w:r>
      <w:r w:rsidR="00725258" w:rsidRPr="00A90F47">
        <w:rPr>
          <w:sz w:val="24"/>
          <w:szCs w:val="24"/>
        </w:rPr>
        <w:t xml:space="preserve"> hearing was scheduled for Wednesday, January 29, 2014, at 10:00 a.m.</w:t>
      </w:r>
    </w:p>
    <w:p w:rsidR="00214706" w:rsidRPr="00A90F47" w:rsidRDefault="00214706" w:rsidP="004756D3">
      <w:pPr>
        <w:spacing w:line="360" w:lineRule="auto"/>
        <w:rPr>
          <w:sz w:val="24"/>
          <w:szCs w:val="24"/>
        </w:rPr>
      </w:pPr>
    </w:p>
    <w:p w:rsidR="001F7056" w:rsidRPr="00A90F47" w:rsidRDefault="00214706" w:rsidP="004756D3">
      <w:pPr>
        <w:spacing w:line="360" w:lineRule="auto"/>
        <w:rPr>
          <w:sz w:val="24"/>
          <w:szCs w:val="24"/>
        </w:rPr>
      </w:pPr>
      <w:r w:rsidRPr="00A90F47">
        <w:rPr>
          <w:sz w:val="24"/>
          <w:szCs w:val="24"/>
        </w:rPr>
        <w:tab/>
      </w:r>
      <w:r w:rsidRPr="00A90F47">
        <w:rPr>
          <w:sz w:val="24"/>
          <w:szCs w:val="24"/>
        </w:rPr>
        <w:tab/>
        <w:t xml:space="preserve">The hearing convened, as scheduled, on January 29, 2014, with </w:t>
      </w:r>
      <w:r w:rsidR="00060E7A" w:rsidRPr="00A90F47">
        <w:rPr>
          <w:sz w:val="24"/>
          <w:szCs w:val="24"/>
        </w:rPr>
        <w:t xml:space="preserve">Mr. Wright </w:t>
      </w:r>
      <w:r w:rsidRPr="00A90F47">
        <w:rPr>
          <w:sz w:val="24"/>
          <w:szCs w:val="24"/>
        </w:rPr>
        <w:t xml:space="preserve">appearing on his own behalf, </w:t>
      </w:r>
      <w:r w:rsidR="00DE0E70" w:rsidRPr="00A90F47">
        <w:rPr>
          <w:sz w:val="24"/>
          <w:szCs w:val="24"/>
        </w:rPr>
        <w:t>and Laureto Farinas, Esquire, appearin</w:t>
      </w:r>
      <w:r w:rsidR="001F7056" w:rsidRPr="00A90F47">
        <w:rPr>
          <w:sz w:val="24"/>
          <w:szCs w:val="24"/>
        </w:rPr>
        <w:t xml:space="preserve">g on behalf of PGW.  Mr. </w:t>
      </w:r>
      <w:r w:rsidR="001F7056" w:rsidRPr="00A90F47">
        <w:rPr>
          <w:sz w:val="24"/>
          <w:szCs w:val="24"/>
        </w:rPr>
        <w:lastRenderedPageBreak/>
        <w:t>Wright</w:t>
      </w:r>
      <w:r w:rsidR="00DE0E70" w:rsidRPr="00A90F47">
        <w:rPr>
          <w:sz w:val="24"/>
          <w:szCs w:val="24"/>
        </w:rPr>
        <w:t xml:space="preserve"> presented three exhibits (Complainant Exhibits A, B, and C), which were admitted into the record.  </w:t>
      </w:r>
      <w:r w:rsidR="001F7056" w:rsidRPr="00A90F47">
        <w:rPr>
          <w:sz w:val="24"/>
          <w:szCs w:val="24"/>
        </w:rPr>
        <w:t xml:space="preserve">He expanded the scope of his Complaint at the hearing by </w:t>
      </w:r>
      <w:r w:rsidR="00087AAA" w:rsidRPr="00A90F47">
        <w:rPr>
          <w:sz w:val="24"/>
          <w:szCs w:val="24"/>
        </w:rPr>
        <w:t xml:space="preserve">including two (2) </w:t>
      </w:r>
      <w:r w:rsidR="001F7056" w:rsidRPr="00A90F47">
        <w:rPr>
          <w:sz w:val="24"/>
          <w:szCs w:val="24"/>
        </w:rPr>
        <w:t>bills from the winter of 2009-2010.  Tr. 42.  PGW did not o</w:t>
      </w:r>
      <w:r w:rsidR="00ED42E8" w:rsidRPr="00A90F47">
        <w:rPr>
          <w:sz w:val="24"/>
          <w:szCs w:val="24"/>
        </w:rPr>
        <w:t>bject to this amendment of the C</w:t>
      </w:r>
      <w:r w:rsidR="001F7056" w:rsidRPr="00A90F47">
        <w:rPr>
          <w:sz w:val="24"/>
          <w:szCs w:val="24"/>
        </w:rPr>
        <w:t>omplaint.</w:t>
      </w:r>
    </w:p>
    <w:p w:rsidR="001F7056" w:rsidRPr="00A90F47" w:rsidRDefault="001F7056" w:rsidP="004756D3">
      <w:pPr>
        <w:spacing w:line="360" w:lineRule="auto"/>
        <w:rPr>
          <w:sz w:val="24"/>
          <w:szCs w:val="24"/>
        </w:rPr>
      </w:pPr>
    </w:p>
    <w:p w:rsidR="00DE0E70" w:rsidRPr="00A90F47" w:rsidRDefault="001F7056" w:rsidP="004756D3">
      <w:pPr>
        <w:spacing w:line="360" w:lineRule="auto"/>
        <w:rPr>
          <w:sz w:val="24"/>
          <w:szCs w:val="24"/>
        </w:rPr>
      </w:pPr>
      <w:r w:rsidRPr="00A90F47">
        <w:rPr>
          <w:sz w:val="24"/>
          <w:szCs w:val="24"/>
        </w:rPr>
        <w:tab/>
      </w:r>
      <w:r w:rsidRPr="00A90F47">
        <w:rPr>
          <w:sz w:val="24"/>
          <w:szCs w:val="24"/>
        </w:rPr>
        <w:tab/>
      </w:r>
      <w:r w:rsidR="005D310C" w:rsidRPr="00A90F47">
        <w:rPr>
          <w:sz w:val="24"/>
          <w:szCs w:val="24"/>
        </w:rPr>
        <w:t xml:space="preserve">Prior to </w:t>
      </w:r>
      <w:r w:rsidR="00087AAA" w:rsidRPr="00A90F47">
        <w:rPr>
          <w:sz w:val="24"/>
          <w:szCs w:val="24"/>
        </w:rPr>
        <w:t>PGW’s evidentiary presentation,</w:t>
      </w:r>
      <w:r w:rsidR="005D310C" w:rsidRPr="00A90F47">
        <w:rPr>
          <w:sz w:val="24"/>
          <w:szCs w:val="24"/>
        </w:rPr>
        <w:t xml:space="preserve"> </w:t>
      </w:r>
      <w:r w:rsidR="00DE0E70" w:rsidRPr="00A90F47">
        <w:rPr>
          <w:sz w:val="24"/>
          <w:szCs w:val="24"/>
        </w:rPr>
        <w:t xml:space="preserve">Mr. Farinas </w:t>
      </w:r>
      <w:r w:rsidR="00B13E0B" w:rsidRPr="00A90F47">
        <w:rPr>
          <w:sz w:val="24"/>
          <w:szCs w:val="24"/>
        </w:rPr>
        <w:t>made an oral motion to dismiss based on a prior settlement</w:t>
      </w:r>
      <w:r w:rsidR="00551F9B" w:rsidRPr="00A90F47">
        <w:rPr>
          <w:sz w:val="24"/>
          <w:szCs w:val="24"/>
        </w:rPr>
        <w:t xml:space="preserve"> a</w:t>
      </w:r>
      <w:r w:rsidR="003E2C22" w:rsidRPr="00A90F47">
        <w:rPr>
          <w:sz w:val="24"/>
          <w:szCs w:val="24"/>
        </w:rPr>
        <w:t>t</w:t>
      </w:r>
      <w:r w:rsidR="00551F9B" w:rsidRPr="00A90F47">
        <w:rPr>
          <w:sz w:val="24"/>
          <w:szCs w:val="24"/>
        </w:rPr>
        <w:t xml:space="preserve"> Docket Nos. F-2010-2192191 and C-2011-2225996</w:t>
      </w:r>
      <w:r w:rsidR="00B13E0B" w:rsidRPr="00A90F47">
        <w:rPr>
          <w:sz w:val="24"/>
          <w:szCs w:val="24"/>
        </w:rPr>
        <w:t xml:space="preserve">, and I indicated that I would take his motion under advisement.  </w:t>
      </w:r>
      <w:r w:rsidR="00D1690D" w:rsidRPr="00A90F47">
        <w:rPr>
          <w:sz w:val="24"/>
          <w:szCs w:val="24"/>
        </w:rPr>
        <w:t xml:space="preserve">Tr. 53.  </w:t>
      </w:r>
      <w:r w:rsidR="00B13E0B" w:rsidRPr="00A90F47">
        <w:rPr>
          <w:sz w:val="24"/>
          <w:szCs w:val="24"/>
        </w:rPr>
        <w:t xml:space="preserve">Mr. Farinas then </w:t>
      </w:r>
      <w:r w:rsidR="00DE0E70" w:rsidRPr="00A90F47">
        <w:rPr>
          <w:sz w:val="24"/>
          <w:szCs w:val="24"/>
        </w:rPr>
        <w:t xml:space="preserve">presented the testimony of </w:t>
      </w:r>
      <w:r w:rsidR="001B593D" w:rsidRPr="00A90F47">
        <w:rPr>
          <w:sz w:val="24"/>
          <w:szCs w:val="24"/>
        </w:rPr>
        <w:t>Linda Per</w:t>
      </w:r>
      <w:r w:rsidR="00A4215E" w:rsidRPr="00A90F47">
        <w:rPr>
          <w:sz w:val="24"/>
          <w:szCs w:val="24"/>
        </w:rPr>
        <w:t>e</w:t>
      </w:r>
      <w:r w:rsidR="001B593D" w:rsidRPr="00A90F47">
        <w:rPr>
          <w:sz w:val="24"/>
          <w:szCs w:val="24"/>
        </w:rPr>
        <w:t>i</w:t>
      </w:r>
      <w:r w:rsidR="00A4215E" w:rsidRPr="00A90F47">
        <w:rPr>
          <w:sz w:val="24"/>
          <w:szCs w:val="24"/>
        </w:rPr>
        <w:t xml:space="preserve">ra, </w:t>
      </w:r>
      <w:r w:rsidR="00F733A4" w:rsidRPr="00A90F47">
        <w:rPr>
          <w:sz w:val="24"/>
          <w:szCs w:val="24"/>
        </w:rPr>
        <w:t xml:space="preserve">senior customer review officer, </w:t>
      </w:r>
      <w:r w:rsidR="00A4215E" w:rsidRPr="00A90F47">
        <w:rPr>
          <w:sz w:val="24"/>
          <w:szCs w:val="24"/>
        </w:rPr>
        <w:t xml:space="preserve">who sponsored PGW Exhibits 1 through </w:t>
      </w:r>
      <w:r w:rsidR="00DE0E70" w:rsidRPr="00A90F47">
        <w:rPr>
          <w:sz w:val="24"/>
          <w:szCs w:val="24"/>
        </w:rPr>
        <w:t>8, all of which were admitted.</w:t>
      </w:r>
      <w:r w:rsidR="007A5FDC" w:rsidRPr="00A90F47">
        <w:rPr>
          <w:sz w:val="24"/>
          <w:szCs w:val="24"/>
        </w:rPr>
        <w:t xml:space="preserve">  A transcript of 124 pages was produced.</w:t>
      </w:r>
    </w:p>
    <w:p w:rsidR="00DE0E70" w:rsidRPr="00A90F47" w:rsidRDefault="00DE0E70" w:rsidP="004756D3">
      <w:pPr>
        <w:spacing w:line="360" w:lineRule="auto"/>
        <w:rPr>
          <w:sz w:val="24"/>
          <w:szCs w:val="24"/>
        </w:rPr>
      </w:pPr>
    </w:p>
    <w:p w:rsidR="007A5FDC" w:rsidRPr="00A90F47" w:rsidRDefault="00087AAA" w:rsidP="004756D3">
      <w:pPr>
        <w:spacing w:line="360" w:lineRule="auto"/>
        <w:rPr>
          <w:sz w:val="24"/>
          <w:szCs w:val="24"/>
        </w:rPr>
      </w:pPr>
      <w:r w:rsidRPr="00A90F47">
        <w:rPr>
          <w:sz w:val="24"/>
          <w:szCs w:val="24"/>
        </w:rPr>
        <w:tab/>
      </w:r>
      <w:r w:rsidRPr="00A90F47">
        <w:rPr>
          <w:sz w:val="24"/>
          <w:szCs w:val="24"/>
        </w:rPr>
        <w:tab/>
        <w:t xml:space="preserve">The parties </w:t>
      </w:r>
      <w:r w:rsidR="00DE0E70" w:rsidRPr="00A90F47">
        <w:rPr>
          <w:sz w:val="24"/>
          <w:szCs w:val="24"/>
        </w:rPr>
        <w:t>were required or given the opportunity to submit additional exhibits on or before February 12, 2014.  On February 7, 2014, I received copies of three (3) payment receipts from the Complainant, all on one page (Complainant Exhibit D).  On February 12, 2014, I received copies of PGW Exhibits 9 and 10</w:t>
      </w:r>
      <w:r w:rsidR="007A5FDC" w:rsidRPr="00A90F47">
        <w:rPr>
          <w:sz w:val="24"/>
          <w:szCs w:val="24"/>
        </w:rPr>
        <w:t>.  As there were no objections to the admission of these documents, they were admitted into the record, by Order dated March 4, 2014.</w:t>
      </w:r>
    </w:p>
    <w:p w:rsidR="007A5FDC" w:rsidRPr="00A90F47" w:rsidRDefault="007A5FDC" w:rsidP="004756D3">
      <w:pPr>
        <w:spacing w:line="360" w:lineRule="auto"/>
        <w:rPr>
          <w:sz w:val="24"/>
          <w:szCs w:val="24"/>
        </w:rPr>
      </w:pPr>
    </w:p>
    <w:p w:rsidR="007A5FDC" w:rsidRPr="00A90F47" w:rsidRDefault="007A5FDC" w:rsidP="004756D3">
      <w:pPr>
        <w:spacing w:line="360" w:lineRule="auto"/>
        <w:rPr>
          <w:sz w:val="24"/>
          <w:szCs w:val="24"/>
        </w:rPr>
      </w:pPr>
      <w:r w:rsidRPr="00A90F47">
        <w:rPr>
          <w:sz w:val="24"/>
          <w:szCs w:val="24"/>
        </w:rPr>
        <w:tab/>
      </w:r>
      <w:r w:rsidRPr="00A90F47">
        <w:rPr>
          <w:sz w:val="24"/>
          <w:szCs w:val="24"/>
        </w:rPr>
        <w:tab/>
        <w:t>On March 11, 2014, I issued a Briefing Order, which provided for the filing of Main Briefs by April 1, 2014, and Reply Briefs by April 11, 2014.</w:t>
      </w:r>
      <w:r w:rsidR="008D2AAD" w:rsidRPr="00A90F47">
        <w:rPr>
          <w:sz w:val="24"/>
          <w:szCs w:val="24"/>
        </w:rPr>
        <w:t xml:space="preserve">  A Main Brief was filed by PGW, but no briefs were filed by Complainant.  The rec</w:t>
      </w:r>
      <w:r w:rsidR="00B775BF">
        <w:rPr>
          <w:sz w:val="24"/>
          <w:szCs w:val="24"/>
        </w:rPr>
        <w:t>ord closed by Order dated April 15, </w:t>
      </w:r>
      <w:r w:rsidR="008D2AAD" w:rsidRPr="00A90F47">
        <w:rPr>
          <w:sz w:val="24"/>
          <w:szCs w:val="24"/>
        </w:rPr>
        <w:t>2014.</w:t>
      </w:r>
    </w:p>
    <w:p w:rsidR="003E7708" w:rsidRPr="00A90F47" w:rsidRDefault="003E7708" w:rsidP="004756D3">
      <w:pPr>
        <w:spacing w:line="360" w:lineRule="auto"/>
        <w:rPr>
          <w:sz w:val="24"/>
          <w:szCs w:val="24"/>
        </w:rPr>
      </w:pPr>
    </w:p>
    <w:p w:rsidR="00C14CC4" w:rsidRPr="00A90F47" w:rsidRDefault="003E7708" w:rsidP="004756D3">
      <w:pPr>
        <w:spacing w:line="360" w:lineRule="auto"/>
        <w:rPr>
          <w:sz w:val="24"/>
          <w:szCs w:val="24"/>
        </w:rPr>
      </w:pPr>
      <w:r w:rsidRPr="00A90F47">
        <w:rPr>
          <w:sz w:val="24"/>
          <w:szCs w:val="24"/>
        </w:rPr>
        <w:tab/>
      </w:r>
      <w:r w:rsidRPr="00A90F47">
        <w:rPr>
          <w:sz w:val="24"/>
          <w:szCs w:val="24"/>
        </w:rPr>
        <w:tab/>
        <w:t>On May 30, 2014, while preparing this Initial Decision, I issued a Notification to the Parties of the Taking of Official Notice, pursuant to 52 Pa.Code § 5.408, and allowed until June 9, 2014, for the parties to respond.  In this N</w:t>
      </w:r>
      <w:r w:rsidR="00536E1C" w:rsidRPr="00A90F47">
        <w:rPr>
          <w:sz w:val="24"/>
          <w:szCs w:val="24"/>
        </w:rPr>
        <w:t xml:space="preserve">otification, I took notice of the </w:t>
      </w:r>
      <w:r w:rsidR="00E3471A" w:rsidRPr="00A90F47">
        <w:rPr>
          <w:sz w:val="24"/>
          <w:szCs w:val="24"/>
        </w:rPr>
        <w:t xml:space="preserve">March 3, 2010, </w:t>
      </w:r>
      <w:r w:rsidR="00536E1C" w:rsidRPr="00A90F47">
        <w:rPr>
          <w:sz w:val="24"/>
          <w:szCs w:val="24"/>
        </w:rPr>
        <w:t xml:space="preserve">opening and </w:t>
      </w:r>
      <w:r w:rsidR="00E3471A" w:rsidRPr="00A90F47">
        <w:rPr>
          <w:sz w:val="24"/>
          <w:szCs w:val="24"/>
        </w:rPr>
        <w:t xml:space="preserve">July 20, 2010, </w:t>
      </w:r>
      <w:r w:rsidR="00536E1C" w:rsidRPr="00A90F47">
        <w:rPr>
          <w:sz w:val="24"/>
          <w:szCs w:val="24"/>
        </w:rPr>
        <w:t>closing dates for the informal com</w:t>
      </w:r>
      <w:r w:rsidR="00DE64C8" w:rsidRPr="00A90F47">
        <w:rPr>
          <w:sz w:val="24"/>
          <w:szCs w:val="24"/>
        </w:rPr>
        <w:t>plaint</w:t>
      </w:r>
      <w:r w:rsidR="00536E1C" w:rsidRPr="00A90F47">
        <w:rPr>
          <w:sz w:val="24"/>
          <w:szCs w:val="24"/>
        </w:rPr>
        <w:t xml:space="preserve">, relating to </w:t>
      </w:r>
      <w:r w:rsidR="00DE64C8" w:rsidRPr="00A90F47">
        <w:rPr>
          <w:sz w:val="24"/>
          <w:szCs w:val="24"/>
        </w:rPr>
        <w:t>Complainant’s</w:t>
      </w:r>
      <w:r w:rsidR="00536E1C" w:rsidRPr="00A90F47">
        <w:rPr>
          <w:sz w:val="24"/>
          <w:szCs w:val="24"/>
        </w:rPr>
        <w:t xml:space="preserve"> prior Formal Complaint at Docket No. F-2010-2192191.  It was the settlement of this Formal Complaint,</w:t>
      </w:r>
      <w:r w:rsidR="000C09AB">
        <w:rPr>
          <w:sz w:val="24"/>
          <w:szCs w:val="24"/>
        </w:rPr>
        <w:t xml:space="preserve"> consolidated with C-2011-222599</w:t>
      </w:r>
      <w:r w:rsidR="00536E1C" w:rsidRPr="00A90F47">
        <w:rPr>
          <w:sz w:val="24"/>
          <w:szCs w:val="24"/>
        </w:rPr>
        <w:t>6, which was the basis of Respondent’s oral motion to dismiss.  No party filed any opposition to the taking of official notice.</w:t>
      </w:r>
    </w:p>
    <w:p w:rsidR="00C14CC4" w:rsidRPr="00A90F47" w:rsidRDefault="00C14CC4" w:rsidP="004756D3">
      <w:pPr>
        <w:spacing w:line="360" w:lineRule="auto"/>
        <w:rPr>
          <w:sz w:val="24"/>
          <w:szCs w:val="24"/>
        </w:rPr>
      </w:pPr>
    </w:p>
    <w:p w:rsidR="003E7708" w:rsidRPr="00A90F47" w:rsidRDefault="00C14CC4" w:rsidP="004756D3">
      <w:pPr>
        <w:spacing w:line="360" w:lineRule="auto"/>
        <w:rPr>
          <w:sz w:val="24"/>
          <w:szCs w:val="24"/>
        </w:rPr>
      </w:pPr>
      <w:r w:rsidRPr="00A90F47">
        <w:rPr>
          <w:sz w:val="24"/>
          <w:szCs w:val="24"/>
        </w:rPr>
        <w:tab/>
      </w:r>
      <w:r w:rsidRPr="00A90F47">
        <w:rPr>
          <w:sz w:val="24"/>
          <w:szCs w:val="24"/>
        </w:rPr>
        <w:tab/>
        <w:t xml:space="preserve">On June 10, 2014, </w:t>
      </w:r>
      <w:r w:rsidR="008806AA" w:rsidRPr="00A90F47">
        <w:rPr>
          <w:sz w:val="24"/>
          <w:szCs w:val="24"/>
        </w:rPr>
        <w:t>I reopened the record for the limited purpose of admitting the new factual information for which notice was taken, and then reclosed the record.</w:t>
      </w:r>
    </w:p>
    <w:p w:rsidR="007A5FDC" w:rsidRPr="00A90F47" w:rsidRDefault="007A5FDC" w:rsidP="004756D3">
      <w:pPr>
        <w:spacing w:line="360" w:lineRule="auto"/>
        <w:rPr>
          <w:sz w:val="24"/>
          <w:szCs w:val="24"/>
        </w:rPr>
      </w:pPr>
    </w:p>
    <w:p w:rsidR="00A4215E" w:rsidRPr="00A90F47" w:rsidRDefault="00A4215E" w:rsidP="004756D3">
      <w:pPr>
        <w:spacing w:line="360" w:lineRule="auto"/>
        <w:rPr>
          <w:sz w:val="24"/>
          <w:szCs w:val="24"/>
        </w:rPr>
      </w:pPr>
      <w:r w:rsidRPr="00A90F47">
        <w:rPr>
          <w:sz w:val="24"/>
          <w:szCs w:val="24"/>
        </w:rPr>
        <w:tab/>
      </w:r>
      <w:r w:rsidRPr="00A90F47">
        <w:rPr>
          <w:sz w:val="24"/>
          <w:szCs w:val="24"/>
        </w:rPr>
        <w:tab/>
        <w:t>The matter is now ripe for disposition.</w:t>
      </w:r>
    </w:p>
    <w:p w:rsidR="00A4215E" w:rsidRPr="00A90F47" w:rsidRDefault="00A4215E" w:rsidP="00384F7E">
      <w:pPr>
        <w:rPr>
          <w:sz w:val="24"/>
          <w:szCs w:val="24"/>
        </w:rPr>
      </w:pPr>
    </w:p>
    <w:p w:rsidR="00384F7E" w:rsidRPr="00A90F47" w:rsidRDefault="00384F7E" w:rsidP="00384F7E">
      <w:pPr>
        <w:rPr>
          <w:sz w:val="24"/>
          <w:szCs w:val="24"/>
        </w:rPr>
      </w:pPr>
    </w:p>
    <w:p w:rsidR="00A4215E" w:rsidRPr="00A90F47" w:rsidRDefault="00A4215E" w:rsidP="00A4215E">
      <w:pPr>
        <w:spacing w:line="360" w:lineRule="auto"/>
        <w:jc w:val="center"/>
        <w:rPr>
          <w:sz w:val="24"/>
          <w:szCs w:val="24"/>
          <w:u w:val="single"/>
        </w:rPr>
      </w:pPr>
      <w:r w:rsidRPr="00A90F47">
        <w:rPr>
          <w:sz w:val="24"/>
          <w:szCs w:val="24"/>
          <w:u w:val="single"/>
        </w:rPr>
        <w:t>FINDINGS OF FACT</w:t>
      </w:r>
    </w:p>
    <w:p w:rsidR="00A4215E" w:rsidRPr="00A90F47" w:rsidRDefault="00A4215E" w:rsidP="00A4215E">
      <w:pPr>
        <w:spacing w:line="360" w:lineRule="auto"/>
        <w:jc w:val="center"/>
        <w:rPr>
          <w:sz w:val="24"/>
          <w:szCs w:val="24"/>
          <w:u w:val="single"/>
        </w:rPr>
      </w:pPr>
    </w:p>
    <w:p w:rsidR="001B44B9" w:rsidRPr="00A90F47" w:rsidRDefault="00A4215E" w:rsidP="00A4215E">
      <w:pPr>
        <w:spacing w:line="360" w:lineRule="auto"/>
        <w:rPr>
          <w:sz w:val="24"/>
          <w:szCs w:val="24"/>
        </w:rPr>
      </w:pPr>
      <w:r w:rsidRPr="00A90F47">
        <w:rPr>
          <w:sz w:val="24"/>
          <w:szCs w:val="24"/>
        </w:rPr>
        <w:tab/>
      </w:r>
      <w:r w:rsidRPr="00A90F47">
        <w:rPr>
          <w:sz w:val="24"/>
          <w:szCs w:val="24"/>
        </w:rPr>
        <w:tab/>
        <w:t>1.</w:t>
      </w:r>
      <w:r w:rsidRPr="00A90F47">
        <w:rPr>
          <w:sz w:val="24"/>
          <w:szCs w:val="24"/>
        </w:rPr>
        <w:tab/>
        <w:t xml:space="preserve">Complainant is </w:t>
      </w:r>
      <w:r w:rsidR="00DB36E6" w:rsidRPr="00A90F47">
        <w:rPr>
          <w:sz w:val="24"/>
          <w:szCs w:val="24"/>
        </w:rPr>
        <w:t>Titus Wright, a P</w:t>
      </w:r>
      <w:r w:rsidR="001B44B9" w:rsidRPr="00A90F47">
        <w:rPr>
          <w:sz w:val="24"/>
          <w:szCs w:val="24"/>
        </w:rPr>
        <w:t>GW</w:t>
      </w:r>
      <w:r w:rsidR="00DB36E6" w:rsidRPr="00A90F47">
        <w:rPr>
          <w:sz w:val="24"/>
          <w:szCs w:val="24"/>
        </w:rPr>
        <w:t xml:space="preserve"> residential customer who has resided at 907 Bridge Street, Philadelphia, PA</w:t>
      </w:r>
      <w:r w:rsidR="001B44B9" w:rsidRPr="00A90F47">
        <w:rPr>
          <w:sz w:val="24"/>
          <w:szCs w:val="24"/>
        </w:rPr>
        <w:t>, since March</w:t>
      </w:r>
      <w:r w:rsidR="00F0205B">
        <w:rPr>
          <w:sz w:val="24"/>
          <w:szCs w:val="24"/>
        </w:rPr>
        <w:t>,</w:t>
      </w:r>
      <w:r w:rsidR="001B44B9" w:rsidRPr="00A90F47">
        <w:rPr>
          <w:sz w:val="24"/>
          <w:szCs w:val="24"/>
        </w:rPr>
        <w:t xml:space="preserve"> 2011.  Tr. 19, 37.</w:t>
      </w:r>
    </w:p>
    <w:p w:rsidR="00A4215E" w:rsidRPr="00A90F47" w:rsidRDefault="001B44B9" w:rsidP="00A4215E">
      <w:pPr>
        <w:spacing w:line="360" w:lineRule="auto"/>
        <w:rPr>
          <w:sz w:val="24"/>
          <w:szCs w:val="24"/>
        </w:rPr>
      </w:pPr>
      <w:r w:rsidRPr="00A90F47">
        <w:rPr>
          <w:sz w:val="24"/>
          <w:szCs w:val="24"/>
        </w:rPr>
        <w:t xml:space="preserve"> </w:t>
      </w:r>
    </w:p>
    <w:p w:rsidR="001B44B9" w:rsidRPr="00A90F47" w:rsidRDefault="00A4215E" w:rsidP="00A4215E">
      <w:pPr>
        <w:spacing w:line="360" w:lineRule="auto"/>
        <w:rPr>
          <w:sz w:val="24"/>
          <w:szCs w:val="24"/>
        </w:rPr>
      </w:pPr>
      <w:r w:rsidRPr="00A90F47">
        <w:rPr>
          <w:sz w:val="24"/>
          <w:szCs w:val="24"/>
        </w:rPr>
        <w:tab/>
      </w:r>
      <w:r w:rsidRPr="00A90F47">
        <w:rPr>
          <w:sz w:val="24"/>
          <w:szCs w:val="24"/>
        </w:rPr>
        <w:tab/>
        <w:t>2.</w:t>
      </w:r>
      <w:r w:rsidRPr="00A90F47">
        <w:rPr>
          <w:sz w:val="24"/>
          <w:szCs w:val="24"/>
        </w:rPr>
        <w:tab/>
      </w:r>
      <w:r w:rsidR="001B44B9" w:rsidRPr="00A90F47">
        <w:rPr>
          <w:sz w:val="24"/>
          <w:szCs w:val="24"/>
        </w:rPr>
        <w:t xml:space="preserve">Prior to purchasing his home at 907 Bridge Street, Complainant rented a home at 1137 Pratt Street, Philadelphia, PA, from </w:t>
      </w:r>
      <w:r w:rsidR="00DE10D0" w:rsidRPr="00A90F47">
        <w:rPr>
          <w:sz w:val="24"/>
          <w:szCs w:val="24"/>
        </w:rPr>
        <w:t>September</w:t>
      </w:r>
      <w:r w:rsidR="00E52CAC">
        <w:rPr>
          <w:sz w:val="24"/>
          <w:szCs w:val="24"/>
        </w:rPr>
        <w:t>,</w:t>
      </w:r>
      <w:r w:rsidR="00DE10D0" w:rsidRPr="00A90F47">
        <w:rPr>
          <w:sz w:val="24"/>
          <w:szCs w:val="24"/>
        </w:rPr>
        <w:t xml:space="preserve"> 2009 to January</w:t>
      </w:r>
      <w:r w:rsidR="00E52CAC">
        <w:rPr>
          <w:sz w:val="24"/>
          <w:szCs w:val="24"/>
        </w:rPr>
        <w:t>,</w:t>
      </w:r>
      <w:r w:rsidR="00DE10D0" w:rsidRPr="00A90F47">
        <w:rPr>
          <w:sz w:val="24"/>
          <w:szCs w:val="24"/>
        </w:rPr>
        <w:t xml:space="preserve"> 2011,</w:t>
      </w:r>
      <w:r w:rsidR="001B44B9" w:rsidRPr="00A90F47">
        <w:rPr>
          <w:sz w:val="24"/>
          <w:szCs w:val="24"/>
        </w:rPr>
        <w:t xml:space="preserve"> and was a PGW customer at that location.  Tr. 19</w:t>
      </w:r>
      <w:r w:rsidR="00214731">
        <w:rPr>
          <w:sz w:val="24"/>
          <w:szCs w:val="24"/>
        </w:rPr>
        <w:t xml:space="preserve">, 24, 77; PGW Ex. </w:t>
      </w:r>
      <w:r w:rsidR="00DE10D0" w:rsidRPr="00A90F47">
        <w:rPr>
          <w:sz w:val="24"/>
          <w:szCs w:val="24"/>
        </w:rPr>
        <w:t>8</w:t>
      </w:r>
      <w:r w:rsidR="001B44B9" w:rsidRPr="00A90F47">
        <w:rPr>
          <w:sz w:val="24"/>
          <w:szCs w:val="24"/>
        </w:rPr>
        <w:t>.</w:t>
      </w:r>
    </w:p>
    <w:p w:rsidR="001B44B9" w:rsidRPr="00A90F47" w:rsidRDefault="001B44B9" w:rsidP="00A4215E">
      <w:pPr>
        <w:spacing w:line="360" w:lineRule="auto"/>
        <w:rPr>
          <w:sz w:val="24"/>
          <w:szCs w:val="24"/>
        </w:rPr>
      </w:pPr>
    </w:p>
    <w:p w:rsidR="00A4215E" w:rsidRPr="00A90F47" w:rsidRDefault="001B44B9" w:rsidP="00A4215E">
      <w:pPr>
        <w:spacing w:line="360" w:lineRule="auto"/>
        <w:rPr>
          <w:sz w:val="24"/>
          <w:szCs w:val="24"/>
        </w:rPr>
      </w:pPr>
      <w:r w:rsidRPr="00A90F47">
        <w:rPr>
          <w:sz w:val="24"/>
          <w:szCs w:val="24"/>
        </w:rPr>
        <w:tab/>
      </w:r>
      <w:r w:rsidRPr="00A90F47">
        <w:rPr>
          <w:sz w:val="24"/>
          <w:szCs w:val="24"/>
        </w:rPr>
        <w:tab/>
        <w:t>3.</w:t>
      </w:r>
      <w:r w:rsidRPr="00A90F47">
        <w:rPr>
          <w:sz w:val="24"/>
          <w:szCs w:val="24"/>
        </w:rPr>
        <w:tab/>
      </w:r>
      <w:r w:rsidR="00A4215E" w:rsidRPr="00A90F47">
        <w:rPr>
          <w:sz w:val="24"/>
          <w:szCs w:val="24"/>
        </w:rPr>
        <w:t>Resp</w:t>
      </w:r>
      <w:r w:rsidRPr="00A90F47">
        <w:rPr>
          <w:sz w:val="24"/>
          <w:szCs w:val="24"/>
        </w:rPr>
        <w:t>ondent is PGW</w:t>
      </w:r>
      <w:r w:rsidR="00A4215E" w:rsidRPr="00A90F47">
        <w:rPr>
          <w:sz w:val="24"/>
          <w:szCs w:val="24"/>
        </w:rPr>
        <w:t>, a jurisdictional public utility providing residential gas service in the Commonwealth.</w:t>
      </w:r>
      <w:r w:rsidR="000C09AB">
        <w:rPr>
          <w:sz w:val="24"/>
          <w:szCs w:val="24"/>
        </w:rPr>
        <w:t xml:space="preserve">  PGW Ex.</w:t>
      </w:r>
      <w:r w:rsidRPr="00A90F47">
        <w:rPr>
          <w:sz w:val="24"/>
          <w:szCs w:val="24"/>
        </w:rPr>
        <w:t xml:space="preserve"> 1.</w:t>
      </w:r>
    </w:p>
    <w:p w:rsidR="00A4215E" w:rsidRPr="00A90F47" w:rsidRDefault="00A4215E" w:rsidP="00A4215E">
      <w:pPr>
        <w:spacing w:line="360" w:lineRule="auto"/>
        <w:rPr>
          <w:sz w:val="24"/>
          <w:szCs w:val="24"/>
        </w:rPr>
      </w:pPr>
    </w:p>
    <w:p w:rsidR="00E608C6" w:rsidRPr="00A90F47" w:rsidRDefault="00A4215E" w:rsidP="00A4215E">
      <w:pPr>
        <w:spacing w:line="360" w:lineRule="auto"/>
        <w:rPr>
          <w:sz w:val="24"/>
          <w:szCs w:val="24"/>
        </w:rPr>
      </w:pPr>
      <w:r w:rsidRPr="00A90F47">
        <w:rPr>
          <w:sz w:val="24"/>
          <w:szCs w:val="24"/>
        </w:rPr>
        <w:tab/>
      </w:r>
      <w:r w:rsidRPr="00A90F47">
        <w:rPr>
          <w:sz w:val="24"/>
          <w:szCs w:val="24"/>
        </w:rPr>
        <w:tab/>
      </w:r>
      <w:r w:rsidR="00E608C6" w:rsidRPr="00A90F47">
        <w:rPr>
          <w:sz w:val="24"/>
          <w:szCs w:val="24"/>
        </w:rPr>
        <w:t>4.</w:t>
      </w:r>
      <w:r w:rsidR="00E608C6" w:rsidRPr="00A90F47">
        <w:rPr>
          <w:sz w:val="24"/>
          <w:szCs w:val="24"/>
        </w:rPr>
        <w:tab/>
      </w:r>
      <w:r w:rsidR="00DE10D0" w:rsidRPr="00A90F47">
        <w:rPr>
          <w:sz w:val="24"/>
          <w:szCs w:val="24"/>
        </w:rPr>
        <w:t xml:space="preserve">On June 7, 2013, Complainant filed a Formal Complaint with the Commission, at Docket No. C-2013-2368462, about high winter </w:t>
      </w:r>
      <w:r w:rsidR="008806AA" w:rsidRPr="00A90F47">
        <w:rPr>
          <w:sz w:val="24"/>
          <w:szCs w:val="24"/>
        </w:rPr>
        <w:t xml:space="preserve">gas </w:t>
      </w:r>
      <w:r w:rsidR="00DE10D0" w:rsidRPr="00A90F47">
        <w:rPr>
          <w:sz w:val="24"/>
          <w:szCs w:val="24"/>
        </w:rPr>
        <w:t xml:space="preserve">bills </w:t>
      </w:r>
      <w:r w:rsidR="008806AA" w:rsidRPr="00A90F47">
        <w:rPr>
          <w:sz w:val="24"/>
          <w:szCs w:val="24"/>
        </w:rPr>
        <w:t xml:space="preserve">from PGW </w:t>
      </w:r>
      <w:r w:rsidR="00DE10D0" w:rsidRPr="00A90F47">
        <w:rPr>
          <w:sz w:val="24"/>
          <w:szCs w:val="24"/>
        </w:rPr>
        <w:t>at the Pratt Street service location.</w:t>
      </w:r>
      <w:r w:rsidR="002923A9" w:rsidRPr="00A90F47">
        <w:rPr>
          <w:sz w:val="24"/>
          <w:szCs w:val="24"/>
        </w:rPr>
        <w:t xml:space="preserve">  During the hearing, Complainant clarified that he was complaining specifically about the follow</w:t>
      </w:r>
      <w:r w:rsidR="0065334B">
        <w:rPr>
          <w:sz w:val="24"/>
          <w:szCs w:val="24"/>
        </w:rPr>
        <w:t>ing bills with due dates noted:</w:t>
      </w:r>
      <w:r w:rsidR="002923A9" w:rsidRPr="00A90F47">
        <w:rPr>
          <w:sz w:val="24"/>
          <w:szCs w:val="24"/>
        </w:rPr>
        <w:t xml:space="preserve"> a</w:t>
      </w:r>
      <w:r w:rsidR="0065334B">
        <w:rPr>
          <w:sz w:val="24"/>
          <w:szCs w:val="24"/>
        </w:rPr>
        <w:t xml:space="preserve"> bill for $635.00, due February 16, </w:t>
      </w:r>
      <w:r w:rsidR="002923A9" w:rsidRPr="00A90F47">
        <w:rPr>
          <w:sz w:val="24"/>
          <w:szCs w:val="24"/>
        </w:rPr>
        <w:t>2010; a bill for $480.59, due March 16, 2</w:t>
      </w:r>
      <w:r w:rsidR="009C29F3" w:rsidRPr="00A90F47">
        <w:rPr>
          <w:sz w:val="24"/>
          <w:szCs w:val="24"/>
        </w:rPr>
        <w:t xml:space="preserve">010; a bill for $520.91, </w:t>
      </w:r>
      <w:r w:rsidR="00E92917">
        <w:rPr>
          <w:sz w:val="24"/>
          <w:szCs w:val="24"/>
        </w:rPr>
        <w:t>due January 14, </w:t>
      </w:r>
      <w:r w:rsidR="002923A9" w:rsidRPr="00A90F47">
        <w:rPr>
          <w:sz w:val="24"/>
          <w:szCs w:val="24"/>
        </w:rPr>
        <w:t>2011; and a bill for</w:t>
      </w:r>
      <w:r w:rsidR="009C29F3" w:rsidRPr="00A90F47">
        <w:rPr>
          <w:sz w:val="24"/>
          <w:szCs w:val="24"/>
        </w:rPr>
        <w:t xml:space="preserve"> $793.46, due February 15, 2011 (for 35 days’ usage).  Tr. 42; Complainant Ex. B.</w:t>
      </w:r>
    </w:p>
    <w:p w:rsidR="00E608C6" w:rsidRPr="00A90F47" w:rsidRDefault="00E608C6" w:rsidP="00A4215E">
      <w:pPr>
        <w:spacing w:line="360" w:lineRule="auto"/>
        <w:rPr>
          <w:sz w:val="24"/>
          <w:szCs w:val="24"/>
        </w:rPr>
      </w:pPr>
    </w:p>
    <w:p w:rsidR="0035091E" w:rsidRPr="00A90F47" w:rsidRDefault="00E608C6" w:rsidP="00A4215E">
      <w:pPr>
        <w:spacing w:line="360" w:lineRule="auto"/>
        <w:rPr>
          <w:sz w:val="24"/>
          <w:szCs w:val="24"/>
        </w:rPr>
      </w:pPr>
      <w:r w:rsidRPr="00A90F47">
        <w:rPr>
          <w:sz w:val="24"/>
          <w:szCs w:val="24"/>
        </w:rPr>
        <w:tab/>
      </w:r>
      <w:r w:rsidRPr="00A90F47">
        <w:rPr>
          <w:sz w:val="24"/>
          <w:szCs w:val="24"/>
        </w:rPr>
        <w:tab/>
        <w:t>5.</w:t>
      </w:r>
      <w:r w:rsidRPr="00A90F47">
        <w:rPr>
          <w:sz w:val="24"/>
          <w:szCs w:val="24"/>
        </w:rPr>
        <w:tab/>
      </w:r>
      <w:r w:rsidR="00056E0C" w:rsidRPr="00A90F47">
        <w:rPr>
          <w:sz w:val="24"/>
          <w:szCs w:val="24"/>
        </w:rPr>
        <w:t xml:space="preserve">Complainant previously filed </w:t>
      </w:r>
      <w:r w:rsidR="009C29F3" w:rsidRPr="00A90F47">
        <w:rPr>
          <w:sz w:val="24"/>
          <w:szCs w:val="24"/>
        </w:rPr>
        <w:t>Formal Complaint</w:t>
      </w:r>
      <w:r w:rsidR="00056E0C" w:rsidRPr="00A90F47">
        <w:rPr>
          <w:sz w:val="24"/>
          <w:szCs w:val="24"/>
        </w:rPr>
        <w:t>s</w:t>
      </w:r>
      <w:r w:rsidR="009C29F3" w:rsidRPr="00A90F47">
        <w:rPr>
          <w:sz w:val="24"/>
          <w:szCs w:val="24"/>
        </w:rPr>
        <w:t xml:space="preserve"> with the Commiss</w:t>
      </w:r>
      <w:r w:rsidR="00003900" w:rsidRPr="00A90F47">
        <w:rPr>
          <w:sz w:val="24"/>
          <w:szCs w:val="24"/>
        </w:rPr>
        <w:t xml:space="preserve">ion regarding these same bills, </w:t>
      </w:r>
      <w:r w:rsidR="009C29F3" w:rsidRPr="00A90F47">
        <w:rPr>
          <w:sz w:val="24"/>
          <w:szCs w:val="24"/>
        </w:rPr>
        <w:t xml:space="preserve">at Docket Nos. F-2010-2192191 and C-2011-2225996, and these </w:t>
      </w:r>
      <w:r w:rsidR="00056E0C" w:rsidRPr="00A90F47">
        <w:rPr>
          <w:sz w:val="24"/>
          <w:szCs w:val="24"/>
        </w:rPr>
        <w:t xml:space="preserve">consolidated </w:t>
      </w:r>
      <w:r w:rsidR="009C29F3" w:rsidRPr="00A90F47">
        <w:rPr>
          <w:sz w:val="24"/>
          <w:szCs w:val="24"/>
        </w:rPr>
        <w:t>cases were resolved through a filing of a Certificate of Satisfaction, which was not ob</w:t>
      </w:r>
      <w:r w:rsidR="00BC1044">
        <w:rPr>
          <w:sz w:val="24"/>
          <w:szCs w:val="24"/>
        </w:rPr>
        <w:t xml:space="preserve">jected to by the Complainant.  </w:t>
      </w:r>
      <w:r w:rsidR="009C29F3" w:rsidRPr="00A90F47">
        <w:rPr>
          <w:sz w:val="24"/>
          <w:szCs w:val="24"/>
        </w:rPr>
        <w:t>Tr. 46, 48; PGW Exs. 1, 10</w:t>
      </w:r>
      <w:r w:rsidR="00F77084" w:rsidRPr="00A90F47">
        <w:rPr>
          <w:sz w:val="24"/>
          <w:szCs w:val="24"/>
        </w:rPr>
        <w:t>.</w:t>
      </w:r>
    </w:p>
    <w:p w:rsidR="00F77084" w:rsidRPr="00A90F47" w:rsidRDefault="00F77084" w:rsidP="00A4215E">
      <w:pPr>
        <w:spacing w:line="360" w:lineRule="auto"/>
        <w:rPr>
          <w:sz w:val="24"/>
          <w:szCs w:val="24"/>
        </w:rPr>
      </w:pPr>
    </w:p>
    <w:p w:rsidR="0035091E" w:rsidRPr="00A90F47" w:rsidRDefault="0035091E" w:rsidP="00A4215E">
      <w:pPr>
        <w:spacing w:line="360" w:lineRule="auto"/>
        <w:rPr>
          <w:sz w:val="24"/>
          <w:szCs w:val="24"/>
        </w:rPr>
      </w:pPr>
      <w:r w:rsidRPr="00A90F47">
        <w:rPr>
          <w:sz w:val="24"/>
          <w:szCs w:val="24"/>
        </w:rPr>
        <w:tab/>
      </w:r>
      <w:r w:rsidRPr="00A90F47">
        <w:rPr>
          <w:sz w:val="24"/>
          <w:szCs w:val="24"/>
        </w:rPr>
        <w:tab/>
        <w:t>6.</w:t>
      </w:r>
      <w:r w:rsidRPr="00A90F47">
        <w:rPr>
          <w:sz w:val="24"/>
          <w:szCs w:val="24"/>
        </w:rPr>
        <w:tab/>
      </w:r>
      <w:r w:rsidR="00056E0C" w:rsidRPr="00A90F47">
        <w:rPr>
          <w:sz w:val="24"/>
          <w:szCs w:val="24"/>
        </w:rPr>
        <w:t>Complainant received a $498.13 credit as part of the settlement of the prior cases</w:t>
      </w:r>
      <w:r w:rsidRPr="00A90F47">
        <w:rPr>
          <w:sz w:val="24"/>
          <w:szCs w:val="24"/>
        </w:rPr>
        <w:t>.</w:t>
      </w:r>
      <w:r w:rsidR="00056E0C" w:rsidRPr="00A90F47">
        <w:rPr>
          <w:sz w:val="24"/>
          <w:szCs w:val="24"/>
        </w:rPr>
        <w:t xml:space="preserve">  Tr. 49.</w:t>
      </w:r>
    </w:p>
    <w:p w:rsidR="00DB0399" w:rsidRPr="00A90F47" w:rsidRDefault="00DB0399" w:rsidP="00A4215E">
      <w:pPr>
        <w:spacing w:line="360" w:lineRule="auto"/>
        <w:rPr>
          <w:sz w:val="24"/>
          <w:szCs w:val="24"/>
        </w:rPr>
      </w:pPr>
    </w:p>
    <w:p w:rsidR="008806AA" w:rsidRPr="00A90F47" w:rsidRDefault="0035091E" w:rsidP="00A4215E">
      <w:pPr>
        <w:spacing w:line="360" w:lineRule="auto"/>
        <w:rPr>
          <w:sz w:val="24"/>
          <w:szCs w:val="24"/>
        </w:rPr>
      </w:pPr>
      <w:r w:rsidRPr="00A90F47">
        <w:rPr>
          <w:sz w:val="24"/>
          <w:szCs w:val="24"/>
        </w:rPr>
        <w:lastRenderedPageBreak/>
        <w:tab/>
      </w:r>
      <w:r w:rsidRPr="00A90F47">
        <w:rPr>
          <w:sz w:val="24"/>
          <w:szCs w:val="24"/>
        </w:rPr>
        <w:tab/>
      </w:r>
      <w:r w:rsidR="008F6BAF">
        <w:rPr>
          <w:sz w:val="24"/>
          <w:szCs w:val="24"/>
        </w:rPr>
        <w:t>7</w:t>
      </w:r>
      <w:r w:rsidR="008806AA" w:rsidRPr="00A90F47">
        <w:rPr>
          <w:sz w:val="24"/>
          <w:szCs w:val="24"/>
        </w:rPr>
        <w:t>.</w:t>
      </w:r>
      <w:r w:rsidR="008806AA" w:rsidRPr="00A90F47">
        <w:rPr>
          <w:sz w:val="24"/>
          <w:szCs w:val="24"/>
        </w:rPr>
        <w:tab/>
        <w:t xml:space="preserve">The lien issue that Complainant had mentioned in his Formal Complaint at Docket No. C-2013-2368462 had been resolved by the </w:t>
      </w:r>
      <w:r w:rsidR="00834C14" w:rsidRPr="00A90F47">
        <w:rPr>
          <w:sz w:val="24"/>
          <w:szCs w:val="24"/>
        </w:rPr>
        <w:t>time of the hearing; therefore, the only issues in the Complaint involved the high winter bills at Pratt Street.  Tr. 44, 73; PGW Ex. 6.</w:t>
      </w:r>
    </w:p>
    <w:p w:rsidR="00834C14" w:rsidRPr="00A90F47" w:rsidRDefault="00834C14" w:rsidP="00A4215E">
      <w:pPr>
        <w:spacing w:line="360" w:lineRule="auto"/>
        <w:rPr>
          <w:sz w:val="24"/>
          <w:szCs w:val="24"/>
        </w:rPr>
      </w:pPr>
    </w:p>
    <w:p w:rsidR="00834C14" w:rsidRPr="00A90F47" w:rsidRDefault="00834C14" w:rsidP="00A4215E">
      <w:pPr>
        <w:spacing w:line="360" w:lineRule="auto"/>
        <w:rPr>
          <w:sz w:val="24"/>
          <w:szCs w:val="24"/>
        </w:rPr>
      </w:pPr>
      <w:r w:rsidRPr="00A90F47">
        <w:rPr>
          <w:sz w:val="24"/>
          <w:szCs w:val="24"/>
        </w:rPr>
        <w:tab/>
      </w:r>
      <w:r w:rsidRPr="00A90F47">
        <w:rPr>
          <w:sz w:val="24"/>
          <w:szCs w:val="24"/>
        </w:rPr>
        <w:tab/>
      </w:r>
      <w:r w:rsidR="008F6BAF">
        <w:rPr>
          <w:sz w:val="24"/>
          <w:szCs w:val="24"/>
        </w:rPr>
        <w:t>8</w:t>
      </w:r>
      <w:r w:rsidRPr="00A90F47">
        <w:rPr>
          <w:sz w:val="24"/>
          <w:szCs w:val="24"/>
        </w:rPr>
        <w:t>.</w:t>
      </w:r>
      <w:r w:rsidRPr="00A90F47">
        <w:rPr>
          <w:sz w:val="24"/>
          <w:szCs w:val="24"/>
        </w:rPr>
        <w:tab/>
        <w:t>The disputed bills at Pratt Street, which were resolved in prior Complaints, were transferred to Complainant’s new account at 907 Bridge Street, minus the $498.13 settlement credit.  Tr. 44, 64; PGW Ex. 1.</w:t>
      </w:r>
    </w:p>
    <w:p w:rsidR="00376156" w:rsidRPr="00A90F47" w:rsidRDefault="00376156" w:rsidP="00A4215E">
      <w:pPr>
        <w:spacing w:line="360" w:lineRule="auto"/>
        <w:rPr>
          <w:sz w:val="24"/>
          <w:szCs w:val="24"/>
        </w:rPr>
      </w:pPr>
    </w:p>
    <w:p w:rsidR="004D74A9" w:rsidRPr="00A90F47" w:rsidRDefault="00376156" w:rsidP="00A4215E">
      <w:pPr>
        <w:spacing w:line="360" w:lineRule="auto"/>
        <w:rPr>
          <w:sz w:val="24"/>
          <w:szCs w:val="24"/>
        </w:rPr>
      </w:pPr>
      <w:r w:rsidRPr="00A90F47">
        <w:rPr>
          <w:sz w:val="24"/>
          <w:szCs w:val="24"/>
        </w:rPr>
        <w:tab/>
      </w:r>
      <w:r w:rsidRPr="00A90F47">
        <w:rPr>
          <w:sz w:val="24"/>
          <w:szCs w:val="24"/>
        </w:rPr>
        <w:tab/>
      </w:r>
      <w:r w:rsidR="008F6BAF">
        <w:rPr>
          <w:sz w:val="24"/>
          <w:szCs w:val="24"/>
        </w:rPr>
        <w:t>9</w:t>
      </w:r>
      <w:r w:rsidR="004D74A9" w:rsidRPr="00A90F47">
        <w:rPr>
          <w:sz w:val="24"/>
          <w:szCs w:val="24"/>
        </w:rPr>
        <w:t>.</w:t>
      </w:r>
      <w:r w:rsidR="004D74A9" w:rsidRPr="00A90F47">
        <w:rPr>
          <w:sz w:val="24"/>
          <w:szCs w:val="24"/>
        </w:rPr>
        <w:tab/>
        <w:t xml:space="preserve">PGW removed late </w:t>
      </w:r>
      <w:r w:rsidR="00177829" w:rsidRPr="00A90F47">
        <w:rPr>
          <w:sz w:val="24"/>
          <w:szCs w:val="24"/>
        </w:rPr>
        <w:t xml:space="preserve">payment </w:t>
      </w:r>
      <w:r w:rsidR="004D74A9" w:rsidRPr="00A90F47">
        <w:rPr>
          <w:sz w:val="24"/>
          <w:szCs w:val="24"/>
        </w:rPr>
        <w:t>charges from Complainant’s bill in the amount of $205.42, which</w:t>
      </w:r>
      <w:r w:rsidR="00B05966" w:rsidRPr="00A90F47">
        <w:rPr>
          <w:sz w:val="24"/>
          <w:szCs w:val="24"/>
        </w:rPr>
        <w:t xml:space="preserve"> were </w:t>
      </w:r>
      <w:r w:rsidR="004D74A9" w:rsidRPr="00A90F47">
        <w:rPr>
          <w:sz w:val="24"/>
          <w:szCs w:val="24"/>
        </w:rPr>
        <w:t>related to the time period when the bills were in dispute.  PGW Ex. 9.</w:t>
      </w:r>
    </w:p>
    <w:p w:rsidR="003D1704" w:rsidRDefault="003D1704" w:rsidP="00B05966">
      <w:pPr>
        <w:spacing w:line="360" w:lineRule="auto"/>
        <w:jc w:val="center"/>
        <w:rPr>
          <w:sz w:val="24"/>
          <w:szCs w:val="24"/>
        </w:rPr>
      </w:pPr>
    </w:p>
    <w:p w:rsidR="00B86E3B" w:rsidRPr="00A90F47" w:rsidRDefault="00B86E3B" w:rsidP="00B05966">
      <w:pPr>
        <w:spacing w:line="360" w:lineRule="auto"/>
        <w:jc w:val="center"/>
        <w:rPr>
          <w:sz w:val="24"/>
          <w:szCs w:val="24"/>
        </w:rPr>
      </w:pPr>
      <w:r w:rsidRPr="00A90F47">
        <w:rPr>
          <w:sz w:val="24"/>
          <w:szCs w:val="24"/>
          <w:u w:val="single"/>
        </w:rPr>
        <w:t>DISCUSSION</w:t>
      </w:r>
    </w:p>
    <w:p w:rsidR="00B86E3B" w:rsidRPr="00A90F47" w:rsidRDefault="00B86E3B" w:rsidP="00B86E3B">
      <w:pPr>
        <w:spacing w:line="360" w:lineRule="auto"/>
        <w:jc w:val="center"/>
        <w:rPr>
          <w:sz w:val="24"/>
          <w:szCs w:val="24"/>
          <w:u w:val="single"/>
        </w:rPr>
      </w:pPr>
    </w:p>
    <w:p w:rsidR="00B86E3B" w:rsidRPr="00A90F47" w:rsidRDefault="00B86E3B" w:rsidP="00B86E3B">
      <w:pPr>
        <w:spacing w:line="360" w:lineRule="auto"/>
        <w:rPr>
          <w:sz w:val="24"/>
          <w:szCs w:val="24"/>
        </w:rPr>
      </w:pPr>
      <w:r w:rsidRPr="00A90F47">
        <w:rPr>
          <w:sz w:val="24"/>
          <w:szCs w:val="24"/>
        </w:rPr>
        <w:tab/>
      </w:r>
      <w:r w:rsidRPr="00A90F47">
        <w:rPr>
          <w:sz w:val="24"/>
          <w:szCs w:val="24"/>
        </w:rPr>
        <w:tab/>
      </w:r>
      <w:r w:rsidR="00060E7A" w:rsidRPr="00A90F47">
        <w:rPr>
          <w:sz w:val="24"/>
          <w:szCs w:val="24"/>
        </w:rPr>
        <w:t xml:space="preserve">In his Formal Complaint, Mr. Wright </w:t>
      </w:r>
      <w:r w:rsidR="005A6EBA" w:rsidRPr="00A90F47">
        <w:rPr>
          <w:sz w:val="24"/>
          <w:szCs w:val="24"/>
        </w:rPr>
        <w:t xml:space="preserve">claimed that </w:t>
      </w:r>
      <w:r w:rsidR="002B5711" w:rsidRPr="00A90F47">
        <w:rPr>
          <w:sz w:val="24"/>
          <w:szCs w:val="24"/>
        </w:rPr>
        <w:t>there were incorrect charges on his bill for December</w:t>
      </w:r>
      <w:r w:rsidR="00CE17D6">
        <w:rPr>
          <w:sz w:val="24"/>
          <w:szCs w:val="24"/>
        </w:rPr>
        <w:t>,</w:t>
      </w:r>
      <w:r w:rsidR="002B5711" w:rsidRPr="00A90F47">
        <w:rPr>
          <w:sz w:val="24"/>
          <w:szCs w:val="24"/>
        </w:rPr>
        <w:t xml:space="preserve"> 2010 and January</w:t>
      </w:r>
      <w:r w:rsidR="00CE17D6">
        <w:rPr>
          <w:sz w:val="24"/>
          <w:szCs w:val="24"/>
        </w:rPr>
        <w:t>,</w:t>
      </w:r>
      <w:r w:rsidR="002B5711" w:rsidRPr="00A90F47">
        <w:rPr>
          <w:sz w:val="24"/>
          <w:szCs w:val="24"/>
        </w:rPr>
        <w:t xml:space="preserve"> 2011 </w:t>
      </w:r>
      <w:r w:rsidR="003225E5" w:rsidRPr="00A90F47">
        <w:rPr>
          <w:sz w:val="24"/>
          <w:szCs w:val="24"/>
        </w:rPr>
        <w:t xml:space="preserve">and that these </w:t>
      </w:r>
      <w:r w:rsidR="00ED42E8" w:rsidRPr="00A90F47">
        <w:rPr>
          <w:sz w:val="24"/>
          <w:szCs w:val="24"/>
        </w:rPr>
        <w:t xml:space="preserve">erroneous </w:t>
      </w:r>
      <w:r w:rsidR="003225E5" w:rsidRPr="00A90F47">
        <w:rPr>
          <w:sz w:val="24"/>
          <w:szCs w:val="24"/>
        </w:rPr>
        <w:t xml:space="preserve">charges had been transferred to </w:t>
      </w:r>
      <w:r w:rsidR="008D79E0" w:rsidRPr="00A90F47">
        <w:rPr>
          <w:sz w:val="24"/>
          <w:szCs w:val="24"/>
        </w:rPr>
        <w:t xml:space="preserve">the bill for </w:t>
      </w:r>
      <w:r w:rsidR="003225E5" w:rsidRPr="00A90F47">
        <w:rPr>
          <w:sz w:val="24"/>
          <w:szCs w:val="24"/>
        </w:rPr>
        <w:t xml:space="preserve">his present service location.  </w:t>
      </w:r>
      <w:r w:rsidR="00585B00" w:rsidRPr="00A90F47">
        <w:rPr>
          <w:sz w:val="24"/>
          <w:szCs w:val="24"/>
        </w:rPr>
        <w:t>As the Complainant seeking affirmative relief from the Commission, he bears the burden of proof.  66 Pa.C.S. § 332(a).</w:t>
      </w:r>
    </w:p>
    <w:p w:rsidR="005E5E5A" w:rsidRPr="00A90F47" w:rsidRDefault="005E5E5A" w:rsidP="005E5E5A">
      <w:pPr>
        <w:tabs>
          <w:tab w:val="left" w:pos="-1440"/>
          <w:tab w:val="left" w:pos="-720"/>
        </w:tabs>
        <w:suppressAutoHyphens/>
        <w:spacing w:line="360" w:lineRule="auto"/>
        <w:ind w:firstLine="1440"/>
        <w:rPr>
          <w:sz w:val="24"/>
          <w:szCs w:val="24"/>
        </w:rPr>
      </w:pPr>
    </w:p>
    <w:p w:rsidR="008D79E0" w:rsidRPr="00A90F47" w:rsidRDefault="005E5E5A" w:rsidP="005E5E5A">
      <w:pPr>
        <w:tabs>
          <w:tab w:val="left" w:pos="-1440"/>
          <w:tab w:val="left" w:pos="-720"/>
        </w:tabs>
        <w:suppressAutoHyphens/>
        <w:spacing w:line="360" w:lineRule="auto"/>
        <w:ind w:firstLine="1440"/>
        <w:rPr>
          <w:spacing w:val="-3"/>
          <w:sz w:val="24"/>
          <w:szCs w:val="24"/>
        </w:rPr>
      </w:pPr>
      <w:r w:rsidRPr="00A90F47">
        <w:rPr>
          <w:sz w:val="24"/>
          <w:szCs w:val="24"/>
        </w:rPr>
        <w:t>T</w:t>
      </w:r>
      <w:r w:rsidRPr="00A90F47">
        <w:rPr>
          <w:spacing w:val="-3"/>
          <w:sz w:val="24"/>
          <w:szCs w:val="24"/>
        </w:rPr>
        <w:t xml:space="preserve">o </w:t>
      </w:r>
      <w:r w:rsidR="00E434B8" w:rsidRPr="00A90F47">
        <w:rPr>
          <w:spacing w:val="-3"/>
          <w:sz w:val="24"/>
          <w:szCs w:val="24"/>
        </w:rPr>
        <w:t xml:space="preserve">satisfy the burden of proof, Complainant must establish that Respondent was responsible for the problem alleged in his Complaint through a violation of the Public Utility Code, such as 66 Pa.C.S. § 1501, or a regulation or Order of the Commission.  This must be shown by a preponderance of the evidence.  66 Pa.C.S. § 701; </w:t>
      </w:r>
      <w:r w:rsidRPr="00A90F47">
        <w:rPr>
          <w:spacing w:val="-3"/>
          <w:sz w:val="24"/>
          <w:szCs w:val="24"/>
          <w:u w:val="single"/>
        </w:rPr>
        <w:t>Patterson v. Bell Telephone Company of Pennsylvania</w:t>
      </w:r>
      <w:r w:rsidRPr="00A90F47">
        <w:rPr>
          <w:spacing w:val="-3"/>
          <w:sz w:val="24"/>
          <w:szCs w:val="24"/>
        </w:rPr>
        <w:t>, 72 Pa. PUC 196 (1990)</w:t>
      </w:r>
      <w:r w:rsidR="00E434B8" w:rsidRPr="00A90F47">
        <w:rPr>
          <w:spacing w:val="-3"/>
          <w:sz w:val="24"/>
          <w:szCs w:val="24"/>
        </w:rPr>
        <w:t xml:space="preserve">.  Preponderance of the evidence means that the party with the burden of proof has presented evidence that is more convincing than that presented by the other party.  </w:t>
      </w:r>
      <w:r w:rsidRPr="00A90F47">
        <w:rPr>
          <w:spacing w:val="-3"/>
          <w:sz w:val="24"/>
          <w:szCs w:val="24"/>
          <w:u w:val="single"/>
        </w:rPr>
        <w:t>Samuel J. Lansberry, Inc. v. Pa. Pub. Util. Comm’n</w:t>
      </w:r>
      <w:r w:rsidRPr="00A90F47">
        <w:rPr>
          <w:spacing w:val="-3"/>
          <w:sz w:val="24"/>
          <w:szCs w:val="24"/>
        </w:rPr>
        <w:t xml:space="preserve">, 134 Pa.Cmwlth. 218; 221-222, 578 A.2d 600; 602 (1990), </w:t>
      </w:r>
      <w:r w:rsidRPr="00A90F47">
        <w:rPr>
          <w:iCs/>
          <w:spacing w:val="-3"/>
          <w:sz w:val="24"/>
          <w:szCs w:val="24"/>
          <w:u w:val="single"/>
        </w:rPr>
        <w:t>a</w:t>
      </w:r>
      <w:r w:rsidR="00E434B8" w:rsidRPr="00A90F47">
        <w:rPr>
          <w:iCs/>
          <w:spacing w:val="-3"/>
          <w:sz w:val="24"/>
          <w:szCs w:val="24"/>
          <w:u w:val="single"/>
        </w:rPr>
        <w:t>lloc</w:t>
      </w:r>
      <w:r w:rsidRPr="00A90F47">
        <w:rPr>
          <w:iCs/>
          <w:spacing w:val="-3"/>
          <w:sz w:val="24"/>
          <w:szCs w:val="24"/>
          <w:u w:val="single"/>
        </w:rPr>
        <w:t>. denied</w:t>
      </w:r>
      <w:r w:rsidRPr="00A90F47">
        <w:rPr>
          <w:iCs/>
          <w:spacing w:val="-3"/>
          <w:sz w:val="24"/>
          <w:szCs w:val="24"/>
        </w:rPr>
        <w:t>,</w:t>
      </w:r>
      <w:r w:rsidRPr="00A90F47">
        <w:rPr>
          <w:spacing w:val="-3"/>
          <w:sz w:val="24"/>
          <w:szCs w:val="24"/>
        </w:rPr>
        <w:t xml:space="preserve"> 529</w:t>
      </w:r>
      <w:r w:rsidR="00E434B8" w:rsidRPr="00A90F47">
        <w:rPr>
          <w:spacing w:val="-3"/>
          <w:sz w:val="24"/>
          <w:szCs w:val="24"/>
        </w:rPr>
        <w:t xml:space="preserve"> Pa. 654, 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w:t>
      </w:r>
      <w:r w:rsidR="008D79E0" w:rsidRPr="00A90F47">
        <w:rPr>
          <w:spacing w:val="-3"/>
          <w:sz w:val="24"/>
          <w:szCs w:val="24"/>
        </w:rPr>
        <w:t xml:space="preserve">  </w:t>
      </w:r>
      <w:r w:rsidR="008D79E0" w:rsidRPr="00A90F47">
        <w:rPr>
          <w:spacing w:val="-3"/>
          <w:sz w:val="24"/>
          <w:szCs w:val="24"/>
          <w:u w:val="single"/>
        </w:rPr>
        <w:t>Norfolk and Western Railway v. Pa. Pub. Util. Comm’n</w:t>
      </w:r>
      <w:r w:rsidR="008D79E0" w:rsidRPr="00A90F47">
        <w:rPr>
          <w:spacing w:val="-3"/>
          <w:sz w:val="24"/>
          <w:szCs w:val="24"/>
        </w:rPr>
        <w:t>, 489 Pa. 109, 413 A.2d 1037 (1980).</w:t>
      </w:r>
    </w:p>
    <w:p w:rsidR="00E434B8" w:rsidRPr="00A90F47" w:rsidRDefault="00E434B8" w:rsidP="005E5E5A">
      <w:pPr>
        <w:tabs>
          <w:tab w:val="left" w:pos="-1440"/>
          <w:tab w:val="left" w:pos="-720"/>
        </w:tabs>
        <w:suppressAutoHyphens/>
        <w:spacing w:line="360" w:lineRule="auto"/>
        <w:ind w:firstLine="1440"/>
        <w:rPr>
          <w:spacing w:val="-3"/>
          <w:sz w:val="24"/>
          <w:szCs w:val="24"/>
        </w:rPr>
      </w:pPr>
    </w:p>
    <w:p w:rsidR="005E5E5A" w:rsidRPr="00A90F47" w:rsidRDefault="005E5E5A" w:rsidP="005E5E5A">
      <w:pPr>
        <w:tabs>
          <w:tab w:val="left" w:pos="-1440"/>
          <w:tab w:val="left" w:pos="-720"/>
        </w:tabs>
        <w:suppressAutoHyphens/>
        <w:spacing w:line="360" w:lineRule="auto"/>
        <w:ind w:firstLine="1440"/>
        <w:rPr>
          <w:spacing w:val="-3"/>
          <w:sz w:val="24"/>
          <w:szCs w:val="24"/>
        </w:rPr>
      </w:pPr>
      <w:r w:rsidRPr="00A90F47">
        <w:rPr>
          <w:spacing w:val="-3"/>
          <w:sz w:val="24"/>
          <w:szCs w:val="24"/>
        </w:rPr>
        <w:t xml:space="preserve">Complainant must initially produce sufficient credible evidence to establish a </w:t>
      </w:r>
      <w:r w:rsidRPr="00A90F47">
        <w:rPr>
          <w:spacing w:val="-3"/>
          <w:sz w:val="24"/>
          <w:szCs w:val="24"/>
          <w:u w:val="single"/>
        </w:rPr>
        <w:t>prima facie</w:t>
      </w:r>
      <w:r w:rsidR="00087AAA" w:rsidRPr="00A90F47">
        <w:rPr>
          <w:spacing w:val="-3"/>
          <w:sz w:val="24"/>
          <w:szCs w:val="24"/>
        </w:rPr>
        <w:t xml:space="preserve"> case</w:t>
      </w:r>
      <w:r w:rsidRPr="00A90F47">
        <w:rPr>
          <w:spacing w:val="-3"/>
          <w:sz w:val="24"/>
          <w:szCs w:val="24"/>
        </w:rPr>
        <w:t xml:space="preserve">.  </w:t>
      </w:r>
      <w:r w:rsidRPr="00A90F47">
        <w:rPr>
          <w:spacing w:val="-3"/>
          <w:sz w:val="24"/>
          <w:szCs w:val="24"/>
          <w:u w:val="single"/>
        </w:rPr>
        <w:t>Morrissey v. Dep’t of Highways</w:t>
      </w:r>
      <w:r w:rsidRPr="00A90F47">
        <w:rPr>
          <w:spacing w:val="-3"/>
          <w:sz w:val="24"/>
          <w:szCs w:val="24"/>
        </w:rPr>
        <w:t>, 424 Pa. 87, 225 A.2d</w:t>
      </w:r>
      <w:r w:rsidR="002D5005">
        <w:rPr>
          <w:spacing w:val="-3"/>
          <w:sz w:val="24"/>
          <w:szCs w:val="24"/>
        </w:rPr>
        <w:t xml:space="preserve"> </w:t>
      </w:r>
      <w:r w:rsidR="005D310C" w:rsidRPr="00A90F47">
        <w:rPr>
          <w:spacing w:val="-3"/>
          <w:sz w:val="24"/>
          <w:szCs w:val="24"/>
        </w:rPr>
        <w:t>895 (1967).  If C</w:t>
      </w:r>
      <w:r w:rsidRPr="00A90F47">
        <w:rPr>
          <w:spacing w:val="-3"/>
          <w:sz w:val="24"/>
          <w:szCs w:val="24"/>
        </w:rPr>
        <w:t>omplainant does so, the burden of going forward with eviden</w:t>
      </w:r>
      <w:r w:rsidR="005D310C" w:rsidRPr="00A90F47">
        <w:rPr>
          <w:spacing w:val="-3"/>
          <w:sz w:val="24"/>
          <w:szCs w:val="24"/>
        </w:rPr>
        <w:t>ce shifts to R</w:t>
      </w:r>
      <w:r w:rsidRPr="00A90F47">
        <w:rPr>
          <w:spacing w:val="-3"/>
          <w:sz w:val="24"/>
          <w:szCs w:val="24"/>
        </w:rPr>
        <w:t>espondent to produce credible evidence of at least co-equal weight.  This burden of going forward with evidence may shift back and forth between the parties, but the ultimate bur</w:t>
      </w:r>
      <w:r w:rsidR="005D310C" w:rsidRPr="00A90F47">
        <w:rPr>
          <w:spacing w:val="-3"/>
          <w:sz w:val="24"/>
          <w:szCs w:val="24"/>
        </w:rPr>
        <w:t>den of persuasion remains with C</w:t>
      </w:r>
      <w:r w:rsidRPr="00A90F47">
        <w:rPr>
          <w:spacing w:val="-3"/>
          <w:sz w:val="24"/>
          <w:szCs w:val="24"/>
        </w:rPr>
        <w:t xml:space="preserve">omplainant.  </w:t>
      </w:r>
      <w:r w:rsidRPr="00A90F47">
        <w:rPr>
          <w:spacing w:val="-3"/>
          <w:sz w:val="24"/>
          <w:szCs w:val="24"/>
          <w:u w:val="single"/>
        </w:rPr>
        <w:t>Milkie v. Pa. Pub. Util. Comm’n</w:t>
      </w:r>
      <w:r w:rsidRPr="00A90F47">
        <w:rPr>
          <w:spacing w:val="-3"/>
          <w:sz w:val="24"/>
          <w:szCs w:val="24"/>
        </w:rPr>
        <w:t>, 768 A.2d 1217 (Pa.Cmwlth. 2001).</w:t>
      </w:r>
    </w:p>
    <w:p w:rsidR="005D310C" w:rsidRPr="00A90F47" w:rsidRDefault="005D310C" w:rsidP="005E5E5A">
      <w:pPr>
        <w:tabs>
          <w:tab w:val="left" w:pos="-1440"/>
          <w:tab w:val="left" w:pos="-720"/>
        </w:tabs>
        <w:suppressAutoHyphens/>
        <w:spacing w:line="360" w:lineRule="auto"/>
        <w:ind w:firstLine="1440"/>
        <w:rPr>
          <w:spacing w:val="-3"/>
          <w:sz w:val="24"/>
          <w:szCs w:val="24"/>
        </w:rPr>
      </w:pPr>
    </w:p>
    <w:p w:rsidR="008D79E0" w:rsidRPr="00A90F47" w:rsidRDefault="003C03E4" w:rsidP="005E5E5A">
      <w:pPr>
        <w:tabs>
          <w:tab w:val="left" w:pos="-1440"/>
          <w:tab w:val="left" w:pos="-720"/>
        </w:tabs>
        <w:suppressAutoHyphens/>
        <w:spacing w:line="360" w:lineRule="auto"/>
        <w:ind w:firstLine="1440"/>
        <w:rPr>
          <w:spacing w:val="-3"/>
          <w:sz w:val="24"/>
          <w:szCs w:val="24"/>
        </w:rPr>
      </w:pPr>
      <w:r w:rsidRPr="00A90F47">
        <w:rPr>
          <w:spacing w:val="-3"/>
          <w:sz w:val="24"/>
          <w:szCs w:val="24"/>
        </w:rPr>
        <w:t>Before</w:t>
      </w:r>
      <w:r w:rsidR="00E34869" w:rsidRPr="00A90F47">
        <w:rPr>
          <w:spacing w:val="-3"/>
          <w:sz w:val="24"/>
          <w:szCs w:val="24"/>
        </w:rPr>
        <w:t xml:space="preserve"> </w:t>
      </w:r>
      <w:r w:rsidR="001D2B63" w:rsidRPr="00A90F47">
        <w:rPr>
          <w:spacing w:val="-3"/>
          <w:sz w:val="24"/>
          <w:szCs w:val="24"/>
        </w:rPr>
        <w:t>a</w:t>
      </w:r>
      <w:r w:rsidR="00E34869" w:rsidRPr="00A90F47">
        <w:rPr>
          <w:spacing w:val="-3"/>
          <w:sz w:val="24"/>
          <w:szCs w:val="24"/>
        </w:rPr>
        <w:t xml:space="preserve"> case i</w:t>
      </w:r>
      <w:r w:rsidRPr="00A90F47">
        <w:rPr>
          <w:spacing w:val="-3"/>
          <w:sz w:val="24"/>
          <w:szCs w:val="24"/>
        </w:rPr>
        <w:t xml:space="preserve">s considered on the merits, parties may </w:t>
      </w:r>
      <w:r w:rsidR="005D310C" w:rsidRPr="00A90F47">
        <w:rPr>
          <w:spacing w:val="-3"/>
          <w:sz w:val="24"/>
          <w:szCs w:val="24"/>
        </w:rPr>
        <w:t xml:space="preserve">file preliminary objections or motions, seeking to dismiss the other party’s case </w:t>
      </w:r>
      <w:r w:rsidR="00E34869" w:rsidRPr="00A90F47">
        <w:rPr>
          <w:spacing w:val="-3"/>
          <w:sz w:val="24"/>
          <w:szCs w:val="24"/>
        </w:rPr>
        <w:t>summarily</w:t>
      </w:r>
      <w:r w:rsidR="005D310C" w:rsidRPr="00A90F47">
        <w:rPr>
          <w:spacing w:val="-3"/>
          <w:sz w:val="24"/>
          <w:szCs w:val="24"/>
        </w:rPr>
        <w:t xml:space="preserve">.  </w:t>
      </w:r>
      <w:r w:rsidR="005D310C" w:rsidRPr="00A90F47">
        <w:rPr>
          <w:spacing w:val="-3"/>
          <w:sz w:val="24"/>
          <w:szCs w:val="24"/>
          <w:u w:val="single"/>
        </w:rPr>
        <w:t>See</w:t>
      </w:r>
      <w:r w:rsidR="005D310C" w:rsidRPr="00A90F47">
        <w:rPr>
          <w:spacing w:val="-3"/>
          <w:sz w:val="24"/>
          <w:szCs w:val="24"/>
        </w:rPr>
        <w:t>, 52 Pa.Code §§ 5.101-5.103.  Respondent sought to do this through an oral motion, made at hearing prior to the presentation of its case.  The basis for this motion is that, according to Respondent, the matters set forth in the instant Complaint were raised in prior complaints that wer</w:t>
      </w:r>
      <w:r w:rsidR="00087AAA" w:rsidRPr="00A90F47">
        <w:rPr>
          <w:spacing w:val="-3"/>
          <w:sz w:val="24"/>
          <w:szCs w:val="24"/>
        </w:rPr>
        <w:t>e settled through an unopposed Certificate of S</w:t>
      </w:r>
      <w:r w:rsidR="005D310C" w:rsidRPr="00A90F47">
        <w:rPr>
          <w:spacing w:val="-3"/>
          <w:sz w:val="24"/>
          <w:szCs w:val="24"/>
        </w:rPr>
        <w:t>atisfaction.</w:t>
      </w:r>
    </w:p>
    <w:p w:rsidR="008D79E0" w:rsidRPr="00A90F47" w:rsidRDefault="008D79E0" w:rsidP="005E5E5A">
      <w:pPr>
        <w:tabs>
          <w:tab w:val="left" w:pos="-1440"/>
          <w:tab w:val="left" w:pos="-720"/>
        </w:tabs>
        <w:suppressAutoHyphens/>
        <w:spacing w:line="360" w:lineRule="auto"/>
        <w:ind w:firstLine="1440"/>
        <w:rPr>
          <w:spacing w:val="-3"/>
          <w:sz w:val="24"/>
          <w:szCs w:val="24"/>
        </w:rPr>
      </w:pPr>
    </w:p>
    <w:p w:rsidR="008F6BAF" w:rsidRDefault="008D79E0" w:rsidP="005E5E5A">
      <w:pPr>
        <w:tabs>
          <w:tab w:val="left" w:pos="-1440"/>
          <w:tab w:val="left" w:pos="-720"/>
        </w:tabs>
        <w:suppressAutoHyphens/>
        <w:spacing w:line="360" w:lineRule="auto"/>
        <w:ind w:firstLine="1440"/>
        <w:rPr>
          <w:spacing w:val="-3"/>
          <w:sz w:val="24"/>
          <w:szCs w:val="24"/>
        </w:rPr>
      </w:pPr>
      <w:r w:rsidRPr="00A90F47">
        <w:rPr>
          <w:spacing w:val="-3"/>
          <w:sz w:val="24"/>
          <w:szCs w:val="24"/>
        </w:rPr>
        <w:t>In the fol</w:t>
      </w:r>
      <w:r w:rsidR="008F6BAF">
        <w:rPr>
          <w:spacing w:val="-3"/>
          <w:sz w:val="24"/>
          <w:szCs w:val="24"/>
        </w:rPr>
        <w:t xml:space="preserve">lowing paragraphs, I will </w:t>
      </w:r>
      <w:r w:rsidRPr="00A90F47">
        <w:rPr>
          <w:spacing w:val="-3"/>
          <w:sz w:val="24"/>
          <w:szCs w:val="24"/>
        </w:rPr>
        <w:t xml:space="preserve">address Respondent’s motion to dismiss, and the supporting argument in PGW’s Main Brief.  </w:t>
      </w:r>
      <w:r w:rsidR="008F6BAF">
        <w:rPr>
          <w:spacing w:val="-3"/>
          <w:sz w:val="24"/>
          <w:szCs w:val="24"/>
        </w:rPr>
        <w:t>As I am granting the motion to dismiss, there are no further issues remaining to resolve.</w:t>
      </w:r>
    </w:p>
    <w:p w:rsidR="005E5E5A" w:rsidRPr="00A90F47" w:rsidRDefault="008F6BAF" w:rsidP="005E5E5A">
      <w:pPr>
        <w:tabs>
          <w:tab w:val="left" w:pos="-1440"/>
          <w:tab w:val="left" w:pos="-720"/>
        </w:tabs>
        <w:suppressAutoHyphens/>
        <w:spacing w:line="360" w:lineRule="auto"/>
        <w:ind w:firstLine="1440"/>
        <w:rPr>
          <w:spacing w:val="-3"/>
          <w:sz w:val="24"/>
          <w:szCs w:val="24"/>
        </w:rPr>
      </w:pPr>
      <w:r w:rsidRPr="00A90F47">
        <w:rPr>
          <w:spacing w:val="-3"/>
          <w:sz w:val="24"/>
          <w:szCs w:val="24"/>
        </w:rPr>
        <w:t xml:space="preserve"> </w:t>
      </w:r>
    </w:p>
    <w:p w:rsidR="004728C1" w:rsidRPr="00A90F47" w:rsidRDefault="008D79E0" w:rsidP="004728C1">
      <w:pPr>
        <w:tabs>
          <w:tab w:val="left" w:pos="-1440"/>
          <w:tab w:val="left" w:pos="-720"/>
        </w:tabs>
        <w:suppressAutoHyphens/>
        <w:spacing w:line="360" w:lineRule="auto"/>
        <w:rPr>
          <w:spacing w:val="-3"/>
          <w:sz w:val="24"/>
          <w:szCs w:val="24"/>
          <w:u w:val="single"/>
        </w:rPr>
      </w:pPr>
      <w:r w:rsidRPr="00A90F47">
        <w:rPr>
          <w:spacing w:val="-3"/>
          <w:sz w:val="24"/>
          <w:szCs w:val="24"/>
          <w:u w:val="single"/>
        </w:rPr>
        <w:t xml:space="preserve">Motion to Dismiss </w:t>
      </w:r>
      <w:r w:rsidR="00801438" w:rsidRPr="00A90F47">
        <w:rPr>
          <w:spacing w:val="-3"/>
          <w:sz w:val="24"/>
          <w:szCs w:val="24"/>
          <w:u w:val="single"/>
        </w:rPr>
        <w:t>Due to Prior Settlement</w:t>
      </w:r>
    </w:p>
    <w:p w:rsidR="00801438" w:rsidRPr="00A90F47" w:rsidRDefault="00801438" w:rsidP="004728C1">
      <w:pPr>
        <w:tabs>
          <w:tab w:val="left" w:pos="-1440"/>
          <w:tab w:val="left" w:pos="-720"/>
        </w:tabs>
        <w:suppressAutoHyphens/>
        <w:spacing w:line="360" w:lineRule="auto"/>
        <w:rPr>
          <w:spacing w:val="-3"/>
          <w:sz w:val="24"/>
          <w:szCs w:val="24"/>
          <w:u w:val="single"/>
        </w:rPr>
      </w:pPr>
    </w:p>
    <w:p w:rsidR="00E32A0E" w:rsidRPr="00A90F47" w:rsidRDefault="00E32A0E" w:rsidP="00E32A0E">
      <w:pPr>
        <w:tabs>
          <w:tab w:val="left" w:pos="-1440"/>
          <w:tab w:val="left" w:pos="-720"/>
        </w:tabs>
        <w:suppressAutoHyphens/>
        <w:spacing w:line="360" w:lineRule="auto"/>
        <w:rPr>
          <w:spacing w:val="-3"/>
          <w:sz w:val="24"/>
          <w:szCs w:val="24"/>
        </w:rPr>
      </w:pPr>
      <w:r w:rsidRPr="00A90F47">
        <w:rPr>
          <w:spacing w:val="-3"/>
          <w:sz w:val="24"/>
          <w:szCs w:val="24"/>
        </w:rPr>
        <w:tab/>
      </w:r>
      <w:r w:rsidRPr="00A90F47">
        <w:rPr>
          <w:spacing w:val="-3"/>
          <w:sz w:val="24"/>
          <w:szCs w:val="24"/>
        </w:rPr>
        <w:tab/>
        <w:t xml:space="preserve">During the Complainant’s evidentiary presentation, Mr. Wright admitted that he had not </w:t>
      </w:r>
      <w:r w:rsidR="00870CEA" w:rsidRPr="00A90F47">
        <w:rPr>
          <w:spacing w:val="-3"/>
          <w:sz w:val="24"/>
          <w:szCs w:val="24"/>
        </w:rPr>
        <w:t xml:space="preserve">objected to </w:t>
      </w:r>
      <w:r w:rsidRPr="00A90F47">
        <w:rPr>
          <w:spacing w:val="-3"/>
          <w:sz w:val="24"/>
          <w:szCs w:val="24"/>
        </w:rPr>
        <w:t xml:space="preserve">the previous Certificate of Satisfaction at Docket Nos. F-2010-2192191 and C-2011-2225996, </w:t>
      </w:r>
      <w:r w:rsidR="00870CEA" w:rsidRPr="00A90F47">
        <w:rPr>
          <w:spacing w:val="-3"/>
          <w:sz w:val="24"/>
          <w:szCs w:val="24"/>
        </w:rPr>
        <w:t>regarding the high bills in the present case, e</w:t>
      </w:r>
      <w:r w:rsidRPr="00A90F47">
        <w:rPr>
          <w:spacing w:val="-3"/>
          <w:sz w:val="24"/>
          <w:szCs w:val="24"/>
        </w:rPr>
        <w:t>ven though he was uncomfortable with th</w:t>
      </w:r>
      <w:r w:rsidR="00A92AD4" w:rsidRPr="00A90F47">
        <w:rPr>
          <w:spacing w:val="-3"/>
          <w:sz w:val="24"/>
          <w:szCs w:val="24"/>
        </w:rPr>
        <w:t>at settlement</w:t>
      </w:r>
      <w:r w:rsidRPr="00A90F47">
        <w:rPr>
          <w:spacing w:val="-3"/>
          <w:sz w:val="24"/>
          <w:szCs w:val="24"/>
        </w:rPr>
        <w:t>.  He also acknowledged that his account had been credited with $498.13 as part of the settlement.  Tr. 48-51.</w:t>
      </w:r>
    </w:p>
    <w:p w:rsidR="00E32A0E" w:rsidRPr="00A90F47" w:rsidRDefault="00801438" w:rsidP="004728C1">
      <w:pPr>
        <w:tabs>
          <w:tab w:val="left" w:pos="-1440"/>
          <w:tab w:val="left" w:pos="-720"/>
        </w:tabs>
        <w:suppressAutoHyphens/>
        <w:spacing w:line="360" w:lineRule="auto"/>
        <w:rPr>
          <w:spacing w:val="-3"/>
          <w:sz w:val="24"/>
          <w:szCs w:val="24"/>
        </w:rPr>
      </w:pPr>
      <w:r w:rsidRPr="00A90F47">
        <w:rPr>
          <w:spacing w:val="-3"/>
          <w:sz w:val="24"/>
          <w:szCs w:val="24"/>
        </w:rPr>
        <w:tab/>
      </w:r>
      <w:r w:rsidRPr="00A90F47">
        <w:rPr>
          <w:spacing w:val="-3"/>
          <w:sz w:val="24"/>
          <w:szCs w:val="24"/>
        </w:rPr>
        <w:tab/>
      </w:r>
    </w:p>
    <w:p w:rsidR="00C056BD" w:rsidRPr="00A90F47" w:rsidRDefault="00CD4EA0" w:rsidP="004728C1">
      <w:pPr>
        <w:tabs>
          <w:tab w:val="left" w:pos="-1440"/>
          <w:tab w:val="left" w:pos="-720"/>
        </w:tabs>
        <w:suppressAutoHyphens/>
        <w:spacing w:line="360" w:lineRule="auto"/>
        <w:rPr>
          <w:spacing w:val="-3"/>
          <w:sz w:val="24"/>
          <w:szCs w:val="24"/>
        </w:rPr>
      </w:pPr>
      <w:r w:rsidRPr="00A90F47">
        <w:rPr>
          <w:spacing w:val="-3"/>
          <w:sz w:val="24"/>
          <w:szCs w:val="24"/>
        </w:rPr>
        <w:tab/>
      </w:r>
      <w:r w:rsidRPr="00A90F47">
        <w:rPr>
          <w:spacing w:val="-3"/>
          <w:sz w:val="24"/>
          <w:szCs w:val="24"/>
        </w:rPr>
        <w:tab/>
      </w:r>
      <w:r w:rsidR="00870CEA" w:rsidRPr="00A90F47">
        <w:rPr>
          <w:spacing w:val="-3"/>
          <w:sz w:val="24"/>
          <w:szCs w:val="24"/>
        </w:rPr>
        <w:t xml:space="preserve">Prior to presenting its responsive case, </w:t>
      </w:r>
      <w:r w:rsidR="00801438" w:rsidRPr="00A90F47">
        <w:rPr>
          <w:spacing w:val="-3"/>
          <w:sz w:val="24"/>
          <w:szCs w:val="24"/>
        </w:rPr>
        <w:t xml:space="preserve">PGW </w:t>
      </w:r>
      <w:r w:rsidR="00870CEA" w:rsidRPr="00A90F47">
        <w:rPr>
          <w:spacing w:val="-3"/>
          <w:sz w:val="24"/>
          <w:szCs w:val="24"/>
        </w:rPr>
        <w:t xml:space="preserve">made an oral motion </w:t>
      </w:r>
      <w:r w:rsidR="00DD7380" w:rsidRPr="00A90F47">
        <w:rPr>
          <w:spacing w:val="-3"/>
          <w:sz w:val="24"/>
          <w:szCs w:val="24"/>
        </w:rPr>
        <w:t>to dismiss Mr. Wright’s Complaint on the ground</w:t>
      </w:r>
      <w:r w:rsidR="00870CEA" w:rsidRPr="00A90F47">
        <w:rPr>
          <w:spacing w:val="-3"/>
          <w:sz w:val="24"/>
          <w:szCs w:val="24"/>
        </w:rPr>
        <w:t>s</w:t>
      </w:r>
      <w:r w:rsidR="00DD7380" w:rsidRPr="00A90F47">
        <w:rPr>
          <w:spacing w:val="-3"/>
          <w:sz w:val="24"/>
          <w:szCs w:val="24"/>
        </w:rPr>
        <w:t xml:space="preserve"> that the issues were previously resolved in a settlement of prior case(s) through an unobjected to Certificate of Satisfaction.  </w:t>
      </w:r>
      <w:r w:rsidR="00870CEA" w:rsidRPr="00A90F47">
        <w:rPr>
          <w:spacing w:val="-3"/>
          <w:sz w:val="24"/>
          <w:szCs w:val="24"/>
        </w:rPr>
        <w:t xml:space="preserve">I reserved judgment.  Thereafter, as </w:t>
      </w:r>
      <w:r w:rsidR="00C16948" w:rsidRPr="00A90F47">
        <w:rPr>
          <w:spacing w:val="-3"/>
          <w:sz w:val="24"/>
          <w:szCs w:val="24"/>
        </w:rPr>
        <w:t>proof of the prior settlement, the Company place</w:t>
      </w:r>
      <w:r w:rsidR="00870CEA" w:rsidRPr="00A90F47">
        <w:rPr>
          <w:spacing w:val="-3"/>
          <w:sz w:val="24"/>
          <w:szCs w:val="24"/>
        </w:rPr>
        <w:t xml:space="preserve">d a copy of the settlement terms </w:t>
      </w:r>
      <w:r w:rsidR="00C16948" w:rsidRPr="00A90F47">
        <w:rPr>
          <w:spacing w:val="-3"/>
          <w:sz w:val="24"/>
          <w:szCs w:val="24"/>
        </w:rPr>
        <w:t>in</w:t>
      </w:r>
      <w:r w:rsidR="00870CEA" w:rsidRPr="00A90F47">
        <w:rPr>
          <w:spacing w:val="-3"/>
          <w:sz w:val="24"/>
          <w:szCs w:val="24"/>
        </w:rPr>
        <w:t>to</w:t>
      </w:r>
      <w:r w:rsidR="00C16948" w:rsidRPr="00A90F47">
        <w:rPr>
          <w:spacing w:val="-3"/>
          <w:sz w:val="24"/>
          <w:szCs w:val="24"/>
        </w:rPr>
        <w:t xml:space="preserve"> the record.  </w:t>
      </w:r>
      <w:r w:rsidR="00C16948" w:rsidRPr="00A90F47">
        <w:rPr>
          <w:spacing w:val="-3"/>
          <w:sz w:val="24"/>
          <w:szCs w:val="24"/>
        </w:rPr>
        <w:lastRenderedPageBreak/>
        <w:t xml:space="preserve">PGW Ex. 1.  </w:t>
      </w:r>
      <w:r w:rsidR="003E7708" w:rsidRPr="00A90F47">
        <w:rPr>
          <w:spacing w:val="-3"/>
          <w:sz w:val="24"/>
          <w:szCs w:val="24"/>
        </w:rPr>
        <w:t>At my request, PGW also submitted copies of</w:t>
      </w:r>
      <w:r w:rsidR="00C16948" w:rsidRPr="00A90F47">
        <w:rPr>
          <w:spacing w:val="-3"/>
          <w:sz w:val="24"/>
          <w:szCs w:val="24"/>
        </w:rPr>
        <w:t xml:space="preserve"> the relevant Complaints </w:t>
      </w:r>
      <w:r w:rsidR="00870CEA" w:rsidRPr="00A90F47">
        <w:rPr>
          <w:spacing w:val="-3"/>
          <w:sz w:val="24"/>
          <w:szCs w:val="24"/>
        </w:rPr>
        <w:t xml:space="preserve">and </w:t>
      </w:r>
      <w:r w:rsidR="00F36467" w:rsidRPr="00A90F47">
        <w:rPr>
          <w:spacing w:val="-3"/>
          <w:sz w:val="24"/>
          <w:szCs w:val="24"/>
        </w:rPr>
        <w:t xml:space="preserve">the </w:t>
      </w:r>
      <w:r w:rsidR="00870CEA" w:rsidRPr="00A90F47">
        <w:rPr>
          <w:spacing w:val="-3"/>
          <w:sz w:val="24"/>
          <w:szCs w:val="24"/>
        </w:rPr>
        <w:t xml:space="preserve">Certificate of Satisfaction </w:t>
      </w:r>
      <w:r w:rsidR="00C16948" w:rsidRPr="00A90F47">
        <w:rPr>
          <w:spacing w:val="-3"/>
          <w:sz w:val="24"/>
          <w:szCs w:val="24"/>
        </w:rPr>
        <w:t>at Docket Nos. F-2010-2192191 and C-2011-2225996 as exhibits.  PGW Ex</w:t>
      </w:r>
      <w:r w:rsidR="00D604C3" w:rsidRPr="00A90F47">
        <w:rPr>
          <w:spacing w:val="-3"/>
          <w:sz w:val="24"/>
          <w:szCs w:val="24"/>
        </w:rPr>
        <w:t>s</w:t>
      </w:r>
      <w:r w:rsidR="00C16948" w:rsidRPr="00A90F47">
        <w:rPr>
          <w:spacing w:val="-3"/>
          <w:sz w:val="24"/>
          <w:szCs w:val="24"/>
        </w:rPr>
        <w:t xml:space="preserve">. 9, 10.  In addition, the Company </w:t>
      </w:r>
      <w:r w:rsidR="00DD7380" w:rsidRPr="00A90F47">
        <w:rPr>
          <w:spacing w:val="-3"/>
          <w:sz w:val="24"/>
          <w:szCs w:val="24"/>
        </w:rPr>
        <w:t>set forth supportive argument in its Main Brief.</w:t>
      </w:r>
    </w:p>
    <w:p w:rsidR="00C056BD" w:rsidRPr="00A90F47" w:rsidRDefault="00C056BD" w:rsidP="004728C1">
      <w:pPr>
        <w:tabs>
          <w:tab w:val="left" w:pos="-1440"/>
          <w:tab w:val="left" w:pos="-720"/>
        </w:tabs>
        <w:suppressAutoHyphens/>
        <w:spacing w:line="360" w:lineRule="auto"/>
        <w:rPr>
          <w:spacing w:val="-3"/>
          <w:sz w:val="24"/>
          <w:szCs w:val="24"/>
        </w:rPr>
      </w:pPr>
    </w:p>
    <w:p w:rsidR="00E32A0E" w:rsidRPr="00A90F47" w:rsidRDefault="00C056BD" w:rsidP="004728C1">
      <w:pPr>
        <w:tabs>
          <w:tab w:val="left" w:pos="-1440"/>
          <w:tab w:val="left" w:pos="-720"/>
        </w:tabs>
        <w:suppressAutoHyphens/>
        <w:spacing w:line="360" w:lineRule="auto"/>
        <w:rPr>
          <w:spacing w:val="-3"/>
          <w:sz w:val="24"/>
          <w:szCs w:val="24"/>
        </w:rPr>
      </w:pPr>
      <w:r w:rsidRPr="00A90F47">
        <w:rPr>
          <w:spacing w:val="-3"/>
          <w:sz w:val="24"/>
          <w:szCs w:val="24"/>
        </w:rPr>
        <w:tab/>
      </w:r>
      <w:r w:rsidRPr="00A90F47">
        <w:rPr>
          <w:spacing w:val="-3"/>
          <w:sz w:val="24"/>
          <w:szCs w:val="24"/>
        </w:rPr>
        <w:tab/>
        <w:t>PGW also presented a witness, senior customer review officer Linda Pereira, who testified that, according to PGW records, the high bills at issue were previously part of a settlement.  Ms. Pereira further confirmed that as part of the settlement, PGW had issued a billing credit to the Complainant of $498.13.  Tr. 59-61.</w:t>
      </w:r>
    </w:p>
    <w:p w:rsidR="00E32A0E" w:rsidRPr="00A90F47" w:rsidRDefault="00E32A0E" w:rsidP="004728C1">
      <w:pPr>
        <w:tabs>
          <w:tab w:val="left" w:pos="-1440"/>
          <w:tab w:val="left" w:pos="-720"/>
        </w:tabs>
        <w:suppressAutoHyphens/>
        <w:spacing w:line="360" w:lineRule="auto"/>
        <w:rPr>
          <w:spacing w:val="-3"/>
          <w:sz w:val="24"/>
          <w:szCs w:val="24"/>
        </w:rPr>
      </w:pPr>
    </w:p>
    <w:p w:rsidR="007E6BBC" w:rsidRPr="00A90F47" w:rsidRDefault="00E32A0E" w:rsidP="004728C1">
      <w:pPr>
        <w:tabs>
          <w:tab w:val="left" w:pos="-1440"/>
          <w:tab w:val="left" w:pos="-720"/>
        </w:tabs>
        <w:suppressAutoHyphens/>
        <w:spacing w:line="360" w:lineRule="auto"/>
        <w:rPr>
          <w:spacing w:val="-3"/>
          <w:sz w:val="24"/>
          <w:szCs w:val="24"/>
        </w:rPr>
      </w:pPr>
      <w:r w:rsidRPr="00A90F47">
        <w:rPr>
          <w:spacing w:val="-3"/>
          <w:sz w:val="24"/>
          <w:szCs w:val="24"/>
        </w:rPr>
        <w:tab/>
      </w:r>
      <w:r w:rsidRPr="00A90F47">
        <w:rPr>
          <w:spacing w:val="-3"/>
          <w:sz w:val="24"/>
          <w:szCs w:val="24"/>
        </w:rPr>
        <w:tab/>
      </w:r>
      <w:r w:rsidR="004865E2" w:rsidRPr="00A90F47">
        <w:rPr>
          <w:spacing w:val="-3"/>
          <w:sz w:val="24"/>
          <w:szCs w:val="24"/>
        </w:rPr>
        <w:t>I</w:t>
      </w:r>
      <w:r w:rsidR="00F36467" w:rsidRPr="00A90F47">
        <w:rPr>
          <w:spacing w:val="-3"/>
          <w:sz w:val="24"/>
          <w:szCs w:val="24"/>
        </w:rPr>
        <w:t xml:space="preserve">n its Main Brief, </w:t>
      </w:r>
      <w:r w:rsidR="004865E2" w:rsidRPr="00A90F47">
        <w:rPr>
          <w:spacing w:val="-3"/>
          <w:sz w:val="24"/>
          <w:szCs w:val="24"/>
        </w:rPr>
        <w:t xml:space="preserve">PGW </w:t>
      </w:r>
      <w:r w:rsidR="00DD7380" w:rsidRPr="00A90F47">
        <w:rPr>
          <w:spacing w:val="-3"/>
          <w:sz w:val="24"/>
          <w:szCs w:val="24"/>
        </w:rPr>
        <w:t>argued</w:t>
      </w:r>
      <w:r w:rsidR="002D0F62" w:rsidRPr="00A90F47">
        <w:rPr>
          <w:spacing w:val="-3"/>
          <w:sz w:val="24"/>
          <w:szCs w:val="24"/>
        </w:rPr>
        <w:t xml:space="preserve"> that Commission regulations at 52 Pa.Code § 5.24(b) permitted a utility to file a Certificate of Satisfaction, indicating that a </w:t>
      </w:r>
      <w:r w:rsidR="000131CB">
        <w:rPr>
          <w:spacing w:val="-3"/>
          <w:sz w:val="24"/>
          <w:szCs w:val="24"/>
        </w:rPr>
        <w:t xml:space="preserve">complaint has been addressed.  </w:t>
      </w:r>
      <w:r w:rsidR="002D0F62" w:rsidRPr="00A90F47">
        <w:rPr>
          <w:spacing w:val="-3"/>
          <w:sz w:val="24"/>
          <w:szCs w:val="24"/>
        </w:rPr>
        <w:t>A complainant then has ten (10) days in which to object to the Certificate, and</w:t>
      </w:r>
      <w:r w:rsidR="00C16948" w:rsidRPr="00A90F47">
        <w:rPr>
          <w:spacing w:val="-3"/>
          <w:sz w:val="24"/>
          <w:szCs w:val="24"/>
        </w:rPr>
        <w:t xml:space="preserve"> if no objection is filed, </w:t>
      </w:r>
      <w:r w:rsidR="002D0F62" w:rsidRPr="00A90F47">
        <w:rPr>
          <w:spacing w:val="-3"/>
          <w:sz w:val="24"/>
          <w:szCs w:val="24"/>
        </w:rPr>
        <w:t>the matter is closed.  PGW claimed that Complainant had previously disputed the bills at Docket Nos. F-2010-2192191 and C-2011-2225996, and that these matters were resolved through the filing of a Certificate of Satisfaction on September 29, 2011.  PGW Exs. 1, 10.  Since the Complainant</w:t>
      </w:r>
      <w:r w:rsidR="00D1421F" w:rsidRPr="00A90F47">
        <w:rPr>
          <w:spacing w:val="-3"/>
          <w:sz w:val="24"/>
          <w:szCs w:val="24"/>
        </w:rPr>
        <w:t xml:space="preserve"> did not file a timely objection, he cannot revisit those issues in a subsequent complaint</w:t>
      </w:r>
      <w:r w:rsidR="00630CD8" w:rsidRPr="00A90F47">
        <w:rPr>
          <w:spacing w:val="-3"/>
          <w:sz w:val="24"/>
          <w:szCs w:val="24"/>
        </w:rPr>
        <w:t>, according to PGW</w:t>
      </w:r>
      <w:r w:rsidR="00D1421F" w:rsidRPr="00A90F47">
        <w:rPr>
          <w:spacing w:val="-3"/>
          <w:sz w:val="24"/>
          <w:szCs w:val="24"/>
        </w:rPr>
        <w:t>.</w:t>
      </w:r>
    </w:p>
    <w:p w:rsidR="007E6BBC" w:rsidRPr="00A90F47" w:rsidRDefault="007E6BBC" w:rsidP="004728C1">
      <w:pPr>
        <w:tabs>
          <w:tab w:val="left" w:pos="-1440"/>
          <w:tab w:val="left" w:pos="-720"/>
        </w:tabs>
        <w:suppressAutoHyphens/>
        <w:spacing w:line="360" w:lineRule="auto"/>
        <w:rPr>
          <w:spacing w:val="-3"/>
          <w:sz w:val="24"/>
          <w:szCs w:val="24"/>
        </w:rPr>
      </w:pPr>
    </w:p>
    <w:p w:rsidR="004728C1" w:rsidRPr="00A90F47" w:rsidRDefault="007E6BBC" w:rsidP="004728C1">
      <w:pPr>
        <w:tabs>
          <w:tab w:val="left" w:pos="-1440"/>
          <w:tab w:val="left" w:pos="-720"/>
        </w:tabs>
        <w:suppressAutoHyphens/>
        <w:spacing w:line="360" w:lineRule="auto"/>
        <w:rPr>
          <w:b/>
          <w:spacing w:val="-3"/>
          <w:sz w:val="24"/>
          <w:szCs w:val="24"/>
        </w:rPr>
      </w:pPr>
      <w:r w:rsidRPr="00A90F47">
        <w:rPr>
          <w:spacing w:val="-3"/>
          <w:sz w:val="24"/>
          <w:szCs w:val="24"/>
        </w:rPr>
        <w:tab/>
      </w:r>
      <w:r w:rsidRPr="00A90F47">
        <w:rPr>
          <w:spacing w:val="-3"/>
          <w:sz w:val="24"/>
          <w:szCs w:val="24"/>
        </w:rPr>
        <w:tab/>
        <w:t xml:space="preserve">The Company also cited to </w:t>
      </w:r>
      <w:r w:rsidRPr="00A90F47">
        <w:rPr>
          <w:spacing w:val="-3"/>
          <w:sz w:val="24"/>
          <w:szCs w:val="24"/>
          <w:u w:val="single"/>
        </w:rPr>
        <w:t>Mario DeVito v. PGW</w:t>
      </w:r>
      <w:r w:rsidR="00783CC1" w:rsidRPr="00A90F47">
        <w:rPr>
          <w:spacing w:val="-3"/>
          <w:sz w:val="24"/>
          <w:szCs w:val="24"/>
        </w:rPr>
        <w:t xml:space="preserve">, Docket No. C-2012-2300430, </w:t>
      </w:r>
      <w:r w:rsidRPr="00A90F47">
        <w:rPr>
          <w:spacing w:val="-3"/>
          <w:sz w:val="24"/>
          <w:szCs w:val="24"/>
        </w:rPr>
        <w:t>Opinion and Order entered December 5, 2012</w:t>
      </w:r>
      <w:r w:rsidR="00783CC1" w:rsidRPr="00A90F47">
        <w:rPr>
          <w:spacing w:val="-3"/>
          <w:sz w:val="24"/>
          <w:szCs w:val="24"/>
        </w:rPr>
        <w:t xml:space="preserve"> (</w:t>
      </w:r>
      <w:r w:rsidR="00783CC1" w:rsidRPr="00A90F47">
        <w:rPr>
          <w:spacing w:val="-3"/>
          <w:sz w:val="24"/>
          <w:szCs w:val="24"/>
          <w:u w:val="single"/>
        </w:rPr>
        <w:t>DeVito</w:t>
      </w:r>
      <w:r w:rsidR="00783CC1" w:rsidRPr="00A90F47">
        <w:rPr>
          <w:spacing w:val="-3"/>
          <w:sz w:val="24"/>
          <w:szCs w:val="24"/>
        </w:rPr>
        <w:t>)</w:t>
      </w:r>
      <w:r w:rsidR="00925AD0" w:rsidRPr="00A90F47">
        <w:rPr>
          <w:spacing w:val="-3"/>
          <w:sz w:val="24"/>
          <w:szCs w:val="24"/>
        </w:rPr>
        <w:t xml:space="preserve">, in support of its position that Mr. Wright’s Complaint should be dismissed.  In </w:t>
      </w:r>
      <w:r w:rsidR="00925AD0" w:rsidRPr="00A90F47">
        <w:rPr>
          <w:spacing w:val="-3"/>
          <w:sz w:val="24"/>
          <w:szCs w:val="24"/>
          <w:u w:val="single"/>
        </w:rPr>
        <w:t>DeVito</w:t>
      </w:r>
      <w:r w:rsidR="00925AD0" w:rsidRPr="00A90F47">
        <w:rPr>
          <w:spacing w:val="-3"/>
          <w:sz w:val="24"/>
          <w:szCs w:val="24"/>
        </w:rPr>
        <w:t xml:space="preserve">, a Certificate of Satisfaction was filed after an Initial Decision had been issued, and, as a result, the Commission vacated the Initial Decision.  While PGW’s argument as to the relevance of </w:t>
      </w:r>
      <w:r w:rsidR="00925AD0" w:rsidRPr="00A90F47">
        <w:rPr>
          <w:spacing w:val="-3"/>
          <w:sz w:val="24"/>
          <w:szCs w:val="24"/>
          <w:u w:val="single"/>
        </w:rPr>
        <w:t>DeVito</w:t>
      </w:r>
      <w:r w:rsidR="00925AD0" w:rsidRPr="00A90F47">
        <w:rPr>
          <w:spacing w:val="-3"/>
          <w:sz w:val="24"/>
          <w:szCs w:val="24"/>
        </w:rPr>
        <w:t xml:space="preserve"> to the instant situation is unclear, apparently the Company is contending that a Certificate of Service ends all further litigation in a matter.</w:t>
      </w:r>
    </w:p>
    <w:p w:rsidR="00104509" w:rsidRPr="00A90F47" w:rsidRDefault="00104509" w:rsidP="004728C1">
      <w:pPr>
        <w:tabs>
          <w:tab w:val="left" w:pos="-1440"/>
          <w:tab w:val="left" w:pos="-720"/>
        </w:tabs>
        <w:suppressAutoHyphens/>
        <w:spacing w:line="360" w:lineRule="auto"/>
        <w:rPr>
          <w:b/>
          <w:spacing w:val="-3"/>
          <w:sz w:val="24"/>
          <w:szCs w:val="24"/>
        </w:rPr>
      </w:pPr>
    </w:p>
    <w:p w:rsidR="007E0FA0" w:rsidRDefault="00104509" w:rsidP="004728C1">
      <w:pPr>
        <w:tabs>
          <w:tab w:val="left" w:pos="-1440"/>
          <w:tab w:val="left" w:pos="-720"/>
        </w:tabs>
        <w:suppressAutoHyphens/>
        <w:spacing w:line="360" w:lineRule="auto"/>
        <w:rPr>
          <w:spacing w:val="-3"/>
          <w:sz w:val="24"/>
          <w:szCs w:val="24"/>
        </w:rPr>
      </w:pPr>
      <w:r w:rsidRPr="00A90F47">
        <w:rPr>
          <w:b/>
          <w:spacing w:val="-3"/>
          <w:sz w:val="24"/>
          <w:szCs w:val="24"/>
        </w:rPr>
        <w:tab/>
      </w:r>
      <w:r w:rsidRPr="00A90F47">
        <w:rPr>
          <w:b/>
          <w:spacing w:val="-3"/>
          <w:sz w:val="24"/>
          <w:szCs w:val="24"/>
        </w:rPr>
        <w:tab/>
      </w:r>
      <w:r w:rsidRPr="00A90F47">
        <w:rPr>
          <w:spacing w:val="-3"/>
          <w:sz w:val="24"/>
          <w:szCs w:val="24"/>
        </w:rPr>
        <w:t xml:space="preserve">Complainant did not file either a Main or Reply Brief and did not contest PGW’s position that </w:t>
      </w:r>
      <w:r w:rsidR="00E42F98" w:rsidRPr="00A90F47">
        <w:rPr>
          <w:spacing w:val="-3"/>
          <w:sz w:val="24"/>
          <w:szCs w:val="24"/>
        </w:rPr>
        <w:t>the subject matter of his Complaint had been previously raised and settled, without prior objection.</w:t>
      </w:r>
    </w:p>
    <w:p w:rsidR="003D1704" w:rsidRDefault="003D1704" w:rsidP="004728C1">
      <w:pPr>
        <w:tabs>
          <w:tab w:val="left" w:pos="-1440"/>
          <w:tab w:val="left" w:pos="-720"/>
        </w:tabs>
        <w:suppressAutoHyphens/>
        <w:spacing w:line="360" w:lineRule="auto"/>
        <w:rPr>
          <w:spacing w:val="-3"/>
          <w:sz w:val="24"/>
          <w:szCs w:val="24"/>
        </w:rPr>
      </w:pPr>
    </w:p>
    <w:p w:rsidR="003D1704" w:rsidRDefault="003D1704" w:rsidP="004728C1">
      <w:pPr>
        <w:tabs>
          <w:tab w:val="left" w:pos="-1440"/>
          <w:tab w:val="left" w:pos="-720"/>
        </w:tabs>
        <w:suppressAutoHyphens/>
        <w:spacing w:line="360" w:lineRule="auto"/>
        <w:rPr>
          <w:spacing w:val="-3"/>
          <w:sz w:val="24"/>
          <w:szCs w:val="24"/>
        </w:rPr>
      </w:pPr>
    </w:p>
    <w:p w:rsidR="003D1704" w:rsidRDefault="003D1704" w:rsidP="004728C1">
      <w:pPr>
        <w:tabs>
          <w:tab w:val="left" w:pos="-1440"/>
          <w:tab w:val="left" w:pos="-720"/>
        </w:tabs>
        <w:suppressAutoHyphens/>
        <w:spacing w:line="360" w:lineRule="auto"/>
        <w:rPr>
          <w:spacing w:val="-3"/>
          <w:sz w:val="24"/>
          <w:szCs w:val="24"/>
        </w:rPr>
      </w:pPr>
    </w:p>
    <w:p w:rsidR="008F6BAF" w:rsidRPr="008F6BAF" w:rsidRDefault="008F6BAF" w:rsidP="004728C1">
      <w:pPr>
        <w:tabs>
          <w:tab w:val="left" w:pos="-1440"/>
          <w:tab w:val="left" w:pos="-720"/>
        </w:tabs>
        <w:suppressAutoHyphens/>
        <w:spacing w:line="360" w:lineRule="auto"/>
        <w:rPr>
          <w:spacing w:val="-3"/>
          <w:sz w:val="24"/>
          <w:szCs w:val="24"/>
          <w:u w:val="single"/>
        </w:rPr>
      </w:pPr>
      <w:r w:rsidRPr="008F6BAF">
        <w:rPr>
          <w:spacing w:val="-3"/>
          <w:sz w:val="24"/>
          <w:szCs w:val="24"/>
          <w:u w:val="single"/>
        </w:rPr>
        <w:lastRenderedPageBreak/>
        <w:t>ALJ Ruling</w:t>
      </w:r>
    </w:p>
    <w:p w:rsidR="00053252" w:rsidRDefault="00053252" w:rsidP="00053252">
      <w:pPr>
        <w:spacing w:line="360" w:lineRule="auto"/>
        <w:rPr>
          <w:spacing w:val="-3"/>
          <w:sz w:val="24"/>
          <w:szCs w:val="24"/>
        </w:rPr>
      </w:pPr>
      <w:r>
        <w:rPr>
          <w:spacing w:val="-3"/>
          <w:sz w:val="24"/>
          <w:szCs w:val="24"/>
        </w:rPr>
        <w:tab/>
      </w:r>
      <w:r>
        <w:rPr>
          <w:spacing w:val="-3"/>
          <w:sz w:val="24"/>
          <w:szCs w:val="24"/>
        </w:rPr>
        <w:tab/>
      </w:r>
    </w:p>
    <w:p w:rsidR="00E15006" w:rsidRPr="00A90F47" w:rsidRDefault="00053252" w:rsidP="00053252">
      <w:pPr>
        <w:spacing w:line="360" w:lineRule="auto"/>
        <w:rPr>
          <w:spacing w:val="-3"/>
          <w:sz w:val="24"/>
          <w:szCs w:val="24"/>
        </w:rPr>
      </w:pPr>
      <w:r>
        <w:rPr>
          <w:spacing w:val="-3"/>
          <w:sz w:val="24"/>
          <w:szCs w:val="24"/>
        </w:rPr>
        <w:tab/>
      </w:r>
      <w:r>
        <w:rPr>
          <w:spacing w:val="-3"/>
          <w:sz w:val="24"/>
          <w:szCs w:val="24"/>
        </w:rPr>
        <w:tab/>
      </w:r>
      <w:r w:rsidR="00507E08" w:rsidRPr="00A90F47">
        <w:rPr>
          <w:spacing w:val="-3"/>
          <w:sz w:val="24"/>
          <w:szCs w:val="24"/>
        </w:rPr>
        <w:t>I have carefully compared</w:t>
      </w:r>
      <w:r w:rsidR="00B16731" w:rsidRPr="00A90F47">
        <w:rPr>
          <w:spacing w:val="-3"/>
          <w:sz w:val="24"/>
          <w:szCs w:val="24"/>
        </w:rPr>
        <w:t xml:space="preserve"> Mr. Wright’s Complaint </w:t>
      </w:r>
      <w:r w:rsidR="00F55E2B" w:rsidRPr="00A90F47">
        <w:rPr>
          <w:spacing w:val="-3"/>
          <w:sz w:val="24"/>
          <w:szCs w:val="24"/>
        </w:rPr>
        <w:t xml:space="preserve">and testimony </w:t>
      </w:r>
      <w:r w:rsidR="00B16731" w:rsidRPr="00A90F47">
        <w:rPr>
          <w:spacing w:val="-3"/>
          <w:sz w:val="24"/>
          <w:szCs w:val="24"/>
        </w:rPr>
        <w:t xml:space="preserve">at this docket with the prior Complaints at Docket Nos. </w:t>
      </w:r>
      <w:r w:rsidR="00CD411F" w:rsidRPr="00A90F47">
        <w:rPr>
          <w:spacing w:val="-3"/>
          <w:sz w:val="24"/>
          <w:szCs w:val="24"/>
        </w:rPr>
        <w:t>F-2010-2192191 and Docket No. C-2011-2225996</w:t>
      </w:r>
      <w:r w:rsidR="00F55E2B" w:rsidRPr="00A90F47">
        <w:rPr>
          <w:spacing w:val="-3"/>
          <w:sz w:val="24"/>
          <w:szCs w:val="24"/>
        </w:rPr>
        <w:t>, and noted as follows.</w:t>
      </w:r>
    </w:p>
    <w:p w:rsidR="00F55E2B" w:rsidRPr="00A90F47" w:rsidRDefault="00F55E2B" w:rsidP="004728C1">
      <w:pPr>
        <w:tabs>
          <w:tab w:val="left" w:pos="-1440"/>
          <w:tab w:val="left" w:pos="-720"/>
        </w:tabs>
        <w:suppressAutoHyphens/>
        <w:spacing w:line="360" w:lineRule="auto"/>
        <w:rPr>
          <w:spacing w:val="-3"/>
          <w:sz w:val="24"/>
          <w:szCs w:val="24"/>
        </w:rPr>
      </w:pPr>
    </w:p>
    <w:p w:rsidR="00223C71" w:rsidRPr="00A90F47" w:rsidRDefault="00E15006" w:rsidP="004728C1">
      <w:pPr>
        <w:tabs>
          <w:tab w:val="left" w:pos="-1440"/>
          <w:tab w:val="left" w:pos="-720"/>
        </w:tabs>
        <w:suppressAutoHyphens/>
        <w:spacing w:line="360" w:lineRule="auto"/>
        <w:rPr>
          <w:spacing w:val="-3"/>
          <w:sz w:val="24"/>
          <w:szCs w:val="24"/>
        </w:rPr>
      </w:pPr>
      <w:r w:rsidRPr="00A90F47">
        <w:rPr>
          <w:spacing w:val="-3"/>
          <w:sz w:val="24"/>
          <w:szCs w:val="24"/>
        </w:rPr>
        <w:tab/>
      </w:r>
      <w:r w:rsidRPr="00A90F47">
        <w:rPr>
          <w:spacing w:val="-3"/>
          <w:sz w:val="24"/>
          <w:szCs w:val="24"/>
        </w:rPr>
        <w:tab/>
        <w:t>At the hearing on January 29, 2014, Mr. Wright testified that his Complaint</w:t>
      </w:r>
      <w:r w:rsidR="00115022" w:rsidRPr="00A90F47">
        <w:rPr>
          <w:spacing w:val="-3"/>
          <w:sz w:val="24"/>
          <w:szCs w:val="24"/>
        </w:rPr>
        <w:t xml:space="preserve"> </w:t>
      </w:r>
      <w:r w:rsidRPr="00A90F47">
        <w:rPr>
          <w:spacing w:val="-3"/>
          <w:sz w:val="24"/>
          <w:szCs w:val="24"/>
        </w:rPr>
        <w:t xml:space="preserve">involved </w:t>
      </w:r>
      <w:r w:rsidR="00CA75A0" w:rsidRPr="00A90F47">
        <w:rPr>
          <w:spacing w:val="-3"/>
          <w:sz w:val="24"/>
          <w:szCs w:val="24"/>
        </w:rPr>
        <w:t>bills with due dates of</w:t>
      </w:r>
      <w:r w:rsidRPr="00A90F47">
        <w:rPr>
          <w:spacing w:val="-3"/>
          <w:sz w:val="24"/>
          <w:szCs w:val="24"/>
        </w:rPr>
        <w:t xml:space="preserve"> February 16, </w:t>
      </w:r>
      <w:r w:rsidR="00CA75A0" w:rsidRPr="00A90F47">
        <w:rPr>
          <w:spacing w:val="-3"/>
          <w:sz w:val="24"/>
          <w:szCs w:val="24"/>
        </w:rPr>
        <w:t xml:space="preserve">2010, and March 16, 2010, </w:t>
      </w:r>
      <w:r w:rsidRPr="00A90F47">
        <w:rPr>
          <w:spacing w:val="-3"/>
          <w:sz w:val="24"/>
          <w:szCs w:val="24"/>
        </w:rPr>
        <w:t xml:space="preserve">for $635.00 and $480.59, respectively.  Tr. 42.  </w:t>
      </w:r>
      <w:r w:rsidR="00BC2900" w:rsidRPr="00A90F47">
        <w:rPr>
          <w:spacing w:val="-3"/>
          <w:sz w:val="24"/>
          <w:szCs w:val="24"/>
        </w:rPr>
        <w:t>I note that these</w:t>
      </w:r>
      <w:r w:rsidRPr="00A90F47">
        <w:rPr>
          <w:spacing w:val="-3"/>
          <w:sz w:val="24"/>
          <w:szCs w:val="24"/>
        </w:rPr>
        <w:t xml:space="preserve"> are the same bills that were included in the Complaint at Docket No. </w:t>
      </w:r>
      <w:r w:rsidR="003716E7" w:rsidRPr="00A90F47">
        <w:rPr>
          <w:spacing w:val="-3"/>
          <w:sz w:val="24"/>
          <w:szCs w:val="24"/>
        </w:rPr>
        <w:t xml:space="preserve">F-2010-2192191.  Tr. 23; </w:t>
      </w:r>
      <w:r w:rsidRPr="00A90F47">
        <w:rPr>
          <w:spacing w:val="-3"/>
          <w:sz w:val="24"/>
          <w:szCs w:val="24"/>
        </w:rPr>
        <w:t>PGW Ex. 10.  Mr</w:t>
      </w:r>
      <w:r w:rsidR="00B32E0E" w:rsidRPr="00A90F47">
        <w:rPr>
          <w:spacing w:val="-3"/>
          <w:sz w:val="24"/>
          <w:szCs w:val="24"/>
        </w:rPr>
        <w:t xml:space="preserve">. Wright also complained </w:t>
      </w:r>
      <w:r w:rsidR="00D0171E" w:rsidRPr="00A90F47">
        <w:rPr>
          <w:spacing w:val="-3"/>
          <w:sz w:val="24"/>
          <w:szCs w:val="24"/>
        </w:rPr>
        <w:t>about the</w:t>
      </w:r>
      <w:r w:rsidRPr="00A90F47">
        <w:rPr>
          <w:spacing w:val="-3"/>
          <w:sz w:val="24"/>
          <w:szCs w:val="24"/>
        </w:rPr>
        <w:t xml:space="preserve"> $520.91</w:t>
      </w:r>
      <w:r w:rsidR="00D0171E" w:rsidRPr="00A90F47">
        <w:rPr>
          <w:spacing w:val="-3"/>
          <w:sz w:val="24"/>
          <w:szCs w:val="24"/>
        </w:rPr>
        <w:t xml:space="preserve"> bill</w:t>
      </w:r>
      <w:r w:rsidRPr="00A90F47">
        <w:rPr>
          <w:spacing w:val="-3"/>
          <w:sz w:val="24"/>
          <w:szCs w:val="24"/>
        </w:rPr>
        <w:t xml:space="preserve">, </w:t>
      </w:r>
      <w:r w:rsidR="00D0171E" w:rsidRPr="00A90F47">
        <w:rPr>
          <w:spacing w:val="-3"/>
          <w:sz w:val="24"/>
          <w:szCs w:val="24"/>
        </w:rPr>
        <w:t xml:space="preserve">with a due date of January 14, 2011, and the </w:t>
      </w:r>
      <w:r w:rsidRPr="00A90F47">
        <w:rPr>
          <w:spacing w:val="-3"/>
          <w:sz w:val="24"/>
          <w:szCs w:val="24"/>
        </w:rPr>
        <w:t>$793.46</w:t>
      </w:r>
      <w:r w:rsidR="00B32E0E" w:rsidRPr="00A90F47">
        <w:rPr>
          <w:spacing w:val="-3"/>
          <w:sz w:val="24"/>
          <w:szCs w:val="24"/>
        </w:rPr>
        <w:t xml:space="preserve"> </w:t>
      </w:r>
      <w:r w:rsidR="00D0171E" w:rsidRPr="00A90F47">
        <w:rPr>
          <w:spacing w:val="-3"/>
          <w:sz w:val="24"/>
          <w:szCs w:val="24"/>
        </w:rPr>
        <w:t xml:space="preserve">bill, with a due date of February 15, 2011 </w:t>
      </w:r>
      <w:r w:rsidR="00B32E0E" w:rsidRPr="00A90F47">
        <w:rPr>
          <w:spacing w:val="-3"/>
          <w:sz w:val="24"/>
          <w:szCs w:val="24"/>
        </w:rPr>
        <w:t>(Tr. 42)</w:t>
      </w:r>
      <w:r w:rsidR="00D0171E" w:rsidRPr="00A90F47">
        <w:rPr>
          <w:spacing w:val="-3"/>
          <w:sz w:val="24"/>
          <w:szCs w:val="24"/>
        </w:rPr>
        <w:t xml:space="preserve">, which are </w:t>
      </w:r>
      <w:r w:rsidR="00115022" w:rsidRPr="00A90F47">
        <w:rPr>
          <w:spacing w:val="-3"/>
          <w:sz w:val="24"/>
          <w:szCs w:val="24"/>
        </w:rPr>
        <w:t>the subject matter</w:t>
      </w:r>
      <w:r w:rsidRPr="00A90F47">
        <w:rPr>
          <w:spacing w:val="-3"/>
          <w:sz w:val="24"/>
          <w:szCs w:val="24"/>
        </w:rPr>
        <w:t xml:space="preserve"> of the prior Complaint at Docket No.</w:t>
      </w:r>
      <w:r w:rsidR="00B32E0E" w:rsidRPr="00A90F47">
        <w:rPr>
          <w:spacing w:val="-3"/>
          <w:sz w:val="24"/>
          <w:szCs w:val="24"/>
        </w:rPr>
        <w:t xml:space="preserve"> C-2011-225996.</w:t>
      </w:r>
      <w:r w:rsidR="00115022" w:rsidRPr="00A90F47">
        <w:rPr>
          <w:spacing w:val="-3"/>
          <w:sz w:val="24"/>
          <w:szCs w:val="24"/>
        </w:rPr>
        <w:t xml:space="preserve">  PGW Ex. 10.</w:t>
      </w:r>
      <w:r w:rsidR="001D789E" w:rsidRPr="00A90F47">
        <w:rPr>
          <w:spacing w:val="-3"/>
          <w:sz w:val="24"/>
          <w:szCs w:val="24"/>
        </w:rPr>
        <w:t xml:space="preserve">  These consolidated complaint dockets wer</w:t>
      </w:r>
      <w:r w:rsidR="00652483" w:rsidRPr="00A90F47">
        <w:rPr>
          <w:spacing w:val="-3"/>
          <w:sz w:val="24"/>
          <w:szCs w:val="24"/>
        </w:rPr>
        <w:t>e settled, as indicated in the C</w:t>
      </w:r>
      <w:r w:rsidR="001D789E" w:rsidRPr="00A90F47">
        <w:rPr>
          <w:spacing w:val="-3"/>
          <w:sz w:val="24"/>
          <w:szCs w:val="24"/>
        </w:rPr>
        <w:t xml:space="preserve">ertificate </w:t>
      </w:r>
      <w:r w:rsidR="0091649F" w:rsidRPr="00A90F47">
        <w:rPr>
          <w:spacing w:val="-3"/>
          <w:sz w:val="24"/>
          <w:szCs w:val="24"/>
        </w:rPr>
        <w:t>of Satisfaction filed therein</w:t>
      </w:r>
      <w:r w:rsidR="00652483" w:rsidRPr="00A90F47">
        <w:rPr>
          <w:spacing w:val="-3"/>
          <w:sz w:val="24"/>
          <w:szCs w:val="24"/>
        </w:rPr>
        <w:t>.</w:t>
      </w:r>
      <w:r w:rsidR="0091649F" w:rsidRPr="00A90F47">
        <w:rPr>
          <w:spacing w:val="-3"/>
          <w:sz w:val="24"/>
          <w:szCs w:val="24"/>
        </w:rPr>
        <w:t xml:space="preserve">  PGW Ex. 10.</w:t>
      </w:r>
    </w:p>
    <w:p w:rsidR="00223C71" w:rsidRPr="00A90F47" w:rsidRDefault="00223C71" w:rsidP="004728C1">
      <w:pPr>
        <w:tabs>
          <w:tab w:val="left" w:pos="-1440"/>
          <w:tab w:val="left" w:pos="-720"/>
        </w:tabs>
        <w:suppressAutoHyphens/>
        <w:spacing w:line="360" w:lineRule="auto"/>
        <w:rPr>
          <w:spacing w:val="-3"/>
          <w:sz w:val="24"/>
          <w:szCs w:val="24"/>
        </w:rPr>
      </w:pPr>
    </w:p>
    <w:p w:rsidR="00601EE9" w:rsidRPr="00A90F47" w:rsidRDefault="00223C71" w:rsidP="004728C1">
      <w:pPr>
        <w:tabs>
          <w:tab w:val="left" w:pos="-1440"/>
          <w:tab w:val="left" w:pos="-720"/>
        </w:tabs>
        <w:suppressAutoHyphens/>
        <w:spacing w:line="360" w:lineRule="auto"/>
        <w:rPr>
          <w:spacing w:val="-3"/>
          <w:sz w:val="24"/>
          <w:szCs w:val="24"/>
        </w:rPr>
      </w:pPr>
      <w:r w:rsidRPr="00A90F47">
        <w:rPr>
          <w:spacing w:val="-3"/>
          <w:sz w:val="24"/>
          <w:szCs w:val="24"/>
        </w:rPr>
        <w:tab/>
      </w:r>
      <w:r w:rsidRPr="00A90F47">
        <w:rPr>
          <w:spacing w:val="-3"/>
          <w:sz w:val="24"/>
          <w:szCs w:val="24"/>
        </w:rPr>
        <w:tab/>
      </w:r>
      <w:r w:rsidR="00652483" w:rsidRPr="00A90F47">
        <w:rPr>
          <w:spacing w:val="-3"/>
          <w:sz w:val="24"/>
          <w:szCs w:val="24"/>
        </w:rPr>
        <w:t>Complainant</w:t>
      </w:r>
      <w:r w:rsidR="001D789E" w:rsidRPr="00A90F47">
        <w:rPr>
          <w:spacing w:val="-3"/>
          <w:sz w:val="24"/>
          <w:szCs w:val="24"/>
        </w:rPr>
        <w:t xml:space="preserve"> acknowl</w:t>
      </w:r>
      <w:r w:rsidR="00652483" w:rsidRPr="00A90F47">
        <w:rPr>
          <w:spacing w:val="-3"/>
          <w:sz w:val="24"/>
          <w:szCs w:val="24"/>
        </w:rPr>
        <w:t xml:space="preserve">edged that he had </w:t>
      </w:r>
      <w:r w:rsidR="002132FC" w:rsidRPr="00A90F47">
        <w:rPr>
          <w:spacing w:val="-3"/>
          <w:sz w:val="24"/>
          <w:szCs w:val="24"/>
        </w:rPr>
        <w:t xml:space="preserve">previously filed complaints with the Commission about the bills, had </w:t>
      </w:r>
      <w:r w:rsidR="00652483" w:rsidRPr="00A90F47">
        <w:rPr>
          <w:spacing w:val="-3"/>
          <w:sz w:val="24"/>
          <w:szCs w:val="24"/>
        </w:rPr>
        <w:t>settled these cases and later became dissatisfied</w:t>
      </w:r>
      <w:r w:rsidR="002132FC" w:rsidRPr="00A90F47">
        <w:rPr>
          <w:spacing w:val="-3"/>
          <w:sz w:val="24"/>
          <w:szCs w:val="24"/>
        </w:rPr>
        <w:t>,</w:t>
      </w:r>
      <w:r w:rsidR="00652483" w:rsidRPr="00A90F47">
        <w:rPr>
          <w:spacing w:val="-3"/>
          <w:sz w:val="24"/>
          <w:szCs w:val="24"/>
        </w:rPr>
        <w:t xml:space="preserve"> but did not file any objections to the Certificate of Satisfaction</w:t>
      </w:r>
      <w:r w:rsidR="00D604C3" w:rsidRPr="00A90F47">
        <w:rPr>
          <w:spacing w:val="-3"/>
          <w:sz w:val="24"/>
          <w:szCs w:val="24"/>
        </w:rPr>
        <w:t xml:space="preserve"> he had received</w:t>
      </w:r>
      <w:r w:rsidR="00652483" w:rsidRPr="00A90F47">
        <w:rPr>
          <w:spacing w:val="-3"/>
          <w:sz w:val="24"/>
          <w:szCs w:val="24"/>
        </w:rPr>
        <w:t xml:space="preserve">.  Tr. </w:t>
      </w:r>
      <w:r w:rsidR="002132FC" w:rsidRPr="00A90F47">
        <w:rPr>
          <w:spacing w:val="-3"/>
          <w:sz w:val="24"/>
          <w:szCs w:val="24"/>
        </w:rPr>
        <w:t xml:space="preserve">46, </w:t>
      </w:r>
      <w:r w:rsidR="00652483" w:rsidRPr="00A90F47">
        <w:rPr>
          <w:spacing w:val="-3"/>
          <w:sz w:val="24"/>
          <w:szCs w:val="24"/>
        </w:rPr>
        <w:t>48.  Instead, he filed another Complaint</w:t>
      </w:r>
      <w:r w:rsidR="004365D6" w:rsidRPr="00A90F47">
        <w:rPr>
          <w:spacing w:val="-3"/>
          <w:sz w:val="24"/>
          <w:szCs w:val="24"/>
        </w:rPr>
        <w:t xml:space="preserve"> about the same matter</w:t>
      </w:r>
      <w:r w:rsidR="00BC2900" w:rsidRPr="00A90F47">
        <w:rPr>
          <w:spacing w:val="-3"/>
          <w:sz w:val="24"/>
          <w:szCs w:val="24"/>
        </w:rPr>
        <w:t xml:space="preserve">, </w:t>
      </w:r>
      <w:r w:rsidR="00652483" w:rsidRPr="00A90F47">
        <w:rPr>
          <w:spacing w:val="-3"/>
          <w:sz w:val="24"/>
          <w:szCs w:val="24"/>
        </w:rPr>
        <w:t>over twent</w:t>
      </w:r>
      <w:r w:rsidR="0091649F" w:rsidRPr="00A90F47">
        <w:rPr>
          <w:spacing w:val="-3"/>
          <w:sz w:val="24"/>
          <w:szCs w:val="24"/>
        </w:rPr>
        <w:t xml:space="preserve">y (20) months after </w:t>
      </w:r>
      <w:r w:rsidR="00D0171E" w:rsidRPr="00A90F47">
        <w:rPr>
          <w:spacing w:val="-3"/>
          <w:sz w:val="24"/>
          <w:szCs w:val="24"/>
        </w:rPr>
        <w:t>the cases</w:t>
      </w:r>
      <w:r w:rsidR="0091649F" w:rsidRPr="00A90F47">
        <w:rPr>
          <w:spacing w:val="-3"/>
          <w:sz w:val="24"/>
          <w:szCs w:val="24"/>
        </w:rPr>
        <w:t xml:space="preserve"> </w:t>
      </w:r>
      <w:r w:rsidR="00652483" w:rsidRPr="00A90F47">
        <w:rPr>
          <w:spacing w:val="-3"/>
          <w:sz w:val="24"/>
          <w:szCs w:val="24"/>
        </w:rPr>
        <w:t>had settled.</w:t>
      </w:r>
      <w:r w:rsidR="005834A9">
        <w:rPr>
          <w:spacing w:val="-3"/>
          <w:sz w:val="24"/>
          <w:szCs w:val="24"/>
        </w:rPr>
        <w:t xml:space="preserve">  Tr. </w:t>
      </w:r>
      <w:r w:rsidR="00D604C3" w:rsidRPr="00A90F47">
        <w:rPr>
          <w:spacing w:val="-3"/>
          <w:sz w:val="24"/>
          <w:szCs w:val="24"/>
        </w:rPr>
        <w:t>51.</w:t>
      </w:r>
      <w:r w:rsidRPr="00A90F47">
        <w:rPr>
          <w:spacing w:val="-3"/>
          <w:sz w:val="24"/>
          <w:szCs w:val="24"/>
        </w:rPr>
        <w:t xml:space="preserve">  </w:t>
      </w:r>
      <w:r w:rsidR="00601EE9" w:rsidRPr="00A90F47">
        <w:rPr>
          <w:spacing w:val="-3"/>
          <w:sz w:val="24"/>
          <w:szCs w:val="24"/>
        </w:rPr>
        <w:t>Complainant retained the benefit of the $498.13 settlement credit, despite his dissatisfaction.</w:t>
      </w:r>
      <w:r w:rsidRPr="00A90F47">
        <w:rPr>
          <w:spacing w:val="-3"/>
          <w:sz w:val="24"/>
          <w:szCs w:val="24"/>
        </w:rPr>
        <w:t xml:space="preserve">  </w:t>
      </w:r>
      <w:r w:rsidR="00D604C3" w:rsidRPr="00A90F47">
        <w:rPr>
          <w:spacing w:val="-3"/>
          <w:sz w:val="24"/>
          <w:szCs w:val="24"/>
        </w:rPr>
        <w:t xml:space="preserve">Tr. 49.  </w:t>
      </w:r>
      <w:r w:rsidRPr="00A90F47">
        <w:rPr>
          <w:spacing w:val="-3"/>
          <w:sz w:val="24"/>
          <w:szCs w:val="24"/>
        </w:rPr>
        <w:t>He further acknowledged an inability to keep the payment agreement that had been established in the prior settlement.  Tr. 52.</w:t>
      </w:r>
    </w:p>
    <w:p w:rsidR="00601EE9" w:rsidRPr="00A90F47" w:rsidRDefault="00601EE9" w:rsidP="004728C1">
      <w:pPr>
        <w:tabs>
          <w:tab w:val="left" w:pos="-1440"/>
          <w:tab w:val="left" w:pos="-720"/>
        </w:tabs>
        <w:suppressAutoHyphens/>
        <w:spacing w:line="360" w:lineRule="auto"/>
        <w:rPr>
          <w:spacing w:val="-3"/>
          <w:sz w:val="24"/>
          <w:szCs w:val="24"/>
        </w:rPr>
      </w:pPr>
    </w:p>
    <w:p w:rsidR="005336C0" w:rsidRPr="00A90F47" w:rsidRDefault="00601EE9" w:rsidP="004728C1">
      <w:pPr>
        <w:tabs>
          <w:tab w:val="left" w:pos="-1440"/>
          <w:tab w:val="left" w:pos="-720"/>
        </w:tabs>
        <w:suppressAutoHyphens/>
        <w:spacing w:line="360" w:lineRule="auto"/>
        <w:rPr>
          <w:spacing w:val="-3"/>
          <w:sz w:val="24"/>
          <w:szCs w:val="24"/>
        </w:rPr>
      </w:pPr>
      <w:r w:rsidRPr="00A90F47">
        <w:rPr>
          <w:spacing w:val="-3"/>
          <w:sz w:val="24"/>
          <w:szCs w:val="24"/>
        </w:rPr>
        <w:tab/>
      </w:r>
      <w:r w:rsidRPr="00A90F47">
        <w:rPr>
          <w:spacing w:val="-3"/>
          <w:sz w:val="24"/>
          <w:szCs w:val="24"/>
        </w:rPr>
        <w:tab/>
        <w:t xml:space="preserve">The Commission has previously addressed </w:t>
      </w:r>
      <w:r w:rsidR="00213E05" w:rsidRPr="00A90F47">
        <w:rPr>
          <w:spacing w:val="-3"/>
          <w:sz w:val="24"/>
          <w:szCs w:val="24"/>
        </w:rPr>
        <w:t xml:space="preserve">the issue of whether </w:t>
      </w:r>
      <w:r w:rsidR="00466270" w:rsidRPr="00A90F47">
        <w:rPr>
          <w:spacing w:val="-3"/>
          <w:sz w:val="24"/>
          <w:szCs w:val="24"/>
        </w:rPr>
        <w:t>complainants</w:t>
      </w:r>
      <w:r w:rsidR="00213E05" w:rsidRPr="00A90F47">
        <w:rPr>
          <w:spacing w:val="-3"/>
          <w:sz w:val="24"/>
          <w:szCs w:val="24"/>
        </w:rPr>
        <w:t xml:space="preserve"> can refile the same complaint after failing to timely object to a certificate of satisfaction </w:t>
      </w:r>
      <w:r w:rsidR="005336C0" w:rsidRPr="00A90F47">
        <w:rPr>
          <w:spacing w:val="-3"/>
          <w:sz w:val="24"/>
          <w:szCs w:val="24"/>
        </w:rPr>
        <w:t>resolving their dispute</w:t>
      </w:r>
      <w:r w:rsidR="00213E05" w:rsidRPr="00A90F47">
        <w:rPr>
          <w:spacing w:val="-3"/>
          <w:sz w:val="24"/>
          <w:szCs w:val="24"/>
        </w:rPr>
        <w:t xml:space="preserve">.  In </w:t>
      </w:r>
      <w:r w:rsidR="00213E05" w:rsidRPr="00A90F47">
        <w:rPr>
          <w:spacing w:val="-3"/>
          <w:sz w:val="24"/>
          <w:szCs w:val="24"/>
          <w:u w:val="single"/>
        </w:rPr>
        <w:t>Lorrie Reynolds v. PPL Electric Utilities Corporation</w:t>
      </w:r>
      <w:r w:rsidR="00213E05" w:rsidRPr="00A90F47">
        <w:rPr>
          <w:spacing w:val="-3"/>
          <w:sz w:val="24"/>
          <w:szCs w:val="24"/>
        </w:rPr>
        <w:t>, Docket No. C-2011-2255268, Opinion and Order entered January 5, 2012 (</w:t>
      </w:r>
      <w:r w:rsidR="00213E05" w:rsidRPr="00A90F47">
        <w:rPr>
          <w:spacing w:val="-3"/>
          <w:sz w:val="24"/>
          <w:szCs w:val="24"/>
          <w:u w:val="single"/>
        </w:rPr>
        <w:t>Reynolds</w:t>
      </w:r>
      <w:r w:rsidR="00213E05" w:rsidRPr="00A90F47">
        <w:rPr>
          <w:spacing w:val="-3"/>
          <w:sz w:val="24"/>
          <w:szCs w:val="24"/>
        </w:rPr>
        <w:t>), the Commission reviewed a</w:t>
      </w:r>
      <w:r w:rsidR="00BC2900" w:rsidRPr="00A90F47">
        <w:rPr>
          <w:spacing w:val="-3"/>
          <w:sz w:val="24"/>
          <w:szCs w:val="24"/>
        </w:rPr>
        <w:t>n Initial Decision</w:t>
      </w:r>
      <w:r w:rsidR="006B4FBC" w:rsidRPr="00A90F47">
        <w:rPr>
          <w:spacing w:val="-3"/>
          <w:sz w:val="24"/>
          <w:szCs w:val="24"/>
        </w:rPr>
        <w:t xml:space="preserve"> </w:t>
      </w:r>
      <w:r w:rsidR="001807D3" w:rsidRPr="00A90F47">
        <w:rPr>
          <w:spacing w:val="-3"/>
          <w:sz w:val="24"/>
          <w:szCs w:val="24"/>
        </w:rPr>
        <w:t xml:space="preserve">which had dismissed a complaint </w:t>
      </w:r>
      <w:r w:rsidR="00CA75A0" w:rsidRPr="00A90F47">
        <w:rPr>
          <w:spacing w:val="-3"/>
          <w:sz w:val="24"/>
          <w:szCs w:val="24"/>
        </w:rPr>
        <w:t xml:space="preserve">on the grounds of res judicata, </w:t>
      </w:r>
      <w:r w:rsidR="001807D3" w:rsidRPr="00A90F47">
        <w:rPr>
          <w:spacing w:val="-3"/>
          <w:sz w:val="24"/>
          <w:szCs w:val="24"/>
        </w:rPr>
        <w:t>for raising matters previously resolved through a Certificate of Sa</w:t>
      </w:r>
      <w:r w:rsidR="00CA75A0" w:rsidRPr="00A90F47">
        <w:rPr>
          <w:spacing w:val="-3"/>
          <w:sz w:val="24"/>
          <w:szCs w:val="24"/>
        </w:rPr>
        <w:t>tisfaction</w:t>
      </w:r>
      <w:r w:rsidR="001807D3" w:rsidRPr="00A90F47">
        <w:rPr>
          <w:spacing w:val="-3"/>
          <w:sz w:val="24"/>
          <w:szCs w:val="24"/>
        </w:rPr>
        <w:t xml:space="preserve">.  </w:t>
      </w:r>
      <w:r w:rsidR="006B4FBC" w:rsidRPr="00A90F47">
        <w:rPr>
          <w:spacing w:val="-3"/>
          <w:sz w:val="24"/>
          <w:szCs w:val="24"/>
        </w:rPr>
        <w:t xml:space="preserve">While ruling that res judicata was not an appropriate ground for dismissal, as there had been no final judgment on the merits, the Commission found that Section 316 of the Public Utility Code (Code), 66 Pa.C.S. </w:t>
      </w:r>
      <w:r w:rsidR="001807D3" w:rsidRPr="00A90F47">
        <w:rPr>
          <w:spacing w:val="-3"/>
          <w:sz w:val="24"/>
          <w:szCs w:val="24"/>
        </w:rPr>
        <w:t xml:space="preserve">§ </w:t>
      </w:r>
      <w:r w:rsidR="006B4FBC" w:rsidRPr="00A90F47">
        <w:rPr>
          <w:spacing w:val="-3"/>
          <w:sz w:val="24"/>
          <w:szCs w:val="24"/>
        </w:rPr>
        <w:t>316, prohibit</w:t>
      </w:r>
      <w:r w:rsidR="00AD75A3" w:rsidRPr="00A90F47">
        <w:rPr>
          <w:spacing w:val="-3"/>
          <w:sz w:val="24"/>
          <w:szCs w:val="24"/>
        </w:rPr>
        <w:t>ed</w:t>
      </w:r>
      <w:r w:rsidR="006B4FBC" w:rsidRPr="00A90F47">
        <w:rPr>
          <w:spacing w:val="-3"/>
          <w:sz w:val="24"/>
          <w:szCs w:val="24"/>
        </w:rPr>
        <w:t xml:space="preserve"> </w:t>
      </w:r>
      <w:r w:rsidR="006B4FBC" w:rsidRPr="00A90F47">
        <w:rPr>
          <w:spacing w:val="-3"/>
          <w:sz w:val="24"/>
          <w:szCs w:val="24"/>
        </w:rPr>
        <w:lastRenderedPageBreak/>
        <w:t xml:space="preserve">a complainant from raising </w:t>
      </w:r>
      <w:r w:rsidR="001807D3" w:rsidRPr="00A90F47">
        <w:rPr>
          <w:spacing w:val="-3"/>
          <w:sz w:val="24"/>
          <w:szCs w:val="24"/>
        </w:rPr>
        <w:t>the same issues before the Commission a second time</w:t>
      </w:r>
      <w:r w:rsidR="006B4FBC" w:rsidRPr="00A90F47">
        <w:rPr>
          <w:spacing w:val="-3"/>
          <w:sz w:val="24"/>
          <w:szCs w:val="24"/>
        </w:rPr>
        <w:t>.</w:t>
      </w:r>
      <w:r w:rsidR="005336C0" w:rsidRPr="00A90F47">
        <w:rPr>
          <w:spacing w:val="-3"/>
          <w:sz w:val="24"/>
          <w:szCs w:val="24"/>
        </w:rPr>
        <w:t xml:space="preserve">  That Section states as follows, in pertinent part:</w:t>
      </w:r>
    </w:p>
    <w:p w:rsidR="005336C0" w:rsidRPr="00A90F47" w:rsidRDefault="005336C0" w:rsidP="004728C1">
      <w:pPr>
        <w:tabs>
          <w:tab w:val="left" w:pos="-1440"/>
          <w:tab w:val="left" w:pos="-720"/>
        </w:tabs>
        <w:suppressAutoHyphens/>
        <w:spacing w:line="360" w:lineRule="auto"/>
        <w:rPr>
          <w:spacing w:val="-3"/>
          <w:sz w:val="24"/>
          <w:szCs w:val="24"/>
        </w:rPr>
      </w:pPr>
    </w:p>
    <w:p w:rsidR="00262685" w:rsidRPr="00A90F47" w:rsidRDefault="005336C0" w:rsidP="005336C0">
      <w:pPr>
        <w:tabs>
          <w:tab w:val="left" w:pos="-1440"/>
          <w:tab w:val="left" w:pos="-720"/>
        </w:tabs>
        <w:suppressAutoHyphens/>
        <w:ind w:left="1440" w:right="1440"/>
        <w:rPr>
          <w:spacing w:val="-3"/>
          <w:sz w:val="24"/>
          <w:szCs w:val="24"/>
        </w:rPr>
      </w:pPr>
      <w:r w:rsidRPr="00A90F47">
        <w:rPr>
          <w:spacing w:val="-3"/>
          <w:sz w:val="24"/>
          <w:szCs w:val="24"/>
        </w:rPr>
        <w:t xml:space="preserve">Whenever the </w:t>
      </w:r>
      <w:r w:rsidR="00262685" w:rsidRPr="00A90F47">
        <w:rPr>
          <w:spacing w:val="-3"/>
          <w:sz w:val="24"/>
          <w:szCs w:val="24"/>
        </w:rPr>
        <w:t>[c]ommission shall make any rule, regulation, finding, determination or order, the same shall be prima facie evidence of the facts found and shall remain conclusive upon all parties affected thereby, unless set aside, annulled or modified on judicial review.</w:t>
      </w:r>
    </w:p>
    <w:p w:rsidR="00CD411F" w:rsidRPr="00A90F47" w:rsidRDefault="00CD411F" w:rsidP="00262685">
      <w:pPr>
        <w:tabs>
          <w:tab w:val="left" w:pos="-1440"/>
          <w:tab w:val="left" w:pos="-720"/>
        </w:tabs>
        <w:suppressAutoHyphens/>
        <w:spacing w:line="360" w:lineRule="auto"/>
        <w:rPr>
          <w:spacing w:val="-3"/>
          <w:sz w:val="24"/>
          <w:szCs w:val="24"/>
        </w:rPr>
      </w:pPr>
    </w:p>
    <w:p w:rsidR="00291944" w:rsidRPr="00A90F47" w:rsidRDefault="00CF7188" w:rsidP="004728C1">
      <w:pPr>
        <w:tabs>
          <w:tab w:val="left" w:pos="-1440"/>
          <w:tab w:val="left" w:pos="-720"/>
        </w:tabs>
        <w:suppressAutoHyphens/>
        <w:spacing w:line="360" w:lineRule="auto"/>
        <w:rPr>
          <w:spacing w:val="-3"/>
          <w:sz w:val="24"/>
          <w:szCs w:val="24"/>
        </w:rPr>
      </w:pPr>
      <w:r w:rsidRPr="00A90F47">
        <w:rPr>
          <w:spacing w:val="-3"/>
          <w:sz w:val="24"/>
          <w:szCs w:val="24"/>
        </w:rPr>
        <w:tab/>
      </w:r>
      <w:r w:rsidRPr="00A90F47">
        <w:rPr>
          <w:spacing w:val="-3"/>
          <w:sz w:val="24"/>
          <w:szCs w:val="24"/>
        </w:rPr>
        <w:tab/>
        <w:t xml:space="preserve">In </w:t>
      </w:r>
      <w:r w:rsidR="00B2643C" w:rsidRPr="00A90F47">
        <w:rPr>
          <w:spacing w:val="-3"/>
          <w:sz w:val="24"/>
          <w:szCs w:val="24"/>
        </w:rPr>
        <w:t>its ruling</w:t>
      </w:r>
      <w:r w:rsidRPr="00A90F47">
        <w:rPr>
          <w:spacing w:val="-3"/>
          <w:sz w:val="24"/>
          <w:szCs w:val="24"/>
        </w:rPr>
        <w:t xml:space="preserve"> that Section 316 of the Code was applicable, the Commission essentially concluded that a Certificate of Satisfaction, which was not objected to, and resulted in the closing of the case, conclusively determined that the issues had been resolved to the satisfaction of the complainant.  Accordingly</w:t>
      </w:r>
      <w:r w:rsidR="00B2643C" w:rsidRPr="00A90F47">
        <w:rPr>
          <w:spacing w:val="-3"/>
          <w:sz w:val="24"/>
          <w:szCs w:val="24"/>
        </w:rPr>
        <w:t>,</w:t>
      </w:r>
      <w:r w:rsidRPr="00A90F47">
        <w:rPr>
          <w:spacing w:val="-3"/>
          <w:sz w:val="24"/>
          <w:szCs w:val="24"/>
        </w:rPr>
        <w:t xml:space="preserve"> the </w:t>
      </w:r>
      <w:r w:rsidR="00B2643C" w:rsidRPr="00A90F47">
        <w:rPr>
          <w:spacing w:val="-3"/>
          <w:sz w:val="24"/>
          <w:szCs w:val="24"/>
        </w:rPr>
        <w:t>filing of another complaint on the same issues could not be permitted because the issues had already been, through the Certificate of Satisfaction, conclusively resolved.</w:t>
      </w:r>
    </w:p>
    <w:p w:rsidR="00AA012B" w:rsidRPr="00A90F47" w:rsidRDefault="00AA012B" w:rsidP="004728C1">
      <w:pPr>
        <w:tabs>
          <w:tab w:val="left" w:pos="-1440"/>
          <w:tab w:val="left" w:pos="-720"/>
        </w:tabs>
        <w:suppressAutoHyphens/>
        <w:spacing w:line="360" w:lineRule="auto"/>
        <w:rPr>
          <w:spacing w:val="-3"/>
          <w:sz w:val="24"/>
          <w:szCs w:val="24"/>
        </w:rPr>
      </w:pPr>
    </w:p>
    <w:p w:rsidR="0010246D" w:rsidRPr="00A90F47" w:rsidRDefault="00AA012B" w:rsidP="004728C1">
      <w:pPr>
        <w:tabs>
          <w:tab w:val="left" w:pos="-1440"/>
          <w:tab w:val="left" w:pos="-720"/>
        </w:tabs>
        <w:suppressAutoHyphens/>
        <w:spacing w:line="360" w:lineRule="auto"/>
        <w:rPr>
          <w:spacing w:val="-3"/>
          <w:sz w:val="24"/>
          <w:szCs w:val="24"/>
        </w:rPr>
      </w:pPr>
      <w:r w:rsidRPr="00A90F47">
        <w:rPr>
          <w:spacing w:val="-3"/>
          <w:sz w:val="24"/>
          <w:szCs w:val="24"/>
        </w:rPr>
        <w:tab/>
      </w:r>
      <w:r w:rsidRPr="00A90F47">
        <w:rPr>
          <w:spacing w:val="-3"/>
          <w:sz w:val="24"/>
          <w:szCs w:val="24"/>
        </w:rPr>
        <w:tab/>
        <w:t xml:space="preserve">Similarly, in </w:t>
      </w:r>
      <w:r w:rsidRPr="00A90F47">
        <w:rPr>
          <w:spacing w:val="-3"/>
          <w:sz w:val="24"/>
          <w:szCs w:val="24"/>
          <w:u w:val="single"/>
        </w:rPr>
        <w:t>James E. Creehan v. Duquesne Light Company</w:t>
      </w:r>
      <w:r w:rsidR="00466270" w:rsidRPr="00A90F47">
        <w:rPr>
          <w:spacing w:val="-3"/>
          <w:sz w:val="24"/>
          <w:szCs w:val="24"/>
        </w:rPr>
        <w:t>, Docket No. C-2012-2297124, Opinion and Order entered May 23, 2013 (</w:t>
      </w:r>
      <w:r w:rsidR="00466270" w:rsidRPr="00A90F47">
        <w:rPr>
          <w:spacing w:val="-3"/>
          <w:sz w:val="24"/>
          <w:szCs w:val="24"/>
          <w:u w:val="single"/>
        </w:rPr>
        <w:t>Creehan</w:t>
      </w:r>
      <w:r w:rsidR="00466270" w:rsidRPr="00A90F47">
        <w:rPr>
          <w:spacing w:val="-3"/>
          <w:sz w:val="24"/>
          <w:szCs w:val="24"/>
        </w:rPr>
        <w:t xml:space="preserve">), the Commission affirmed its prior ruling in </w:t>
      </w:r>
      <w:r w:rsidR="00466270" w:rsidRPr="00A90F47">
        <w:rPr>
          <w:spacing w:val="-3"/>
          <w:sz w:val="24"/>
          <w:szCs w:val="24"/>
          <w:u w:val="single"/>
        </w:rPr>
        <w:t>Reynolds</w:t>
      </w:r>
      <w:r w:rsidR="00466270" w:rsidRPr="00A90F47">
        <w:rPr>
          <w:spacing w:val="-3"/>
          <w:sz w:val="24"/>
          <w:szCs w:val="24"/>
        </w:rPr>
        <w:t>, and agreed with Administrative Law Judge Hoyer tha</w:t>
      </w:r>
      <w:r w:rsidR="00175FFF" w:rsidRPr="00A90F47">
        <w:rPr>
          <w:spacing w:val="-3"/>
          <w:sz w:val="24"/>
          <w:szCs w:val="24"/>
        </w:rPr>
        <w:t xml:space="preserve">t Section 316 of the Code precluded the complainant from raising the same issues a second time.  In </w:t>
      </w:r>
      <w:r w:rsidR="00175FFF" w:rsidRPr="00A90F47">
        <w:rPr>
          <w:spacing w:val="-3"/>
          <w:sz w:val="24"/>
          <w:szCs w:val="24"/>
          <w:u w:val="single"/>
        </w:rPr>
        <w:t>Creehan</w:t>
      </w:r>
      <w:r w:rsidR="00175FFF" w:rsidRPr="00A90F47">
        <w:rPr>
          <w:spacing w:val="-3"/>
          <w:sz w:val="24"/>
          <w:szCs w:val="24"/>
        </w:rPr>
        <w:t xml:space="preserve">, as in the instant case, the complainant was attempting to relitigate the same issues that he </w:t>
      </w:r>
      <w:r w:rsidR="00157914" w:rsidRPr="00A90F47">
        <w:rPr>
          <w:spacing w:val="-3"/>
          <w:sz w:val="24"/>
          <w:szCs w:val="24"/>
        </w:rPr>
        <w:t xml:space="preserve">had </w:t>
      </w:r>
      <w:r w:rsidR="00175FFF" w:rsidRPr="00A90F47">
        <w:rPr>
          <w:spacing w:val="-3"/>
          <w:sz w:val="24"/>
          <w:szCs w:val="24"/>
        </w:rPr>
        <w:t xml:space="preserve">raised in a prior case, and this relitigation became evident during the hearing.  Just as in this case, the complainant in </w:t>
      </w:r>
      <w:r w:rsidR="00175FFF" w:rsidRPr="00A90F47">
        <w:rPr>
          <w:spacing w:val="-3"/>
          <w:sz w:val="24"/>
          <w:szCs w:val="24"/>
          <w:u w:val="single"/>
        </w:rPr>
        <w:t>Creehan</w:t>
      </w:r>
      <w:r w:rsidR="00175FFF" w:rsidRPr="00A90F47">
        <w:rPr>
          <w:spacing w:val="-3"/>
          <w:sz w:val="24"/>
          <w:szCs w:val="24"/>
        </w:rPr>
        <w:t xml:space="preserve"> testified that he became dissatisfied with his prior settlement of the issues, but did not object within the ten-day period provided by the Certificate of Satisfaction.  In addition, as in the instant case, the complainant accepted a prior settlement credit.  The Commission ruled in </w:t>
      </w:r>
      <w:r w:rsidR="00175FFF" w:rsidRPr="00A90F47">
        <w:rPr>
          <w:spacing w:val="-3"/>
          <w:sz w:val="24"/>
          <w:szCs w:val="24"/>
          <w:u w:val="single"/>
        </w:rPr>
        <w:t>Creehan</w:t>
      </w:r>
      <w:r w:rsidR="00175FFF" w:rsidRPr="00A90F47">
        <w:rPr>
          <w:spacing w:val="-3"/>
          <w:sz w:val="24"/>
          <w:szCs w:val="24"/>
        </w:rPr>
        <w:t xml:space="preserve"> that a complainant cannot accept the prior settlement credit, fail to object to the Certificate of Satisfaction, and then file a second complaint to pursue the same claims.</w:t>
      </w:r>
    </w:p>
    <w:p w:rsidR="00157914" w:rsidRPr="00A90F47" w:rsidRDefault="00157914" w:rsidP="004728C1">
      <w:pPr>
        <w:tabs>
          <w:tab w:val="left" w:pos="-1440"/>
          <w:tab w:val="left" w:pos="-720"/>
        </w:tabs>
        <w:suppressAutoHyphens/>
        <w:spacing w:line="360" w:lineRule="auto"/>
        <w:rPr>
          <w:spacing w:val="-3"/>
          <w:sz w:val="24"/>
          <w:szCs w:val="24"/>
        </w:rPr>
      </w:pPr>
    </w:p>
    <w:p w:rsidR="00157914" w:rsidRPr="00A90F47" w:rsidRDefault="00157914" w:rsidP="004728C1">
      <w:pPr>
        <w:tabs>
          <w:tab w:val="left" w:pos="-1440"/>
          <w:tab w:val="left" w:pos="-720"/>
        </w:tabs>
        <w:suppressAutoHyphens/>
        <w:spacing w:line="360" w:lineRule="auto"/>
        <w:rPr>
          <w:spacing w:val="-3"/>
          <w:sz w:val="24"/>
          <w:szCs w:val="24"/>
        </w:rPr>
      </w:pPr>
      <w:r w:rsidRPr="00A90F47">
        <w:rPr>
          <w:spacing w:val="-3"/>
          <w:sz w:val="24"/>
          <w:szCs w:val="24"/>
        </w:rPr>
        <w:tab/>
      </w:r>
      <w:r w:rsidRPr="00A90F47">
        <w:rPr>
          <w:spacing w:val="-3"/>
          <w:sz w:val="24"/>
          <w:szCs w:val="24"/>
        </w:rPr>
        <w:tab/>
        <w:t xml:space="preserve">Accordingly, I conclude, consistent with </w:t>
      </w:r>
      <w:r w:rsidRPr="00A90F47">
        <w:rPr>
          <w:spacing w:val="-3"/>
          <w:sz w:val="24"/>
          <w:szCs w:val="24"/>
          <w:u w:val="single"/>
        </w:rPr>
        <w:t>Reynolds</w:t>
      </w:r>
      <w:r w:rsidRPr="00A90F47">
        <w:rPr>
          <w:spacing w:val="-3"/>
          <w:sz w:val="24"/>
          <w:szCs w:val="24"/>
        </w:rPr>
        <w:t xml:space="preserve"> and </w:t>
      </w:r>
      <w:r w:rsidRPr="00A90F47">
        <w:rPr>
          <w:spacing w:val="-3"/>
          <w:sz w:val="24"/>
          <w:szCs w:val="24"/>
          <w:u w:val="single"/>
        </w:rPr>
        <w:t>Creehan</w:t>
      </w:r>
      <w:r w:rsidRPr="00A90F47">
        <w:rPr>
          <w:spacing w:val="-3"/>
          <w:sz w:val="24"/>
          <w:szCs w:val="24"/>
        </w:rPr>
        <w:t xml:space="preserve">, </w:t>
      </w:r>
      <w:r w:rsidRPr="00A90F47">
        <w:rPr>
          <w:spacing w:val="-3"/>
          <w:sz w:val="24"/>
          <w:szCs w:val="24"/>
          <w:u w:val="single"/>
        </w:rPr>
        <w:t>supra</w:t>
      </w:r>
      <w:r w:rsidRPr="00A90F47">
        <w:rPr>
          <w:spacing w:val="-3"/>
          <w:sz w:val="24"/>
          <w:szCs w:val="24"/>
        </w:rPr>
        <w:t xml:space="preserve">, that Mr. Wright cannot </w:t>
      </w:r>
      <w:r w:rsidR="00F55E2B" w:rsidRPr="00A90F47">
        <w:rPr>
          <w:spacing w:val="-3"/>
          <w:sz w:val="24"/>
          <w:szCs w:val="24"/>
        </w:rPr>
        <w:t xml:space="preserve">again </w:t>
      </w:r>
      <w:r w:rsidRPr="00A90F47">
        <w:rPr>
          <w:spacing w:val="-3"/>
          <w:sz w:val="24"/>
          <w:szCs w:val="24"/>
        </w:rPr>
        <w:t>pursue the high bill claims that were resolved in prior cases through an unobjected to Certificate of Satisfaction.  These high bill claims were the only issues in this case.  While Complainant had mentioned a lien issue, that matter had been resolved by the hearing.</w:t>
      </w:r>
      <w:r w:rsidR="002132FC" w:rsidRPr="00A90F47">
        <w:rPr>
          <w:spacing w:val="-3"/>
          <w:sz w:val="24"/>
          <w:szCs w:val="24"/>
        </w:rPr>
        <w:t xml:space="preserve">  Tr.</w:t>
      </w:r>
      <w:r w:rsidR="000D0B13">
        <w:rPr>
          <w:spacing w:val="-3"/>
          <w:sz w:val="24"/>
          <w:szCs w:val="24"/>
        </w:rPr>
        <w:t> </w:t>
      </w:r>
      <w:r w:rsidR="002132FC" w:rsidRPr="00A90F47">
        <w:rPr>
          <w:spacing w:val="-3"/>
          <w:sz w:val="24"/>
          <w:szCs w:val="24"/>
        </w:rPr>
        <w:t>44</w:t>
      </w:r>
      <w:r w:rsidR="00715AD6" w:rsidRPr="00A90F47">
        <w:rPr>
          <w:spacing w:val="-3"/>
          <w:sz w:val="24"/>
          <w:szCs w:val="24"/>
        </w:rPr>
        <w:t>, 73; PGW Ex. 6.</w:t>
      </w:r>
      <w:r w:rsidRPr="00A90F47">
        <w:rPr>
          <w:spacing w:val="-3"/>
          <w:sz w:val="24"/>
          <w:szCs w:val="24"/>
        </w:rPr>
        <w:t xml:space="preserve">  Complainant acknowledged that he did not object to the prior Certificate of </w:t>
      </w:r>
      <w:r w:rsidRPr="00A90F47">
        <w:rPr>
          <w:spacing w:val="-3"/>
          <w:sz w:val="24"/>
          <w:szCs w:val="24"/>
        </w:rPr>
        <w:lastRenderedPageBreak/>
        <w:t>Satisfaction, accepted a $498.1</w:t>
      </w:r>
      <w:r w:rsidR="00D4397B" w:rsidRPr="00A90F47">
        <w:rPr>
          <w:spacing w:val="-3"/>
          <w:sz w:val="24"/>
          <w:szCs w:val="24"/>
        </w:rPr>
        <w:t>3</w:t>
      </w:r>
      <w:r w:rsidRPr="00A90F47">
        <w:rPr>
          <w:spacing w:val="-3"/>
          <w:sz w:val="24"/>
          <w:szCs w:val="24"/>
        </w:rPr>
        <w:t xml:space="preserve"> settlement credit, and later became dissatisfied and filed the same high bill complaint.  Section 316 of the Code operates to preclude litigants from purs</w:t>
      </w:r>
      <w:r w:rsidR="004C3B24" w:rsidRPr="00A90F47">
        <w:rPr>
          <w:spacing w:val="-3"/>
          <w:sz w:val="24"/>
          <w:szCs w:val="24"/>
        </w:rPr>
        <w:t>u</w:t>
      </w:r>
      <w:r w:rsidRPr="00A90F47">
        <w:rPr>
          <w:spacing w:val="-3"/>
          <w:sz w:val="24"/>
          <w:szCs w:val="24"/>
        </w:rPr>
        <w:t>ing the same claims that have been conclusively resolved before the Commission, through an unobjected to Certificate of Satisfaction.</w:t>
      </w:r>
    </w:p>
    <w:p w:rsidR="00157914" w:rsidRPr="00A90F47" w:rsidRDefault="00157914" w:rsidP="004728C1">
      <w:pPr>
        <w:tabs>
          <w:tab w:val="left" w:pos="-1440"/>
          <w:tab w:val="left" w:pos="-720"/>
        </w:tabs>
        <w:suppressAutoHyphens/>
        <w:spacing w:line="360" w:lineRule="auto"/>
        <w:rPr>
          <w:spacing w:val="-3"/>
          <w:sz w:val="24"/>
          <w:szCs w:val="24"/>
        </w:rPr>
      </w:pPr>
    </w:p>
    <w:p w:rsidR="00251524" w:rsidRDefault="00157914" w:rsidP="004728C1">
      <w:pPr>
        <w:tabs>
          <w:tab w:val="left" w:pos="-1440"/>
          <w:tab w:val="left" w:pos="-720"/>
        </w:tabs>
        <w:suppressAutoHyphens/>
        <w:spacing w:line="360" w:lineRule="auto"/>
        <w:rPr>
          <w:spacing w:val="-3"/>
          <w:sz w:val="24"/>
          <w:szCs w:val="24"/>
        </w:rPr>
      </w:pPr>
      <w:r w:rsidRPr="00A90F47">
        <w:rPr>
          <w:spacing w:val="-3"/>
          <w:sz w:val="24"/>
          <w:szCs w:val="24"/>
        </w:rPr>
        <w:tab/>
      </w:r>
      <w:r w:rsidRPr="00A90F47">
        <w:rPr>
          <w:spacing w:val="-3"/>
          <w:sz w:val="24"/>
          <w:szCs w:val="24"/>
        </w:rPr>
        <w:tab/>
        <w:t>For the reasons set forth above, PGW’s motion to dismiss will be granted and the Complaint will be dismissed</w:t>
      </w:r>
      <w:r w:rsidR="00B1012B" w:rsidRPr="00A90F47">
        <w:rPr>
          <w:spacing w:val="-3"/>
          <w:sz w:val="24"/>
          <w:szCs w:val="24"/>
        </w:rPr>
        <w:t xml:space="preserve"> with prejudice</w:t>
      </w:r>
      <w:r w:rsidRPr="00A90F47">
        <w:rPr>
          <w:spacing w:val="-3"/>
          <w:sz w:val="24"/>
          <w:szCs w:val="24"/>
        </w:rPr>
        <w:t>.</w:t>
      </w:r>
      <w:r w:rsidR="004D74A9" w:rsidRPr="00A90F47">
        <w:rPr>
          <w:spacing w:val="-3"/>
          <w:sz w:val="24"/>
          <w:szCs w:val="24"/>
        </w:rPr>
        <w:t xml:space="preserve">  PGW has already removed $205.42 in </w:t>
      </w:r>
      <w:r w:rsidR="000C09AB">
        <w:rPr>
          <w:spacing w:val="-3"/>
          <w:sz w:val="24"/>
          <w:szCs w:val="24"/>
        </w:rPr>
        <w:t>l</w:t>
      </w:r>
      <w:r w:rsidR="004D74A9" w:rsidRPr="00A90F47">
        <w:rPr>
          <w:spacing w:val="-3"/>
          <w:sz w:val="24"/>
          <w:szCs w:val="24"/>
        </w:rPr>
        <w:t>ate payment charges from Complainant’s account, related to the time when this matter was in dispute.</w:t>
      </w:r>
      <w:r w:rsidR="00917B1D">
        <w:rPr>
          <w:spacing w:val="-3"/>
          <w:sz w:val="24"/>
          <w:szCs w:val="24"/>
        </w:rPr>
        <w:t xml:space="preserve">  While PGW briefed the merits of the high bill complaint issue, it is not necessary to reach this issue as the Complaint is being dismissed under Section 316 of the Code.</w:t>
      </w:r>
      <w:r w:rsidR="008F6BAF">
        <w:rPr>
          <w:rStyle w:val="FootnoteReference"/>
          <w:spacing w:val="-3"/>
          <w:sz w:val="24"/>
          <w:szCs w:val="24"/>
        </w:rPr>
        <w:footnoteReference w:id="1"/>
      </w:r>
    </w:p>
    <w:p w:rsidR="003D1704" w:rsidRDefault="003D1704" w:rsidP="003D1704">
      <w:pPr>
        <w:spacing w:line="360" w:lineRule="auto"/>
        <w:jc w:val="center"/>
        <w:rPr>
          <w:spacing w:val="-3"/>
          <w:sz w:val="24"/>
          <w:szCs w:val="24"/>
        </w:rPr>
      </w:pPr>
    </w:p>
    <w:p w:rsidR="003D1704" w:rsidRDefault="003D1704" w:rsidP="003D1704">
      <w:pPr>
        <w:spacing w:line="360" w:lineRule="auto"/>
        <w:jc w:val="center"/>
        <w:rPr>
          <w:sz w:val="24"/>
          <w:szCs w:val="24"/>
          <w:u w:val="single"/>
        </w:rPr>
      </w:pPr>
    </w:p>
    <w:p w:rsidR="00994343" w:rsidRPr="00251524" w:rsidRDefault="00994343" w:rsidP="003D1704">
      <w:pPr>
        <w:spacing w:line="360" w:lineRule="auto"/>
        <w:jc w:val="center"/>
        <w:rPr>
          <w:spacing w:val="-3"/>
          <w:sz w:val="24"/>
          <w:szCs w:val="24"/>
        </w:rPr>
      </w:pPr>
      <w:r w:rsidRPr="00A90F47">
        <w:rPr>
          <w:sz w:val="24"/>
          <w:szCs w:val="24"/>
          <w:u w:val="single"/>
        </w:rPr>
        <w:t>CONCLUSIONS OF LAW</w:t>
      </w:r>
    </w:p>
    <w:p w:rsidR="00994343" w:rsidRPr="00A90F47" w:rsidRDefault="00994343" w:rsidP="005E5E5A">
      <w:pPr>
        <w:spacing w:line="360" w:lineRule="auto"/>
        <w:rPr>
          <w:sz w:val="24"/>
          <w:szCs w:val="24"/>
        </w:rPr>
      </w:pPr>
    </w:p>
    <w:p w:rsidR="004A419C" w:rsidRPr="00A90F47" w:rsidRDefault="00C07023" w:rsidP="004A419C">
      <w:pPr>
        <w:spacing w:line="360" w:lineRule="auto"/>
        <w:rPr>
          <w:sz w:val="24"/>
          <w:szCs w:val="24"/>
        </w:rPr>
      </w:pPr>
      <w:r w:rsidRPr="00A90F47">
        <w:rPr>
          <w:sz w:val="24"/>
          <w:szCs w:val="24"/>
        </w:rPr>
        <w:tab/>
      </w:r>
      <w:r w:rsidRPr="00A90F47">
        <w:rPr>
          <w:sz w:val="24"/>
          <w:szCs w:val="24"/>
        </w:rPr>
        <w:tab/>
      </w:r>
      <w:r w:rsidR="004A419C" w:rsidRPr="00A90F47">
        <w:rPr>
          <w:sz w:val="24"/>
          <w:szCs w:val="24"/>
        </w:rPr>
        <w:t>1.</w:t>
      </w:r>
      <w:r w:rsidR="004A419C" w:rsidRPr="00A90F47">
        <w:rPr>
          <w:sz w:val="24"/>
          <w:szCs w:val="24"/>
        </w:rPr>
        <w:tab/>
        <w:t xml:space="preserve">The Commission has jurisdiction over the </w:t>
      </w:r>
      <w:r w:rsidRPr="00A90F47">
        <w:rPr>
          <w:sz w:val="24"/>
          <w:szCs w:val="24"/>
        </w:rPr>
        <w:t>parties and the subject matter of this case.  66 Pa.C.S. §§ 102, 701, 1501</w:t>
      </w:r>
      <w:r w:rsidR="004A419C" w:rsidRPr="00A90F47">
        <w:rPr>
          <w:sz w:val="24"/>
          <w:szCs w:val="24"/>
        </w:rPr>
        <w:t>.</w:t>
      </w:r>
    </w:p>
    <w:p w:rsidR="004A419C" w:rsidRPr="00A90F47" w:rsidRDefault="004A419C" w:rsidP="004A419C">
      <w:pPr>
        <w:spacing w:line="360" w:lineRule="auto"/>
        <w:rPr>
          <w:sz w:val="24"/>
          <w:szCs w:val="24"/>
        </w:rPr>
      </w:pPr>
    </w:p>
    <w:p w:rsidR="00B56C98" w:rsidRPr="00A90F47" w:rsidRDefault="004A419C" w:rsidP="00B56C98">
      <w:pPr>
        <w:tabs>
          <w:tab w:val="left" w:pos="-1440"/>
          <w:tab w:val="left" w:pos="-720"/>
        </w:tabs>
        <w:suppressAutoHyphens/>
        <w:spacing w:line="360" w:lineRule="auto"/>
        <w:ind w:firstLine="1440"/>
        <w:rPr>
          <w:sz w:val="24"/>
          <w:szCs w:val="24"/>
        </w:rPr>
      </w:pPr>
      <w:r w:rsidRPr="00A90F47">
        <w:rPr>
          <w:sz w:val="24"/>
          <w:szCs w:val="24"/>
        </w:rPr>
        <w:t>2.</w:t>
      </w:r>
      <w:r w:rsidRPr="00A90F47">
        <w:rPr>
          <w:sz w:val="24"/>
          <w:szCs w:val="24"/>
        </w:rPr>
        <w:tab/>
      </w:r>
      <w:r w:rsidR="00B56C98" w:rsidRPr="00A90F47">
        <w:rPr>
          <w:sz w:val="24"/>
          <w:szCs w:val="24"/>
        </w:rPr>
        <w:t>Complainant has the burden of proving that he is entitled to relief from the Commission.  66 Pa.C.S. § 332(a).</w:t>
      </w:r>
    </w:p>
    <w:p w:rsidR="00B56C98" w:rsidRPr="00A90F47" w:rsidRDefault="00B56C98" w:rsidP="00B56C98">
      <w:pPr>
        <w:tabs>
          <w:tab w:val="left" w:pos="-1440"/>
          <w:tab w:val="left" w:pos="-720"/>
        </w:tabs>
        <w:suppressAutoHyphens/>
        <w:spacing w:line="360" w:lineRule="auto"/>
        <w:ind w:firstLine="1440"/>
        <w:rPr>
          <w:sz w:val="24"/>
          <w:szCs w:val="24"/>
        </w:rPr>
      </w:pPr>
    </w:p>
    <w:p w:rsidR="00B56C98" w:rsidRPr="00A90F47" w:rsidRDefault="00B56C98" w:rsidP="00B56C98">
      <w:pPr>
        <w:tabs>
          <w:tab w:val="left" w:pos="-1440"/>
          <w:tab w:val="left" w:pos="-720"/>
        </w:tabs>
        <w:suppressAutoHyphens/>
        <w:spacing w:line="360" w:lineRule="auto"/>
        <w:ind w:firstLine="1440"/>
        <w:rPr>
          <w:spacing w:val="-3"/>
          <w:sz w:val="24"/>
          <w:szCs w:val="24"/>
        </w:rPr>
      </w:pPr>
      <w:r w:rsidRPr="00A90F47">
        <w:rPr>
          <w:sz w:val="24"/>
          <w:szCs w:val="24"/>
        </w:rPr>
        <w:t>3.</w:t>
      </w:r>
      <w:r w:rsidRPr="00A90F47">
        <w:rPr>
          <w:sz w:val="24"/>
          <w:szCs w:val="24"/>
        </w:rPr>
        <w:tab/>
        <w:t xml:space="preserve">“Burden of proof” means the duty to establish one’s case by a preponderance of the evidence, which requires that the evidence be more convincing than that presented by the other party.  </w:t>
      </w:r>
      <w:r w:rsidRPr="00A90F47">
        <w:rPr>
          <w:spacing w:val="-3"/>
          <w:sz w:val="24"/>
          <w:szCs w:val="24"/>
          <w:u w:val="single"/>
        </w:rPr>
        <w:t>Samuel J. Lansberry, Inc. v. Pa. Pub. Util. Comm’n</w:t>
      </w:r>
      <w:r w:rsidR="003D6353">
        <w:rPr>
          <w:spacing w:val="-3"/>
          <w:sz w:val="24"/>
          <w:szCs w:val="24"/>
        </w:rPr>
        <w:t>, 134 Pa.Cmwlth. </w:t>
      </w:r>
      <w:r w:rsidRPr="00A90F47">
        <w:rPr>
          <w:spacing w:val="-3"/>
          <w:sz w:val="24"/>
          <w:szCs w:val="24"/>
        </w:rPr>
        <w:t xml:space="preserve">218; 221-222, 578 A.2d 600; 602 (1990), </w:t>
      </w:r>
      <w:r w:rsidRPr="00A90F47">
        <w:rPr>
          <w:iCs/>
          <w:spacing w:val="-3"/>
          <w:sz w:val="24"/>
          <w:szCs w:val="24"/>
          <w:u w:val="single"/>
        </w:rPr>
        <w:t>alloc. denied</w:t>
      </w:r>
      <w:r w:rsidRPr="00A90F47">
        <w:rPr>
          <w:iCs/>
          <w:spacing w:val="-3"/>
          <w:sz w:val="24"/>
          <w:szCs w:val="24"/>
        </w:rPr>
        <w:t>,</w:t>
      </w:r>
      <w:r w:rsidRPr="00A90F47">
        <w:rPr>
          <w:spacing w:val="-3"/>
          <w:sz w:val="24"/>
          <w:szCs w:val="24"/>
        </w:rPr>
        <w:t xml:space="preserve"> 529 Pa. 654, 602 A.2d 863 (1992).</w:t>
      </w:r>
    </w:p>
    <w:p w:rsidR="00B56C98" w:rsidRPr="00A90F47" w:rsidRDefault="00B56C98" w:rsidP="00B56C98">
      <w:pPr>
        <w:tabs>
          <w:tab w:val="left" w:pos="-1440"/>
          <w:tab w:val="left" w:pos="-720"/>
        </w:tabs>
        <w:suppressAutoHyphens/>
        <w:spacing w:line="360" w:lineRule="auto"/>
        <w:ind w:firstLine="1440"/>
        <w:rPr>
          <w:spacing w:val="-3"/>
          <w:sz w:val="24"/>
          <w:szCs w:val="24"/>
        </w:rPr>
      </w:pPr>
    </w:p>
    <w:p w:rsidR="00B56C98" w:rsidRPr="00A90F47" w:rsidRDefault="00B56C98" w:rsidP="00B56C98">
      <w:pPr>
        <w:tabs>
          <w:tab w:val="left" w:pos="-1440"/>
          <w:tab w:val="left" w:pos="-720"/>
        </w:tabs>
        <w:suppressAutoHyphens/>
        <w:spacing w:line="360" w:lineRule="auto"/>
        <w:ind w:firstLine="1440"/>
        <w:rPr>
          <w:spacing w:val="-3"/>
          <w:sz w:val="24"/>
          <w:szCs w:val="24"/>
        </w:rPr>
      </w:pPr>
      <w:r w:rsidRPr="00A90F47">
        <w:rPr>
          <w:spacing w:val="-3"/>
          <w:sz w:val="24"/>
          <w:szCs w:val="24"/>
        </w:rPr>
        <w:t>4.</w:t>
      </w:r>
      <w:r w:rsidRPr="00A90F47">
        <w:rPr>
          <w:spacing w:val="-3"/>
          <w:sz w:val="24"/>
          <w:szCs w:val="24"/>
        </w:rPr>
        <w:tab/>
        <w:t xml:space="preserve">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A90F47">
        <w:rPr>
          <w:spacing w:val="-3"/>
          <w:sz w:val="24"/>
          <w:szCs w:val="24"/>
          <w:u w:val="single"/>
        </w:rPr>
        <w:t>Norfolk and Western Railway v. Pa. Pub. Util. Comm’n</w:t>
      </w:r>
      <w:r w:rsidRPr="00A90F47">
        <w:rPr>
          <w:spacing w:val="-3"/>
          <w:sz w:val="24"/>
          <w:szCs w:val="24"/>
        </w:rPr>
        <w:t>, 489</w:t>
      </w:r>
      <w:r w:rsidR="00BD42AD">
        <w:rPr>
          <w:spacing w:val="-3"/>
          <w:sz w:val="24"/>
          <w:szCs w:val="24"/>
        </w:rPr>
        <w:t xml:space="preserve"> Pa. 109, 413 A.2d 1037 (1980).</w:t>
      </w:r>
    </w:p>
    <w:p w:rsidR="004A419C" w:rsidRPr="00A90F47" w:rsidRDefault="004A419C" w:rsidP="004A419C">
      <w:pPr>
        <w:tabs>
          <w:tab w:val="left" w:pos="-1440"/>
          <w:tab w:val="left" w:pos="-720"/>
        </w:tabs>
        <w:suppressAutoHyphens/>
        <w:spacing w:line="360" w:lineRule="auto"/>
        <w:ind w:firstLine="1440"/>
        <w:rPr>
          <w:spacing w:val="-3"/>
          <w:sz w:val="24"/>
          <w:szCs w:val="24"/>
        </w:rPr>
      </w:pPr>
    </w:p>
    <w:p w:rsidR="00B56C98" w:rsidRPr="00A90F47" w:rsidRDefault="00B56C98" w:rsidP="00B56C98">
      <w:pPr>
        <w:tabs>
          <w:tab w:val="left" w:pos="-1440"/>
          <w:tab w:val="left" w:pos="-720"/>
        </w:tabs>
        <w:suppressAutoHyphens/>
        <w:spacing w:line="360" w:lineRule="auto"/>
        <w:ind w:firstLine="1440"/>
        <w:rPr>
          <w:spacing w:val="-3"/>
          <w:sz w:val="24"/>
          <w:szCs w:val="24"/>
        </w:rPr>
      </w:pPr>
      <w:r w:rsidRPr="00A90F47">
        <w:rPr>
          <w:spacing w:val="-3"/>
          <w:sz w:val="24"/>
          <w:szCs w:val="24"/>
        </w:rPr>
        <w:t>5</w:t>
      </w:r>
      <w:r w:rsidR="004A419C" w:rsidRPr="00A90F47">
        <w:rPr>
          <w:spacing w:val="-3"/>
          <w:sz w:val="24"/>
          <w:szCs w:val="24"/>
        </w:rPr>
        <w:t>.</w:t>
      </w:r>
      <w:r w:rsidR="004A419C" w:rsidRPr="00A90F47">
        <w:rPr>
          <w:spacing w:val="-3"/>
          <w:sz w:val="24"/>
          <w:szCs w:val="24"/>
        </w:rPr>
        <w:tab/>
      </w:r>
      <w:r w:rsidRPr="00A90F47">
        <w:rPr>
          <w:spacing w:val="-3"/>
          <w:sz w:val="24"/>
          <w:szCs w:val="24"/>
        </w:rPr>
        <w:t xml:space="preserve">Complainant must initially produce sufficient credible evidence to establish a </w:t>
      </w:r>
      <w:r w:rsidRPr="00A90F47">
        <w:rPr>
          <w:spacing w:val="-3"/>
          <w:sz w:val="24"/>
          <w:szCs w:val="24"/>
          <w:u w:val="single"/>
        </w:rPr>
        <w:t>prima facie</w:t>
      </w:r>
      <w:r w:rsidRPr="00A90F47">
        <w:rPr>
          <w:spacing w:val="-3"/>
          <w:sz w:val="24"/>
          <w:szCs w:val="24"/>
        </w:rPr>
        <w:t xml:space="preserve"> case.  </w:t>
      </w:r>
      <w:r w:rsidRPr="00A90F47">
        <w:rPr>
          <w:spacing w:val="-3"/>
          <w:sz w:val="24"/>
          <w:szCs w:val="24"/>
          <w:u w:val="single"/>
        </w:rPr>
        <w:t>Morrissey v. Dep’t of Highways</w:t>
      </w:r>
      <w:r w:rsidRPr="00A90F47">
        <w:rPr>
          <w:spacing w:val="-3"/>
          <w:sz w:val="24"/>
          <w:szCs w:val="24"/>
        </w:rPr>
        <w:t>, 424 Pa. 87, 225 A.2d</w:t>
      </w:r>
      <w:r w:rsidR="00FF3898">
        <w:rPr>
          <w:spacing w:val="-3"/>
          <w:sz w:val="24"/>
          <w:szCs w:val="24"/>
        </w:rPr>
        <w:t xml:space="preserve"> </w:t>
      </w:r>
      <w:r w:rsidRPr="00A90F47">
        <w:rPr>
          <w:spacing w:val="-3"/>
          <w:sz w:val="24"/>
          <w:szCs w:val="24"/>
        </w:rPr>
        <w:t xml:space="preserve">895 (1967).  If Complainant does so, the burden of going forward with evidence shifts to Respondent to produce credible evidence of at least co-equal weight.  This burden of going forward with evidence may shift back and forth between the parties, but the ultimate burden of persuasion remains with Complainant.  </w:t>
      </w:r>
      <w:r w:rsidRPr="00A90F47">
        <w:rPr>
          <w:spacing w:val="-3"/>
          <w:sz w:val="24"/>
          <w:szCs w:val="24"/>
          <w:u w:val="single"/>
        </w:rPr>
        <w:t>Milkie v. Pa. Pub. Util. Comm’n</w:t>
      </w:r>
      <w:r w:rsidRPr="00A90F47">
        <w:rPr>
          <w:spacing w:val="-3"/>
          <w:sz w:val="24"/>
          <w:szCs w:val="24"/>
        </w:rPr>
        <w:t>, 768 A.2d 1217 (Pa.Cmwlth. 2001).</w:t>
      </w:r>
    </w:p>
    <w:p w:rsidR="00BD215E" w:rsidRPr="00A90F47" w:rsidRDefault="00BD215E" w:rsidP="00B56C98">
      <w:pPr>
        <w:tabs>
          <w:tab w:val="left" w:pos="-1440"/>
          <w:tab w:val="left" w:pos="-720"/>
        </w:tabs>
        <w:suppressAutoHyphens/>
        <w:spacing w:line="360" w:lineRule="auto"/>
        <w:ind w:firstLine="1440"/>
        <w:rPr>
          <w:spacing w:val="-3"/>
          <w:sz w:val="24"/>
          <w:szCs w:val="24"/>
        </w:rPr>
      </w:pPr>
    </w:p>
    <w:p w:rsidR="00BD215E" w:rsidRPr="00A90F47" w:rsidRDefault="00BD215E" w:rsidP="00B56C98">
      <w:pPr>
        <w:tabs>
          <w:tab w:val="left" w:pos="-1440"/>
          <w:tab w:val="left" w:pos="-720"/>
        </w:tabs>
        <w:suppressAutoHyphens/>
        <w:spacing w:line="360" w:lineRule="auto"/>
        <w:ind w:firstLine="1440"/>
        <w:rPr>
          <w:spacing w:val="-3"/>
          <w:sz w:val="24"/>
          <w:szCs w:val="24"/>
        </w:rPr>
      </w:pPr>
      <w:r w:rsidRPr="00A90F47">
        <w:rPr>
          <w:spacing w:val="-3"/>
          <w:sz w:val="24"/>
          <w:szCs w:val="24"/>
        </w:rPr>
        <w:t>6.</w:t>
      </w:r>
      <w:r w:rsidRPr="00A90F47">
        <w:rPr>
          <w:spacing w:val="-3"/>
          <w:sz w:val="24"/>
          <w:szCs w:val="24"/>
        </w:rPr>
        <w:tab/>
        <w:t>Parties may make motions seeking to dismiss the other party’s case summarily.  66 Pa.C.S. §§ 5.101-5.103.</w:t>
      </w:r>
    </w:p>
    <w:p w:rsidR="00BD215E" w:rsidRPr="00A90F47" w:rsidRDefault="00BD215E" w:rsidP="00B56C98">
      <w:pPr>
        <w:tabs>
          <w:tab w:val="left" w:pos="-1440"/>
          <w:tab w:val="left" w:pos="-720"/>
        </w:tabs>
        <w:suppressAutoHyphens/>
        <w:spacing w:line="360" w:lineRule="auto"/>
        <w:ind w:firstLine="1440"/>
        <w:rPr>
          <w:spacing w:val="-3"/>
          <w:sz w:val="24"/>
          <w:szCs w:val="24"/>
        </w:rPr>
      </w:pPr>
    </w:p>
    <w:p w:rsidR="007644DA" w:rsidRPr="00A90F47" w:rsidRDefault="00BD215E" w:rsidP="00B56C98">
      <w:pPr>
        <w:tabs>
          <w:tab w:val="left" w:pos="-1440"/>
          <w:tab w:val="left" w:pos="-720"/>
        </w:tabs>
        <w:suppressAutoHyphens/>
        <w:spacing w:line="360" w:lineRule="auto"/>
        <w:ind w:firstLine="1440"/>
        <w:rPr>
          <w:spacing w:val="-3"/>
          <w:sz w:val="24"/>
          <w:szCs w:val="24"/>
        </w:rPr>
      </w:pPr>
      <w:r w:rsidRPr="00A90F47">
        <w:rPr>
          <w:spacing w:val="-3"/>
          <w:sz w:val="24"/>
          <w:szCs w:val="24"/>
        </w:rPr>
        <w:t>7.</w:t>
      </w:r>
      <w:r w:rsidRPr="00A90F47">
        <w:rPr>
          <w:spacing w:val="-3"/>
          <w:sz w:val="24"/>
          <w:szCs w:val="24"/>
        </w:rPr>
        <w:tab/>
        <w:t>A utility may file a Certificate of Satisfaction in a case, indicating that a complaint has been satisfactorily resolved.  A complainant then has ten (10) days in which to object to the Certificate, and if no objection is filed, the matter is closed.  52 P</w:t>
      </w:r>
      <w:r w:rsidR="00091919">
        <w:rPr>
          <w:spacing w:val="-3"/>
          <w:sz w:val="24"/>
          <w:szCs w:val="24"/>
        </w:rPr>
        <w:t>a.Code § 5.24(b).</w:t>
      </w:r>
    </w:p>
    <w:p w:rsidR="007644DA" w:rsidRPr="00A90F47" w:rsidRDefault="007644DA" w:rsidP="00B56C98">
      <w:pPr>
        <w:tabs>
          <w:tab w:val="left" w:pos="-1440"/>
          <w:tab w:val="left" w:pos="-720"/>
        </w:tabs>
        <w:suppressAutoHyphens/>
        <w:spacing w:line="360" w:lineRule="auto"/>
        <w:ind w:firstLine="1440"/>
        <w:rPr>
          <w:spacing w:val="-3"/>
          <w:sz w:val="24"/>
          <w:szCs w:val="24"/>
        </w:rPr>
      </w:pPr>
    </w:p>
    <w:p w:rsidR="00BD215E" w:rsidRPr="00A90F47" w:rsidRDefault="007644DA" w:rsidP="00B56C98">
      <w:pPr>
        <w:tabs>
          <w:tab w:val="left" w:pos="-1440"/>
          <w:tab w:val="left" w:pos="-720"/>
        </w:tabs>
        <w:suppressAutoHyphens/>
        <w:spacing w:line="360" w:lineRule="auto"/>
        <w:ind w:firstLine="1440"/>
        <w:rPr>
          <w:spacing w:val="-3"/>
          <w:sz w:val="24"/>
          <w:szCs w:val="24"/>
        </w:rPr>
      </w:pPr>
      <w:r w:rsidRPr="00A90F47">
        <w:rPr>
          <w:spacing w:val="-3"/>
          <w:sz w:val="24"/>
          <w:szCs w:val="24"/>
        </w:rPr>
        <w:t>8.</w:t>
      </w:r>
      <w:r w:rsidRPr="00A90F47">
        <w:rPr>
          <w:spacing w:val="-3"/>
          <w:sz w:val="24"/>
          <w:szCs w:val="24"/>
        </w:rPr>
        <w:tab/>
        <w:t xml:space="preserve">Section 316 of the Public Utility Code, 66 Pa.C.S. 316, operates to preclude litigants from pursuing the same claims that have been conclusively resolved before the Commission, through an unobjected to Certificate of Satisfaction.  </w:t>
      </w:r>
      <w:r w:rsidRPr="00A90F47">
        <w:rPr>
          <w:spacing w:val="-3"/>
          <w:sz w:val="24"/>
          <w:szCs w:val="24"/>
          <w:u w:val="single"/>
        </w:rPr>
        <w:t>James E. Creehan v. Duquesne Light Company</w:t>
      </w:r>
      <w:r w:rsidRPr="00A90F47">
        <w:rPr>
          <w:spacing w:val="-3"/>
          <w:sz w:val="24"/>
          <w:szCs w:val="24"/>
        </w:rPr>
        <w:t xml:space="preserve">, Docket No. C-2012-2297124, Opinion and Order entered May 23, 2013; </w:t>
      </w:r>
      <w:r w:rsidRPr="00A90F47">
        <w:rPr>
          <w:spacing w:val="-3"/>
          <w:sz w:val="24"/>
          <w:szCs w:val="24"/>
          <w:u w:val="single"/>
        </w:rPr>
        <w:t xml:space="preserve">Lorrie </w:t>
      </w:r>
      <w:r w:rsidRPr="00A90F47">
        <w:rPr>
          <w:spacing w:val="-3"/>
          <w:sz w:val="24"/>
          <w:szCs w:val="24"/>
          <w:u w:val="single"/>
        </w:rPr>
        <w:lastRenderedPageBreak/>
        <w:t>Reynolds v. PPL Electric Utilities Corporation</w:t>
      </w:r>
      <w:r w:rsidRPr="00A90F47">
        <w:rPr>
          <w:spacing w:val="-3"/>
          <w:sz w:val="24"/>
          <w:szCs w:val="24"/>
        </w:rPr>
        <w:t>, Docket No. C-2011-2255268, Opinion and Order entered January 5, 2012.</w:t>
      </w:r>
    </w:p>
    <w:p w:rsidR="007644DA" w:rsidRPr="00A90F47" w:rsidRDefault="007644DA" w:rsidP="00B56C98">
      <w:pPr>
        <w:tabs>
          <w:tab w:val="left" w:pos="-1440"/>
          <w:tab w:val="left" w:pos="-720"/>
        </w:tabs>
        <w:suppressAutoHyphens/>
        <w:spacing w:line="360" w:lineRule="auto"/>
        <w:ind w:firstLine="1440"/>
        <w:rPr>
          <w:spacing w:val="-3"/>
          <w:sz w:val="24"/>
          <w:szCs w:val="24"/>
        </w:rPr>
      </w:pPr>
    </w:p>
    <w:p w:rsidR="00BE34CC" w:rsidRPr="00A90F47" w:rsidRDefault="007644DA" w:rsidP="00B56C98">
      <w:pPr>
        <w:tabs>
          <w:tab w:val="left" w:pos="-1440"/>
          <w:tab w:val="left" w:pos="-720"/>
        </w:tabs>
        <w:suppressAutoHyphens/>
        <w:spacing w:line="360" w:lineRule="auto"/>
        <w:ind w:firstLine="1440"/>
        <w:rPr>
          <w:spacing w:val="-3"/>
          <w:sz w:val="24"/>
          <w:szCs w:val="24"/>
        </w:rPr>
      </w:pPr>
      <w:r w:rsidRPr="00A90F47">
        <w:rPr>
          <w:spacing w:val="-3"/>
          <w:sz w:val="24"/>
          <w:szCs w:val="24"/>
        </w:rPr>
        <w:t>9.</w:t>
      </w:r>
      <w:r w:rsidRPr="00A90F47">
        <w:rPr>
          <w:spacing w:val="-3"/>
          <w:sz w:val="24"/>
          <w:szCs w:val="24"/>
        </w:rPr>
        <w:tab/>
        <w:t>A complainant cannot accept a prior settlement credit in</w:t>
      </w:r>
      <w:r w:rsidR="00957C6E" w:rsidRPr="00A90F47">
        <w:rPr>
          <w:spacing w:val="-3"/>
          <w:sz w:val="24"/>
          <w:szCs w:val="24"/>
        </w:rPr>
        <w:t xml:space="preserve"> a case, fail to object to the C</w:t>
      </w:r>
      <w:r w:rsidRPr="00A90F47">
        <w:rPr>
          <w:spacing w:val="-3"/>
          <w:sz w:val="24"/>
          <w:szCs w:val="24"/>
        </w:rPr>
        <w:t xml:space="preserve">ertificate of Satisfaction, and then file a second complaint to pursue the same claims.  </w:t>
      </w:r>
      <w:r w:rsidRPr="00A90F47">
        <w:rPr>
          <w:spacing w:val="-3"/>
          <w:sz w:val="24"/>
          <w:szCs w:val="24"/>
          <w:u w:val="single"/>
        </w:rPr>
        <w:t>James E. Creehan v. Duquesne Light Company</w:t>
      </w:r>
      <w:r w:rsidRPr="00A90F47">
        <w:rPr>
          <w:spacing w:val="-3"/>
          <w:sz w:val="24"/>
          <w:szCs w:val="24"/>
        </w:rPr>
        <w:t>, Docket No. C-2012-2297124, Opinion and Ord</w:t>
      </w:r>
      <w:r w:rsidR="00BE34CC" w:rsidRPr="00A90F47">
        <w:rPr>
          <w:spacing w:val="-3"/>
          <w:sz w:val="24"/>
          <w:szCs w:val="24"/>
        </w:rPr>
        <w:t>er entered May 23, 2013.</w:t>
      </w:r>
    </w:p>
    <w:p w:rsidR="00BE34CC" w:rsidRPr="00A90F47" w:rsidRDefault="00BE34CC" w:rsidP="00B56C98">
      <w:pPr>
        <w:tabs>
          <w:tab w:val="left" w:pos="-1440"/>
          <w:tab w:val="left" w:pos="-720"/>
        </w:tabs>
        <w:suppressAutoHyphens/>
        <w:spacing w:line="360" w:lineRule="auto"/>
        <w:ind w:firstLine="1440"/>
        <w:rPr>
          <w:spacing w:val="-3"/>
          <w:sz w:val="24"/>
          <w:szCs w:val="24"/>
        </w:rPr>
      </w:pPr>
    </w:p>
    <w:p w:rsidR="000609ED" w:rsidRDefault="00BE34CC" w:rsidP="006054B9">
      <w:pPr>
        <w:tabs>
          <w:tab w:val="left" w:pos="-1440"/>
          <w:tab w:val="left" w:pos="-720"/>
        </w:tabs>
        <w:suppressAutoHyphens/>
        <w:spacing w:line="360" w:lineRule="auto"/>
        <w:ind w:firstLine="1440"/>
        <w:rPr>
          <w:spacing w:val="-3"/>
          <w:sz w:val="24"/>
          <w:szCs w:val="24"/>
        </w:rPr>
      </w:pPr>
      <w:r w:rsidRPr="00A90F47">
        <w:rPr>
          <w:spacing w:val="-3"/>
          <w:sz w:val="24"/>
          <w:szCs w:val="24"/>
        </w:rPr>
        <w:t>10.</w:t>
      </w:r>
      <w:r w:rsidRPr="00A90F47">
        <w:rPr>
          <w:spacing w:val="-3"/>
          <w:sz w:val="24"/>
          <w:szCs w:val="24"/>
        </w:rPr>
        <w:tab/>
      </w:r>
      <w:r w:rsidR="006A3FCF" w:rsidRPr="00A90F47">
        <w:rPr>
          <w:spacing w:val="-3"/>
          <w:sz w:val="24"/>
          <w:szCs w:val="24"/>
        </w:rPr>
        <w:t xml:space="preserve">Complainant’s Formal </w:t>
      </w:r>
      <w:r w:rsidRPr="00A90F47">
        <w:rPr>
          <w:spacing w:val="-3"/>
          <w:sz w:val="24"/>
          <w:szCs w:val="24"/>
        </w:rPr>
        <w:t xml:space="preserve">Complaint at Docket No. C-2013-2368462 </w:t>
      </w:r>
      <w:r w:rsidR="0057129A" w:rsidRPr="00A90F47">
        <w:rPr>
          <w:spacing w:val="-3"/>
          <w:sz w:val="24"/>
          <w:szCs w:val="24"/>
        </w:rPr>
        <w:t>should be dismissed with prejudice as it is the same</w:t>
      </w:r>
      <w:r w:rsidRPr="00A90F47">
        <w:rPr>
          <w:spacing w:val="-3"/>
          <w:sz w:val="24"/>
          <w:szCs w:val="24"/>
        </w:rPr>
        <w:t xml:space="preserve"> </w:t>
      </w:r>
      <w:r w:rsidR="006A3FCF" w:rsidRPr="00A90F47">
        <w:rPr>
          <w:spacing w:val="-3"/>
          <w:sz w:val="24"/>
          <w:szCs w:val="24"/>
        </w:rPr>
        <w:t>a</w:t>
      </w:r>
      <w:r w:rsidR="00483748" w:rsidRPr="00A90F47">
        <w:rPr>
          <w:spacing w:val="-3"/>
          <w:sz w:val="24"/>
          <w:szCs w:val="24"/>
        </w:rPr>
        <w:t xml:space="preserve">s the Formal Complaints </w:t>
      </w:r>
      <w:r w:rsidR="006A3FCF" w:rsidRPr="00A90F47">
        <w:rPr>
          <w:spacing w:val="-3"/>
          <w:sz w:val="24"/>
          <w:szCs w:val="24"/>
        </w:rPr>
        <w:t xml:space="preserve">filed </w:t>
      </w:r>
      <w:r w:rsidRPr="00A90F47">
        <w:rPr>
          <w:spacing w:val="-3"/>
          <w:sz w:val="24"/>
          <w:szCs w:val="24"/>
        </w:rPr>
        <w:t>at Docket Nos. F-2</w:t>
      </w:r>
      <w:r w:rsidR="0057129A" w:rsidRPr="00A90F47">
        <w:rPr>
          <w:spacing w:val="-3"/>
          <w:sz w:val="24"/>
          <w:szCs w:val="24"/>
        </w:rPr>
        <w:t xml:space="preserve">010-2192191 and C-2011-2225996, </w:t>
      </w:r>
      <w:r w:rsidR="006A3FCF" w:rsidRPr="00A90F47">
        <w:rPr>
          <w:spacing w:val="-3"/>
          <w:sz w:val="24"/>
          <w:szCs w:val="24"/>
        </w:rPr>
        <w:t xml:space="preserve">that were resolved </w:t>
      </w:r>
      <w:r w:rsidRPr="00A90F47">
        <w:rPr>
          <w:spacing w:val="-3"/>
          <w:sz w:val="24"/>
          <w:szCs w:val="24"/>
        </w:rPr>
        <w:t>through an unobjected to Certificate of Sati</w:t>
      </w:r>
      <w:r w:rsidR="006A3FCF" w:rsidRPr="00A90F47">
        <w:rPr>
          <w:spacing w:val="-3"/>
          <w:sz w:val="24"/>
          <w:szCs w:val="24"/>
        </w:rPr>
        <w:t>s</w:t>
      </w:r>
      <w:r w:rsidR="0057129A" w:rsidRPr="00A90F47">
        <w:rPr>
          <w:spacing w:val="-3"/>
          <w:sz w:val="24"/>
          <w:szCs w:val="24"/>
        </w:rPr>
        <w:t xml:space="preserve">faction.  </w:t>
      </w:r>
      <w:r w:rsidR="006054B9" w:rsidRPr="00A90F47">
        <w:rPr>
          <w:spacing w:val="-3"/>
          <w:sz w:val="24"/>
          <w:szCs w:val="24"/>
        </w:rPr>
        <w:t xml:space="preserve">66 Pa.C.S. § 316; </w:t>
      </w:r>
      <w:r w:rsidR="006054B9" w:rsidRPr="00A90F47">
        <w:rPr>
          <w:spacing w:val="-3"/>
          <w:sz w:val="24"/>
          <w:szCs w:val="24"/>
          <w:u w:val="single"/>
        </w:rPr>
        <w:t>James E. Creehan v. Duquesne Light Company</w:t>
      </w:r>
      <w:r w:rsidR="006054B9" w:rsidRPr="00A90F47">
        <w:rPr>
          <w:spacing w:val="-3"/>
          <w:sz w:val="24"/>
          <w:szCs w:val="24"/>
        </w:rPr>
        <w:t xml:space="preserve">, Docket No. C-2012-2297124, Opinion and Order entered May 23, 2013; </w:t>
      </w:r>
      <w:r w:rsidR="006054B9" w:rsidRPr="00A90F47">
        <w:rPr>
          <w:spacing w:val="-3"/>
          <w:sz w:val="24"/>
          <w:szCs w:val="24"/>
          <w:u w:val="single"/>
        </w:rPr>
        <w:t>Lorrie Reynolds v. PPL Electric Utilities Corporation</w:t>
      </w:r>
      <w:r w:rsidR="006054B9" w:rsidRPr="00A90F47">
        <w:rPr>
          <w:spacing w:val="-3"/>
          <w:sz w:val="24"/>
          <w:szCs w:val="24"/>
        </w:rPr>
        <w:t>, Docket No. C-2011-2255268, Opinion and Order entered January 5, 2012.</w:t>
      </w:r>
    </w:p>
    <w:p w:rsidR="003D1704" w:rsidRDefault="003D1704" w:rsidP="003D1704">
      <w:pPr>
        <w:spacing w:line="360" w:lineRule="auto"/>
        <w:rPr>
          <w:spacing w:val="-3"/>
          <w:sz w:val="24"/>
          <w:szCs w:val="24"/>
        </w:rPr>
      </w:pPr>
    </w:p>
    <w:p w:rsidR="003D1704" w:rsidRDefault="003D1704" w:rsidP="003D1704">
      <w:pPr>
        <w:spacing w:line="360" w:lineRule="auto"/>
        <w:jc w:val="center"/>
        <w:rPr>
          <w:sz w:val="24"/>
          <w:szCs w:val="24"/>
          <w:u w:val="single"/>
        </w:rPr>
      </w:pPr>
    </w:p>
    <w:p w:rsidR="004A419C" w:rsidRPr="003D1704" w:rsidRDefault="004A419C" w:rsidP="003D1704">
      <w:pPr>
        <w:spacing w:line="360" w:lineRule="auto"/>
        <w:jc w:val="center"/>
        <w:rPr>
          <w:spacing w:val="-3"/>
          <w:sz w:val="24"/>
          <w:szCs w:val="24"/>
        </w:rPr>
      </w:pPr>
      <w:r w:rsidRPr="00A90F47">
        <w:rPr>
          <w:sz w:val="24"/>
          <w:szCs w:val="24"/>
          <w:u w:val="single"/>
        </w:rPr>
        <w:t>ORDER</w:t>
      </w:r>
    </w:p>
    <w:p w:rsidR="004A419C" w:rsidRPr="00A90F47" w:rsidRDefault="004A419C" w:rsidP="004A419C">
      <w:pPr>
        <w:spacing w:line="360" w:lineRule="auto"/>
        <w:jc w:val="center"/>
        <w:rPr>
          <w:sz w:val="24"/>
          <w:szCs w:val="24"/>
        </w:rPr>
      </w:pPr>
    </w:p>
    <w:p w:rsidR="001C4C21" w:rsidRPr="00A90F47" w:rsidRDefault="001C4C21" w:rsidP="004A419C">
      <w:pPr>
        <w:spacing w:line="360" w:lineRule="auto"/>
        <w:jc w:val="center"/>
        <w:rPr>
          <w:sz w:val="24"/>
          <w:szCs w:val="24"/>
        </w:rPr>
      </w:pPr>
    </w:p>
    <w:p w:rsidR="004A419C" w:rsidRPr="00A90F47" w:rsidRDefault="004A419C" w:rsidP="004A419C">
      <w:pPr>
        <w:spacing w:line="360" w:lineRule="auto"/>
        <w:rPr>
          <w:sz w:val="24"/>
          <w:szCs w:val="24"/>
        </w:rPr>
      </w:pPr>
      <w:r w:rsidRPr="00A90F47">
        <w:rPr>
          <w:sz w:val="24"/>
          <w:szCs w:val="24"/>
        </w:rPr>
        <w:tab/>
      </w:r>
      <w:r w:rsidRPr="00A90F47">
        <w:rPr>
          <w:sz w:val="24"/>
          <w:szCs w:val="24"/>
        </w:rPr>
        <w:tab/>
        <w:t>THEREFORE,</w:t>
      </w:r>
    </w:p>
    <w:p w:rsidR="004A419C" w:rsidRPr="00A90F47" w:rsidRDefault="004A419C" w:rsidP="004A419C">
      <w:pPr>
        <w:spacing w:line="360" w:lineRule="auto"/>
        <w:rPr>
          <w:sz w:val="24"/>
          <w:szCs w:val="24"/>
        </w:rPr>
      </w:pPr>
    </w:p>
    <w:p w:rsidR="004A419C" w:rsidRPr="00A90F47" w:rsidRDefault="004A419C" w:rsidP="004A419C">
      <w:pPr>
        <w:spacing w:line="360" w:lineRule="auto"/>
        <w:rPr>
          <w:sz w:val="24"/>
          <w:szCs w:val="24"/>
        </w:rPr>
      </w:pPr>
      <w:r w:rsidRPr="00A90F47">
        <w:rPr>
          <w:sz w:val="24"/>
          <w:szCs w:val="24"/>
        </w:rPr>
        <w:tab/>
      </w:r>
      <w:r w:rsidRPr="00A90F47">
        <w:rPr>
          <w:sz w:val="24"/>
          <w:szCs w:val="24"/>
        </w:rPr>
        <w:tab/>
        <w:t>IT IS ORDERED:</w:t>
      </w:r>
    </w:p>
    <w:p w:rsidR="004A419C" w:rsidRPr="00A90F47" w:rsidRDefault="004A419C" w:rsidP="004A419C">
      <w:pPr>
        <w:spacing w:line="360" w:lineRule="auto"/>
        <w:rPr>
          <w:sz w:val="24"/>
          <w:szCs w:val="24"/>
        </w:rPr>
      </w:pPr>
    </w:p>
    <w:p w:rsidR="00F90035" w:rsidRDefault="004A419C" w:rsidP="004A419C">
      <w:pPr>
        <w:spacing w:line="360" w:lineRule="auto"/>
        <w:rPr>
          <w:sz w:val="24"/>
          <w:szCs w:val="24"/>
        </w:rPr>
      </w:pPr>
      <w:r w:rsidRPr="00A90F47">
        <w:rPr>
          <w:sz w:val="24"/>
          <w:szCs w:val="24"/>
        </w:rPr>
        <w:tab/>
      </w:r>
      <w:r w:rsidRPr="00A90F47">
        <w:rPr>
          <w:sz w:val="24"/>
          <w:szCs w:val="24"/>
        </w:rPr>
        <w:tab/>
        <w:t>1.</w:t>
      </w:r>
      <w:r w:rsidRPr="00A90F47">
        <w:rPr>
          <w:sz w:val="24"/>
          <w:szCs w:val="24"/>
        </w:rPr>
        <w:tab/>
        <w:t xml:space="preserve">That the </w:t>
      </w:r>
      <w:r w:rsidR="00EC0DB8" w:rsidRPr="00A90F47">
        <w:rPr>
          <w:sz w:val="24"/>
          <w:szCs w:val="24"/>
        </w:rPr>
        <w:t xml:space="preserve">Formal </w:t>
      </w:r>
      <w:r w:rsidRPr="00A90F47">
        <w:rPr>
          <w:sz w:val="24"/>
          <w:szCs w:val="24"/>
        </w:rPr>
        <w:t xml:space="preserve">Complaint filed by </w:t>
      </w:r>
      <w:r w:rsidR="00F90035" w:rsidRPr="00A90F47">
        <w:rPr>
          <w:sz w:val="24"/>
          <w:szCs w:val="24"/>
        </w:rPr>
        <w:t>Ti</w:t>
      </w:r>
      <w:r w:rsidR="009F4860" w:rsidRPr="00A90F47">
        <w:rPr>
          <w:sz w:val="24"/>
          <w:szCs w:val="24"/>
        </w:rPr>
        <w:t>tus Wright at D</w:t>
      </w:r>
      <w:r w:rsidR="00EC0DB8" w:rsidRPr="00A90F47">
        <w:rPr>
          <w:sz w:val="24"/>
          <w:szCs w:val="24"/>
        </w:rPr>
        <w:t>ocket No. C-2013</w:t>
      </w:r>
      <w:r w:rsidR="009F4860" w:rsidRPr="00A90F47">
        <w:rPr>
          <w:sz w:val="24"/>
          <w:szCs w:val="24"/>
        </w:rPr>
        <w:t>-2368462, against Philadelphia G</w:t>
      </w:r>
      <w:r w:rsidR="00EC0DB8" w:rsidRPr="00A90F47">
        <w:rPr>
          <w:sz w:val="24"/>
          <w:szCs w:val="24"/>
        </w:rPr>
        <w:t>as Works, is dismissed, with prejudice, as it was previously filed and resolved through an unobjected to Certificate of Satisfaction</w:t>
      </w:r>
      <w:r w:rsidR="009F4860" w:rsidRPr="00A90F47">
        <w:rPr>
          <w:sz w:val="24"/>
          <w:szCs w:val="24"/>
        </w:rPr>
        <w:t xml:space="preserve"> at Docket Nos. F-2010-2192191 and C-2011-2225996</w:t>
      </w:r>
      <w:r w:rsidR="00EC0DB8" w:rsidRPr="00A90F47">
        <w:rPr>
          <w:sz w:val="24"/>
          <w:szCs w:val="24"/>
        </w:rPr>
        <w:t>.</w:t>
      </w:r>
    </w:p>
    <w:p w:rsidR="003D1704" w:rsidRDefault="003D1704" w:rsidP="004A419C">
      <w:pPr>
        <w:spacing w:line="360" w:lineRule="auto"/>
        <w:rPr>
          <w:sz w:val="24"/>
          <w:szCs w:val="24"/>
        </w:rPr>
      </w:pPr>
    </w:p>
    <w:p w:rsidR="003D1704" w:rsidRDefault="003D1704" w:rsidP="004A419C">
      <w:pPr>
        <w:spacing w:line="360" w:lineRule="auto"/>
        <w:rPr>
          <w:sz w:val="24"/>
          <w:szCs w:val="24"/>
        </w:rPr>
      </w:pPr>
    </w:p>
    <w:p w:rsidR="003D1704" w:rsidRDefault="003D1704" w:rsidP="004A419C">
      <w:pPr>
        <w:spacing w:line="360" w:lineRule="auto"/>
        <w:rPr>
          <w:sz w:val="24"/>
          <w:szCs w:val="24"/>
        </w:rPr>
      </w:pPr>
    </w:p>
    <w:p w:rsidR="003D1704" w:rsidRPr="00A90F47" w:rsidRDefault="003D1704" w:rsidP="004A419C">
      <w:pPr>
        <w:spacing w:line="360" w:lineRule="auto"/>
        <w:rPr>
          <w:sz w:val="24"/>
          <w:szCs w:val="24"/>
        </w:rPr>
      </w:pPr>
    </w:p>
    <w:p w:rsidR="00F90035" w:rsidRPr="00A90F47" w:rsidRDefault="00F90035" w:rsidP="004A419C">
      <w:pPr>
        <w:spacing w:line="360" w:lineRule="auto"/>
        <w:rPr>
          <w:sz w:val="24"/>
          <w:szCs w:val="24"/>
        </w:rPr>
      </w:pPr>
      <w:r w:rsidRPr="00A90F47">
        <w:rPr>
          <w:sz w:val="24"/>
          <w:szCs w:val="24"/>
        </w:rPr>
        <w:lastRenderedPageBreak/>
        <w:tab/>
      </w:r>
      <w:r w:rsidR="009F4860" w:rsidRPr="00A90F47">
        <w:rPr>
          <w:sz w:val="24"/>
          <w:szCs w:val="24"/>
        </w:rPr>
        <w:tab/>
        <w:t>2</w:t>
      </w:r>
      <w:r w:rsidRPr="00A90F47">
        <w:rPr>
          <w:sz w:val="24"/>
          <w:szCs w:val="24"/>
        </w:rPr>
        <w:t>.</w:t>
      </w:r>
      <w:r w:rsidRPr="00A90F47">
        <w:rPr>
          <w:sz w:val="24"/>
          <w:szCs w:val="24"/>
        </w:rPr>
        <w:tab/>
        <w:t>That the Secretary mark this docket closed.</w:t>
      </w:r>
    </w:p>
    <w:p w:rsidR="00F90035" w:rsidRPr="00A90F47" w:rsidRDefault="00F90035" w:rsidP="004A419C">
      <w:pPr>
        <w:spacing w:line="360" w:lineRule="auto"/>
        <w:rPr>
          <w:sz w:val="24"/>
          <w:szCs w:val="24"/>
        </w:rPr>
      </w:pPr>
    </w:p>
    <w:p w:rsidR="00277980" w:rsidRPr="00A90F47" w:rsidRDefault="00277980" w:rsidP="004A419C">
      <w:pPr>
        <w:spacing w:line="360" w:lineRule="auto"/>
        <w:rPr>
          <w:sz w:val="24"/>
          <w:szCs w:val="24"/>
        </w:rPr>
      </w:pPr>
    </w:p>
    <w:p w:rsidR="00F90035" w:rsidRPr="00A90F47" w:rsidRDefault="00F90035" w:rsidP="00F90035">
      <w:pPr>
        <w:rPr>
          <w:sz w:val="24"/>
          <w:szCs w:val="24"/>
        </w:rPr>
      </w:pPr>
      <w:r w:rsidRPr="00A90F47">
        <w:rPr>
          <w:sz w:val="24"/>
          <w:szCs w:val="24"/>
        </w:rPr>
        <w:t>Dated:</w:t>
      </w:r>
      <w:r w:rsidRPr="00A90F47">
        <w:rPr>
          <w:sz w:val="24"/>
          <w:szCs w:val="24"/>
        </w:rPr>
        <w:tab/>
      </w:r>
      <w:r w:rsidR="009C29F3" w:rsidRPr="00A90F47">
        <w:rPr>
          <w:sz w:val="24"/>
          <w:szCs w:val="24"/>
          <w:u w:val="single"/>
        </w:rPr>
        <w:t>June 10</w:t>
      </w:r>
      <w:r w:rsidRPr="00A90F47">
        <w:rPr>
          <w:sz w:val="24"/>
          <w:szCs w:val="24"/>
          <w:u w:val="single"/>
        </w:rPr>
        <w:t>, 2014</w:t>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t>___</w:t>
      </w:r>
      <w:r w:rsidRPr="00A90F47">
        <w:rPr>
          <w:sz w:val="24"/>
          <w:szCs w:val="24"/>
          <w:u w:val="single"/>
        </w:rPr>
        <w:t>/s/</w:t>
      </w:r>
      <w:r w:rsidRPr="00A90F47">
        <w:rPr>
          <w:sz w:val="24"/>
          <w:szCs w:val="24"/>
        </w:rPr>
        <w:t>__________________________</w:t>
      </w:r>
    </w:p>
    <w:p w:rsidR="00F90035" w:rsidRPr="00A90F47" w:rsidRDefault="00F90035" w:rsidP="00F90035">
      <w:pPr>
        <w:rPr>
          <w:sz w:val="24"/>
          <w:szCs w:val="24"/>
        </w:rPr>
      </w:pP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009F4860" w:rsidRPr="00A90F47">
        <w:rPr>
          <w:sz w:val="24"/>
          <w:szCs w:val="24"/>
        </w:rPr>
        <w:t>Kandace F. Melillo</w:t>
      </w:r>
    </w:p>
    <w:p w:rsidR="00F90035" w:rsidRPr="00A90F47" w:rsidRDefault="00F90035" w:rsidP="00F90035">
      <w:pPr>
        <w:rPr>
          <w:sz w:val="24"/>
          <w:szCs w:val="24"/>
        </w:rPr>
      </w:pP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r>
      <w:r w:rsidRPr="00A90F47">
        <w:rPr>
          <w:sz w:val="24"/>
          <w:szCs w:val="24"/>
        </w:rPr>
        <w:tab/>
        <w:t>Administrative Law Judge</w:t>
      </w:r>
    </w:p>
    <w:p w:rsidR="004728C1" w:rsidRPr="00A90F47" w:rsidRDefault="004728C1" w:rsidP="005E5E5A">
      <w:pPr>
        <w:spacing w:line="360" w:lineRule="auto"/>
        <w:rPr>
          <w:b/>
          <w:sz w:val="24"/>
          <w:szCs w:val="24"/>
        </w:rPr>
      </w:pPr>
    </w:p>
    <w:p w:rsidR="004728C1" w:rsidRPr="00A90F47" w:rsidRDefault="004728C1" w:rsidP="005E5E5A">
      <w:pPr>
        <w:spacing w:line="360" w:lineRule="auto"/>
        <w:rPr>
          <w:sz w:val="24"/>
          <w:szCs w:val="24"/>
        </w:rPr>
      </w:pPr>
      <w:r w:rsidRPr="00A90F47">
        <w:rPr>
          <w:b/>
          <w:sz w:val="24"/>
          <w:szCs w:val="24"/>
        </w:rPr>
        <w:tab/>
      </w:r>
      <w:r w:rsidRPr="00A90F47">
        <w:rPr>
          <w:b/>
          <w:sz w:val="24"/>
          <w:szCs w:val="24"/>
        </w:rPr>
        <w:tab/>
      </w:r>
    </w:p>
    <w:p w:rsidR="004728C1" w:rsidRPr="00A90F47" w:rsidRDefault="004728C1" w:rsidP="005E5E5A">
      <w:pPr>
        <w:spacing w:line="360" w:lineRule="auto"/>
        <w:rPr>
          <w:sz w:val="24"/>
          <w:szCs w:val="24"/>
        </w:rPr>
      </w:pPr>
      <w:r w:rsidRPr="00A90F47">
        <w:rPr>
          <w:sz w:val="24"/>
          <w:szCs w:val="24"/>
        </w:rPr>
        <w:tab/>
      </w:r>
      <w:r w:rsidRPr="00A90F47">
        <w:rPr>
          <w:sz w:val="24"/>
          <w:szCs w:val="24"/>
        </w:rPr>
        <w:tab/>
      </w:r>
    </w:p>
    <w:p w:rsidR="002620CD" w:rsidRPr="00A90F47" w:rsidRDefault="002620CD" w:rsidP="005E5E5A">
      <w:pPr>
        <w:spacing w:line="360" w:lineRule="auto"/>
        <w:rPr>
          <w:sz w:val="24"/>
          <w:szCs w:val="24"/>
        </w:rPr>
      </w:pPr>
    </w:p>
    <w:p w:rsidR="002620CD" w:rsidRPr="00A90F47" w:rsidRDefault="002620CD" w:rsidP="005E5E5A">
      <w:pPr>
        <w:spacing w:line="360" w:lineRule="auto"/>
        <w:rPr>
          <w:sz w:val="24"/>
          <w:szCs w:val="24"/>
        </w:rPr>
      </w:pPr>
      <w:r w:rsidRPr="00A90F47">
        <w:rPr>
          <w:sz w:val="24"/>
          <w:szCs w:val="24"/>
        </w:rPr>
        <w:tab/>
      </w:r>
      <w:r w:rsidRPr="00A90F47">
        <w:rPr>
          <w:sz w:val="24"/>
          <w:szCs w:val="24"/>
        </w:rPr>
        <w:tab/>
      </w:r>
    </w:p>
    <w:p w:rsidR="00B86E3B" w:rsidRPr="00A90F47" w:rsidRDefault="00B86E3B" w:rsidP="005E5E5A">
      <w:pPr>
        <w:spacing w:line="360" w:lineRule="auto"/>
        <w:rPr>
          <w:sz w:val="24"/>
          <w:szCs w:val="24"/>
        </w:rPr>
      </w:pPr>
    </w:p>
    <w:p w:rsidR="004756D3" w:rsidRPr="00A90F47" w:rsidRDefault="004756D3" w:rsidP="005E5E5A">
      <w:pPr>
        <w:spacing w:line="360" w:lineRule="auto"/>
        <w:rPr>
          <w:sz w:val="24"/>
          <w:szCs w:val="24"/>
        </w:rPr>
      </w:pPr>
    </w:p>
    <w:sectPr w:rsidR="004756D3" w:rsidRPr="00A90F47" w:rsidSect="0024306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E3F" w:rsidRDefault="00EE3E3F" w:rsidP="0024306D">
      <w:r>
        <w:separator/>
      </w:r>
    </w:p>
  </w:endnote>
  <w:endnote w:type="continuationSeparator" w:id="0">
    <w:p w:rsidR="00EE3E3F" w:rsidRDefault="00EE3E3F" w:rsidP="0024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3650919"/>
      <w:docPartObj>
        <w:docPartGallery w:val="Page Numbers (Bottom of Page)"/>
        <w:docPartUnique/>
      </w:docPartObj>
    </w:sdtPr>
    <w:sdtEndPr>
      <w:rPr>
        <w:noProof/>
      </w:rPr>
    </w:sdtEndPr>
    <w:sdtContent>
      <w:p w:rsidR="00177A64" w:rsidRPr="00384F7E" w:rsidRDefault="00177A64" w:rsidP="00384F7E">
        <w:pPr>
          <w:pStyle w:val="Footer"/>
          <w:jc w:val="center"/>
          <w:rPr>
            <w:sz w:val="20"/>
            <w:szCs w:val="20"/>
          </w:rPr>
        </w:pPr>
        <w:r w:rsidRPr="00384F7E">
          <w:rPr>
            <w:sz w:val="20"/>
            <w:szCs w:val="20"/>
          </w:rPr>
          <w:fldChar w:fldCharType="begin"/>
        </w:r>
        <w:r w:rsidRPr="00384F7E">
          <w:rPr>
            <w:sz w:val="20"/>
            <w:szCs w:val="20"/>
          </w:rPr>
          <w:instrText xml:space="preserve"> PAGE   \* MERGEFORMAT </w:instrText>
        </w:r>
        <w:r w:rsidRPr="00384F7E">
          <w:rPr>
            <w:sz w:val="20"/>
            <w:szCs w:val="20"/>
          </w:rPr>
          <w:fldChar w:fldCharType="separate"/>
        </w:r>
        <w:r w:rsidR="00576F24">
          <w:rPr>
            <w:noProof/>
            <w:sz w:val="20"/>
            <w:szCs w:val="20"/>
          </w:rPr>
          <w:t>13</w:t>
        </w:r>
        <w:r w:rsidRPr="00384F7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E3F" w:rsidRDefault="00EE3E3F" w:rsidP="0024306D">
      <w:r>
        <w:separator/>
      </w:r>
    </w:p>
  </w:footnote>
  <w:footnote w:type="continuationSeparator" w:id="0">
    <w:p w:rsidR="00EE3E3F" w:rsidRDefault="00EE3E3F" w:rsidP="0024306D">
      <w:r>
        <w:continuationSeparator/>
      </w:r>
    </w:p>
  </w:footnote>
  <w:footnote w:id="1">
    <w:p w:rsidR="00CA2B4D" w:rsidRPr="00A12118" w:rsidRDefault="008F6BAF" w:rsidP="00CA2B4D">
      <w:pPr>
        <w:tabs>
          <w:tab w:val="left" w:pos="-1440"/>
          <w:tab w:val="left" w:pos="-720"/>
        </w:tabs>
        <w:suppressAutoHyphens/>
        <w:rPr>
          <w:spacing w:val="-3"/>
          <w:sz w:val="20"/>
          <w:szCs w:val="20"/>
        </w:rPr>
      </w:pPr>
      <w:r>
        <w:tab/>
      </w:r>
      <w:r>
        <w:rPr>
          <w:rStyle w:val="FootnoteReference"/>
        </w:rPr>
        <w:footnoteRef/>
      </w:r>
      <w:r>
        <w:tab/>
      </w:r>
      <w:r w:rsidRPr="00CA2B4D">
        <w:rPr>
          <w:sz w:val="20"/>
          <w:szCs w:val="20"/>
        </w:rPr>
        <w:t>I also considered whether the two (2) earlier bills, with due dates of February 16, 2010, and March 16, 2010, would be barred by the three-year statute of limitations in 66 Pa.C.S. § 3314(a), and therefore would be dismissible on that basis.</w:t>
      </w:r>
      <w:r w:rsidR="00251524">
        <w:rPr>
          <w:sz w:val="20"/>
          <w:szCs w:val="20"/>
        </w:rPr>
        <w:t xml:space="preserve">  </w:t>
      </w:r>
      <w:r w:rsidR="00CA2B4D" w:rsidRPr="00A12118">
        <w:rPr>
          <w:spacing w:val="-3"/>
          <w:sz w:val="20"/>
          <w:szCs w:val="20"/>
        </w:rPr>
        <w:t>Mr. Wright filed his Complaint on June 7, 2013.  Pursuant to 66 Pa.C.S. § 3314(a), claims of unreasonable service</w:t>
      </w:r>
      <w:r w:rsidR="00251524">
        <w:rPr>
          <w:spacing w:val="-3"/>
          <w:sz w:val="20"/>
          <w:szCs w:val="20"/>
        </w:rPr>
        <w:t xml:space="preserve"> based </w:t>
      </w:r>
      <w:r w:rsidR="00CA2B4D" w:rsidRPr="00A12118">
        <w:rPr>
          <w:spacing w:val="-3"/>
          <w:sz w:val="20"/>
          <w:szCs w:val="20"/>
        </w:rPr>
        <w:t xml:space="preserve">upon high bills must be brought within three (3) years from the date on which liability arose, and the proper starting point is the last day of the billing cycle for these bills.  </w:t>
      </w:r>
      <w:r w:rsidR="00CA2B4D" w:rsidRPr="00A12118">
        <w:rPr>
          <w:spacing w:val="-3"/>
          <w:sz w:val="20"/>
          <w:szCs w:val="20"/>
          <w:u w:val="single"/>
        </w:rPr>
        <w:t>See</w:t>
      </w:r>
      <w:r w:rsidR="00CA2B4D" w:rsidRPr="00A12118">
        <w:rPr>
          <w:spacing w:val="-3"/>
          <w:sz w:val="20"/>
          <w:szCs w:val="20"/>
        </w:rPr>
        <w:t xml:space="preserve">, </w:t>
      </w:r>
      <w:r w:rsidR="00CA2B4D" w:rsidRPr="00A12118">
        <w:rPr>
          <w:spacing w:val="-3"/>
          <w:sz w:val="20"/>
          <w:szCs w:val="20"/>
          <w:u w:val="single"/>
        </w:rPr>
        <w:t>Duquesne Light Company v. Pa. Pub. Util. Comm’n</w:t>
      </w:r>
      <w:r w:rsidR="00CA2B4D" w:rsidRPr="00A12118">
        <w:rPr>
          <w:spacing w:val="-3"/>
          <w:sz w:val="20"/>
          <w:szCs w:val="20"/>
        </w:rPr>
        <w:t>, 148 Pa. Commw. 378, 611 A.2d 370 (1992) (</w:t>
      </w:r>
      <w:r w:rsidR="00CA2B4D" w:rsidRPr="00A12118">
        <w:rPr>
          <w:spacing w:val="-3"/>
          <w:sz w:val="20"/>
          <w:szCs w:val="20"/>
          <w:u w:val="single"/>
        </w:rPr>
        <w:t>Duquesne</w:t>
      </w:r>
      <w:r w:rsidR="00CA2B4D" w:rsidRPr="00A12118">
        <w:rPr>
          <w:spacing w:val="-3"/>
          <w:sz w:val="20"/>
          <w:szCs w:val="20"/>
        </w:rPr>
        <w:t xml:space="preserve">).  This three-year statute of limitations is not waivable.  </w:t>
      </w:r>
      <w:r w:rsidR="00CA2B4D" w:rsidRPr="00A12118">
        <w:rPr>
          <w:spacing w:val="-3"/>
          <w:sz w:val="20"/>
          <w:szCs w:val="20"/>
          <w:u w:val="single"/>
        </w:rPr>
        <w:t>Tobin et al. v. St. Clair Borough</w:t>
      </w:r>
      <w:r w:rsidR="00CA2B4D" w:rsidRPr="00A12118">
        <w:rPr>
          <w:spacing w:val="-3"/>
          <w:sz w:val="20"/>
          <w:szCs w:val="20"/>
        </w:rPr>
        <w:t xml:space="preserve">, Docket No. F-02020339, Initial Decision dated July 20, 2006.   </w:t>
      </w:r>
    </w:p>
    <w:p w:rsidR="00CA2B4D" w:rsidRPr="00A12118" w:rsidRDefault="00CA2B4D" w:rsidP="00CA2B4D">
      <w:pPr>
        <w:tabs>
          <w:tab w:val="left" w:pos="-1440"/>
          <w:tab w:val="left" w:pos="-720"/>
        </w:tabs>
        <w:suppressAutoHyphens/>
        <w:rPr>
          <w:spacing w:val="-3"/>
          <w:sz w:val="20"/>
          <w:szCs w:val="20"/>
        </w:rPr>
      </w:pPr>
    </w:p>
    <w:p w:rsidR="00CA2B4D" w:rsidRPr="00A12118" w:rsidRDefault="00CA2B4D" w:rsidP="00CA2B4D">
      <w:pPr>
        <w:tabs>
          <w:tab w:val="left" w:pos="-1440"/>
          <w:tab w:val="left" w:pos="-720"/>
        </w:tabs>
        <w:suppressAutoHyphens/>
        <w:rPr>
          <w:spacing w:val="-3"/>
          <w:sz w:val="20"/>
          <w:szCs w:val="20"/>
        </w:rPr>
      </w:pPr>
      <w:r w:rsidRPr="00A12118">
        <w:rPr>
          <w:spacing w:val="-3"/>
          <w:sz w:val="20"/>
          <w:szCs w:val="20"/>
        </w:rPr>
        <w:tab/>
      </w:r>
      <w:r w:rsidRPr="00A12118">
        <w:rPr>
          <w:spacing w:val="-3"/>
          <w:sz w:val="20"/>
          <w:szCs w:val="20"/>
        </w:rPr>
        <w:tab/>
        <w:t xml:space="preserve">The last day of the billing cycle for the earliest disputed bill of $635.00 was January 20, 2010.  Complainant Ex. A.  Therefore, a Complaint about this bill would generally have been barred if filed after January 20, 2013.  However, Complainant first filed an informal complaint with the Bureau of Consumer Services (BCS) regarding these bills before filing a Formal Complaint, and the time for deciding the informal dispute at BCS is not counted against the three-year statute of limitations.  </w:t>
      </w:r>
      <w:r w:rsidRPr="00A12118">
        <w:rPr>
          <w:spacing w:val="-3"/>
          <w:sz w:val="20"/>
          <w:szCs w:val="20"/>
          <w:u w:val="single"/>
        </w:rPr>
        <w:t>Duquesne</w:t>
      </w:r>
      <w:r w:rsidRPr="00A12118">
        <w:rPr>
          <w:spacing w:val="-3"/>
          <w:sz w:val="20"/>
          <w:szCs w:val="20"/>
        </w:rPr>
        <w:t xml:space="preserve">, </w:t>
      </w:r>
      <w:r w:rsidRPr="00A12118">
        <w:rPr>
          <w:spacing w:val="-3"/>
          <w:sz w:val="20"/>
          <w:szCs w:val="20"/>
          <w:u w:val="single"/>
        </w:rPr>
        <w:t>supra</w:t>
      </w:r>
      <w:r w:rsidRPr="00A12118">
        <w:rPr>
          <w:spacing w:val="-3"/>
          <w:sz w:val="20"/>
          <w:szCs w:val="20"/>
        </w:rPr>
        <w:t xml:space="preserve">.  </w:t>
      </w:r>
    </w:p>
    <w:p w:rsidR="00CA2B4D" w:rsidRPr="00A12118" w:rsidRDefault="00CA2B4D" w:rsidP="00CA2B4D">
      <w:pPr>
        <w:tabs>
          <w:tab w:val="left" w:pos="-1440"/>
          <w:tab w:val="left" w:pos="-720"/>
        </w:tabs>
        <w:suppressAutoHyphens/>
        <w:rPr>
          <w:spacing w:val="-3"/>
          <w:sz w:val="20"/>
          <w:szCs w:val="20"/>
        </w:rPr>
      </w:pPr>
    </w:p>
    <w:p w:rsidR="00CA2B4D" w:rsidRPr="00A12118" w:rsidRDefault="00CA2B4D" w:rsidP="00CA2B4D">
      <w:pPr>
        <w:tabs>
          <w:tab w:val="left" w:pos="-1440"/>
          <w:tab w:val="left" w:pos="-720"/>
        </w:tabs>
        <w:suppressAutoHyphens/>
        <w:rPr>
          <w:spacing w:val="-3"/>
          <w:sz w:val="20"/>
          <w:szCs w:val="20"/>
        </w:rPr>
      </w:pPr>
      <w:r w:rsidRPr="00A12118">
        <w:rPr>
          <w:spacing w:val="-3"/>
          <w:sz w:val="20"/>
          <w:szCs w:val="20"/>
        </w:rPr>
        <w:tab/>
      </w:r>
      <w:r w:rsidRPr="00A12118">
        <w:rPr>
          <w:spacing w:val="-3"/>
          <w:sz w:val="20"/>
          <w:szCs w:val="20"/>
        </w:rPr>
        <w:tab/>
        <w:t xml:space="preserve">The time period for deciding the informal complaint was 139 days, from March 3, 2010, to July 20, 2010.  </w:t>
      </w:r>
      <w:r w:rsidRPr="00A12118">
        <w:rPr>
          <w:spacing w:val="-3"/>
          <w:sz w:val="20"/>
          <w:szCs w:val="20"/>
          <w:u w:val="single"/>
        </w:rPr>
        <w:t>See</w:t>
      </w:r>
      <w:r w:rsidRPr="00A12118">
        <w:rPr>
          <w:spacing w:val="-3"/>
          <w:sz w:val="20"/>
          <w:szCs w:val="20"/>
        </w:rPr>
        <w:t>, Official Notice, dated May 30, 2014.  If 139 days is added to the three-year statute of limitations, the last day for filing a formal complaint would have been Monday, June 10, 2013, as the 139</w:t>
      </w:r>
      <w:r w:rsidRPr="00A12118">
        <w:rPr>
          <w:spacing w:val="-3"/>
          <w:sz w:val="20"/>
          <w:szCs w:val="20"/>
          <w:vertAlign w:val="superscript"/>
        </w:rPr>
        <w:t>th</w:t>
      </w:r>
      <w:r w:rsidRPr="00A12118">
        <w:rPr>
          <w:spacing w:val="-3"/>
          <w:sz w:val="20"/>
          <w:szCs w:val="20"/>
        </w:rPr>
        <w:t xml:space="preserve"> day is Saturday, June 8, 2013.  Accordingly, the high bill complaints were all filed within the applicable three-year statute of limitations under 66 Pa.C.S. § 3314(a).        </w:t>
      </w:r>
    </w:p>
    <w:p w:rsidR="008F6BAF" w:rsidRDefault="008F6BA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D3"/>
    <w:rsid w:val="00001E3A"/>
    <w:rsid w:val="00001EF6"/>
    <w:rsid w:val="000028EA"/>
    <w:rsid w:val="000033F3"/>
    <w:rsid w:val="00003900"/>
    <w:rsid w:val="00003D11"/>
    <w:rsid w:val="00004AA3"/>
    <w:rsid w:val="00005558"/>
    <w:rsid w:val="000079FE"/>
    <w:rsid w:val="00012104"/>
    <w:rsid w:val="00012655"/>
    <w:rsid w:val="0001305A"/>
    <w:rsid w:val="000131CB"/>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3252"/>
    <w:rsid w:val="000541C0"/>
    <w:rsid w:val="0005423F"/>
    <w:rsid w:val="00055078"/>
    <w:rsid w:val="00055CC5"/>
    <w:rsid w:val="00056E0C"/>
    <w:rsid w:val="000576ED"/>
    <w:rsid w:val="0006058E"/>
    <w:rsid w:val="000605B6"/>
    <w:rsid w:val="000609ED"/>
    <w:rsid w:val="00060E7A"/>
    <w:rsid w:val="00061278"/>
    <w:rsid w:val="000634EB"/>
    <w:rsid w:val="00063801"/>
    <w:rsid w:val="0006752D"/>
    <w:rsid w:val="000676B2"/>
    <w:rsid w:val="00067CBC"/>
    <w:rsid w:val="00070AA1"/>
    <w:rsid w:val="00071A36"/>
    <w:rsid w:val="00071EC9"/>
    <w:rsid w:val="00072595"/>
    <w:rsid w:val="00072D46"/>
    <w:rsid w:val="00073BE1"/>
    <w:rsid w:val="00074065"/>
    <w:rsid w:val="00076092"/>
    <w:rsid w:val="000779CB"/>
    <w:rsid w:val="00082363"/>
    <w:rsid w:val="00082E99"/>
    <w:rsid w:val="000852E5"/>
    <w:rsid w:val="00085A52"/>
    <w:rsid w:val="00086449"/>
    <w:rsid w:val="00087AAA"/>
    <w:rsid w:val="000902E3"/>
    <w:rsid w:val="0009043B"/>
    <w:rsid w:val="00091919"/>
    <w:rsid w:val="00091F08"/>
    <w:rsid w:val="0009220F"/>
    <w:rsid w:val="00092B4E"/>
    <w:rsid w:val="00092E44"/>
    <w:rsid w:val="0009318F"/>
    <w:rsid w:val="000931F7"/>
    <w:rsid w:val="00093562"/>
    <w:rsid w:val="00093D93"/>
    <w:rsid w:val="00093E43"/>
    <w:rsid w:val="00094E20"/>
    <w:rsid w:val="00096B3F"/>
    <w:rsid w:val="00097D77"/>
    <w:rsid w:val="000A2192"/>
    <w:rsid w:val="000A4551"/>
    <w:rsid w:val="000A4E7A"/>
    <w:rsid w:val="000A5DEA"/>
    <w:rsid w:val="000A652E"/>
    <w:rsid w:val="000A770B"/>
    <w:rsid w:val="000B1BFC"/>
    <w:rsid w:val="000B29F1"/>
    <w:rsid w:val="000B2D0C"/>
    <w:rsid w:val="000B2DC7"/>
    <w:rsid w:val="000B339A"/>
    <w:rsid w:val="000B7111"/>
    <w:rsid w:val="000C0311"/>
    <w:rsid w:val="000C09AB"/>
    <w:rsid w:val="000C2696"/>
    <w:rsid w:val="000C2A2B"/>
    <w:rsid w:val="000C34F3"/>
    <w:rsid w:val="000C4163"/>
    <w:rsid w:val="000C5976"/>
    <w:rsid w:val="000C5997"/>
    <w:rsid w:val="000C6B6E"/>
    <w:rsid w:val="000C6EF0"/>
    <w:rsid w:val="000C7A4F"/>
    <w:rsid w:val="000D0B13"/>
    <w:rsid w:val="000D29BA"/>
    <w:rsid w:val="000D3E49"/>
    <w:rsid w:val="000D56E0"/>
    <w:rsid w:val="000D5763"/>
    <w:rsid w:val="000D626F"/>
    <w:rsid w:val="000E2F36"/>
    <w:rsid w:val="000E44C4"/>
    <w:rsid w:val="000E49E6"/>
    <w:rsid w:val="000E4A42"/>
    <w:rsid w:val="000E503F"/>
    <w:rsid w:val="000E6827"/>
    <w:rsid w:val="000E71B3"/>
    <w:rsid w:val="000E7515"/>
    <w:rsid w:val="000E7EF5"/>
    <w:rsid w:val="000F1806"/>
    <w:rsid w:val="000F1890"/>
    <w:rsid w:val="000F2E5F"/>
    <w:rsid w:val="000F3819"/>
    <w:rsid w:val="000F47F1"/>
    <w:rsid w:val="000F51F1"/>
    <w:rsid w:val="000F678B"/>
    <w:rsid w:val="000F680A"/>
    <w:rsid w:val="000F78BE"/>
    <w:rsid w:val="0010080E"/>
    <w:rsid w:val="001021FB"/>
    <w:rsid w:val="0010246D"/>
    <w:rsid w:val="00102A77"/>
    <w:rsid w:val="00103997"/>
    <w:rsid w:val="0010420D"/>
    <w:rsid w:val="00104509"/>
    <w:rsid w:val="00104518"/>
    <w:rsid w:val="00106069"/>
    <w:rsid w:val="00106EE8"/>
    <w:rsid w:val="001077F1"/>
    <w:rsid w:val="00113B1B"/>
    <w:rsid w:val="00113BFE"/>
    <w:rsid w:val="001141C9"/>
    <w:rsid w:val="00115022"/>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45FDB"/>
    <w:rsid w:val="00150084"/>
    <w:rsid w:val="00150BAA"/>
    <w:rsid w:val="00152794"/>
    <w:rsid w:val="00152FBE"/>
    <w:rsid w:val="00152FD8"/>
    <w:rsid w:val="001537E3"/>
    <w:rsid w:val="00153C39"/>
    <w:rsid w:val="00153EBF"/>
    <w:rsid w:val="00154F0C"/>
    <w:rsid w:val="0015569F"/>
    <w:rsid w:val="00155E87"/>
    <w:rsid w:val="0015719C"/>
    <w:rsid w:val="0015737B"/>
    <w:rsid w:val="00157490"/>
    <w:rsid w:val="001574E5"/>
    <w:rsid w:val="00157914"/>
    <w:rsid w:val="00157E46"/>
    <w:rsid w:val="001627EF"/>
    <w:rsid w:val="00162A12"/>
    <w:rsid w:val="00162D2F"/>
    <w:rsid w:val="0016332A"/>
    <w:rsid w:val="0016435F"/>
    <w:rsid w:val="00165096"/>
    <w:rsid w:val="0016521D"/>
    <w:rsid w:val="001658B2"/>
    <w:rsid w:val="00170FE6"/>
    <w:rsid w:val="00171416"/>
    <w:rsid w:val="00172857"/>
    <w:rsid w:val="00172B0B"/>
    <w:rsid w:val="00172E8C"/>
    <w:rsid w:val="00173570"/>
    <w:rsid w:val="00173C70"/>
    <w:rsid w:val="00174F7E"/>
    <w:rsid w:val="0017580D"/>
    <w:rsid w:val="00175F76"/>
    <w:rsid w:val="00175FFF"/>
    <w:rsid w:val="0017688C"/>
    <w:rsid w:val="00176C44"/>
    <w:rsid w:val="00177829"/>
    <w:rsid w:val="00177A64"/>
    <w:rsid w:val="001807D3"/>
    <w:rsid w:val="00181AB1"/>
    <w:rsid w:val="001857EA"/>
    <w:rsid w:val="00186328"/>
    <w:rsid w:val="001868F5"/>
    <w:rsid w:val="00190B2C"/>
    <w:rsid w:val="00191022"/>
    <w:rsid w:val="00191522"/>
    <w:rsid w:val="00192EB5"/>
    <w:rsid w:val="00193230"/>
    <w:rsid w:val="00195C2B"/>
    <w:rsid w:val="001966CB"/>
    <w:rsid w:val="001969A7"/>
    <w:rsid w:val="00196C5A"/>
    <w:rsid w:val="0019791B"/>
    <w:rsid w:val="00197E5D"/>
    <w:rsid w:val="00197ED4"/>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4B9"/>
    <w:rsid w:val="001B477B"/>
    <w:rsid w:val="001B4B2B"/>
    <w:rsid w:val="001B4EC8"/>
    <w:rsid w:val="001B593D"/>
    <w:rsid w:val="001B6470"/>
    <w:rsid w:val="001B760E"/>
    <w:rsid w:val="001C03F5"/>
    <w:rsid w:val="001C0410"/>
    <w:rsid w:val="001C054D"/>
    <w:rsid w:val="001C2234"/>
    <w:rsid w:val="001C4C21"/>
    <w:rsid w:val="001C5106"/>
    <w:rsid w:val="001C537D"/>
    <w:rsid w:val="001C64B4"/>
    <w:rsid w:val="001C65CD"/>
    <w:rsid w:val="001C6DE8"/>
    <w:rsid w:val="001D05DB"/>
    <w:rsid w:val="001D0876"/>
    <w:rsid w:val="001D0F91"/>
    <w:rsid w:val="001D1F1B"/>
    <w:rsid w:val="001D2B63"/>
    <w:rsid w:val="001D4223"/>
    <w:rsid w:val="001D556B"/>
    <w:rsid w:val="001D789E"/>
    <w:rsid w:val="001E2642"/>
    <w:rsid w:val="001E3BEF"/>
    <w:rsid w:val="001E3C9A"/>
    <w:rsid w:val="001E5426"/>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056"/>
    <w:rsid w:val="001F74FC"/>
    <w:rsid w:val="001F77B2"/>
    <w:rsid w:val="002004A8"/>
    <w:rsid w:val="002019B1"/>
    <w:rsid w:val="00201E65"/>
    <w:rsid w:val="002037D0"/>
    <w:rsid w:val="00205C33"/>
    <w:rsid w:val="0021162B"/>
    <w:rsid w:val="002125E4"/>
    <w:rsid w:val="002131B7"/>
    <w:rsid w:val="002132FC"/>
    <w:rsid w:val="00213E05"/>
    <w:rsid w:val="00214706"/>
    <w:rsid w:val="00214731"/>
    <w:rsid w:val="00214E49"/>
    <w:rsid w:val="00215381"/>
    <w:rsid w:val="00215BA6"/>
    <w:rsid w:val="002163B7"/>
    <w:rsid w:val="00216C32"/>
    <w:rsid w:val="00216F76"/>
    <w:rsid w:val="0021750E"/>
    <w:rsid w:val="002178EA"/>
    <w:rsid w:val="0022017F"/>
    <w:rsid w:val="002205EC"/>
    <w:rsid w:val="00220D97"/>
    <w:rsid w:val="00221258"/>
    <w:rsid w:val="00221A88"/>
    <w:rsid w:val="00223C71"/>
    <w:rsid w:val="002241D0"/>
    <w:rsid w:val="00224756"/>
    <w:rsid w:val="0022478F"/>
    <w:rsid w:val="00225D82"/>
    <w:rsid w:val="00227A4A"/>
    <w:rsid w:val="00230CC6"/>
    <w:rsid w:val="002337D7"/>
    <w:rsid w:val="002345C4"/>
    <w:rsid w:val="00234DEB"/>
    <w:rsid w:val="0023584A"/>
    <w:rsid w:val="00236C44"/>
    <w:rsid w:val="00240343"/>
    <w:rsid w:val="002403E6"/>
    <w:rsid w:val="002422D0"/>
    <w:rsid w:val="0024306D"/>
    <w:rsid w:val="00245181"/>
    <w:rsid w:val="002451F7"/>
    <w:rsid w:val="002455CC"/>
    <w:rsid w:val="00246523"/>
    <w:rsid w:val="0024777B"/>
    <w:rsid w:val="00247CE0"/>
    <w:rsid w:val="002502F2"/>
    <w:rsid w:val="00250571"/>
    <w:rsid w:val="00251524"/>
    <w:rsid w:val="00251E5A"/>
    <w:rsid w:val="00252DB6"/>
    <w:rsid w:val="00252F2A"/>
    <w:rsid w:val="0025351B"/>
    <w:rsid w:val="002546D8"/>
    <w:rsid w:val="002557C7"/>
    <w:rsid w:val="002558A3"/>
    <w:rsid w:val="00255930"/>
    <w:rsid w:val="00255ABE"/>
    <w:rsid w:val="00256505"/>
    <w:rsid w:val="00260459"/>
    <w:rsid w:val="00260814"/>
    <w:rsid w:val="002620CD"/>
    <w:rsid w:val="00262685"/>
    <w:rsid w:val="00262A17"/>
    <w:rsid w:val="00262AF8"/>
    <w:rsid w:val="00263AD5"/>
    <w:rsid w:val="00265539"/>
    <w:rsid w:val="0026705F"/>
    <w:rsid w:val="002704DD"/>
    <w:rsid w:val="00270AF3"/>
    <w:rsid w:val="0027207B"/>
    <w:rsid w:val="0027210A"/>
    <w:rsid w:val="002748C2"/>
    <w:rsid w:val="002752C3"/>
    <w:rsid w:val="00275659"/>
    <w:rsid w:val="002761E2"/>
    <w:rsid w:val="00277591"/>
    <w:rsid w:val="00277980"/>
    <w:rsid w:val="00283282"/>
    <w:rsid w:val="00283C60"/>
    <w:rsid w:val="00284760"/>
    <w:rsid w:val="00285905"/>
    <w:rsid w:val="00286A34"/>
    <w:rsid w:val="002871C2"/>
    <w:rsid w:val="00287CB1"/>
    <w:rsid w:val="0029096F"/>
    <w:rsid w:val="00290AD2"/>
    <w:rsid w:val="00291944"/>
    <w:rsid w:val="002923A9"/>
    <w:rsid w:val="0029353E"/>
    <w:rsid w:val="00293F4E"/>
    <w:rsid w:val="002957CB"/>
    <w:rsid w:val="00296B74"/>
    <w:rsid w:val="00297286"/>
    <w:rsid w:val="002A05C6"/>
    <w:rsid w:val="002A1522"/>
    <w:rsid w:val="002A17F4"/>
    <w:rsid w:val="002A20A7"/>
    <w:rsid w:val="002A2B3A"/>
    <w:rsid w:val="002A3FD3"/>
    <w:rsid w:val="002A4E7E"/>
    <w:rsid w:val="002A5F4D"/>
    <w:rsid w:val="002A70E9"/>
    <w:rsid w:val="002A7A0A"/>
    <w:rsid w:val="002B0D61"/>
    <w:rsid w:val="002B2AF4"/>
    <w:rsid w:val="002B3738"/>
    <w:rsid w:val="002B3E20"/>
    <w:rsid w:val="002B4E39"/>
    <w:rsid w:val="002B541A"/>
    <w:rsid w:val="002B5711"/>
    <w:rsid w:val="002B754D"/>
    <w:rsid w:val="002C0694"/>
    <w:rsid w:val="002C1023"/>
    <w:rsid w:val="002C4F02"/>
    <w:rsid w:val="002C69AD"/>
    <w:rsid w:val="002C7903"/>
    <w:rsid w:val="002D0E4D"/>
    <w:rsid w:val="002D0F62"/>
    <w:rsid w:val="002D11F2"/>
    <w:rsid w:val="002D1E71"/>
    <w:rsid w:val="002D29B0"/>
    <w:rsid w:val="002D5005"/>
    <w:rsid w:val="002D56EC"/>
    <w:rsid w:val="002D6B36"/>
    <w:rsid w:val="002D7136"/>
    <w:rsid w:val="002D7978"/>
    <w:rsid w:val="002D7DBF"/>
    <w:rsid w:val="002E0BB1"/>
    <w:rsid w:val="002E2270"/>
    <w:rsid w:val="002E2283"/>
    <w:rsid w:val="002E2CAD"/>
    <w:rsid w:val="002E32C2"/>
    <w:rsid w:val="002E5790"/>
    <w:rsid w:val="002E6CB4"/>
    <w:rsid w:val="002E7DDB"/>
    <w:rsid w:val="002F21B6"/>
    <w:rsid w:val="002F222D"/>
    <w:rsid w:val="002F2A4A"/>
    <w:rsid w:val="002F31DB"/>
    <w:rsid w:val="002F42FC"/>
    <w:rsid w:val="002F5C03"/>
    <w:rsid w:val="002F6F4F"/>
    <w:rsid w:val="002F75DA"/>
    <w:rsid w:val="00303526"/>
    <w:rsid w:val="00303761"/>
    <w:rsid w:val="00304AA1"/>
    <w:rsid w:val="0030682B"/>
    <w:rsid w:val="00306C33"/>
    <w:rsid w:val="003079C8"/>
    <w:rsid w:val="00311531"/>
    <w:rsid w:val="003115D2"/>
    <w:rsid w:val="00312F06"/>
    <w:rsid w:val="00313595"/>
    <w:rsid w:val="0031425A"/>
    <w:rsid w:val="00314713"/>
    <w:rsid w:val="003149F5"/>
    <w:rsid w:val="003151E4"/>
    <w:rsid w:val="003156D7"/>
    <w:rsid w:val="00317261"/>
    <w:rsid w:val="0032130D"/>
    <w:rsid w:val="00321DB1"/>
    <w:rsid w:val="003225E5"/>
    <w:rsid w:val="00326EEE"/>
    <w:rsid w:val="00326F3E"/>
    <w:rsid w:val="00330A67"/>
    <w:rsid w:val="00332A51"/>
    <w:rsid w:val="00333ADD"/>
    <w:rsid w:val="00333B70"/>
    <w:rsid w:val="00334F62"/>
    <w:rsid w:val="00336496"/>
    <w:rsid w:val="003364EB"/>
    <w:rsid w:val="00336CE8"/>
    <w:rsid w:val="00337D9B"/>
    <w:rsid w:val="003425CF"/>
    <w:rsid w:val="0034272B"/>
    <w:rsid w:val="00342BFE"/>
    <w:rsid w:val="00343DD2"/>
    <w:rsid w:val="00344C34"/>
    <w:rsid w:val="00345C65"/>
    <w:rsid w:val="00346679"/>
    <w:rsid w:val="003470E8"/>
    <w:rsid w:val="0035091E"/>
    <w:rsid w:val="0035100D"/>
    <w:rsid w:val="003534EB"/>
    <w:rsid w:val="00354574"/>
    <w:rsid w:val="00354BD0"/>
    <w:rsid w:val="003550C3"/>
    <w:rsid w:val="00356988"/>
    <w:rsid w:val="003601E1"/>
    <w:rsid w:val="00360F5F"/>
    <w:rsid w:val="0036124A"/>
    <w:rsid w:val="0036153E"/>
    <w:rsid w:val="0036237C"/>
    <w:rsid w:val="003625F5"/>
    <w:rsid w:val="003643C9"/>
    <w:rsid w:val="00364B02"/>
    <w:rsid w:val="003657F1"/>
    <w:rsid w:val="00365826"/>
    <w:rsid w:val="00365A2F"/>
    <w:rsid w:val="00366696"/>
    <w:rsid w:val="0036754C"/>
    <w:rsid w:val="003716E7"/>
    <w:rsid w:val="00375889"/>
    <w:rsid w:val="003760EB"/>
    <w:rsid w:val="00376156"/>
    <w:rsid w:val="00380892"/>
    <w:rsid w:val="00381B05"/>
    <w:rsid w:val="00383321"/>
    <w:rsid w:val="00384F7E"/>
    <w:rsid w:val="00385BF0"/>
    <w:rsid w:val="00385DAD"/>
    <w:rsid w:val="00386626"/>
    <w:rsid w:val="003908D7"/>
    <w:rsid w:val="00390929"/>
    <w:rsid w:val="00390DBB"/>
    <w:rsid w:val="00391CFF"/>
    <w:rsid w:val="003924CC"/>
    <w:rsid w:val="00396333"/>
    <w:rsid w:val="00396ADD"/>
    <w:rsid w:val="0039716B"/>
    <w:rsid w:val="00397A65"/>
    <w:rsid w:val="003A0B9C"/>
    <w:rsid w:val="003A0E5A"/>
    <w:rsid w:val="003A0F8D"/>
    <w:rsid w:val="003A5E83"/>
    <w:rsid w:val="003A645E"/>
    <w:rsid w:val="003A6A5F"/>
    <w:rsid w:val="003A7581"/>
    <w:rsid w:val="003B2E77"/>
    <w:rsid w:val="003B307E"/>
    <w:rsid w:val="003B3FDD"/>
    <w:rsid w:val="003B4D40"/>
    <w:rsid w:val="003B5D19"/>
    <w:rsid w:val="003B610B"/>
    <w:rsid w:val="003C03E4"/>
    <w:rsid w:val="003C34F1"/>
    <w:rsid w:val="003C47E8"/>
    <w:rsid w:val="003C5102"/>
    <w:rsid w:val="003C5586"/>
    <w:rsid w:val="003C610C"/>
    <w:rsid w:val="003C6962"/>
    <w:rsid w:val="003C6D74"/>
    <w:rsid w:val="003C6F65"/>
    <w:rsid w:val="003D1704"/>
    <w:rsid w:val="003D1F46"/>
    <w:rsid w:val="003D41CF"/>
    <w:rsid w:val="003D5045"/>
    <w:rsid w:val="003D6353"/>
    <w:rsid w:val="003E1442"/>
    <w:rsid w:val="003E2859"/>
    <w:rsid w:val="003E2B14"/>
    <w:rsid w:val="003E2C22"/>
    <w:rsid w:val="003E2FDE"/>
    <w:rsid w:val="003E447A"/>
    <w:rsid w:val="003E4540"/>
    <w:rsid w:val="003E5240"/>
    <w:rsid w:val="003E657C"/>
    <w:rsid w:val="003E7708"/>
    <w:rsid w:val="003E791C"/>
    <w:rsid w:val="003E7E85"/>
    <w:rsid w:val="003F01A7"/>
    <w:rsid w:val="003F1945"/>
    <w:rsid w:val="003F2E62"/>
    <w:rsid w:val="003F3925"/>
    <w:rsid w:val="003F40F8"/>
    <w:rsid w:val="003F425B"/>
    <w:rsid w:val="003F4457"/>
    <w:rsid w:val="00401386"/>
    <w:rsid w:val="004017C5"/>
    <w:rsid w:val="004047B1"/>
    <w:rsid w:val="00404E55"/>
    <w:rsid w:val="0040584C"/>
    <w:rsid w:val="00406807"/>
    <w:rsid w:val="004078EF"/>
    <w:rsid w:val="00407C2F"/>
    <w:rsid w:val="0041082C"/>
    <w:rsid w:val="00411425"/>
    <w:rsid w:val="00413B28"/>
    <w:rsid w:val="00413BA5"/>
    <w:rsid w:val="00413DAC"/>
    <w:rsid w:val="004158C5"/>
    <w:rsid w:val="0041623E"/>
    <w:rsid w:val="00416A3B"/>
    <w:rsid w:val="00416AB2"/>
    <w:rsid w:val="00421203"/>
    <w:rsid w:val="004212AA"/>
    <w:rsid w:val="004222CB"/>
    <w:rsid w:val="00423359"/>
    <w:rsid w:val="004245A9"/>
    <w:rsid w:val="00425C94"/>
    <w:rsid w:val="00426277"/>
    <w:rsid w:val="004262B3"/>
    <w:rsid w:val="00426605"/>
    <w:rsid w:val="00431130"/>
    <w:rsid w:val="00433AE5"/>
    <w:rsid w:val="0043485A"/>
    <w:rsid w:val="00434FD6"/>
    <w:rsid w:val="004365D6"/>
    <w:rsid w:val="00436A9E"/>
    <w:rsid w:val="00440521"/>
    <w:rsid w:val="00440735"/>
    <w:rsid w:val="004407EE"/>
    <w:rsid w:val="00441078"/>
    <w:rsid w:val="00442254"/>
    <w:rsid w:val="00443307"/>
    <w:rsid w:val="00444DBF"/>
    <w:rsid w:val="00444E41"/>
    <w:rsid w:val="00444FE1"/>
    <w:rsid w:val="00445003"/>
    <w:rsid w:val="00445B46"/>
    <w:rsid w:val="004467A0"/>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0C6"/>
    <w:rsid w:val="00455691"/>
    <w:rsid w:val="004565C0"/>
    <w:rsid w:val="00460024"/>
    <w:rsid w:val="00460031"/>
    <w:rsid w:val="00460140"/>
    <w:rsid w:val="0046238B"/>
    <w:rsid w:val="004625E8"/>
    <w:rsid w:val="00464B18"/>
    <w:rsid w:val="00465D71"/>
    <w:rsid w:val="00466270"/>
    <w:rsid w:val="0046691C"/>
    <w:rsid w:val="00466D15"/>
    <w:rsid w:val="0046741D"/>
    <w:rsid w:val="0047070D"/>
    <w:rsid w:val="00471147"/>
    <w:rsid w:val="004728C1"/>
    <w:rsid w:val="004756D3"/>
    <w:rsid w:val="00477A71"/>
    <w:rsid w:val="00481269"/>
    <w:rsid w:val="00483748"/>
    <w:rsid w:val="004839FC"/>
    <w:rsid w:val="00483C70"/>
    <w:rsid w:val="00484589"/>
    <w:rsid w:val="00484BCE"/>
    <w:rsid w:val="004865E2"/>
    <w:rsid w:val="00487E8F"/>
    <w:rsid w:val="00491F39"/>
    <w:rsid w:val="004938B5"/>
    <w:rsid w:val="00493AC3"/>
    <w:rsid w:val="0049422F"/>
    <w:rsid w:val="0049475D"/>
    <w:rsid w:val="0049575D"/>
    <w:rsid w:val="00496D95"/>
    <w:rsid w:val="00496DB8"/>
    <w:rsid w:val="004A11A6"/>
    <w:rsid w:val="004A1729"/>
    <w:rsid w:val="004A21F4"/>
    <w:rsid w:val="004A3363"/>
    <w:rsid w:val="004A419C"/>
    <w:rsid w:val="004A42EE"/>
    <w:rsid w:val="004A4B6C"/>
    <w:rsid w:val="004A5318"/>
    <w:rsid w:val="004A5D57"/>
    <w:rsid w:val="004A6184"/>
    <w:rsid w:val="004A741E"/>
    <w:rsid w:val="004A7F39"/>
    <w:rsid w:val="004B0321"/>
    <w:rsid w:val="004B1ADE"/>
    <w:rsid w:val="004B2625"/>
    <w:rsid w:val="004B570B"/>
    <w:rsid w:val="004B652A"/>
    <w:rsid w:val="004B7DB2"/>
    <w:rsid w:val="004C015B"/>
    <w:rsid w:val="004C0BC7"/>
    <w:rsid w:val="004C125D"/>
    <w:rsid w:val="004C1ABF"/>
    <w:rsid w:val="004C1D8E"/>
    <w:rsid w:val="004C2CDF"/>
    <w:rsid w:val="004C30D2"/>
    <w:rsid w:val="004C3AE2"/>
    <w:rsid w:val="004C3B24"/>
    <w:rsid w:val="004C4C1E"/>
    <w:rsid w:val="004C4DE0"/>
    <w:rsid w:val="004C657C"/>
    <w:rsid w:val="004D0BE0"/>
    <w:rsid w:val="004D14F0"/>
    <w:rsid w:val="004D1505"/>
    <w:rsid w:val="004D17DF"/>
    <w:rsid w:val="004D38F8"/>
    <w:rsid w:val="004D4A68"/>
    <w:rsid w:val="004D5646"/>
    <w:rsid w:val="004D6D13"/>
    <w:rsid w:val="004D6DCE"/>
    <w:rsid w:val="004D6EC5"/>
    <w:rsid w:val="004D74A9"/>
    <w:rsid w:val="004E1B61"/>
    <w:rsid w:val="004E1FD5"/>
    <w:rsid w:val="004E23ED"/>
    <w:rsid w:val="004E429F"/>
    <w:rsid w:val="004E60E4"/>
    <w:rsid w:val="004F160A"/>
    <w:rsid w:val="004F1E61"/>
    <w:rsid w:val="004F2F62"/>
    <w:rsid w:val="004F37CB"/>
    <w:rsid w:val="004F45CA"/>
    <w:rsid w:val="004F5216"/>
    <w:rsid w:val="004F5944"/>
    <w:rsid w:val="004F616B"/>
    <w:rsid w:val="004F64E4"/>
    <w:rsid w:val="00500A53"/>
    <w:rsid w:val="00503634"/>
    <w:rsid w:val="0050375B"/>
    <w:rsid w:val="00504C90"/>
    <w:rsid w:val="00504F92"/>
    <w:rsid w:val="00505551"/>
    <w:rsid w:val="005078B3"/>
    <w:rsid w:val="00507E08"/>
    <w:rsid w:val="00510A28"/>
    <w:rsid w:val="00511C54"/>
    <w:rsid w:val="00512162"/>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36C0"/>
    <w:rsid w:val="00535220"/>
    <w:rsid w:val="00536ABE"/>
    <w:rsid w:val="00536E1C"/>
    <w:rsid w:val="00540B74"/>
    <w:rsid w:val="00540B8B"/>
    <w:rsid w:val="00540ED6"/>
    <w:rsid w:val="00540F1C"/>
    <w:rsid w:val="00541AA0"/>
    <w:rsid w:val="00541C1D"/>
    <w:rsid w:val="005449AC"/>
    <w:rsid w:val="00544A16"/>
    <w:rsid w:val="005454B5"/>
    <w:rsid w:val="005472EC"/>
    <w:rsid w:val="00547C82"/>
    <w:rsid w:val="0055122B"/>
    <w:rsid w:val="00551F9B"/>
    <w:rsid w:val="00552915"/>
    <w:rsid w:val="005534BD"/>
    <w:rsid w:val="005623DE"/>
    <w:rsid w:val="00562A9A"/>
    <w:rsid w:val="00563B30"/>
    <w:rsid w:val="005646AD"/>
    <w:rsid w:val="00564A3A"/>
    <w:rsid w:val="005650FF"/>
    <w:rsid w:val="00565F99"/>
    <w:rsid w:val="00566DDB"/>
    <w:rsid w:val="005674EF"/>
    <w:rsid w:val="00570742"/>
    <w:rsid w:val="00570C2E"/>
    <w:rsid w:val="0057129A"/>
    <w:rsid w:val="00571577"/>
    <w:rsid w:val="00571C60"/>
    <w:rsid w:val="0057213D"/>
    <w:rsid w:val="005729E9"/>
    <w:rsid w:val="005732E9"/>
    <w:rsid w:val="0057454E"/>
    <w:rsid w:val="00575D4F"/>
    <w:rsid w:val="00575F27"/>
    <w:rsid w:val="00576AFE"/>
    <w:rsid w:val="00576F24"/>
    <w:rsid w:val="00577894"/>
    <w:rsid w:val="0058036C"/>
    <w:rsid w:val="0058073B"/>
    <w:rsid w:val="00580815"/>
    <w:rsid w:val="00582289"/>
    <w:rsid w:val="005834A9"/>
    <w:rsid w:val="0058363F"/>
    <w:rsid w:val="00584CB9"/>
    <w:rsid w:val="00585B00"/>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A6EBA"/>
    <w:rsid w:val="005A7B58"/>
    <w:rsid w:val="005B3D45"/>
    <w:rsid w:val="005B4CB5"/>
    <w:rsid w:val="005B78C4"/>
    <w:rsid w:val="005C3637"/>
    <w:rsid w:val="005C373B"/>
    <w:rsid w:val="005C3DD2"/>
    <w:rsid w:val="005C446E"/>
    <w:rsid w:val="005C4AAA"/>
    <w:rsid w:val="005C610A"/>
    <w:rsid w:val="005D1442"/>
    <w:rsid w:val="005D1922"/>
    <w:rsid w:val="005D2788"/>
    <w:rsid w:val="005D310C"/>
    <w:rsid w:val="005D4281"/>
    <w:rsid w:val="005D6E32"/>
    <w:rsid w:val="005E06D4"/>
    <w:rsid w:val="005E1521"/>
    <w:rsid w:val="005E3768"/>
    <w:rsid w:val="005E448D"/>
    <w:rsid w:val="005E5E5A"/>
    <w:rsid w:val="005E73B4"/>
    <w:rsid w:val="005F064D"/>
    <w:rsid w:val="005F512E"/>
    <w:rsid w:val="005F5A21"/>
    <w:rsid w:val="005F64D2"/>
    <w:rsid w:val="005F6A04"/>
    <w:rsid w:val="00600458"/>
    <w:rsid w:val="0060118D"/>
    <w:rsid w:val="00601EE9"/>
    <w:rsid w:val="0060369E"/>
    <w:rsid w:val="00603824"/>
    <w:rsid w:val="0060530E"/>
    <w:rsid w:val="006054B9"/>
    <w:rsid w:val="00605D75"/>
    <w:rsid w:val="006073B5"/>
    <w:rsid w:val="00607BC6"/>
    <w:rsid w:val="00610CE1"/>
    <w:rsid w:val="006113D8"/>
    <w:rsid w:val="00612C6B"/>
    <w:rsid w:val="006151E3"/>
    <w:rsid w:val="00615A0E"/>
    <w:rsid w:val="00616232"/>
    <w:rsid w:val="006200CF"/>
    <w:rsid w:val="00620850"/>
    <w:rsid w:val="00620DB5"/>
    <w:rsid w:val="00621A59"/>
    <w:rsid w:val="0062201A"/>
    <w:rsid w:val="006225AC"/>
    <w:rsid w:val="006230A9"/>
    <w:rsid w:val="00623799"/>
    <w:rsid w:val="00624D32"/>
    <w:rsid w:val="00626C04"/>
    <w:rsid w:val="006273ED"/>
    <w:rsid w:val="00630C84"/>
    <w:rsid w:val="00630CD8"/>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2483"/>
    <w:rsid w:val="0065334B"/>
    <w:rsid w:val="006540C5"/>
    <w:rsid w:val="006543FB"/>
    <w:rsid w:val="006549F5"/>
    <w:rsid w:val="00655505"/>
    <w:rsid w:val="00655AA7"/>
    <w:rsid w:val="00655F80"/>
    <w:rsid w:val="00656541"/>
    <w:rsid w:val="00656728"/>
    <w:rsid w:val="00660216"/>
    <w:rsid w:val="006621E9"/>
    <w:rsid w:val="00662904"/>
    <w:rsid w:val="00664A57"/>
    <w:rsid w:val="00664C73"/>
    <w:rsid w:val="00671999"/>
    <w:rsid w:val="006764EA"/>
    <w:rsid w:val="0067750C"/>
    <w:rsid w:val="00677DDE"/>
    <w:rsid w:val="00680B65"/>
    <w:rsid w:val="00681287"/>
    <w:rsid w:val="006815A6"/>
    <w:rsid w:val="00681FD9"/>
    <w:rsid w:val="0068285E"/>
    <w:rsid w:val="00684EF6"/>
    <w:rsid w:val="006856E2"/>
    <w:rsid w:val="00690C17"/>
    <w:rsid w:val="00690E46"/>
    <w:rsid w:val="00693743"/>
    <w:rsid w:val="00693772"/>
    <w:rsid w:val="00693995"/>
    <w:rsid w:val="00693C61"/>
    <w:rsid w:val="00695397"/>
    <w:rsid w:val="0069562F"/>
    <w:rsid w:val="00696AB8"/>
    <w:rsid w:val="00696FA4"/>
    <w:rsid w:val="006A177A"/>
    <w:rsid w:val="006A1A5D"/>
    <w:rsid w:val="006A2CF4"/>
    <w:rsid w:val="006A3267"/>
    <w:rsid w:val="006A3FCF"/>
    <w:rsid w:val="006A4533"/>
    <w:rsid w:val="006A5968"/>
    <w:rsid w:val="006A5F8B"/>
    <w:rsid w:val="006A600F"/>
    <w:rsid w:val="006B1418"/>
    <w:rsid w:val="006B1A6D"/>
    <w:rsid w:val="006B210B"/>
    <w:rsid w:val="006B2B00"/>
    <w:rsid w:val="006B2FA8"/>
    <w:rsid w:val="006B3210"/>
    <w:rsid w:val="006B3E08"/>
    <w:rsid w:val="006B49AE"/>
    <w:rsid w:val="006B4FBC"/>
    <w:rsid w:val="006B529B"/>
    <w:rsid w:val="006C3BAF"/>
    <w:rsid w:val="006C4536"/>
    <w:rsid w:val="006C46F3"/>
    <w:rsid w:val="006C4D4E"/>
    <w:rsid w:val="006C51E2"/>
    <w:rsid w:val="006C5247"/>
    <w:rsid w:val="006C588E"/>
    <w:rsid w:val="006C62F8"/>
    <w:rsid w:val="006C63A7"/>
    <w:rsid w:val="006C71BB"/>
    <w:rsid w:val="006D071F"/>
    <w:rsid w:val="006D1276"/>
    <w:rsid w:val="006D13C4"/>
    <w:rsid w:val="006D1E5C"/>
    <w:rsid w:val="006D2C14"/>
    <w:rsid w:val="006D3945"/>
    <w:rsid w:val="006D422C"/>
    <w:rsid w:val="006D4C15"/>
    <w:rsid w:val="006D677F"/>
    <w:rsid w:val="006D7692"/>
    <w:rsid w:val="006E1753"/>
    <w:rsid w:val="006E3BF0"/>
    <w:rsid w:val="006E4E29"/>
    <w:rsid w:val="006E5D2E"/>
    <w:rsid w:val="006E670A"/>
    <w:rsid w:val="006E7C63"/>
    <w:rsid w:val="006F15E9"/>
    <w:rsid w:val="006F252A"/>
    <w:rsid w:val="006F27FC"/>
    <w:rsid w:val="006F3153"/>
    <w:rsid w:val="006F4B6F"/>
    <w:rsid w:val="006F4F6D"/>
    <w:rsid w:val="006F6668"/>
    <w:rsid w:val="006F6D7E"/>
    <w:rsid w:val="006F74A1"/>
    <w:rsid w:val="0070008A"/>
    <w:rsid w:val="007021FA"/>
    <w:rsid w:val="0070357F"/>
    <w:rsid w:val="00703DA7"/>
    <w:rsid w:val="00703E05"/>
    <w:rsid w:val="00704A16"/>
    <w:rsid w:val="00705262"/>
    <w:rsid w:val="00705CA5"/>
    <w:rsid w:val="0070653C"/>
    <w:rsid w:val="00706ED7"/>
    <w:rsid w:val="0070753E"/>
    <w:rsid w:val="00710289"/>
    <w:rsid w:val="00713444"/>
    <w:rsid w:val="0071374E"/>
    <w:rsid w:val="00714B6A"/>
    <w:rsid w:val="00715AD6"/>
    <w:rsid w:val="00716D0A"/>
    <w:rsid w:val="00717AF6"/>
    <w:rsid w:val="00720151"/>
    <w:rsid w:val="00720157"/>
    <w:rsid w:val="00720579"/>
    <w:rsid w:val="00721ECF"/>
    <w:rsid w:val="00722D13"/>
    <w:rsid w:val="007230FE"/>
    <w:rsid w:val="00725258"/>
    <w:rsid w:val="00725BEA"/>
    <w:rsid w:val="00726409"/>
    <w:rsid w:val="007306D1"/>
    <w:rsid w:val="00730BE2"/>
    <w:rsid w:val="00731D7B"/>
    <w:rsid w:val="00732046"/>
    <w:rsid w:val="007335EB"/>
    <w:rsid w:val="007337E0"/>
    <w:rsid w:val="007344C3"/>
    <w:rsid w:val="00736C31"/>
    <w:rsid w:val="00737FE5"/>
    <w:rsid w:val="0074239D"/>
    <w:rsid w:val="00742CE1"/>
    <w:rsid w:val="0074372C"/>
    <w:rsid w:val="007444D1"/>
    <w:rsid w:val="00744C7C"/>
    <w:rsid w:val="00745862"/>
    <w:rsid w:val="00746657"/>
    <w:rsid w:val="0074687F"/>
    <w:rsid w:val="00746973"/>
    <w:rsid w:val="0074777A"/>
    <w:rsid w:val="00747C4D"/>
    <w:rsid w:val="00751055"/>
    <w:rsid w:val="007517A4"/>
    <w:rsid w:val="0075585E"/>
    <w:rsid w:val="00755A77"/>
    <w:rsid w:val="007631D1"/>
    <w:rsid w:val="007635AC"/>
    <w:rsid w:val="007644DA"/>
    <w:rsid w:val="00772458"/>
    <w:rsid w:val="00774EE6"/>
    <w:rsid w:val="00775812"/>
    <w:rsid w:val="00781AFB"/>
    <w:rsid w:val="00782461"/>
    <w:rsid w:val="0078261F"/>
    <w:rsid w:val="007833DA"/>
    <w:rsid w:val="00783492"/>
    <w:rsid w:val="00783CC1"/>
    <w:rsid w:val="00784522"/>
    <w:rsid w:val="0078470A"/>
    <w:rsid w:val="00784C15"/>
    <w:rsid w:val="0078501F"/>
    <w:rsid w:val="0078583D"/>
    <w:rsid w:val="00785939"/>
    <w:rsid w:val="00785D73"/>
    <w:rsid w:val="00785DB8"/>
    <w:rsid w:val="00786FA8"/>
    <w:rsid w:val="00787AF1"/>
    <w:rsid w:val="0079132B"/>
    <w:rsid w:val="0079360E"/>
    <w:rsid w:val="00795245"/>
    <w:rsid w:val="00795317"/>
    <w:rsid w:val="007960A8"/>
    <w:rsid w:val="007969E6"/>
    <w:rsid w:val="00796DA1"/>
    <w:rsid w:val="007A2C57"/>
    <w:rsid w:val="007A3440"/>
    <w:rsid w:val="007A34B3"/>
    <w:rsid w:val="007A5FDC"/>
    <w:rsid w:val="007A68D1"/>
    <w:rsid w:val="007B1039"/>
    <w:rsid w:val="007B1644"/>
    <w:rsid w:val="007B2414"/>
    <w:rsid w:val="007B33F8"/>
    <w:rsid w:val="007B3A91"/>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0FA0"/>
    <w:rsid w:val="007E15CF"/>
    <w:rsid w:val="007E1DB4"/>
    <w:rsid w:val="007E2140"/>
    <w:rsid w:val="007E3FED"/>
    <w:rsid w:val="007E5866"/>
    <w:rsid w:val="007E6BBC"/>
    <w:rsid w:val="007E6C8C"/>
    <w:rsid w:val="007F07AF"/>
    <w:rsid w:val="007F2A44"/>
    <w:rsid w:val="007F6E2B"/>
    <w:rsid w:val="007F7699"/>
    <w:rsid w:val="007F773D"/>
    <w:rsid w:val="008003C8"/>
    <w:rsid w:val="00801438"/>
    <w:rsid w:val="00802118"/>
    <w:rsid w:val="00804065"/>
    <w:rsid w:val="008047DD"/>
    <w:rsid w:val="0080611B"/>
    <w:rsid w:val="00806213"/>
    <w:rsid w:val="008121D7"/>
    <w:rsid w:val="00812B80"/>
    <w:rsid w:val="008168A2"/>
    <w:rsid w:val="00820421"/>
    <w:rsid w:val="0082103B"/>
    <w:rsid w:val="008213E7"/>
    <w:rsid w:val="00821687"/>
    <w:rsid w:val="0082217D"/>
    <w:rsid w:val="00822A40"/>
    <w:rsid w:val="008236C7"/>
    <w:rsid w:val="00823E67"/>
    <w:rsid w:val="0082478D"/>
    <w:rsid w:val="00826045"/>
    <w:rsid w:val="008307DB"/>
    <w:rsid w:val="00830A48"/>
    <w:rsid w:val="00833331"/>
    <w:rsid w:val="00833C36"/>
    <w:rsid w:val="00834B96"/>
    <w:rsid w:val="00834C14"/>
    <w:rsid w:val="00836409"/>
    <w:rsid w:val="00836415"/>
    <w:rsid w:val="00836B47"/>
    <w:rsid w:val="00840A53"/>
    <w:rsid w:val="00841152"/>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0CEA"/>
    <w:rsid w:val="0087121E"/>
    <w:rsid w:val="00876B32"/>
    <w:rsid w:val="008806AA"/>
    <w:rsid w:val="00882CB8"/>
    <w:rsid w:val="008832D5"/>
    <w:rsid w:val="00884366"/>
    <w:rsid w:val="00884650"/>
    <w:rsid w:val="008851B9"/>
    <w:rsid w:val="00885F50"/>
    <w:rsid w:val="008871B5"/>
    <w:rsid w:val="00887314"/>
    <w:rsid w:val="00890EB4"/>
    <w:rsid w:val="00891D35"/>
    <w:rsid w:val="00893901"/>
    <w:rsid w:val="0089667B"/>
    <w:rsid w:val="0089728F"/>
    <w:rsid w:val="008A0874"/>
    <w:rsid w:val="008A0FF6"/>
    <w:rsid w:val="008A2310"/>
    <w:rsid w:val="008A28F5"/>
    <w:rsid w:val="008A51AD"/>
    <w:rsid w:val="008A6FCD"/>
    <w:rsid w:val="008B05A2"/>
    <w:rsid w:val="008B2982"/>
    <w:rsid w:val="008B2F05"/>
    <w:rsid w:val="008B456E"/>
    <w:rsid w:val="008B51B9"/>
    <w:rsid w:val="008B5BC6"/>
    <w:rsid w:val="008B6119"/>
    <w:rsid w:val="008B62FA"/>
    <w:rsid w:val="008B7153"/>
    <w:rsid w:val="008C03AD"/>
    <w:rsid w:val="008C0DED"/>
    <w:rsid w:val="008C11EE"/>
    <w:rsid w:val="008C1485"/>
    <w:rsid w:val="008C175C"/>
    <w:rsid w:val="008C2DAF"/>
    <w:rsid w:val="008C3720"/>
    <w:rsid w:val="008C668F"/>
    <w:rsid w:val="008D0068"/>
    <w:rsid w:val="008D2AAD"/>
    <w:rsid w:val="008D2DBA"/>
    <w:rsid w:val="008D530C"/>
    <w:rsid w:val="008D56D1"/>
    <w:rsid w:val="008D638B"/>
    <w:rsid w:val="008D79E0"/>
    <w:rsid w:val="008D7ECE"/>
    <w:rsid w:val="008E01A0"/>
    <w:rsid w:val="008E1BF6"/>
    <w:rsid w:val="008E44FF"/>
    <w:rsid w:val="008E5A58"/>
    <w:rsid w:val="008E5F96"/>
    <w:rsid w:val="008E6FB7"/>
    <w:rsid w:val="008E7557"/>
    <w:rsid w:val="008E7FE5"/>
    <w:rsid w:val="008F1874"/>
    <w:rsid w:val="008F25DF"/>
    <w:rsid w:val="008F29E0"/>
    <w:rsid w:val="008F4FCE"/>
    <w:rsid w:val="008F5430"/>
    <w:rsid w:val="008F63E4"/>
    <w:rsid w:val="008F6BAF"/>
    <w:rsid w:val="008F7E50"/>
    <w:rsid w:val="00900008"/>
    <w:rsid w:val="00900E6A"/>
    <w:rsid w:val="0090103B"/>
    <w:rsid w:val="00902EB1"/>
    <w:rsid w:val="00904C01"/>
    <w:rsid w:val="00904DF2"/>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49F"/>
    <w:rsid w:val="00916C5E"/>
    <w:rsid w:val="00917B1D"/>
    <w:rsid w:val="00920088"/>
    <w:rsid w:val="009204DC"/>
    <w:rsid w:val="00922DF5"/>
    <w:rsid w:val="00923349"/>
    <w:rsid w:val="00923CE8"/>
    <w:rsid w:val="009252D3"/>
    <w:rsid w:val="00925AD0"/>
    <w:rsid w:val="00926002"/>
    <w:rsid w:val="00930061"/>
    <w:rsid w:val="00930EBA"/>
    <w:rsid w:val="0093151F"/>
    <w:rsid w:val="0093268C"/>
    <w:rsid w:val="00934728"/>
    <w:rsid w:val="009347A5"/>
    <w:rsid w:val="00935580"/>
    <w:rsid w:val="009366E0"/>
    <w:rsid w:val="00936EB3"/>
    <w:rsid w:val="00940622"/>
    <w:rsid w:val="009408C5"/>
    <w:rsid w:val="009412D9"/>
    <w:rsid w:val="00944730"/>
    <w:rsid w:val="00944858"/>
    <w:rsid w:val="009471B5"/>
    <w:rsid w:val="009502D3"/>
    <w:rsid w:val="00951A6C"/>
    <w:rsid w:val="00952928"/>
    <w:rsid w:val="009531DA"/>
    <w:rsid w:val="00953CFD"/>
    <w:rsid w:val="009540FD"/>
    <w:rsid w:val="0095579C"/>
    <w:rsid w:val="00956E7E"/>
    <w:rsid w:val="00957C6E"/>
    <w:rsid w:val="0096539B"/>
    <w:rsid w:val="00966487"/>
    <w:rsid w:val="009669E3"/>
    <w:rsid w:val="009671DB"/>
    <w:rsid w:val="0096722A"/>
    <w:rsid w:val="0096755D"/>
    <w:rsid w:val="00972738"/>
    <w:rsid w:val="009727FE"/>
    <w:rsid w:val="00974C35"/>
    <w:rsid w:val="0097549C"/>
    <w:rsid w:val="00976E81"/>
    <w:rsid w:val="009808B0"/>
    <w:rsid w:val="00980958"/>
    <w:rsid w:val="009827DE"/>
    <w:rsid w:val="00983488"/>
    <w:rsid w:val="00983EDB"/>
    <w:rsid w:val="009849EF"/>
    <w:rsid w:val="00984E36"/>
    <w:rsid w:val="0098553B"/>
    <w:rsid w:val="00987014"/>
    <w:rsid w:val="009871AC"/>
    <w:rsid w:val="00990892"/>
    <w:rsid w:val="00994343"/>
    <w:rsid w:val="00997443"/>
    <w:rsid w:val="009A1BA1"/>
    <w:rsid w:val="009A2A81"/>
    <w:rsid w:val="009A2AFB"/>
    <w:rsid w:val="009A2DE2"/>
    <w:rsid w:val="009A3B62"/>
    <w:rsid w:val="009A3ED4"/>
    <w:rsid w:val="009A56EE"/>
    <w:rsid w:val="009A5C47"/>
    <w:rsid w:val="009A68E7"/>
    <w:rsid w:val="009A6BC5"/>
    <w:rsid w:val="009A711B"/>
    <w:rsid w:val="009B0164"/>
    <w:rsid w:val="009B2B90"/>
    <w:rsid w:val="009B4A92"/>
    <w:rsid w:val="009B4B7B"/>
    <w:rsid w:val="009B4CB6"/>
    <w:rsid w:val="009B66C0"/>
    <w:rsid w:val="009B72A1"/>
    <w:rsid w:val="009B74A5"/>
    <w:rsid w:val="009C0E90"/>
    <w:rsid w:val="009C24F9"/>
    <w:rsid w:val="009C29F3"/>
    <w:rsid w:val="009C638A"/>
    <w:rsid w:val="009D3AAC"/>
    <w:rsid w:val="009D4A38"/>
    <w:rsid w:val="009D4DDC"/>
    <w:rsid w:val="009D5B63"/>
    <w:rsid w:val="009D6C48"/>
    <w:rsid w:val="009D751F"/>
    <w:rsid w:val="009E1679"/>
    <w:rsid w:val="009E1BE9"/>
    <w:rsid w:val="009E2348"/>
    <w:rsid w:val="009E239E"/>
    <w:rsid w:val="009E271D"/>
    <w:rsid w:val="009E362F"/>
    <w:rsid w:val="009E40DF"/>
    <w:rsid w:val="009E59CA"/>
    <w:rsid w:val="009F03CE"/>
    <w:rsid w:val="009F1AEE"/>
    <w:rsid w:val="009F1DB1"/>
    <w:rsid w:val="009F1EA5"/>
    <w:rsid w:val="009F4860"/>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2731"/>
    <w:rsid w:val="00A23803"/>
    <w:rsid w:val="00A249F6"/>
    <w:rsid w:val="00A2509D"/>
    <w:rsid w:val="00A250AD"/>
    <w:rsid w:val="00A26704"/>
    <w:rsid w:val="00A27248"/>
    <w:rsid w:val="00A27289"/>
    <w:rsid w:val="00A30374"/>
    <w:rsid w:val="00A321F9"/>
    <w:rsid w:val="00A34AEC"/>
    <w:rsid w:val="00A35AFD"/>
    <w:rsid w:val="00A3659B"/>
    <w:rsid w:val="00A40295"/>
    <w:rsid w:val="00A40731"/>
    <w:rsid w:val="00A40A39"/>
    <w:rsid w:val="00A41CFB"/>
    <w:rsid w:val="00A4215E"/>
    <w:rsid w:val="00A42262"/>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20D"/>
    <w:rsid w:val="00A7646D"/>
    <w:rsid w:val="00A77155"/>
    <w:rsid w:val="00A77757"/>
    <w:rsid w:val="00A77C4C"/>
    <w:rsid w:val="00A8008F"/>
    <w:rsid w:val="00A8092D"/>
    <w:rsid w:val="00A80D3B"/>
    <w:rsid w:val="00A80E74"/>
    <w:rsid w:val="00A851A4"/>
    <w:rsid w:val="00A86BD8"/>
    <w:rsid w:val="00A8787E"/>
    <w:rsid w:val="00A87EDF"/>
    <w:rsid w:val="00A90218"/>
    <w:rsid w:val="00A90897"/>
    <w:rsid w:val="00A909E1"/>
    <w:rsid w:val="00A90C67"/>
    <w:rsid w:val="00A90F47"/>
    <w:rsid w:val="00A92AD4"/>
    <w:rsid w:val="00A92B4B"/>
    <w:rsid w:val="00A92E52"/>
    <w:rsid w:val="00A93509"/>
    <w:rsid w:val="00A935BC"/>
    <w:rsid w:val="00A940DD"/>
    <w:rsid w:val="00A9585F"/>
    <w:rsid w:val="00A9695F"/>
    <w:rsid w:val="00A96CA2"/>
    <w:rsid w:val="00AA012B"/>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52C"/>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534B"/>
    <w:rsid w:val="00AC701A"/>
    <w:rsid w:val="00AC74A3"/>
    <w:rsid w:val="00AC7DAD"/>
    <w:rsid w:val="00AD02BB"/>
    <w:rsid w:val="00AD0393"/>
    <w:rsid w:val="00AD11DB"/>
    <w:rsid w:val="00AD344D"/>
    <w:rsid w:val="00AD3F55"/>
    <w:rsid w:val="00AD49BE"/>
    <w:rsid w:val="00AD4CFD"/>
    <w:rsid w:val="00AD53F5"/>
    <w:rsid w:val="00AD5E7B"/>
    <w:rsid w:val="00AD6263"/>
    <w:rsid w:val="00AD75A3"/>
    <w:rsid w:val="00AD7989"/>
    <w:rsid w:val="00AE0BFC"/>
    <w:rsid w:val="00AE1A08"/>
    <w:rsid w:val="00AE1BBA"/>
    <w:rsid w:val="00AE4BA3"/>
    <w:rsid w:val="00AE7E8A"/>
    <w:rsid w:val="00AF32D8"/>
    <w:rsid w:val="00AF3F64"/>
    <w:rsid w:val="00AF40CA"/>
    <w:rsid w:val="00AF460B"/>
    <w:rsid w:val="00AF4C64"/>
    <w:rsid w:val="00AF4EA7"/>
    <w:rsid w:val="00AF70FF"/>
    <w:rsid w:val="00B01BE5"/>
    <w:rsid w:val="00B02385"/>
    <w:rsid w:val="00B03878"/>
    <w:rsid w:val="00B05966"/>
    <w:rsid w:val="00B06DDF"/>
    <w:rsid w:val="00B07809"/>
    <w:rsid w:val="00B079A5"/>
    <w:rsid w:val="00B1012B"/>
    <w:rsid w:val="00B11C89"/>
    <w:rsid w:val="00B134C7"/>
    <w:rsid w:val="00B136CC"/>
    <w:rsid w:val="00B13E0B"/>
    <w:rsid w:val="00B143BA"/>
    <w:rsid w:val="00B16731"/>
    <w:rsid w:val="00B17521"/>
    <w:rsid w:val="00B17683"/>
    <w:rsid w:val="00B20FAA"/>
    <w:rsid w:val="00B21806"/>
    <w:rsid w:val="00B21CD8"/>
    <w:rsid w:val="00B21FBA"/>
    <w:rsid w:val="00B23036"/>
    <w:rsid w:val="00B23264"/>
    <w:rsid w:val="00B2643C"/>
    <w:rsid w:val="00B2793E"/>
    <w:rsid w:val="00B3022C"/>
    <w:rsid w:val="00B32ABD"/>
    <w:rsid w:val="00B32E0E"/>
    <w:rsid w:val="00B32E35"/>
    <w:rsid w:val="00B33B37"/>
    <w:rsid w:val="00B34A58"/>
    <w:rsid w:val="00B34E27"/>
    <w:rsid w:val="00B35017"/>
    <w:rsid w:val="00B374E5"/>
    <w:rsid w:val="00B3764A"/>
    <w:rsid w:val="00B37AA5"/>
    <w:rsid w:val="00B41FA0"/>
    <w:rsid w:val="00B42826"/>
    <w:rsid w:val="00B42F87"/>
    <w:rsid w:val="00B430FA"/>
    <w:rsid w:val="00B43982"/>
    <w:rsid w:val="00B459AF"/>
    <w:rsid w:val="00B475B6"/>
    <w:rsid w:val="00B55869"/>
    <w:rsid w:val="00B567F1"/>
    <w:rsid w:val="00B569FA"/>
    <w:rsid w:val="00B56A06"/>
    <w:rsid w:val="00B56C98"/>
    <w:rsid w:val="00B571D3"/>
    <w:rsid w:val="00B60E2D"/>
    <w:rsid w:val="00B635A5"/>
    <w:rsid w:val="00B63BE5"/>
    <w:rsid w:val="00B64CAA"/>
    <w:rsid w:val="00B66D36"/>
    <w:rsid w:val="00B67114"/>
    <w:rsid w:val="00B7272B"/>
    <w:rsid w:val="00B732FB"/>
    <w:rsid w:val="00B7342D"/>
    <w:rsid w:val="00B73BCE"/>
    <w:rsid w:val="00B7490A"/>
    <w:rsid w:val="00B759EC"/>
    <w:rsid w:val="00B75F96"/>
    <w:rsid w:val="00B773AD"/>
    <w:rsid w:val="00B774F6"/>
    <w:rsid w:val="00B775BF"/>
    <w:rsid w:val="00B778CB"/>
    <w:rsid w:val="00B809D9"/>
    <w:rsid w:val="00B80D3C"/>
    <w:rsid w:val="00B8168B"/>
    <w:rsid w:val="00B824F8"/>
    <w:rsid w:val="00B8362D"/>
    <w:rsid w:val="00B8368B"/>
    <w:rsid w:val="00B83A9E"/>
    <w:rsid w:val="00B859C5"/>
    <w:rsid w:val="00B86E3B"/>
    <w:rsid w:val="00B86F52"/>
    <w:rsid w:val="00B878F5"/>
    <w:rsid w:val="00B91893"/>
    <w:rsid w:val="00B926BD"/>
    <w:rsid w:val="00B92DE8"/>
    <w:rsid w:val="00B93D8F"/>
    <w:rsid w:val="00B954D4"/>
    <w:rsid w:val="00B96A32"/>
    <w:rsid w:val="00B9799D"/>
    <w:rsid w:val="00BA0D57"/>
    <w:rsid w:val="00BA1322"/>
    <w:rsid w:val="00BA25FD"/>
    <w:rsid w:val="00BA2D85"/>
    <w:rsid w:val="00BA389F"/>
    <w:rsid w:val="00BA3AA7"/>
    <w:rsid w:val="00BA3C3F"/>
    <w:rsid w:val="00BA5CEA"/>
    <w:rsid w:val="00BA690D"/>
    <w:rsid w:val="00BA7612"/>
    <w:rsid w:val="00BB1D36"/>
    <w:rsid w:val="00BB2974"/>
    <w:rsid w:val="00BB3631"/>
    <w:rsid w:val="00BB3FF6"/>
    <w:rsid w:val="00BB5630"/>
    <w:rsid w:val="00BB6BE1"/>
    <w:rsid w:val="00BC1044"/>
    <w:rsid w:val="00BC2900"/>
    <w:rsid w:val="00BC392E"/>
    <w:rsid w:val="00BC60A6"/>
    <w:rsid w:val="00BC62E0"/>
    <w:rsid w:val="00BC6FBF"/>
    <w:rsid w:val="00BD00D9"/>
    <w:rsid w:val="00BD0821"/>
    <w:rsid w:val="00BD1886"/>
    <w:rsid w:val="00BD215E"/>
    <w:rsid w:val="00BD23E3"/>
    <w:rsid w:val="00BD40BC"/>
    <w:rsid w:val="00BD42AD"/>
    <w:rsid w:val="00BD442E"/>
    <w:rsid w:val="00BD6034"/>
    <w:rsid w:val="00BD6234"/>
    <w:rsid w:val="00BE0437"/>
    <w:rsid w:val="00BE04F6"/>
    <w:rsid w:val="00BE107D"/>
    <w:rsid w:val="00BE2D6C"/>
    <w:rsid w:val="00BE34CC"/>
    <w:rsid w:val="00BE4C2B"/>
    <w:rsid w:val="00BE52CA"/>
    <w:rsid w:val="00BE5D1C"/>
    <w:rsid w:val="00BE701E"/>
    <w:rsid w:val="00BE7640"/>
    <w:rsid w:val="00BF0242"/>
    <w:rsid w:val="00BF0AE5"/>
    <w:rsid w:val="00BF144D"/>
    <w:rsid w:val="00BF214A"/>
    <w:rsid w:val="00BF377B"/>
    <w:rsid w:val="00BF3E1B"/>
    <w:rsid w:val="00BF635B"/>
    <w:rsid w:val="00BF794E"/>
    <w:rsid w:val="00BF7D51"/>
    <w:rsid w:val="00C00699"/>
    <w:rsid w:val="00C01975"/>
    <w:rsid w:val="00C02723"/>
    <w:rsid w:val="00C02A91"/>
    <w:rsid w:val="00C02ABB"/>
    <w:rsid w:val="00C04960"/>
    <w:rsid w:val="00C056BD"/>
    <w:rsid w:val="00C05ABD"/>
    <w:rsid w:val="00C06163"/>
    <w:rsid w:val="00C07023"/>
    <w:rsid w:val="00C10713"/>
    <w:rsid w:val="00C1120E"/>
    <w:rsid w:val="00C11391"/>
    <w:rsid w:val="00C114A8"/>
    <w:rsid w:val="00C12EC0"/>
    <w:rsid w:val="00C1324E"/>
    <w:rsid w:val="00C138A5"/>
    <w:rsid w:val="00C13D40"/>
    <w:rsid w:val="00C14B96"/>
    <w:rsid w:val="00C14CC4"/>
    <w:rsid w:val="00C158D4"/>
    <w:rsid w:val="00C16948"/>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752"/>
    <w:rsid w:val="00C36C29"/>
    <w:rsid w:val="00C41646"/>
    <w:rsid w:val="00C4383B"/>
    <w:rsid w:val="00C45B52"/>
    <w:rsid w:val="00C4601A"/>
    <w:rsid w:val="00C465B5"/>
    <w:rsid w:val="00C478FE"/>
    <w:rsid w:val="00C502DD"/>
    <w:rsid w:val="00C54534"/>
    <w:rsid w:val="00C613E2"/>
    <w:rsid w:val="00C621E3"/>
    <w:rsid w:val="00C6430C"/>
    <w:rsid w:val="00C64E24"/>
    <w:rsid w:val="00C65047"/>
    <w:rsid w:val="00C653CC"/>
    <w:rsid w:val="00C665D4"/>
    <w:rsid w:val="00C67E56"/>
    <w:rsid w:val="00C73CE1"/>
    <w:rsid w:val="00C74775"/>
    <w:rsid w:val="00C75F67"/>
    <w:rsid w:val="00C76F9B"/>
    <w:rsid w:val="00C77064"/>
    <w:rsid w:val="00C80503"/>
    <w:rsid w:val="00C80AB6"/>
    <w:rsid w:val="00C81963"/>
    <w:rsid w:val="00C824FE"/>
    <w:rsid w:val="00C833D6"/>
    <w:rsid w:val="00C84CDE"/>
    <w:rsid w:val="00C85927"/>
    <w:rsid w:val="00C875AE"/>
    <w:rsid w:val="00C8762A"/>
    <w:rsid w:val="00C9050E"/>
    <w:rsid w:val="00C910D3"/>
    <w:rsid w:val="00C9216F"/>
    <w:rsid w:val="00C9306D"/>
    <w:rsid w:val="00C93320"/>
    <w:rsid w:val="00C95318"/>
    <w:rsid w:val="00C95A99"/>
    <w:rsid w:val="00C96B98"/>
    <w:rsid w:val="00C96F6B"/>
    <w:rsid w:val="00C97ED3"/>
    <w:rsid w:val="00CA043D"/>
    <w:rsid w:val="00CA069B"/>
    <w:rsid w:val="00CA09C4"/>
    <w:rsid w:val="00CA0B32"/>
    <w:rsid w:val="00CA27F9"/>
    <w:rsid w:val="00CA28AD"/>
    <w:rsid w:val="00CA2B4D"/>
    <w:rsid w:val="00CA4F28"/>
    <w:rsid w:val="00CA7388"/>
    <w:rsid w:val="00CA75A0"/>
    <w:rsid w:val="00CA78AC"/>
    <w:rsid w:val="00CB067C"/>
    <w:rsid w:val="00CB15CA"/>
    <w:rsid w:val="00CB26B3"/>
    <w:rsid w:val="00CB3B7D"/>
    <w:rsid w:val="00CB4DC8"/>
    <w:rsid w:val="00CB51F5"/>
    <w:rsid w:val="00CB5C79"/>
    <w:rsid w:val="00CB687E"/>
    <w:rsid w:val="00CC0250"/>
    <w:rsid w:val="00CC074E"/>
    <w:rsid w:val="00CC1659"/>
    <w:rsid w:val="00CC3092"/>
    <w:rsid w:val="00CC30C3"/>
    <w:rsid w:val="00CC363A"/>
    <w:rsid w:val="00CC3D24"/>
    <w:rsid w:val="00CC3D4E"/>
    <w:rsid w:val="00CC4003"/>
    <w:rsid w:val="00CC67AD"/>
    <w:rsid w:val="00CC74BD"/>
    <w:rsid w:val="00CD0768"/>
    <w:rsid w:val="00CD3CC4"/>
    <w:rsid w:val="00CD411F"/>
    <w:rsid w:val="00CD4EA0"/>
    <w:rsid w:val="00CD788F"/>
    <w:rsid w:val="00CE047D"/>
    <w:rsid w:val="00CE1017"/>
    <w:rsid w:val="00CE129D"/>
    <w:rsid w:val="00CE17D6"/>
    <w:rsid w:val="00CE358A"/>
    <w:rsid w:val="00CE373E"/>
    <w:rsid w:val="00CE38EA"/>
    <w:rsid w:val="00CE43AF"/>
    <w:rsid w:val="00CE577D"/>
    <w:rsid w:val="00CE639A"/>
    <w:rsid w:val="00CE665D"/>
    <w:rsid w:val="00CE6758"/>
    <w:rsid w:val="00CE7731"/>
    <w:rsid w:val="00CE77E8"/>
    <w:rsid w:val="00CF096F"/>
    <w:rsid w:val="00CF1226"/>
    <w:rsid w:val="00CF1516"/>
    <w:rsid w:val="00CF329F"/>
    <w:rsid w:val="00CF6106"/>
    <w:rsid w:val="00CF6A79"/>
    <w:rsid w:val="00CF7188"/>
    <w:rsid w:val="00CF73D7"/>
    <w:rsid w:val="00D00AAE"/>
    <w:rsid w:val="00D0171E"/>
    <w:rsid w:val="00D02D5A"/>
    <w:rsid w:val="00D03B9D"/>
    <w:rsid w:val="00D04941"/>
    <w:rsid w:val="00D0498A"/>
    <w:rsid w:val="00D065E6"/>
    <w:rsid w:val="00D06F2D"/>
    <w:rsid w:val="00D103F2"/>
    <w:rsid w:val="00D10843"/>
    <w:rsid w:val="00D11B6A"/>
    <w:rsid w:val="00D13B2D"/>
    <w:rsid w:val="00D1421F"/>
    <w:rsid w:val="00D154A5"/>
    <w:rsid w:val="00D15660"/>
    <w:rsid w:val="00D1690D"/>
    <w:rsid w:val="00D16E7D"/>
    <w:rsid w:val="00D17731"/>
    <w:rsid w:val="00D17D52"/>
    <w:rsid w:val="00D20E86"/>
    <w:rsid w:val="00D20FB3"/>
    <w:rsid w:val="00D21DFB"/>
    <w:rsid w:val="00D227C4"/>
    <w:rsid w:val="00D23048"/>
    <w:rsid w:val="00D2352A"/>
    <w:rsid w:val="00D23B4A"/>
    <w:rsid w:val="00D23DD0"/>
    <w:rsid w:val="00D251C3"/>
    <w:rsid w:val="00D26CB5"/>
    <w:rsid w:val="00D27EA0"/>
    <w:rsid w:val="00D3052C"/>
    <w:rsid w:val="00D31593"/>
    <w:rsid w:val="00D33231"/>
    <w:rsid w:val="00D36240"/>
    <w:rsid w:val="00D36D3E"/>
    <w:rsid w:val="00D36DB7"/>
    <w:rsid w:val="00D40E5E"/>
    <w:rsid w:val="00D4138D"/>
    <w:rsid w:val="00D41493"/>
    <w:rsid w:val="00D4152F"/>
    <w:rsid w:val="00D4353A"/>
    <w:rsid w:val="00D438DC"/>
    <w:rsid w:val="00D4397B"/>
    <w:rsid w:val="00D43EF1"/>
    <w:rsid w:val="00D43F6F"/>
    <w:rsid w:val="00D44015"/>
    <w:rsid w:val="00D46755"/>
    <w:rsid w:val="00D46CFF"/>
    <w:rsid w:val="00D46FBF"/>
    <w:rsid w:val="00D47A7B"/>
    <w:rsid w:val="00D47BB6"/>
    <w:rsid w:val="00D54C37"/>
    <w:rsid w:val="00D5779A"/>
    <w:rsid w:val="00D604C3"/>
    <w:rsid w:val="00D62214"/>
    <w:rsid w:val="00D62ADB"/>
    <w:rsid w:val="00D632D1"/>
    <w:rsid w:val="00D64B7A"/>
    <w:rsid w:val="00D65AB8"/>
    <w:rsid w:val="00D65E10"/>
    <w:rsid w:val="00D67ADC"/>
    <w:rsid w:val="00D706BA"/>
    <w:rsid w:val="00D709A0"/>
    <w:rsid w:val="00D70A78"/>
    <w:rsid w:val="00D71394"/>
    <w:rsid w:val="00D7252A"/>
    <w:rsid w:val="00D730AF"/>
    <w:rsid w:val="00D73BC0"/>
    <w:rsid w:val="00D75216"/>
    <w:rsid w:val="00D76C93"/>
    <w:rsid w:val="00D80799"/>
    <w:rsid w:val="00D81512"/>
    <w:rsid w:val="00D84747"/>
    <w:rsid w:val="00D84BD3"/>
    <w:rsid w:val="00D85346"/>
    <w:rsid w:val="00D90E7B"/>
    <w:rsid w:val="00D91EDC"/>
    <w:rsid w:val="00D92D94"/>
    <w:rsid w:val="00D961DB"/>
    <w:rsid w:val="00DA0625"/>
    <w:rsid w:val="00DA373C"/>
    <w:rsid w:val="00DA3748"/>
    <w:rsid w:val="00DA4C82"/>
    <w:rsid w:val="00DA57C6"/>
    <w:rsid w:val="00DA596E"/>
    <w:rsid w:val="00DA671A"/>
    <w:rsid w:val="00DA756A"/>
    <w:rsid w:val="00DA7819"/>
    <w:rsid w:val="00DA78D9"/>
    <w:rsid w:val="00DA7E64"/>
    <w:rsid w:val="00DA7E6E"/>
    <w:rsid w:val="00DB0399"/>
    <w:rsid w:val="00DB07B8"/>
    <w:rsid w:val="00DB2D76"/>
    <w:rsid w:val="00DB3239"/>
    <w:rsid w:val="00DB345B"/>
    <w:rsid w:val="00DB36E6"/>
    <w:rsid w:val="00DB3871"/>
    <w:rsid w:val="00DB38BB"/>
    <w:rsid w:val="00DB45E2"/>
    <w:rsid w:val="00DB4F49"/>
    <w:rsid w:val="00DB6D5A"/>
    <w:rsid w:val="00DC0400"/>
    <w:rsid w:val="00DC1ACA"/>
    <w:rsid w:val="00DC440F"/>
    <w:rsid w:val="00DC4772"/>
    <w:rsid w:val="00DC48CF"/>
    <w:rsid w:val="00DC5BB0"/>
    <w:rsid w:val="00DC6711"/>
    <w:rsid w:val="00DC6826"/>
    <w:rsid w:val="00DD20E3"/>
    <w:rsid w:val="00DD2605"/>
    <w:rsid w:val="00DD2AAA"/>
    <w:rsid w:val="00DD3202"/>
    <w:rsid w:val="00DD50B5"/>
    <w:rsid w:val="00DD5275"/>
    <w:rsid w:val="00DD5F86"/>
    <w:rsid w:val="00DD6047"/>
    <w:rsid w:val="00DD7205"/>
    <w:rsid w:val="00DD7380"/>
    <w:rsid w:val="00DD771A"/>
    <w:rsid w:val="00DD7F78"/>
    <w:rsid w:val="00DE0E70"/>
    <w:rsid w:val="00DE10D0"/>
    <w:rsid w:val="00DE262A"/>
    <w:rsid w:val="00DE2759"/>
    <w:rsid w:val="00DE2977"/>
    <w:rsid w:val="00DE4037"/>
    <w:rsid w:val="00DE43F4"/>
    <w:rsid w:val="00DE466B"/>
    <w:rsid w:val="00DE4A72"/>
    <w:rsid w:val="00DE5D8B"/>
    <w:rsid w:val="00DE64C8"/>
    <w:rsid w:val="00DE6DB2"/>
    <w:rsid w:val="00DE7607"/>
    <w:rsid w:val="00DE761A"/>
    <w:rsid w:val="00DF0FA8"/>
    <w:rsid w:val="00DF1C80"/>
    <w:rsid w:val="00DF2338"/>
    <w:rsid w:val="00DF37CE"/>
    <w:rsid w:val="00DF4C70"/>
    <w:rsid w:val="00DF4D56"/>
    <w:rsid w:val="00DF515C"/>
    <w:rsid w:val="00DF63EB"/>
    <w:rsid w:val="00DF78BC"/>
    <w:rsid w:val="00E0212C"/>
    <w:rsid w:val="00E02523"/>
    <w:rsid w:val="00E02A20"/>
    <w:rsid w:val="00E030AE"/>
    <w:rsid w:val="00E04587"/>
    <w:rsid w:val="00E04BCC"/>
    <w:rsid w:val="00E04EFF"/>
    <w:rsid w:val="00E05212"/>
    <w:rsid w:val="00E05D02"/>
    <w:rsid w:val="00E0690D"/>
    <w:rsid w:val="00E101A9"/>
    <w:rsid w:val="00E12954"/>
    <w:rsid w:val="00E12A2F"/>
    <w:rsid w:val="00E12D9F"/>
    <w:rsid w:val="00E12FAE"/>
    <w:rsid w:val="00E13468"/>
    <w:rsid w:val="00E1461E"/>
    <w:rsid w:val="00E15006"/>
    <w:rsid w:val="00E1638A"/>
    <w:rsid w:val="00E24543"/>
    <w:rsid w:val="00E2457B"/>
    <w:rsid w:val="00E247DE"/>
    <w:rsid w:val="00E257AB"/>
    <w:rsid w:val="00E3212A"/>
    <w:rsid w:val="00E32221"/>
    <w:rsid w:val="00E32290"/>
    <w:rsid w:val="00E32512"/>
    <w:rsid w:val="00E32A0E"/>
    <w:rsid w:val="00E333C7"/>
    <w:rsid w:val="00E3374E"/>
    <w:rsid w:val="00E33A7F"/>
    <w:rsid w:val="00E3471A"/>
    <w:rsid w:val="00E34869"/>
    <w:rsid w:val="00E34A79"/>
    <w:rsid w:val="00E376F7"/>
    <w:rsid w:val="00E4104D"/>
    <w:rsid w:val="00E41293"/>
    <w:rsid w:val="00E41C3F"/>
    <w:rsid w:val="00E41CE3"/>
    <w:rsid w:val="00E42F98"/>
    <w:rsid w:val="00E434B8"/>
    <w:rsid w:val="00E44479"/>
    <w:rsid w:val="00E45108"/>
    <w:rsid w:val="00E4622A"/>
    <w:rsid w:val="00E475F0"/>
    <w:rsid w:val="00E5099A"/>
    <w:rsid w:val="00E50CA8"/>
    <w:rsid w:val="00E5139D"/>
    <w:rsid w:val="00E519D9"/>
    <w:rsid w:val="00E52CAC"/>
    <w:rsid w:val="00E536DE"/>
    <w:rsid w:val="00E538E6"/>
    <w:rsid w:val="00E5535A"/>
    <w:rsid w:val="00E553E9"/>
    <w:rsid w:val="00E563DF"/>
    <w:rsid w:val="00E569B2"/>
    <w:rsid w:val="00E577FD"/>
    <w:rsid w:val="00E608C6"/>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67D"/>
    <w:rsid w:val="00E83629"/>
    <w:rsid w:val="00E838DB"/>
    <w:rsid w:val="00E83F7E"/>
    <w:rsid w:val="00E865F0"/>
    <w:rsid w:val="00E868E7"/>
    <w:rsid w:val="00E87CDF"/>
    <w:rsid w:val="00E92917"/>
    <w:rsid w:val="00E9310C"/>
    <w:rsid w:val="00E93979"/>
    <w:rsid w:val="00E93CD3"/>
    <w:rsid w:val="00E93F61"/>
    <w:rsid w:val="00E9501F"/>
    <w:rsid w:val="00E962BC"/>
    <w:rsid w:val="00E9676A"/>
    <w:rsid w:val="00EA379C"/>
    <w:rsid w:val="00EA4CB5"/>
    <w:rsid w:val="00EA67B2"/>
    <w:rsid w:val="00EB0757"/>
    <w:rsid w:val="00EB3C74"/>
    <w:rsid w:val="00EB5926"/>
    <w:rsid w:val="00EB5A22"/>
    <w:rsid w:val="00EB5D98"/>
    <w:rsid w:val="00EB7A35"/>
    <w:rsid w:val="00EC027A"/>
    <w:rsid w:val="00EC05B4"/>
    <w:rsid w:val="00EC074E"/>
    <w:rsid w:val="00EC0B10"/>
    <w:rsid w:val="00EC0DB8"/>
    <w:rsid w:val="00EC33EA"/>
    <w:rsid w:val="00EC41C2"/>
    <w:rsid w:val="00EC4E71"/>
    <w:rsid w:val="00EC62F1"/>
    <w:rsid w:val="00EC6D41"/>
    <w:rsid w:val="00EC79CA"/>
    <w:rsid w:val="00ED03A3"/>
    <w:rsid w:val="00ED0AA7"/>
    <w:rsid w:val="00ED229E"/>
    <w:rsid w:val="00ED2F8A"/>
    <w:rsid w:val="00ED42E8"/>
    <w:rsid w:val="00ED57CF"/>
    <w:rsid w:val="00ED58AF"/>
    <w:rsid w:val="00ED7658"/>
    <w:rsid w:val="00EE0DC0"/>
    <w:rsid w:val="00EE13F4"/>
    <w:rsid w:val="00EE171F"/>
    <w:rsid w:val="00EE1EE5"/>
    <w:rsid w:val="00EE2928"/>
    <w:rsid w:val="00EE2E23"/>
    <w:rsid w:val="00EE359A"/>
    <w:rsid w:val="00EE3E3F"/>
    <w:rsid w:val="00EE4768"/>
    <w:rsid w:val="00EE4BD0"/>
    <w:rsid w:val="00EE5BA1"/>
    <w:rsid w:val="00EF2966"/>
    <w:rsid w:val="00EF5346"/>
    <w:rsid w:val="00EF574C"/>
    <w:rsid w:val="00EF7235"/>
    <w:rsid w:val="00F00A4D"/>
    <w:rsid w:val="00F014D5"/>
    <w:rsid w:val="00F01EA8"/>
    <w:rsid w:val="00F0205B"/>
    <w:rsid w:val="00F021EF"/>
    <w:rsid w:val="00F023A3"/>
    <w:rsid w:val="00F02A6F"/>
    <w:rsid w:val="00F030F9"/>
    <w:rsid w:val="00F04308"/>
    <w:rsid w:val="00F04C8C"/>
    <w:rsid w:val="00F054DA"/>
    <w:rsid w:val="00F06144"/>
    <w:rsid w:val="00F06530"/>
    <w:rsid w:val="00F07B2D"/>
    <w:rsid w:val="00F07BCF"/>
    <w:rsid w:val="00F12C72"/>
    <w:rsid w:val="00F13280"/>
    <w:rsid w:val="00F14453"/>
    <w:rsid w:val="00F1597D"/>
    <w:rsid w:val="00F16EF8"/>
    <w:rsid w:val="00F16FAB"/>
    <w:rsid w:val="00F170B7"/>
    <w:rsid w:val="00F21CA5"/>
    <w:rsid w:val="00F255B6"/>
    <w:rsid w:val="00F26ED7"/>
    <w:rsid w:val="00F2724E"/>
    <w:rsid w:val="00F31625"/>
    <w:rsid w:val="00F31BDC"/>
    <w:rsid w:val="00F32232"/>
    <w:rsid w:val="00F32242"/>
    <w:rsid w:val="00F361A3"/>
    <w:rsid w:val="00F36467"/>
    <w:rsid w:val="00F36CDE"/>
    <w:rsid w:val="00F36E39"/>
    <w:rsid w:val="00F4003B"/>
    <w:rsid w:val="00F40A8F"/>
    <w:rsid w:val="00F40FF5"/>
    <w:rsid w:val="00F41E1E"/>
    <w:rsid w:val="00F43ED1"/>
    <w:rsid w:val="00F44759"/>
    <w:rsid w:val="00F45144"/>
    <w:rsid w:val="00F4560C"/>
    <w:rsid w:val="00F46284"/>
    <w:rsid w:val="00F4680B"/>
    <w:rsid w:val="00F4734D"/>
    <w:rsid w:val="00F473D4"/>
    <w:rsid w:val="00F47445"/>
    <w:rsid w:val="00F5046F"/>
    <w:rsid w:val="00F5088C"/>
    <w:rsid w:val="00F510AC"/>
    <w:rsid w:val="00F5374F"/>
    <w:rsid w:val="00F545DD"/>
    <w:rsid w:val="00F55E2B"/>
    <w:rsid w:val="00F55E69"/>
    <w:rsid w:val="00F579BE"/>
    <w:rsid w:val="00F606F4"/>
    <w:rsid w:val="00F60DF6"/>
    <w:rsid w:val="00F61E12"/>
    <w:rsid w:val="00F626E7"/>
    <w:rsid w:val="00F62D04"/>
    <w:rsid w:val="00F6434A"/>
    <w:rsid w:val="00F70887"/>
    <w:rsid w:val="00F70A7D"/>
    <w:rsid w:val="00F71030"/>
    <w:rsid w:val="00F733A4"/>
    <w:rsid w:val="00F748DD"/>
    <w:rsid w:val="00F76633"/>
    <w:rsid w:val="00F77084"/>
    <w:rsid w:val="00F7794A"/>
    <w:rsid w:val="00F77EEC"/>
    <w:rsid w:val="00F81710"/>
    <w:rsid w:val="00F81FF7"/>
    <w:rsid w:val="00F8241F"/>
    <w:rsid w:val="00F83E64"/>
    <w:rsid w:val="00F86EF9"/>
    <w:rsid w:val="00F86FB1"/>
    <w:rsid w:val="00F87E61"/>
    <w:rsid w:val="00F90035"/>
    <w:rsid w:val="00F9058E"/>
    <w:rsid w:val="00F908E0"/>
    <w:rsid w:val="00F90B86"/>
    <w:rsid w:val="00F9237A"/>
    <w:rsid w:val="00F9335A"/>
    <w:rsid w:val="00F93755"/>
    <w:rsid w:val="00F9391A"/>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0D"/>
    <w:rsid w:val="00FB7D16"/>
    <w:rsid w:val="00FC0858"/>
    <w:rsid w:val="00FC110D"/>
    <w:rsid w:val="00FC3800"/>
    <w:rsid w:val="00FC4527"/>
    <w:rsid w:val="00FC4CF7"/>
    <w:rsid w:val="00FC65BE"/>
    <w:rsid w:val="00FC70C0"/>
    <w:rsid w:val="00FC7307"/>
    <w:rsid w:val="00FD1EEA"/>
    <w:rsid w:val="00FD30C0"/>
    <w:rsid w:val="00FD33CF"/>
    <w:rsid w:val="00FD36CA"/>
    <w:rsid w:val="00FD3B41"/>
    <w:rsid w:val="00FD4E22"/>
    <w:rsid w:val="00FD6C73"/>
    <w:rsid w:val="00FD7395"/>
    <w:rsid w:val="00FE263F"/>
    <w:rsid w:val="00FE486C"/>
    <w:rsid w:val="00FE4BFD"/>
    <w:rsid w:val="00FE578A"/>
    <w:rsid w:val="00FE7C48"/>
    <w:rsid w:val="00FF0BE2"/>
    <w:rsid w:val="00FF14A5"/>
    <w:rsid w:val="00FF3898"/>
    <w:rsid w:val="00FF621F"/>
    <w:rsid w:val="00FF67DA"/>
    <w:rsid w:val="00FF718F"/>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D3"/>
    <w:pPr>
      <w:spacing w:line="240" w:lineRule="auto"/>
      <w:jc w:val="left"/>
    </w:pPr>
    <w:rPr>
      <w:rFonts w:eastAsia="Times New Roman"/>
      <w:sz w:val="26"/>
      <w:szCs w:val="26"/>
    </w:rPr>
  </w:style>
  <w:style w:type="paragraph" w:styleId="Heading2">
    <w:name w:val="heading 2"/>
    <w:basedOn w:val="Normal"/>
    <w:next w:val="Normal"/>
    <w:link w:val="Heading2Char"/>
    <w:uiPriority w:val="9"/>
    <w:unhideWhenUsed/>
    <w:qFormat/>
    <w:rsid w:val="00B05966"/>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6D"/>
    <w:pPr>
      <w:tabs>
        <w:tab w:val="center" w:pos="4680"/>
        <w:tab w:val="right" w:pos="9360"/>
      </w:tabs>
    </w:pPr>
  </w:style>
  <w:style w:type="character" w:customStyle="1" w:styleId="HeaderChar">
    <w:name w:val="Header Char"/>
    <w:basedOn w:val="DefaultParagraphFont"/>
    <w:link w:val="Header"/>
    <w:uiPriority w:val="99"/>
    <w:rsid w:val="0024306D"/>
    <w:rPr>
      <w:rFonts w:eastAsia="Times New Roman"/>
      <w:sz w:val="26"/>
      <w:szCs w:val="26"/>
    </w:rPr>
  </w:style>
  <w:style w:type="paragraph" w:styleId="Footer">
    <w:name w:val="footer"/>
    <w:basedOn w:val="Normal"/>
    <w:link w:val="FooterChar"/>
    <w:uiPriority w:val="99"/>
    <w:unhideWhenUsed/>
    <w:rsid w:val="0024306D"/>
    <w:pPr>
      <w:tabs>
        <w:tab w:val="center" w:pos="4680"/>
        <w:tab w:val="right" w:pos="9360"/>
      </w:tabs>
    </w:pPr>
  </w:style>
  <w:style w:type="character" w:customStyle="1" w:styleId="FooterChar">
    <w:name w:val="Footer Char"/>
    <w:basedOn w:val="DefaultParagraphFont"/>
    <w:link w:val="Footer"/>
    <w:uiPriority w:val="99"/>
    <w:rsid w:val="0024306D"/>
    <w:rPr>
      <w:rFonts w:eastAsia="Times New Roman"/>
      <w:sz w:val="26"/>
      <w:szCs w:val="26"/>
    </w:rPr>
  </w:style>
  <w:style w:type="paragraph" w:styleId="BalloonText">
    <w:name w:val="Balloon Text"/>
    <w:basedOn w:val="Normal"/>
    <w:link w:val="BalloonTextChar"/>
    <w:uiPriority w:val="99"/>
    <w:semiHidden/>
    <w:unhideWhenUsed/>
    <w:rsid w:val="005A6EBA"/>
    <w:rPr>
      <w:rFonts w:ascii="Tahoma" w:hAnsi="Tahoma" w:cs="Tahoma"/>
      <w:sz w:val="16"/>
      <w:szCs w:val="16"/>
    </w:rPr>
  </w:style>
  <w:style w:type="character" w:customStyle="1" w:styleId="BalloonTextChar">
    <w:name w:val="Balloon Text Char"/>
    <w:basedOn w:val="DefaultParagraphFont"/>
    <w:link w:val="BalloonText"/>
    <w:uiPriority w:val="99"/>
    <w:semiHidden/>
    <w:rsid w:val="005A6EBA"/>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1649F"/>
    <w:rPr>
      <w:sz w:val="20"/>
      <w:szCs w:val="20"/>
    </w:rPr>
  </w:style>
  <w:style w:type="character" w:customStyle="1" w:styleId="FootnoteTextChar">
    <w:name w:val="Footnote Text Char"/>
    <w:basedOn w:val="DefaultParagraphFont"/>
    <w:link w:val="FootnoteText"/>
    <w:uiPriority w:val="99"/>
    <w:semiHidden/>
    <w:rsid w:val="0091649F"/>
    <w:rPr>
      <w:rFonts w:eastAsia="Times New Roman"/>
      <w:sz w:val="20"/>
      <w:szCs w:val="20"/>
    </w:rPr>
  </w:style>
  <w:style w:type="character" w:styleId="FootnoteReference">
    <w:name w:val="footnote reference"/>
    <w:basedOn w:val="DefaultParagraphFont"/>
    <w:uiPriority w:val="99"/>
    <w:semiHidden/>
    <w:unhideWhenUsed/>
    <w:rsid w:val="0091649F"/>
    <w:rPr>
      <w:vertAlign w:val="superscript"/>
    </w:rPr>
  </w:style>
  <w:style w:type="character" w:customStyle="1" w:styleId="Heading2Char">
    <w:name w:val="Heading 2 Char"/>
    <w:basedOn w:val="DefaultParagraphFont"/>
    <w:link w:val="Heading2"/>
    <w:uiPriority w:val="9"/>
    <w:rsid w:val="00B0596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D3"/>
    <w:pPr>
      <w:spacing w:line="240" w:lineRule="auto"/>
      <w:jc w:val="left"/>
    </w:pPr>
    <w:rPr>
      <w:rFonts w:eastAsia="Times New Roman"/>
      <w:sz w:val="26"/>
      <w:szCs w:val="26"/>
    </w:rPr>
  </w:style>
  <w:style w:type="paragraph" w:styleId="Heading2">
    <w:name w:val="heading 2"/>
    <w:basedOn w:val="Normal"/>
    <w:next w:val="Normal"/>
    <w:link w:val="Heading2Char"/>
    <w:uiPriority w:val="9"/>
    <w:unhideWhenUsed/>
    <w:qFormat/>
    <w:rsid w:val="00B05966"/>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6D"/>
    <w:pPr>
      <w:tabs>
        <w:tab w:val="center" w:pos="4680"/>
        <w:tab w:val="right" w:pos="9360"/>
      </w:tabs>
    </w:pPr>
  </w:style>
  <w:style w:type="character" w:customStyle="1" w:styleId="HeaderChar">
    <w:name w:val="Header Char"/>
    <w:basedOn w:val="DefaultParagraphFont"/>
    <w:link w:val="Header"/>
    <w:uiPriority w:val="99"/>
    <w:rsid w:val="0024306D"/>
    <w:rPr>
      <w:rFonts w:eastAsia="Times New Roman"/>
      <w:sz w:val="26"/>
      <w:szCs w:val="26"/>
    </w:rPr>
  </w:style>
  <w:style w:type="paragraph" w:styleId="Footer">
    <w:name w:val="footer"/>
    <w:basedOn w:val="Normal"/>
    <w:link w:val="FooterChar"/>
    <w:uiPriority w:val="99"/>
    <w:unhideWhenUsed/>
    <w:rsid w:val="0024306D"/>
    <w:pPr>
      <w:tabs>
        <w:tab w:val="center" w:pos="4680"/>
        <w:tab w:val="right" w:pos="9360"/>
      </w:tabs>
    </w:pPr>
  </w:style>
  <w:style w:type="character" w:customStyle="1" w:styleId="FooterChar">
    <w:name w:val="Footer Char"/>
    <w:basedOn w:val="DefaultParagraphFont"/>
    <w:link w:val="Footer"/>
    <w:uiPriority w:val="99"/>
    <w:rsid w:val="0024306D"/>
    <w:rPr>
      <w:rFonts w:eastAsia="Times New Roman"/>
      <w:sz w:val="26"/>
      <w:szCs w:val="26"/>
    </w:rPr>
  </w:style>
  <w:style w:type="paragraph" w:styleId="BalloonText">
    <w:name w:val="Balloon Text"/>
    <w:basedOn w:val="Normal"/>
    <w:link w:val="BalloonTextChar"/>
    <w:uiPriority w:val="99"/>
    <w:semiHidden/>
    <w:unhideWhenUsed/>
    <w:rsid w:val="005A6EBA"/>
    <w:rPr>
      <w:rFonts w:ascii="Tahoma" w:hAnsi="Tahoma" w:cs="Tahoma"/>
      <w:sz w:val="16"/>
      <w:szCs w:val="16"/>
    </w:rPr>
  </w:style>
  <w:style w:type="character" w:customStyle="1" w:styleId="BalloonTextChar">
    <w:name w:val="Balloon Text Char"/>
    <w:basedOn w:val="DefaultParagraphFont"/>
    <w:link w:val="BalloonText"/>
    <w:uiPriority w:val="99"/>
    <w:semiHidden/>
    <w:rsid w:val="005A6EBA"/>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91649F"/>
    <w:rPr>
      <w:sz w:val="20"/>
      <w:szCs w:val="20"/>
    </w:rPr>
  </w:style>
  <w:style w:type="character" w:customStyle="1" w:styleId="FootnoteTextChar">
    <w:name w:val="Footnote Text Char"/>
    <w:basedOn w:val="DefaultParagraphFont"/>
    <w:link w:val="FootnoteText"/>
    <w:uiPriority w:val="99"/>
    <w:semiHidden/>
    <w:rsid w:val="0091649F"/>
    <w:rPr>
      <w:rFonts w:eastAsia="Times New Roman"/>
      <w:sz w:val="20"/>
      <w:szCs w:val="20"/>
    </w:rPr>
  </w:style>
  <w:style w:type="character" w:styleId="FootnoteReference">
    <w:name w:val="footnote reference"/>
    <w:basedOn w:val="DefaultParagraphFont"/>
    <w:uiPriority w:val="99"/>
    <w:semiHidden/>
    <w:unhideWhenUsed/>
    <w:rsid w:val="0091649F"/>
    <w:rPr>
      <w:vertAlign w:val="superscript"/>
    </w:rPr>
  </w:style>
  <w:style w:type="character" w:customStyle="1" w:styleId="Heading2Char">
    <w:name w:val="Heading 2 Char"/>
    <w:basedOn w:val="DefaultParagraphFont"/>
    <w:link w:val="Heading2"/>
    <w:uiPriority w:val="9"/>
    <w:rsid w:val="00B0596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5D12D-7B03-4F4D-91B6-B00A601A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2014-06-15T13:45:00Z</cp:lastPrinted>
  <dcterms:created xsi:type="dcterms:W3CDTF">2014-06-16T13:11:00Z</dcterms:created>
  <dcterms:modified xsi:type="dcterms:W3CDTF">2014-06-16T13:11:00Z</dcterms:modified>
</cp:coreProperties>
</file>