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7E77AF" w:rsidP="00F9732A">
      <w:r>
        <w:t>Kenneth Singh</w:t>
      </w:r>
      <w:r w:rsidR="00CD7291">
        <w:tab/>
      </w:r>
      <w:r w:rsidR="00CD7291">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D477A8">
        <w:t>2013-23</w:t>
      </w:r>
      <w:r w:rsidR="007E77AF">
        <w:t>83113</w:t>
      </w:r>
    </w:p>
    <w:p w:rsidR="00F9732A" w:rsidRPr="008B455C" w:rsidRDefault="00F9732A" w:rsidP="00F9732A">
      <w:pPr>
        <w:ind w:left="5040"/>
      </w:pPr>
      <w:r w:rsidRPr="008B455C">
        <w:t>:</w:t>
      </w:r>
    </w:p>
    <w:p w:rsidR="00F9732A" w:rsidRPr="008B455C" w:rsidRDefault="007E77AF" w:rsidP="00F9732A">
      <w:r>
        <w:t>PPL Electric Utilities Corporation</w:t>
      </w:r>
      <w:r w:rsidR="00F9732A" w:rsidRPr="008B455C">
        <w:tab/>
        <w:t xml:space="preserve"> </w:t>
      </w:r>
      <w:r w:rsidR="00F9732A" w:rsidRPr="008B455C">
        <w:tab/>
      </w:r>
      <w:r w:rsidR="00F9732A"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126B45">
      <w:pPr>
        <w:spacing w:line="360" w:lineRule="auto"/>
        <w:jc w:val="center"/>
      </w:pPr>
    </w:p>
    <w:p w:rsidR="00126B45" w:rsidRPr="000B0551" w:rsidRDefault="00126B45" w:rsidP="00126B45">
      <w:pPr>
        <w:spacing w:line="360" w:lineRule="auto"/>
        <w:jc w:val="center"/>
        <w:rPr>
          <w:u w:val="single"/>
        </w:rPr>
      </w:pPr>
      <w:r w:rsidRPr="000B0551">
        <w:rPr>
          <w:u w:val="single"/>
        </w:rPr>
        <w:t>INTRODUCTION</w:t>
      </w:r>
    </w:p>
    <w:p w:rsidR="00126B45" w:rsidRDefault="00126B45" w:rsidP="00126B45">
      <w:pPr>
        <w:spacing w:line="360" w:lineRule="auto"/>
      </w:pPr>
    </w:p>
    <w:p w:rsidR="00126B45" w:rsidRDefault="00126B45" w:rsidP="00126B45">
      <w:pPr>
        <w:spacing w:line="360" w:lineRule="auto"/>
      </w:pPr>
      <w:r>
        <w:tab/>
      </w:r>
      <w:r>
        <w:tab/>
        <w:t xml:space="preserve">This decision denies the complaint </w:t>
      </w:r>
      <w:r w:rsidR="00DA1ED0">
        <w:t xml:space="preserve">and denies Complainant’s </w:t>
      </w:r>
      <w:r>
        <w:t xml:space="preserve">request for </w:t>
      </w:r>
      <w:r w:rsidR="007E77AF">
        <w:t>a refund</w:t>
      </w:r>
      <w:r w:rsidR="003937E3">
        <w:t xml:space="preserve">.  </w:t>
      </w:r>
    </w:p>
    <w:p w:rsidR="00126B45" w:rsidRDefault="00126B45" w:rsidP="00126B45">
      <w:pPr>
        <w:spacing w:line="360" w:lineRule="auto"/>
      </w:pPr>
    </w:p>
    <w:p w:rsidR="00126B45" w:rsidRPr="00FB448C" w:rsidRDefault="00126B45" w:rsidP="00126B45">
      <w:pPr>
        <w:pStyle w:val="Heading1"/>
        <w:spacing w:line="360" w:lineRule="auto"/>
        <w:rPr>
          <w:sz w:val="24"/>
          <w:szCs w:val="24"/>
          <w:u w:val="none"/>
        </w:rPr>
      </w:pPr>
      <w:r w:rsidRPr="00FB448C">
        <w:rPr>
          <w:sz w:val="24"/>
          <w:szCs w:val="24"/>
        </w:rPr>
        <w:t>HISTORY OF THE PROCEEDING</w:t>
      </w:r>
    </w:p>
    <w:p w:rsidR="00126B45" w:rsidRPr="00B73D10" w:rsidRDefault="00126B45" w:rsidP="00126B45">
      <w:pPr>
        <w:spacing w:line="360" w:lineRule="auto"/>
        <w:ind w:firstLine="1440"/>
      </w:pPr>
    </w:p>
    <w:p w:rsidR="001B6607" w:rsidRDefault="001B6607" w:rsidP="001B6607">
      <w:pPr>
        <w:spacing w:line="360" w:lineRule="auto"/>
        <w:ind w:firstLine="1440"/>
      </w:pPr>
      <w:r w:rsidRPr="00B42058">
        <w:t xml:space="preserve">On </w:t>
      </w:r>
      <w:r>
        <w:t>September 10, 2013</w:t>
      </w:r>
      <w:r w:rsidRPr="00B42058">
        <w:t xml:space="preserve">, </w:t>
      </w:r>
      <w:r>
        <w:t>Kenneth Singh</w:t>
      </w:r>
      <w:r w:rsidRPr="00B42058">
        <w:t xml:space="preserve"> </w:t>
      </w:r>
      <w:r>
        <w:t>filed a formal complaint</w:t>
      </w:r>
      <w:r w:rsidRPr="00B42058">
        <w:t xml:space="preserve"> against </w:t>
      </w:r>
      <w:r>
        <w:t>PPL Electric Utilities Corporation</w:t>
      </w:r>
      <w:r w:rsidRPr="00B42058">
        <w:t xml:space="preserve"> </w:t>
      </w:r>
      <w:r>
        <w:t>(PPL</w:t>
      </w:r>
      <w:r w:rsidR="00CA210E">
        <w:t>, PPL</w:t>
      </w:r>
      <w:r>
        <w:t xml:space="preserve"> Electric or Respondent) </w:t>
      </w:r>
      <w:r w:rsidRPr="00B42058">
        <w:t xml:space="preserve">with the Pennsylvania Public </w:t>
      </w:r>
      <w:r>
        <w:t xml:space="preserve">Utility Commission (Commission) concerning alleged incorrect charges on his billing statements from PPL Electric, after his electricity commodity supplier, Dominion Energy Solutions, a.k.a., Dominion Power (Dominion Energy), increased the commodity charge without prior notification </w:t>
      </w:r>
      <w:r w:rsidR="004E18A6">
        <w:t>from</w:t>
      </w:r>
      <w:r>
        <w:t xml:space="preserve"> June 2013 through August 2013.  Complainant requested a refund for the amounts overcharged and punitive damages against Dominion Energy.  </w:t>
      </w:r>
    </w:p>
    <w:p w:rsidR="001B6607" w:rsidRDefault="001B6607" w:rsidP="001B6607">
      <w:pPr>
        <w:spacing w:line="360" w:lineRule="auto"/>
        <w:ind w:firstLine="1440"/>
      </w:pPr>
    </w:p>
    <w:p w:rsidR="001B6607" w:rsidRDefault="001B6607" w:rsidP="001B6607">
      <w:pPr>
        <w:spacing w:line="360" w:lineRule="auto"/>
        <w:ind w:firstLine="1440"/>
      </w:pPr>
      <w:r>
        <w:t>On October 7, 201</w:t>
      </w:r>
      <w:r w:rsidR="00B607E5">
        <w:t>3</w:t>
      </w:r>
      <w:r>
        <w:t xml:space="preserve">, PPL </w:t>
      </w:r>
      <w:r w:rsidR="00F77C50">
        <w:t xml:space="preserve">Electric </w:t>
      </w:r>
      <w:r>
        <w:t>filed an Answer and New Matter</w:t>
      </w:r>
      <w:r w:rsidR="00F77C50">
        <w:t xml:space="preserve"> in addition to filing Preliminary Objections.  PPL Electric contended the formal complaint failed to specify a cause of action upon which the Commission could grant relief and Complainant failed to aver </w:t>
      </w:r>
      <w:r w:rsidR="00F77C50">
        <w:lastRenderedPageBreak/>
        <w:t xml:space="preserve">PPL Electric violated a regulation.  PPL Electric argued the formal complaint should be dismissed pursuant to 52 </w:t>
      </w:r>
      <w:proofErr w:type="spellStart"/>
      <w:r w:rsidR="00F77C50">
        <w:t>Pa.Code</w:t>
      </w:r>
      <w:proofErr w:type="spellEnd"/>
      <w:r w:rsidR="00F77C50">
        <w:t xml:space="preserve"> § 5.101(a</w:t>
      </w:r>
      <w:proofErr w:type="gramStart"/>
      <w:r w:rsidR="00F77C50">
        <w:t>)(</w:t>
      </w:r>
      <w:proofErr w:type="gramEnd"/>
      <w:r w:rsidR="00F77C50">
        <w:t xml:space="preserve">3).  In addition, PPL Electric requested Dominion Energy </w:t>
      </w:r>
      <w:proofErr w:type="gramStart"/>
      <w:r w:rsidR="00F77C50">
        <w:t>be</w:t>
      </w:r>
      <w:proofErr w:type="gramEnd"/>
      <w:r w:rsidR="00F77C50">
        <w:t xml:space="preserve"> joined as an indispensable party.  On November 22, 201</w:t>
      </w:r>
      <w:r w:rsidR="004F6097">
        <w:t>3</w:t>
      </w:r>
      <w:r w:rsidR="00F77C50">
        <w:t xml:space="preserve">, the presiding officer held PPL Electric’s Preliminary Objections in abeyance until the status of Dominion Energy could be ascertained but denied PPL Electric’s objection that the formal complaint was not legally sufficient to </w:t>
      </w:r>
      <w:proofErr w:type="gramStart"/>
      <w:r w:rsidR="00F77C50">
        <w:t>proceed</w:t>
      </w:r>
      <w:proofErr w:type="gramEnd"/>
      <w:r w:rsidR="00F77C50">
        <w:t xml:space="preserve"> to a hearing on whether PPL Electric issued incorrect billing statements.  </w:t>
      </w:r>
    </w:p>
    <w:p w:rsidR="001B6607" w:rsidRDefault="001B6607" w:rsidP="001B6607">
      <w:pPr>
        <w:spacing w:line="360" w:lineRule="auto"/>
        <w:ind w:firstLine="1440"/>
      </w:pPr>
    </w:p>
    <w:p w:rsidR="001B6607" w:rsidRDefault="001B6607" w:rsidP="001B6607">
      <w:pPr>
        <w:spacing w:line="360" w:lineRule="auto"/>
        <w:ind w:firstLine="1440"/>
      </w:pPr>
      <w:r>
        <w:t xml:space="preserve">On November 26, 2013, </w:t>
      </w:r>
      <w:r w:rsidRPr="00B73D10">
        <w:t xml:space="preserve">the Office of Administrative Law Judge issued a Telephone Hearing Notice, which scheduled </w:t>
      </w:r>
      <w:r>
        <w:t>a</w:t>
      </w:r>
      <w:r w:rsidR="00372F42">
        <w:t>n initial</w:t>
      </w:r>
      <w:r>
        <w:t xml:space="preserve"> telephonic </w:t>
      </w:r>
      <w:r w:rsidRPr="00B73D10">
        <w:t xml:space="preserve">hearing to be conducted on </w:t>
      </w:r>
      <w:r>
        <w:t>Thursday, January 16, 2014.  On December 3, 2013, the presiding officer issued</w:t>
      </w:r>
      <w:r w:rsidRPr="00B73D10">
        <w:t xml:space="preserve"> a Prehearing Order.</w:t>
      </w:r>
    </w:p>
    <w:p w:rsidR="001B6607" w:rsidRDefault="001B6607" w:rsidP="001B6607">
      <w:pPr>
        <w:spacing w:line="360" w:lineRule="auto"/>
        <w:ind w:firstLine="1440"/>
      </w:pPr>
    </w:p>
    <w:p w:rsidR="001B6607" w:rsidRDefault="001B6607" w:rsidP="001B6607">
      <w:pPr>
        <w:spacing w:line="360" w:lineRule="auto"/>
        <w:ind w:firstLine="1440"/>
      </w:pPr>
      <w:r w:rsidRPr="00B42058">
        <w:t xml:space="preserve">On </w:t>
      </w:r>
      <w:r>
        <w:t>January 13, 2014, the presiding officer issued an Interim Order Continuing Initial Telephonic Hearing and Joining an Indispensable Party</w:t>
      </w:r>
      <w:r w:rsidR="00F77C50">
        <w:t xml:space="preserve"> to provide Dominion Energy with time in which to respond to the formal complaint filed by Complainant</w:t>
      </w:r>
      <w:r>
        <w:t xml:space="preserve">.  The Interim Order was served on Complainant, PPL Electric and Dominion Energy.  </w:t>
      </w:r>
    </w:p>
    <w:p w:rsidR="001B6607" w:rsidRDefault="001B6607" w:rsidP="001B6607">
      <w:pPr>
        <w:spacing w:line="360" w:lineRule="auto"/>
      </w:pPr>
    </w:p>
    <w:p w:rsidR="001B6607" w:rsidRDefault="001B6607" w:rsidP="001B6607">
      <w:pPr>
        <w:spacing w:line="360" w:lineRule="auto"/>
        <w:ind w:firstLine="1440"/>
      </w:pPr>
      <w:r>
        <w:t xml:space="preserve">On January 23, 2014, counsel for Dominion Energy filed an Answer to the Interim Order dated January 13, 2014.  Dominion Energy averred a separate docket number was issued by the Secretary’s Bureau on September 16, 2013 when Kenneth Singh filed his formal complaint, and that formal complaint was satisfied between Kenneth Singh and Dominion Energy on September 27, 2013.  Specifically, Dominion Energy avers the Secretary’s Bureau docketed the proceeding against Dominion Energy at Docket No. C-2013-2383115, and simultaneously docketed the proceeding against PPL Electric at Docket No. </w:t>
      </w:r>
      <w:proofErr w:type="gramStart"/>
      <w:r>
        <w:t>C-2013-2383113.</w:t>
      </w:r>
      <w:proofErr w:type="gramEnd"/>
      <w:r>
        <w:t xml:space="preserve">  Dominion Energy settled the complaint filed against it by Kenneth Singh before the matter was scheduled for an initial hearing.  </w:t>
      </w:r>
    </w:p>
    <w:p w:rsidR="001B6607" w:rsidRDefault="001B6607" w:rsidP="001B6607">
      <w:pPr>
        <w:spacing w:line="360" w:lineRule="auto"/>
        <w:ind w:firstLine="1440"/>
      </w:pPr>
    </w:p>
    <w:p w:rsidR="001B6607" w:rsidRDefault="001B6607" w:rsidP="001B6607">
      <w:pPr>
        <w:spacing w:line="360" w:lineRule="auto"/>
        <w:ind w:firstLine="1440"/>
      </w:pPr>
      <w:r>
        <w:t xml:space="preserve">On January 27, 2014, </w:t>
      </w:r>
      <w:r w:rsidRPr="00B73D10">
        <w:t xml:space="preserve">the Office of Administrative Law Judge issued a Telephone Hearing Notice, which scheduled </w:t>
      </w:r>
      <w:r>
        <w:t>a</w:t>
      </w:r>
      <w:r w:rsidR="00372F42">
        <w:t>n initial</w:t>
      </w:r>
      <w:r>
        <w:t xml:space="preserve"> telephonic </w:t>
      </w:r>
      <w:r w:rsidRPr="00B73D10">
        <w:t xml:space="preserve">hearing to be conducted on </w:t>
      </w:r>
      <w:r>
        <w:t xml:space="preserve">Friday, February 28, 2014.  </w:t>
      </w:r>
    </w:p>
    <w:p w:rsidR="001B6607" w:rsidRDefault="001B6607" w:rsidP="001B6607">
      <w:pPr>
        <w:spacing w:line="360" w:lineRule="auto"/>
        <w:ind w:firstLine="1440"/>
      </w:pPr>
    </w:p>
    <w:p w:rsidR="001B6607" w:rsidRDefault="001B6607" w:rsidP="001B6607">
      <w:pPr>
        <w:spacing w:line="360" w:lineRule="auto"/>
        <w:ind w:firstLine="1440"/>
      </w:pPr>
      <w:r>
        <w:lastRenderedPageBreak/>
        <w:t>On February 12, 2014, the presiding officer issued the Second Interim Order which removed Dominion Energy as an indispensable party in the proceeding docketed at C</w:t>
      </w:r>
      <w:r w:rsidR="009D00E9">
        <w:noBreakHyphen/>
      </w:r>
      <w:r>
        <w:t xml:space="preserve">2013-2383113 because Complainant settled his dispute with Dominion Energy in the proceeding docketed at C-2013-2383115.      </w:t>
      </w:r>
    </w:p>
    <w:p w:rsidR="001B6607" w:rsidRDefault="001B6607" w:rsidP="00126B45">
      <w:pPr>
        <w:spacing w:line="360" w:lineRule="auto"/>
      </w:pPr>
    </w:p>
    <w:p w:rsidR="00126B45" w:rsidRDefault="00126B45" w:rsidP="00126B45">
      <w:pPr>
        <w:spacing w:line="360" w:lineRule="auto"/>
      </w:pPr>
      <w:r>
        <w:tab/>
      </w:r>
      <w:r>
        <w:tab/>
        <w:t xml:space="preserve">The presiding officer convened the initial hearing as scheduled on </w:t>
      </w:r>
      <w:r w:rsidR="001B6607">
        <w:t>February 28, 2014</w:t>
      </w:r>
      <w:r>
        <w:t>.  Complainant</w:t>
      </w:r>
      <w:r w:rsidR="00A96A71">
        <w:t xml:space="preserve"> </w:t>
      </w:r>
      <w:r>
        <w:t xml:space="preserve">appeared </w:t>
      </w:r>
      <w:r w:rsidR="00A96A71" w:rsidRPr="00A96A71">
        <w:rPr>
          <w:i/>
        </w:rPr>
        <w:t>pro se</w:t>
      </w:r>
      <w:r w:rsidR="00A96A71">
        <w:t xml:space="preserve"> and testified </w:t>
      </w:r>
      <w:r>
        <w:t xml:space="preserve">on </w:t>
      </w:r>
      <w:r w:rsidR="00A96A71">
        <w:t>his own behalf</w:t>
      </w:r>
      <w:r>
        <w:t>.</w:t>
      </w:r>
      <w:r w:rsidR="00A96A71">
        <w:t xml:space="preserve">  </w:t>
      </w:r>
      <w:r>
        <w:t xml:space="preserve">Respondent was represented by </w:t>
      </w:r>
      <w:r w:rsidR="00F77C50">
        <w:t xml:space="preserve">Kimberly G. </w:t>
      </w:r>
      <w:proofErr w:type="spellStart"/>
      <w:r w:rsidR="00F77C50">
        <w:t>Krupka</w:t>
      </w:r>
      <w:proofErr w:type="spellEnd"/>
      <w:r>
        <w:t xml:space="preserve">, Esquire.  </w:t>
      </w:r>
      <w:r w:rsidR="00A96A71" w:rsidRPr="00B73D10">
        <w:t xml:space="preserve">Attorney </w:t>
      </w:r>
      <w:proofErr w:type="spellStart"/>
      <w:r w:rsidR="00F77C50">
        <w:t>Krupka</w:t>
      </w:r>
      <w:proofErr w:type="spellEnd"/>
      <w:r w:rsidR="00A96A71" w:rsidRPr="00B73D10">
        <w:t xml:space="preserve"> presented the testimony of </w:t>
      </w:r>
      <w:r w:rsidR="00F77C50">
        <w:t>one</w:t>
      </w:r>
      <w:r w:rsidR="00A96A71">
        <w:t xml:space="preserve"> witness</w:t>
      </w:r>
      <w:r w:rsidR="00A96A71" w:rsidRPr="00B73D10">
        <w:t xml:space="preserve">, and offered </w:t>
      </w:r>
      <w:r w:rsidR="00DF6FF6">
        <w:t>two (2</w:t>
      </w:r>
      <w:r w:rsidR="00A96A71">
        <w:t>)</w:t>
      </w:r>
      <w:r w:rsidR="00A96A71" w:rsidRPr="00B73D10">
        <w:t xml:space="preserve"> exhibits, </w:t>
      </w:r>
      <w:r w:rsidR="00A96A71">
        <w:t xml:space="preserve">which were </w:t>
      </w:r>
      <w:r w:rsidR="00A96A71" w:rsidRPr="00B73D10">
        <w:t xml:space="preserve">marked </w:t>
      </w:r>
      <w:r w:rsidR="00DF6FF6">
        <w:t>PPL</w:t>
      </w:r>
      <w:r w:rsidR="00BA724E">
        <w:t xml:space="preserve"> </w:t>
      </w:r>
      <w:r w:rsidR="00A96A71">
        <w:t xml:space="preserve">Exhibits </w:t>
      </w:r>
      <w:r w:rsidR="00DF6FF6">
        <w:t xml:space="preserve">1 </w:t>
      </w:r>
      <w:r w:rsidR="00A96A71">
        <w:t xml:space="preserve">and </w:t>
      </w:r>
      <w:r w:rsidR="00DF6FF6">
        <w:t>2</w:t>
      </w:r>
      <w:r w:rsidR="00A96A71">
        <w:t xml:space="preserve">, and were </w:t>
      </w:r>
      <w:r w:rsidR="00A96A71" w:rsidRPr="00B73D10">
        <w:t>admitted into evidence.  The transcript of the hearing</w:t>
      </w:r>
      <w:r w:rsidR="00A96A71">
        <w:t>,</w:t>
      </w:r>
      <w:r w:rsidR="00A96A71" w:rsidRPr="00B73D10">
        <w:t xml:space="preserve"> contain</w:t>
      </w:r>
      <w:r w:rsidR="00A96A71">
        <w:t>ing</w:t>
      </w:r>
      <w:r w:rsidR="00A96A71" w:rsidRPr="00B73D10">
        <w:t xml:space="preserve"> </w:t>
      </w:r>
      <w:r w:rsidR="00F77C50">
        <w:t>49</w:t>
      </w:r>
      <w:r w:rsidR="00A96A71">
        <w:t xml:space="preserve"> </w:t>
      </w:r>
      <w:r w:rsidR="00A96A71" w:rsidRPr="00B73D10">
        <w:t>pages</w:t>
      </w:r>
      <w:r w:rsidR="00A96A71">
        <w:t xml:space="preserve">, was received in the Commission’s offices on </w:t>
      </w:r>
      <w:r w:rsidR="00F77C50">
        <w:t>March 11</w:t>
      </w:r>
      <w:r w:rsidR="00A96A71">
        <w:t xml:space="preserve">, 2014 and was received in the presiding officer’s office on </w:t>
      </w:r>
      <w:r w:rsidR="00F77C50">
        <w:t>March 17</w:t>
      </w:r>
      <w:r w:rsidR="00A96A71">
        <w:t>, 2014.</w:t>
      </w:r>
      <w:r w:rsidR="00A96A71" w:rsidRPr="00B73D10">
        <w:t xml:space="preserve">  Complainant and Respondent issued final statements on the hearing record in lieu of filing briefs.</w:t>
      </w:r>
    </w:p>
    <w:p w:rsidR="00126B45" w:rsidRDefault="00126B45" w:rsidP="00126B45">
      <w:pPr>
        <w:spacing w:line="360" w:lineRule="auto"/>
      </w:pPr>
    </w:p>
    <w:p w:rsidR="00126B45" w:rsidRPr="00B73D10" w:rsidRDefault="00126B45" w:rsidP="00126B45">
      <w:pPr>
        <w:tabs>
          <w:tab w:val="left" w:pos="2160"/>
        </w:tabs>
        <w:spacing w:line="360" w:lineRule="auto"/>
        <w:ind w:firstLine="1440"/>
      </w:pPr>
      <w:r w:rsidRPr="00B73D10">
        <w:t xml:space="preserve">On </w:t>
      </w:r>
      <w:r w:rsidR="00F77C50">
        <w:t>March 18</w:t>
      </w:r>
      <w:r w:rsidR="00A96A71">
        <w:t>, 2014</w:t>
      </w:r>
      <w:r>
        <w:t>,</w:t>
      </w:r>
      <w:r w:rsidRPr="00B73D10">
        <w:t xml:space="preserve"> the </w:t>
      </w:r>
      <w:r w:rsidR="00A96A71">
        <w:t xml:space="preserve">presiding officer closed the hearing by </w:t>
      </w:r>
      <w:r w:rsidRPr="00B73D10">
        <w:t>Interim Order Closing the Hearing Record.</w:t>
      </w:r>
    </w:p>
    <w:p w:rsidR="00126B45" w:rsidRPr="00B73D10" w:rsidRDefault="00126B45" w:rsidP="00126B45">
      <w:pPr>
        <w:tabs>
          <w:tab w:val="left" w:pos="2160"/>
        </w:tabs>
        <w:spacing w:line="360" w:lineRule="auto"/>
        <w:ind w:firstLine="1440"/>
      </w:pPr>
    </w:p>
    <w:p w:rsidR="00126B45" w:rsidRPr="00B73D10" w:rsidRDefault="00126B45" w:rsidP="00126B45">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126B45" w:rsidRPr="00B73D10" w:rsidRDefault="00126B45" w:rsidP="00126B45">
      <w:pPr>
        <w:tabs>
          <w:tab w:val="left" w:pos="2160"/>
        </w:tabs>
        <w:spacing w:line="360" w:lineRule="auto"/>
        <w:rPr>
          <w:u w:val="single"/>
        </w:rPr>
      </w:pPr>
    </w:p>
    <w:p w:rsidR="00126B45" w:rsidRPr="00B73D10" w:rsidRDefault="00126B45" w:rsidP="00126B45">
      <w:pPr>
        <w:tabs>
          <w:tab w:val="left" w:pos="2160"/>
        </w:tabs>
        <w:spacing w:line="360" w:lineRule="auto"/>
        <w:ind w:firstLine="1440"/>
      </w:pPr>
      <w:r w:rsidRPr="00B73D10">
        <w:t>1.</w:t>
      </w:r>
      <w:r w:rsidRPr="00B73D10">
        <w:tab/>
        <w:t xml:space="preserve">Complainant, </w:t>
      </w:r>
      <w:r w:rsidR="00DF6FF6">
        <w:t>Kenneth Singh</w:t>
      </w:r>
      <w:r>
        <w:t xml:space="preserve">, resides </w:t>
      </w:r>
      <w:r w:rsidR="009F588E">
        <w:t xml:space="preserve">in a single family home located </w:t>
      </w:r>
      <w:r>
        <w:t xml:space="preserve">at </w:t>
      </w:r>
      <w:r w:rsidR="00DF6FF6">
        <w:t>130 Donald Avenue, Middletown</w:t>
      </w:r>
      <w:r>
        <w:t>, Pennsylvania (service address)</w:t>
      </w:r>
      <w:r w:rsidR="003C1F6E">
        <w:t>,</w:t>
      </w:r>
      <w:r w:rsidR="004A0254">
        <w:t xml:space="preserve"> where he has resided </w:t>
      </w:r>
      <w:r w:rsidR="00DF6FF6">
        <w:t>for approximately 32 years</w:t>
      </w:r>
      <w:r>
        <w:t xml:space="preserve">.  </w:t>
      </w:r>
      <w:proofErr w:type="gramStart"/>
      <w:r w:rsidRPr="00B73D10">
        <w:t xml:space="preserve">(Tr. </w:t>
      </w:r>
      <w:r w:rsidR="00DF6FF6">
        <w:t>7</w:t>
      </w:r>
      <w:r w:rsidRPr="00B73D10">
        <w:t>).</w:t>
      </w:r>
      <w:proofErr w:type="gramEnd"/>
      <w:r w:rsidRPr="00B73D10">
        <w:t xml:space="preserve"> </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2.</w:t>
      </w:r>
      <w:r>
        <w:tab/>
        <w:t>Respondent provide</w:t>
      </w:r>
      <w:r w:rsidR="004A0254">
        <w:t>d</w:t>
      </w:r>
      <w:r>
        <w:t xml:space="preserve"> electric services to Complainant at the service address</w:t>
      </w:r>
      <w:r w:rsidR="00DF6FF6">
        <w:t xml:space="preserve"> for approximately 32 years</w:t>
      </w:r>
      <w:r>
        <w:t xml:space="preserve">.  </w:t>
      </w:r>
      <w:proofErr w:type="gramStart"/>
      <w:r>
        <w:t xml:space="preserve">(Tr. </w:t>
      </w:r>
      <w:r w:rsidR="00DF6FF6">
        <w:t>7</w:t>
      </w:r>
      <w:r>
        <w:t>).</w:t>
      </w:r>
      <w:proofErr w:type="gramEnd"/>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 xml:space="preserve">3. </w:t>
      </w:r>
      <w:r>
        <w:tab/>
      </w:r>
      <w:r w:rsidR="00F65835">
        <w:t xml:space="preserve">Complainant’s electricity supplier prior to </w:t>
      </w:r>
      <w:r w:rsidR="00265D57">
        <w:t>August 2013</w:t>
      </w:r>
      <w:r w:rsidR="00F65835">
        <w:t xml:space="preserve"> was Dominion Energy</w:t>
      </w:r>
      <w:r w:rsidR="00EA70E2">
        <w:t xml:space="preserve"> Solutions</w:t>
      </w:r>
      <w:r w:rsidR="00F65835">
        <w:t xml:space="preserve">.  </w:t>
      </w:r>
      <w:proofErr w:type="gramStart"/>
      <w:r w:rsidR="00F65835">
        <w:t>(Tr. 8</w:t>
      </w:r>
      <w:r w:rsidR="00265D57">
        <w:t>-10</w:t>
      </w:r>
      <w:r w:rsidR="00F65835">
        <w:t xml:space="preserve">, </w:t>
      </w:r>
      <w:r w:rsidR="00EA70E2">
        <w:t>25; PPL Exhibit 1</w:t>
      </w:r>
      <w:r w:rsidR="00F65835">
        <w:t>).</w:t>
      </w:r>
      <w:proofErr w:type="gramEnd"/>
    </w:p>
    <w:p w:rsidR="00265D57" w:rsidRDefault="00265D57" w:rsidP="00126B45">
      <w:pPr>
        <w:tabs>
          <w:tab w:val="left" w:pos="2160"/>
        </w:tabs>
        <w:spacing w:line="360" w:lineRule="auto"/>
        <w:ind w:firstLine="1440"/>
      </w:pPr>
    </w:p>
    <w:p w:rsidR="00265D57" w:rsidRDefault="00265D57" w:rsidP="00126B45">
      <w:pPr>
        <w:tabs>
          <w:tab w:val="left" w:pos="2160"/>
        </w:tabs>
        <w:spacing w:line="360" w:lineRule="auto"/>
        <w:ind w:firstLine="1440"/>
      </w:pPr>
      <w:r>
        <w:lastRenderedPageBreak/>
        <w:t xml:space="preserve">4. </w:t>
      </w:r>
      <w:r>
        <w:tab/>
        <w:t>Without notice</w:t>
      </w:r>
      <w:r w:rsidR="009F588E">
        <w:t xml:space="preserve"> to Complainant</w:t>
      </w:r>
      <w:r>
        <w:t xml:space="preserve">, Dominion Energy raised the commodity supply rate </w:t>
      </w:r>
      <w:r w:rsidR="009F588E">
        <w:t xml:space="preserve">in June 2013, </w:t>
      </w:r>
      <w:r>
        <w:t xml:space="preserve">which </w:t>
      </w:r>
      <w:r w:rsidR="009F588E">
        <w:t xml:space="preserve">rate </w:t>
      </w:r>
      <w:r>
        <w:t>Complainant was required to pay</w:t>
      </w:r>
      <w:r w:rsidR="009F588E">
        <w:t>,</w:t>
      </w:r>
      <w:r w:rsidR="00EA70E2">
        <w:t xml:space="preserve"> from 6.85 cents per kilowatt hour to 9.9 cents per kilowatt hour</w:t>
      </w:r>
      <w:r>
        <w:t xml:space="preserve">.  </w:t>
      </w:r>
      <w:proofErr w:type="gramStart"/>
      <w:r>
        <w:t xml:space="preserve">(Tr. 9, </w:t>
      </w:r>
      <w:r w:rsidR="00EA70E2">
        <w:t>20</w:t>
      </w:r>
      <w:r>
        <w:t>).</w:t>
      </w:r>
      <w:proofErr w:type="gramEnd"/>
    </w:p>
    <w:p w:rsidR="004A0254" w:rsidRDefault="004A0254" w:rsidP="00126B45">
      <w:pPr>
        <w:tabs>
          <w:tab w:val="left" w:pos="2160"/>
        </w:tabs>
        <w:spacing w:line="360" w:lineRule="auto"/>
        <w:ind w:firstLine="1440"/>
      </w:pPr>
    </w:p>
    <w:p w:rsidR="00DF6FF6" w:rsidRDefault="00584A00" w:rsidP="00DF6FF6">
      <w:pPr>
        <w:tabs>
          <w:tab w:val="left" w:pos="2160"/>
        </w:tabs>
        <w:spacing w:line="360" w:lineRule="auto"/>
        <w:ind w:firstLine="1440"/>
      </w:pPr>
      <w:r>
        <w:t>5</w:t>
      </w:r>
      <w:r w:rsidR="00126B45">
        <w:t xml:space="preserve">. </w:t>
      </w:r>
      <w:r w:rsidR="00126B45">
        <w:tab/>
      </w:r>
      <w:r w:rsidR="00F65835">
        <w:t xml:space="preserve">On </w:t>
      </w:r>
      <w:r w:rsidR="004F58E1">
        <w:t>July 9</w:t>
      </w:r>
      <w:r w:rsidR="00F65835">
        <w:t xml:space="preserve">, 2013, Complainant contacted Respondent and told Respondent he wanted Oasis Energy to be his new supplier.  </w:t>
      </w:r>
      <w:r w:rsidR="004F58E1">
        <w:t xml:space="preserve">Respondent advised Complainant the switch would be effective with the billing statement issued in August 2013.  </w:t>
      </w:r>
      <w:proofErr w:type="gramStart"/>
      <w:r w:rsidR="00F65835">
        <w:t>(Tr. 8</w:t>
      </w:r>
      <w:r w:rsidR="00265D57">
        <w:t>-11</w:t>
      </w:r>
      <w:r w:rsidR="004329E9">
        <w:t>, 17-19</w:t>
      </w:r>
      <w:r w:rsidR="004F58E1">
        <w:t>, 30-35; PPL Exhibit 2</w:t>
      </w:r>
      <w:r w:rsidR="00F65835">
        <w:t>).</w:t>
      </w:r>
      <w:proofErr w:type="gramEnd"/>
    </w:p>
    <w:p w:rsidR="00584A00" w:rsidRDefault="00584A00" w:rsidP="00584A00">
      <w:pPr>
        <w:tabs>
          <w:tab w:val="left" w:pos="2160"/>
        </w:tabs>
        <w:spacing w:line="360" w:lineRule="auto"/>
        <w:ind w:firstLine="1440"/>
      </w:pPr>
    </w:p>
    <w:p w:rsidR="00584A00" w:rsidRDefault="00584A00" w:rsidP="00584A00">
      <w:pPr>
        <w:tabs>
          <w:tab w:val="left" w:pos="2160"/>
        </w:tabs>
        <w:spacing w:line="360" w:lineRule="auto"/>
        <w:ind w:firstLine="1440"/>
      </w:pPr>
      <w:r>
        <w:t xml:space="preserve">6. </w:t>
      </w:r>
      <w:r>
        <w:tab/>
        <w:t>On July 12, 2013, Complainant called Respondent and confirmed his new supplier would be Oasis</w:t>
      </w:r>
      <w:r w:rsidR="001D23B9">
        <w:t xml:space="preserve"> Energy</w:t>
      </w:r>
      <w:r>
        <w:t xml:space="preserve">.  Respondent informed Complainant Oasis </w:t>
      </w:r>
      <w:r w:rsidR="001D23B9">
        <w:t xml:space="preserve">Energy </w:t>
      </w:r>
      <w:r>
        <w:t xml:space="preserve">would become the new supplier effective on August 14, 2013.  </w:t>
      </w:r>
      <w:proofErr w:type="gramStart"/>
      <w:r>
        <w:t>(Tr. 31; PPL Exhibit 2).</w:t>
      </w:r>
      <w:proofErr w:type="gramEnd"/>
    </w:p>
    <w:p w:rsidR="00126B45" w:rsidRDefault="00126B45" w:rsidP="00E941A4">
      <w:pPr>
        <w:tabs>
          <w:tab w:val="left" w:pos="2160"/>
        </w:tabs>
        <w:spacing w:line="360" w:lineRule="auto"/>
      </w:pPr>
    </w:p>
    <w:p w:rsidR="00584A00" w:rsidRDefault="00584A00" w:rsidP="00126B45">
      <w:pPr>
        <w:tabs>
          <w:tab w:val="left" w:pos="2160"/>
        </w:tabs>
        <w:spacing w:line="360" w:lineRule="auto"/>
        <w:ind w:firstLine="1440"/>
      </w:pPr>
      <w:r>
        <w:t>7</w:t>
      </w:r>
      <w:r w:rsidR="00F65835">
        <w:t>.</w:t>
      </w:r>
      <w:r w:rsidR="00F65835">
        <w:tab/>
      </w:r>
      <w:r>
        <w:t>At some point af</w:t>
      </w:r>
      <w:r w:rsidR="004F58E1">
        <w:t>ter July 9</w:t>
      </w:r>
      <w:r w:rsidR="009F588E">
        <w:t xml:space="preserve">, 2013, </w:t>
      </w:r>
      <w:r w:rsidR="00F65835">
        <w:t xml:space="preserve">Complainant </w:t>
      </w:r>
      <w:r w:rsidR="004F58E1">
        <w:t xml:space="preserve">received information from </w:t>
      </w:r>
      <w:r w:rsidR="00F65835">
        <w:t xml:space="preserve">Oasis Energy </w:t>
      </w:r>
      <w:r w:rsidR="004F58E1">
        <w:t xml:space="preserve">indicating Oasis Energy </w:t>
      </w:r>
      <w:r w:rsidR="00F65835">
        <w:t xml:space="preserve">would charge </w:t>
      </w:r>
      <w:r w:rsidR="004F58E1">
        <w:t xml:space="preserve">$6.00 per month.  </w:t>
      </w:r>
      <w:r>
        <w:t>(Tr. 8-12, 17-19).</w:t>
      </w:r>
    </w:p>
    <w:p w:rsidR="00584A00" w:rsidRDefault="00584A00" w:rsidP="00584A00">
      <w:pPr>
        <w:tabs>
          <w:tab w:val="left" w:pos="2160"/>
        </w:tabs>
        <w:spacing w:line="360" w:lineRule="auto"/>
        <w:ind w:firstLine="1440"/>
      </w:pPr>
    </w:p>
    <w:p w:rsidR="00584A00" w:rsidRDefault="00584A00" w:rsidP="00584A00">
      <w:pPr>
        <w:tabs>
          <w:tab w:val="left" w:pos="2160"/>
        </w:tabs>
        <w:spacing w:line="360" w:lineRule="auto"/>
        <w:ind w:firstLine="1440"/>
      </w:pPr>
      <w:r>
        <w:t xml:space="preserve">8. </w:t>
      </w:r>
      <w:r>
        <w:tab/>
        <w:t>On July 16, 2013, Complainant called Respondent and informed Respondent he would switch to FirstEnergy Solutions instead.  Complainant asked Respondent to expedite the switch over to FirstEnergy Solutions.  (Tr. 8-12, 17-19, 29-35).</w:t>
      </w:r>
    </w:p>
    <w:p w:rsidR="00584A00" w:rsidRDefault="00584A00" w:rsidP="00584A00">
      <w:pPr>
        <w:tabs>
          <w:tab w:val="left" w:pos="2160"/>
        </w:tabs>
        <w:spacing w:line="360" w:lineRule="auto"/>
        <w:ind w:firstLine="1440"/>
      </w:pPr>
    </w:p>
    <w:p w:rsidR="00584A00" w:rsidRDefault="00584A00" w:rsidP="00584A00">
      <w:pPr>
        <w:tabs>
          <w:tab w:val="left" w:pos="2160"/>
        </w:tabs>
        <w:spacing w:line="360" w:lineRule="auto"/>
        <w:ind w:firstLine="1440"/>
      </w:pPr>
      <w:r>
        <w:t xml:space="preserve">9. </w:t>
      </w:r>
      <w:r>
        <w:tab/>
        <w:t xml:space="preserve">On July 16, 2013, Respondent told Complainant that Respondent had to wait to receive the cancellation form from Oasis </w:t>
      </w:r>
      <w:r w:rsidR="00216456">
        <w:t xml:space="preserve">Energy </w:t>
      </w:r>
      <w:r>
        <w:t xml:space="preserve">and the enrollment form from FirstEnergy before it could process the switch to FirstEnergy.  </w:t>
      </w:r>
      <w:proofErr w:type="gramStart"/>
      <w:r>
        <w:t>(Tr. 30-35; PPL Exhibit 2).</w:t>
      </w:r>
      <w:proofErr w:type="gramEnd"/>
    </w:p>
    <w:p w:rsidR="00584A00" w:rsidRDefault="00584A00" w:rsidP="00584A00">
      <w:pPr>
        <w:tabs>
          <w:tab w:val="left" w:pos="2160"/>
        </w:tabs>
        <w:spacing w:line="360" w:lineRule="auto"/>
        <w:ind w:firstLine="1440"/>
      </w:pPr>
    </w:p>
    <w:p w:rsidR="00584A00" w:rsidRDefault="00584A00" w:rsidP="00584A00">
      <w:pPr>
        <w:tabs>
          <w:tab w:val="left" w:pos="2160"/>
        </w:tabs>
        <w:spacing w:line="360" w:lineRule="auto"/>
        <w:ind w:firstLine="1440"/>
      </w:pPr>
      <w:r>
        <w:t>10.</w:t>
      </w:r>
      <w:r>
        <w:tab/>
        <w:t xml:space="preserve">On July 16, 2013, Complainant called Respondent back and confirmed his new supplier was changing to FirstEnergy Solutions.  On that same date, FirstEnergy Solutions notified PPL of Complainant’s enrollment with FirstEnergy Solutions. </w:t>
      </w:r>
      <w:proofErr w:type="gramStart"/>
      <w:r>
        <w:t>(Tr. 31, 32; PPL Exhibit</w:t>
      </w:r>
      <w:r w:rsidR="00AE2618">
        <w:t> </w:t>
      </w:r>
      <w:r>
        <w:t>2).</w:t>
      </w:r>
      <w:proofErr w:type="gramEnd"/>
    </w:p>
    <w:p w:rsidR="00584A00" w:rsidRDefault="00584A00" w:rsidP="00584A00">
      <w:pPr>
        <w:tabs>
          <w:tab w:val="left" w:pos="2160"/>
        </w:tabs>
        <w:spacing w:line="360" w:lineRule="auto"/>
        <w:ind w:firstLine="1440"/>
      </w:pPr>
    </w:p>
    <w:p w:rsidR="00584A00" w:rsidRDefault="00584A00" w:rsidP="00584A00">
      <w:pPr>
        <w:pStyle w:val="BodyText"/>
        <w:jc w:val="left"/>
        <w:rPr>
          <w:sz w:val="24"/>
          <w:szCs w:val="24"/>
        </w:rPr>
      </w:pPr>
      <w:r w:rsidRPr="00B73D10">
        <w:rPr>
          <w:sz w:val="24"/>
          <w:szCs w:val="24"/>
        </w:rPr>
        <w:tab/>
      </w:r>
      <w:r w:rsidRPr="00B73D10">
        <w:rPr>
          <w:sz w:val="24"/>
          <w:szCs w:val="24"/>
        </w:rPr>
        <w:tab/>
      </w:r>
      <w:r>
        <w:rPr>
          <w:sz w:val="24"/>
          <w:szCs w:val="24"/>
        </w:rPr>
        <w:t>11</w:t>
      </w:r>
      <w:r w:rsidRPr="00B73D10">
        <w:rPr>
          <w:sz w:val="24"/>
          <w:szCs w:val="24"/>
        </w:rPr>
        <w:t>.</w:t>
      </w:r>
      <w:r w:rsidRPr="00B73D10">
        <w:rPr>
          <w:sz w:val="24"/>
          <w:szCs w:val="24"/>
        </w:rPr>
        <w:tab/>
      </w:r>
      <w:r>
        <w:rPr>
          <w:sz w:val="24"/>
          <w:szCs w:val="24"/>
        </w:rPr>
        <w:t xml:space="preserve"> Respondent sent a letter to Complainant on July 16, 2013, advising him his new supplier would change to FirstEnergy Solutions effective August 14, 2013.  </w:t>
      </w:r>
      <w:proofErr w:type="gramStart"/>
      <w:r>
        <w:rPr>
          <w:sz w:val="24"/>
          <w:szCs w:val="24"/>
        </w:rPr>
        <w:t>(Tr. 32, 33).</w:t>
      </w:r>
      <w:proofErr w:type="gramEnd"/>
    </w:p>
    <w:p w:rsidR="00126B45" w:rsidRDefault="00584A00" w:rsidP="00126B45">
      <w:pPr>
        <w:tabs>
          <w:tab w:val="left" w:pos="2160"/>
        </w:tabs>
        <w:spacing w:line="360" w:lineRule="auto"/>
        <w:ind w:firstLine="1440"/>
      </w:pPr>
      <w:r>
        <w:lastRenderedPageBreak/>
        <w:t>12</w:t>
      </w:r>
      <w:r w:rsidR="00CE3A66">
        <w:t xml:space="preserve">.  </w:t>
      </w:r>
      <w:r w:rsidR="00CE3A66">
        <w:tab/>
      </w:r>
      <w:r w:rsidR="00265D57">
        <w:t xml:space="preserve">On August 14, 2013, Respondent switched Complainant’s supplier to FirstEnergy Solutions.  </w:t>
      </w:r>
      <w:proofErr w:type="gramStart"/>
      <w:r w:rsidR="00265D57">
        <w:t xml:space="preserve">(Tr. 9, </w:t>
      </w:r>
      <w:r w:rsidR="0062332B">
        <w:t>13,</w:t>
      </w:r>
      <w:r w:rsidR="004329E9">
        <w:t xml:space="preserve"> 18</w:t>
      </w:r>
      <w:r w:rsidR="009F588E">
        <w:t>, 31</w:t>
      </w:r>
      <w:r w:rsidR="004F58E1">
        <w:t>; PPL Exhibit 2</w:t>
      </w:r>
      <w:r w:rsidR="00265D57">
        <w:t>).</w:t>
      </w:r>
      <w:proofErr w:type="gramEnd"/>
    </w:p>
    <w:p w:rsidR="00126B45" w:rsidRDefault="00126B45" w:rsidP="00126B45">
      <w:pPr>
        <w:tabs>
          <w:tab w:val="left" w:pos="2160"/>
        </w:tabs>
        <w:spacing w:line="360" w:lineRule="auto"/>
        <w:ind w:firstLine="1440"/>
      </w:pPr>
    </w:p>
    <w:p w:rsidR="00126B45" w:rsidRDefault="00584A00" w:rsidP="00126B45">
      <w:pPr>
        <w:tabs>
          <w:tab w:val="left" w:pos="2160"/>
        </w:tabs>
        <w:spacing w:line="360" w:lineRule="auto"/>
        <w:ind w:firstLine="1440"/>
      </w:pPr>
      <w:r>
        <w:t>13</w:t>
      </w:r>
      <w:r w:rsidR="0062332B">
        <w:t>.</w:t>
      </w:r>
      <w:r w:rsidR="0062332B">
        <w:tab/>
        <w:t xml:space="preserve">Complainant’s current electricity supplier is FirstEnergy Solutions.  </w:t>
      </w:r>
      <w:proofErr w:type="gramStart"/>
      <w:r w:rsidR="0062332B">
        <w:t>(Tr.</w:t>
      </w:r>
      <w:r w:rsidR="002E1E84">
        <w:t> </w:t>
      </w:r>
      <w:r w:rsidR="0062332B">
        <w:t>14</w:t>
      </w:r>
      <w:r w:rsidR="00F25833">
        <w:t>, 27</w:t>
      </w:r>
      <w:r w:rsidR="004329E9">
        <w:t>; PPL Exhibit 1</w:t>
      </w:r>
      <w:r w:rsidR="0062332B">
        <w:t>).</w:t>
      </w:r>
      <w:proofErr w:type="gramEnd"/>
    </w:p>
    <w:p w:rsidR="00126B45" w:rsidRDefault="00126B45" w:rsidP="00126B45">
      <w:pPr>
        <w:tabs>
          <w:tab w:val="left" w:pos="2160"/>
        </w:tabs>
        <w:spacing w:line="360" w:lineRule="auto"/>
        <w:ind w:firstLine="1440"/>
      </w:pPr>
    </w:p>
    <w:p w:rsidR="00126B45" w:rsidRDefault="00584A00" w:rsidP="00126B45">
      <w:pPr>
        <w:tabs>
          <w:tab w:val="left" w:pos="2160"/>
        </w:tabs>
        <w:spacing w:line="360" w:lineRule="auto"/>
        <w:ind w:firstLine="1440"/>
      </w:pPr>
      <w:r>
        <w:t>14</w:t>
      </w:r>
      <w:r w:rsidR="00CE3A66">
        <w:t>.</w:t>
      </w:r>
      <w:r w:rsidR="00CE3A66">
        <w:tab/>
      </w:r>
      <w:r w:rsidR="00EA70E2">
        <w:t xml:space="preserve">The billing statement Respondent issued to Complainant on July 17, 2013 billed for electricity consumed from June 17, 2013 to July 17, 2013 and listed Dominion Energy Solution as the generation supplier.  </w:t>
      </w:r>
      <w:proofErr w:type="gramStart"/>
      <w:r w:rsidR="00EA70E2">
        <w:t>(Tr. 26, 27; PPL Exhibit 1).</w:t>
      </w:r>
      <w:proofErr w:type="gramEnd"/>
    </w:p>
    <w:p w:rsidR="00126B45" w:rsidRDefault="00126B45" w:rsidP="00126B45">
      <w:pPr>
        <w:tabs>
          <w:tab w:val="left" w:pos="2160"/>
        </w:tabs>
        <w:spacing w:line="360" w:lineRule="auto"/>
        <w:ind w:firstLine="1440"/>
      </w:pPr>
    </w:p>
    <w:p w:rsidR="00126B45" w:rsidRDefault="00584A00" w:rsidP="00126B45">
      <w:pPr>
        <w:tabs>
          <w:tab w:val="left" w:pos="2160"/>
        </w:tabs>
        <w:spacing w:line="360" w:lineRule="auto"/>
        <w:ind w:firstLine="1440"/>
      </w:pPr>
      <w:r>
        <w:t>15</w:t>
      </w:r>
      <w:r w:rsidR="00126B45">
        <w:t xml:space="preserve">. </w:t>
      </w:r>
      <w:r w:rsidR="00126B45">
        <w:tab/>
      </w:r>
      <w:r w:rsidR="00EA70E2">
        <w:t xml:space="preserve">The billing statement Respondent issued to Complainant on August 15, 2013 billed for electricity consumed from July 17, 2013 to August 15, 2013 and listed Dominion Energy Solution as the generation supplier.  </w:t>
      </w:r>
      <w:proofErr w:type="gramStart"/>
      <w:r w:rsidR="00EA70E2">
        <w:t>(Tr. 27; PPL Exhibit 1).</w:t>
      </w:r>
      <w:proofErr w:type="gramEnd"/>
    </w:p>
    <w:p w:rsidR="00126B45" w:rsidRDefault="00126B45" w:rsidP="00126B45">
      <w:pPr>
        <w:tabs>
          <w:tab w:val="left" w:pos="2160"/>
        </w:tabs>
        <w:spacing w:line="360" w:lineRule="auto"/>
        <w:ind w:firstLine="1440"/>
      </w:pPr>
    </w:p>
    <w:p w:rsidR="00126B45" w:rsidRDefault="00584A00" w:rsidP="00126B45">
      <w:pPr>
        <w:tabs>
          <w:tab w:val="left" w:pos="2160"/>
        </w:tabs>
        <w:spacing w:line="360" w:lineRule="auto"/>
        <w:ind w:firstLine="1440"/>
      </w:pPr>
      <w:r>
        <w:t>16</w:t>
      </w:r>
      <w:r w:rsidR="00126B45">
        <w:t xml:space="preserve">. </w:t>
      </w:r>
      <w:r w:rsidR="00126B45">
        <w:tab/>
      </w:r>
      <w:r w:rsidR="009E5767">
        <w:t xml:space="preserve"> </w:t>
      </w:r>
      <w:r w:rsidR="00EA70E2">
        <w:t>The billing statement Respondent issued to Complainant on September</w:t>
      </w:r>
      <w:r w:rsidR="00F716AC">
        <w:t> </w:t>
      </w:r>
      <w:r w:rsidR="00EA70E2">
        <w:t xml:space="preserve">16, 2013 billed for electricity consumed from August 15, 2013 to September 16, 2013 and listed FirstEnergy Solutions as the generation supplier.  </w:t>
      </w:r>
      <w:proofErr w:type="gramStart"/>
      <w:r w:rsidR="00EA70E2">
        <w:t>(Tr. 27; PPL Exhibit 1).</w:t>
      </w:r>
      <w:proofErr w:type="gramEnd"/>
    </w:p>
    <w:p w:rsidR="00126B45" w:rsidRDefault="00126B45" w:rsidP="00126B45">
      <w:pPr>
        <w:tabs>
          <w:tab w:val="left" w:pos="2160"/>
        </w:tabs>
        <w:spacing w:line="360" w:lineRule="auto"/>
        <w:ind w:firstLine="1440"/>
      </w:pPr>
    </w:p>
    <w:p w:rsidR="00126B45" w:rsidRDefault="00584A00" w:rsidP="00126B45">
      <w:pPr>
        <w:tabs>
          <w:tab w:val="left" w:pos="2160"/>
        </w:tabs>
        <w:spacing w:line="360" w:lineRule="auto"/>
        <w:ind w:firstLine="1440"/>
      </w:pPr>
      <w:r>
        <w:t>17</w:t>
      </w:r>
      <w:r w:rsidR="00126B45">
        <w:t>.</w:t>
      </w:r>
      <w:r w:rsidR="00126B45">
        <w:tab/>
      </w:r>
      <w:r w:rsidR="00CF150E">
        <w:t xml:space="preserve">When receiving a notice of enrollment from a generation supplier, Respondent uses an “eleven-day rule”: </w:t>
      </w:r>
      <w:r w:rsidR="00D42D72">
        <w:t xml:space="preserve"> </w:t>
      </w:r>
      <w:r w:rsidR="00CF150E">
        <w:t xml:space="preserve">if the meter reading is scheduled to take place on the account more than eleven days from the date PPL receives the enrollment notice, then the start date will be the next bill, but if PPL receives the enrollment notice less than eleven days before the next meter reading, then the enrollment will be delayed by one billing cycle.  </w:t>
      </w:r>
      <w:proofErr w:type="gramStart"/>
      <w:r w:rsidR="00CF150E">
        <w:t>(Tr. 33, 34, 36).</w:t>
      </w:r>
      <w:proofErr w:type="gramEnd"/>
    </w:p>
    <w:p w:rsidR="00CF150E" w:rsidRDefault="00CF150E" w:rsidP="00126B45">
      <w:pPr>
        <w:tabs>
          <w:tab w:val="left" w:pos="2160"/>
        </w:tabs>
        <w:spacing w:line="360" w:lineRule="auto"/>
        <w:ind w:firstLine="1440"/>
      </w:pPr>
    </w:p>
    <w:p w:rsidR="00CF150E" w:rsidRDefault="00CF150E" w:rsidP="00126B45">
      <w:pPr>
        <w:tabs>
          <w:tab w:val="left" w:pos="2160"/>
        </w:tabs>
        <w:spacing w:line="360" w:lineRule="auto"/>
        <w:ind w:firstLine="1440"/>
      </w:pPr>
      <w:r>
        <w:t xml:space="preserve">18. </w:t>
      </w:r>
      <w:r>
        <w:tab/>
        <w:t>PPL</w:t>
      </w:r>
      <w:r w:rsidR="008F7500">
        <w:t xml:space="preserve"> </w:t>
      </w:r>
      <w:r>
        <w:t>received the notice of enrollment from FirstEnergy Solutions on July</w:t>
      </w:r>
      <w:r w:rsidR="005E0C3E">
        <w:t> </w:t>
      </w:r>
      <w:r>
        <w:t xml:space="preserve">16, 2013 and the next meter reading date scheduled on Complainant’s account after July 16, 2013, was July 17, 2013.  </w:t>
      </w:r>
      <w:proofErr w:type="gramStart"/>
      <w:r>
        <w:t>(Tr. 34).</w:t>
      </w:r>
      <w:proofErr w:type="gramEnd"/>
      <w:r>
        <w:t xml:space="preserve"> </w:t>
      </w:r>
    </w:p>
    <w:p w:rsidR="00CF150E" w:rsidRDefault="00CF150E" w:rsidP="00126B45">
      <w:pPr>
        <w:tabs>
          <w:tab w:val="left" w:pos="2160"/>
        </w:tabs>
        <w:spacing w:line="360" w:lineRule="auto"/>
        <w:ind w:firstLine="1440"/>
      </w:pPr>
    </w:p>
    <w:p w:rsidR="00CF150E" w:rsidRDefault="00CF150E" w:rsidP="00126B45">
      <w:pPr>
        <w:tabs>
          <w:tab w:val="left" w:pos="2160"/>
        </w:tabs>
        <w:spacing w:line="360" w:lineRule="auto"/>
        <w:ind w:firstLine="1440"/>
      </w:pPr>
      <w:r>
        <w:t xml:space="preserve">19. </w:t>
      </w:r>
      <w:r>
        <w:tab/>
      </w:r>
      <w:r w:rsidR="004329E9">
        <w:t xml:space="preserve">Complainant paid $14.17 per month in June, July and August 2013, or $42.51 total, to PPL in customer service charges.  </w:t>
      </w:r>
      <w:proofErr w:type="gramStart"/>
      <w:r w:rsidR="004329E9">
        <w:t>(Tr. 15).</w:t>
      </w:r>
      <w:proofErr w:type="gramEnd"/>
    </w:p>
    <w:p w:rsidR="004329E9" w:rsidRDefault="004329E9" w:rsidP="00126B45">
      <w:pPr>
        <w:tabs>
          <w:tab w:val="left" w:pos="2160"/>
        </w:tabs>
        <w:spacing w:line="360" w:lineRule="auto"/>
        <w:ind w:firstLine="1440"/>
      </w:pPr>
    </w:p>
    <w:p w:rsidR="004329E9" w:rsidRDefault="004329E9" w:rsidP="00126B45">
      <w:pPr>
        <w:tabs>
          <w:tab w:val="left" w:pos="2160"/>
        </w:tabs>
        <w:spacing w:line="360" w:lineRule="auto"/>
        <w:ind w:firstLine="1440"/>
      </w:pPr>
      <w:r>
        <w:lastRenderedPageBreak/>
        <w:t xml:space="preserve">20. </w:t>
      </w:r>
      <w:r>
        <w:tab/>
        <w:t xml:space="preserve">On two occasions in September 2013 and again on three occasions in January 2014, Complainant called Respondent’s attorney and spoke on the telephone.  </w:t>
      </w:r>
      <w:proofErr w:type="gramStart"/>
      <w:r>
        <w:t>(Tr.</w:t>
      </w:r>
      <w:r w:rsidR="00922C3D">
        <w:t> </w:t>
      </w:r>
      <w:r w:rsidR="004F58E1">
        <w:t>14</w:t>
      </w:r>
      <w:r w:rsidR="00922C3D">
        <w:noBreakHyphen/>
      </w:r>
      <w:r w:rsidR="004F58E1">
        <w:t>16</w:t>
      </w:r>
      <w:r>
        <w:t>).</w:t>
      </w:r>
      <w:proofErr w:type="gramEnd"/>
    </w:p>
    <w:p w:rsidR="00126B45" w:rsidRDefault="00126B45" w:rsidP="00126B45">
      <w:pPr>
        <w:tabs>
          <w:tab w:val="left" w:pos="2160"/>
        </w:tabs>
        <w:spacing w:line="360" w:lineRule="auto"/>
        <w:ind w:firstLine="1440"/>
      </w:pPr>
    </w:p>
    <w:p w:rsidR="00126B45" w:rsidRPr="00FB448C" w:rsidRDefault="00126B45" w:rsidP="00126B45">
      <w:pPr>
        <w:spacing w:line="360" w:lineRule="auto"/>
        <w:jc w:val="center"/>
      </w:pPr>
      <w:r w:rsidRPr="00FB448C">
        <w:rPr>
          <w:u w:val="single"/>
        </w:rPr>
        <w:t>DISCUSSION</w:t>
      </w:r>
    </w:p>
    <w:p w:rsidR="00126B45" w:rsidRDefault="00126B45" w:rsidP="00126B45">
      <w:pPr>
        <w:spacing w:line="360" w:lineRule="auto"/>
      </w:pPr>
    </w:p>
    <w:p w:rsidR="004A0254" w:rsidRDefault="004A0254" w:rsidP="00126B45">
      <w:pPr>
        <w:spacing w:line="360" w:lineRule="auto"/>
      </w:pPr>
      <w:r>
        <w:tab/>
      </w:r>
      <w:r>
        <w:tab/>
        <w:t xml:space="preserve">Complainant alleges </w:t>
      </w:r>
      <w:r w:rsidR="00265D57">
        <w:t>his electric distribution company should be required to notify him before his generation supplier raises the rate it charges for the commodity.   In addition, Complainant contends Respondent took too long to switch his supplier from Dominion Energy to FirstEnergy Solutions, and Com</w:t>
      </w:r>
      <w:r>
        <w:t xml:space="preserve">plainant requested </w:t>
      </w:r>
      <w:r w:rsidR="00DF6FF6">
        <w:t>a refund</w:t>
      </w:r>
      <w:r w:rsidR="00265D57">
        <w:t xml:space="preserve"> of the overcharges in June, July and August of 2013 because he should have been allowed to pay the lower supply rate charged by FirstEnergy Solutions</w:t>
      </w:r>
      <w:r>
        <w:t xml:space="preserve">.  </w:t>
      </w:r>
      <w:r w:rsidR="0062332B">
        <w:t>Complainant requested the Commission order Respondent to reimburse him for the five times he spoke on the telephone with Respondent’s attorneys.</w:t>
      </w:r>
    </w:p>
    <w:p w:rsidR="006C773F" w:rsidRPr="00B524A4" w:rsidRDefault="006C773F" w:rsidP="006C773F">
      <w:pPr>
        <w:pStyle w:val="BodyText"/>
        <w:jc w:val="left"/>
        <w:rPr>
          <w:sz w:val="24"/>
          <w:szCs w:val="24"/>
        </w:rPr>
      </w:pPr>
    </w:p>
    <w:p w:rsidR="00584A00" w:rsidRDefault="006C773F" w:rsidP="006C773F">
      <w:pPr>
        <w:spacing w:line="360" w:lineRule="auto"/>
      </w:pPr>
      <w:r w:rsidRPr="008B455C">
        <w:tab/>
      </w:r>
      <w:r w:rsidRPr="008B455C">
        <w:tab/>
      </w:r>
      <w:r w:rsidRPr="00B73D10">
        <w:t xml:space="preserve">Respondent </w:t>
      </w:r>
      <w:r w:rsidR="00CF150E">
        <w:t xml:space="preserve">contends it </w:t>
      </w:r>
      <w:r w:rsidR="00584A00">
        <w:t xml:space="preserve">handled Complainant’s requests to switch his electricity suppliers in a manner consistent with the Commission’s rules.  Respondent argues Complainant requested the switch to FirstEnergy on July 16, 2013 but Respondent </w:t>
      </w:r>
      <w:r w:rsidR="00CF150E">
        <w:t>wait</w:t>
      </w:r>
      <w:r w:rsidR="00584A00">
        <w:t>ed until it received</w:t>
      </w:r>
      <w:r w:rsidR="00CF150E">
        <w:t xml:space="preserve"> notice of enrollment from a new generati</w:t>
      </w:r>
      <w:r w:rsidR="00584A00">
        <w:t>on supplier before PPL processed</w:t>
      </w:r>
      <w:r w:rsidR="00CF150E">
        <w:t xml:space="preserve"> the changes in its system.  </w:t>
      </w:r>
      <w:r w:rsidR="00584A00">
        <w:t xml:space="preserve">In this situation, FirstEnergy sent PPL a notice of enrollment on the same date (July 16, 2013) and Respondent avers it correctly required Complainant to wait until the start of the next billing cycle before making the switch over to FirstEnergy because there were less than eleven days from the date Respondent received the notice of enrollment and the next scheduled meter reading.  </w:t>
      </w:r>
    </w:p>
    <w:p w:rsidR="00584A00" w:rsidRDefault="00584A00" w:rsidP="006C773F">
      <w:pPr>
        <w:spacing w:line="360" w:lineRule="auto"/>
      </w:pPr>
    </w:p>
    <w:p w:rsidR="006C773F" w:rsidRPr="008B455C" w:rsidRDefault="00CF150E" w:rsidP="00584A00">
      <w:pPr>
        <w:spacing w:line="360" w:lineRule="auto"/>
        <w:ind w:firstLine="1440"/>
      </w:pPr>
      <w:r>
        <w:t xml:space="preserve">Respondent contends it has an “eleven-day rule” as a result of </w:t>
      </w:r>
      <w:r w:rsidR="00893E2C">
        <w:t xml:space="preserve">Commission </w:t>
      </w:r>
      <w:r>
        <w:t xml:space="preserve">provisions in </w:t>
      </w:r>
      <w:r w:rsidR="00893E2C" w:rsidRPr="00893E2C">
        <w:rPr>
          <w:u w:val="single"/>
        </w:rPr>
        <w:t xml:space="preserve">Interim Guidelines Regarding Standards </w:t>
      </w:r>
      <w:proofErr w:type="gramStart"/>
      <w:r w:rsidR="00893E2C" w:rsidRPr="00893E2C">
        <w:rPr>
          <w:u w:val="single"/>
        </w:rPr>
        <w:t>For</w:t>
      </w:r>
      <w:proofErr w:type="gramEnd"/>
      <w:r w:rsidR="00893E2C" w:rsidRPr="00893E2C">
        <w:rPr>
          <w:u w:val="single"/>
        </w:rPr>
        <w:t xml:space="preserve"> Changing a Customer’s Electricity Generation Supplier</w:t>
      </w:r>
      <w:r>
        <w:t>, Docket No. M-2011-2270442 (</w:t>
      </w:r>
      <w:r w:rsidR="00B302EA">
        <w:t xml:space="preserve">Final </w:t>
      </w:r>
      <w:r>
        <w:t>Order dated</w:t>
      </w:r>
      <w:r w:rsidR="00893E2C">
        <w:t xml:space="preserve"> </w:t>
      </w:r>
      <w:r w:rsidR="00B302EA">
        <w:t>October 24, 2012</w:t>
      </w:r>
      <w:r>
        <w:t xml:space="preserve">): if the meter reading is scheduled to take place on the account more than eleven days from the date PPL receives the enrollment notice, then the start date will be the next bill, but if PPL receives the enrollment notice less than eleven days before the next meter reading, then the enrollment will be delayed by one billing cycle.  </w:t>
      </w:r>
      <w:r w:rsidR="00584A00">
        <w:t xml:space="preserve">Therefore, Respondent contends it was correct to require </w:t>
      </w:r>
      <w:r w:rsidR="00584A00">
        <w:lastRenderedPageBreak/>
        <w:t>Complainant to wait until the August 14, 2013 meter reading date before making the switch to the new supplier.</w:t>
      </w:r>
    </w:p>
    <w:p w:rsidR="006C773F" w:rsidRDefault="006C773F" w:rsidP="006C773F">
      <w:pPr>
        <w:pStyle w:val="BodyText"/>
        <w:jc w:val="left"/>
        <w:rPr>
          <w:sz w:val="24"/>
          <w:szCs w:val="24"/>
        </w:rPr>
      </w:pPr>
    </w:p>
    <w:p w:rsidR="00126B45" w:rsidRPr="00A41132" w:rsidRDefault="00126B45" w:rsidP="00126B45">
      <w:pPr>
        <w:spacing w:line="360" w:lineRule="auto"/>
        <w:rPr>
          <w:u w:val="single"/>
        </w:rPr>
      </w:pPr>
      <w:r w:rsidRPr="00A41132">
        <w:rPr>
          <w:u w:val="single"/>
        </w:rPr>
        <w:t>Burden of Proof</w:t>
      </w:r>
    </w:p>
    <w:p w:rsidR="00126B45" w:rsidRPr="00A41132" w:rsidRDefault="00126B45" w:rsidP="00126B45">
      <w:pPr>
        <w:spacing w:line="360" w:lineRule="auto"/>
      </w:pPr>
    </w:p>
    <w:p w:rsidR="004A0254" w:rsidRDefault="00126B45" w:rsidP="004A0254">
      <w:pPr>
        <w:spacing w:line="360" w:lineRule="auto"/>
        <w:ind w:firstLine="1440"/>
      </w:pPr>
      <w:r w:rsidRPr="00A41132">
        <w:t>As the party seeking affirmative relief from the Commission, Complainant bears the burden of provin</w:t>
      </w:r>
      <w:r>
        <w:t xml:space="preserve">g by substantial evidence </w:t>
      </w:r>
      <w:r w:rsidRPr="00A41132">
        <w:t xml:space="preserve">he is entitled to the requested relief.  66 </w:t>
      </w:r>
      <w:proofErr w:type="spellStart"/>
      <w:r w:rsidRPr="00A41132">
        <w:t>Pa.C.S.</w:t>
      </w:r>
      <w:r>
        <w:t>A</w:t>
      </w:r>
      <w:proofErr w:type="spellEnd"/>
      <w:r>
        <w:t>.</w:t>
      </w:r>
      <w:r w:rsidRPr="00A41132">
        <w:t xml:space="preserve"> § 332(a).  To satisfy this burden, Complainant must show </w:t>
      </w:r>
      <w:r>
        <w:t>Respondent utility</w:t>
      </w:r>
      <w:r w:rsidRPr="00A41132">
        <w:t xml:space="preserve"> is responsible or accountable for the problem described.</w:t>
      </w:r>
      <w:r>
        <w:rPr>
          <w:rStyle w:val="FootnoteReference"/>
        </w:rPr>
        <w:footnoteReference w:id="1"/>
      </w:r>
      <w:r w:rsidRPr="00A41132">
        <w:t xml:space="preserve">  </w:t>
      </w:r>
      <w:r>
        <w:t xml:space="preserve">Complainant must show this fact to be true </w:t>
      </w:r>
      <w:r w:rsidRPr="00A41132">
        <w:t xml:space="preserve">by a preponderance of the evidence, that is, by presenting evidence more convincing, by even the smallest amount, than that </w:t>
      </w:r>
      <w:r>
        <w:t xml:space="preserve">evidence </w:t>
      </w:r>
      <w:r w:rsidRPr="00A41132">
        <w:t>presented by the other party.</w:t>
      </w:r>
      <w:r>
        <w:rPr>
          <w:rStyle w:val="FootnoteReference"/>
        </w:rPr>
        <w:footnoteReference w:id="2"/>
      </w:r>
      <w:r w:rsidRPr="00A41132">
        <w:t xml:space="preserve">  Additionally, any finding of fact necessary to support the Commission’s adjudication must be based upon substantial evidence.</w:t>
      </w:r>
      <w:r>
        <w:rPr>
          <w:rStyle w:val="FootnoteReference"/>
        </w:rPr>
        <w:footnoteReference w:id="3"/>
      </w:r>
      <w:r w:rsidRPr="00A41132">
        <w:t xml:space="preserve">  </w:t>
      </w:r>
      <w:r>
        <w:t xml:space="preserve">Furthermore, more evidence </w:t>
      </w:r>
      <w:r w:rsidRPr="00A41132">
        <w:t>is required than a mere trace of evidence or a suspicion of the existence of a fact sought to be established.</w:t>
      </w:r>
      <w:r>
        <w:rPr>
          <w:rStyle w:val="FootnoteReference"/>
        </w:rPr>
        <w:footnoteReference w:id="4"/>
      </w:r>
      <w:r w:rsidRPr="00A41132">
        <w:t xml:space="preserve">  </w:t>
      </w:r>
      <w:r w:rsidR="004A0254" w:rsidRPr="004E7308">
        <w:t>As the party seeking affirmative relief from the Commission, Complainant bears the burden of proof</w:t>
      </w:r>
      <w:r w:rsidR="004A0254">
        <w:t xml:space="preserve"> by substantial evidence</w:t>
      </w:r>
      <w:r w:rsidR="004A0254" w:rsidRPr="004E7308">
        <w:t xml:space="preserve">.  66 </w:t>
      </w:r>
      <w:proofErr w:type="spellStart"/>
      <w:r w:rsidR="004A0254" w:rsidRPr="004E7308">
        <w:t>Pa.C.S.</w:t>
      </w:r>
      <w:r w:rsidR="004A0254">
        <w:t>A</w:t>
      </w:r>
      <w:proofErr w:type="spellEnd"/>
      <w:r w:rsidR="004A0254">
        <w:t>.</w:t>
      </w:r>
      <w:r w:rsidR="004A0254" w:rsidRPr="004E7308">
        <w:t xml:space="preserve"> §</w:t>
      </w:r>
      <w:r w:rsidR="0028164C">
        <w:t> </w:t>
      </w:r>
      <w:r w:rsidR="004A0254" w:rsidRPr="004E7308">
        <w:t>332(a).</w:t>
      </w:r>
      <w:r w:rsidR="004A0254">
        <w:t xml:space="preserve">  </w:t>
      </w:r>
    </w:p>
    <w:p w:rsidR="004A0254" w:rsidRDefault="004A0254" w:rsidP="007E48E1">
      <w:pPr>
        <w:pStyle w:val="BodyText"/>
        <w:jc w:val="left"/>
        <w:rPr>
          <w:sz w:val="24"/>
          <w:szCs w:val="24"/>
        </w:rPr>
      </w:pPr>
    </w:p>
    <w:p w:rsidR="00B32996" w:rsidRPr="004A0254" w:rsidRDefault="004A0254" w:rsidP="007E48E1">
      <w:pPr>
        <w:pStyle w:val="BodyText"/>
        <w:jc w:val="left"/>
        <w:rPr>
          <w:sz w:val="24"/>
          <w:szCs w:val="24"/>
          <w:u w:val="single"/>
        </w:rPr>
      </w:pPr>
      <w:r w:rsidRPr="004A0254">
        <w:rPr>
          <w:sz w:val="24"/>
          <w:szCs w:val="24"/>
          <w:u w:val="single"/>
        </w:rPr>
        <w:t>Responsibility of Public Utility Companies</w:t>
      </w:r>
    </w:p>
    <w:p w:rsidR="004A0254" w:rsidRPr="008B455C" w:rsidRDefault="004A0254" w:rsidP="007E48E1">
      <w:pPr>
        <w:pStyle w:val="BodyText"/>
        <w:jc w:val="left"/>
        <w:rPr>
          <w:sz w:val="24"/>
          <w:szCs w:val="24"/>
        </w:rPr>
      </w:pPr>
    </w:p>
    <w:p w:rsidR="007E48E1" w:rsidRDefault="007E48E1" w:rsidP="007E48E1">
      <w:pPr>
        <w:pStyle w:val="BodyText"/>
        <w:ind w:firstLine="144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w:t>
      </w:r>
      <w:r>
        <w:rPr>
          <w:sz w:val="24"/>
          <w:szCs w:val="24"/>
        </w:rPr>
        <w:lastRenderedPageBreak/>
        <w:t xml:space="preserve">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w:t>
      </w:r>
      <w:r w:rsidR="0093152B">
        <w:rPr>
          <w:sz w:val="24"/>
          <w:szCs w:val="24"/>
        </w:rPr>
        <w:t xml:space="preserve"> </w:t>
      </w:r>
      <w:r>
        <w:rPr>
          <w:sz w:val="24"/>
          <w:szCs w:val="24"/>
        </w:rPr>
        <w:t>1501.</w:t>
      </w:r>
    </w:p>
    <w:p w:rsidR="007E48E1" w:rsidRDefault="007E48E1" w:rsidP="007E48E1">
      <w:pPr>
        <w:pStyle w:val="BodyText"/>
        <w:ind w:firstLine="1440"/>
        <w:jc w:val="left"/>
        <w:rPr>
          <w:sz w:val="24"/>
          <w:szCs w:val="24"/>
        </w:rPr>
      </w:pPr>
    </w:p>
    <w:p w:rsidR="00E9204D" w:rsidRDefault="007E48E1" w:rsidP="00E9204D">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w:t>
      </w:r>
      <w:proofErr w:type="spellStart"/>
      <w:r w:rsidRPr="00BF51E4">
        <w:rPr>
          <w:sz w:val="24"/>
          <w:szCs w:val="24"/>
        </w:rPr>
        <w:t>Pa.C.S.</w:t>
      </w:r>
      <w:r>
        <w:rPr>
          <w:sz w:val="24"/>
          <w:szCs w:val="24"/>
        </w:rPr>
        <w:t>A</w:t>
      </w:r>
      <w:proofErr w:type="spellEnd"/>
      <w:r>
        <w:rPr>
          <w:sz w:val="24"/>
          <w:szCs w:val="24"/>
        </w:rPr>
        <w:t>.</w:t>
      </w:r>
      <w:r w:rsidRPr="00BF51E4">
        <w:rPr>
          <w:sz w:val="24"/>
          <w:szCs w:val="24"/>
        </w:rPr>
        <w:t xml:space="preserve"> §</w:t>
      </w:r>
      <w:r w:rsidR="0093152B">
        <w:rPr>
          <w:sz w:val="24"/>
          <w:szCs w:val="24"/>
        </w:rPr>
        <w:t xml:space="preserve"> </w:t>
      </w:r>
      <w:r w:rsidRPr="00BF51E4">
        <w:rPr>
          <w:sz w:val="24"/>
          <w:szCs w:val="24"/>
        </w:rPr>
        <w:t>1501</w:t>
      </w:r>
      <w:r>
        <w:rPr>
          <w:sz w:val="24"/>
          <w:szCs w:val="24"/>
        </w:rPr>
        <w:t xml:space="preserve"> and §</w:t>
      </w:r>
      <w:r w:rsidR="0093152B">
        <w:rPr>
          <w:sz w:val="24"/>
          <w:szCs w:val="24"/>
        </w:rPr>
        <w:t xml:space="preserve"> </w:t>
      </w:r>
      <w:r w:rsidRPr="00BF51E4">
        <w:rPr>
          <w:sz w:val="24"/>
          <w:szCs w:val="24"/>
        </w:rPr>
        <w:t xml:space="preserve">1502.  The Commission approves the cost of providing a utility system that is designed to provide reasonable service at reasonable rates </w:t>
      </w:r>
      <w:r w:rsidR="0093152B">
        <w:rPr>
          <w:sz w:val="24"/>
          <w:szCs w:val="24"/>
        </w:rPr>
        <w:t>–</w:t>
      </w:r>
      <w:r w:rsidRPr="00BF51E4">
        <w:rPr>
          <w:sz w:val="24"/>
          <w:szCs w:val="24"/>
        </w:rPr>
        <w:t xml:space="preserve"> not perfect service without regard to cost.  Since reasonable service may result in occasional loss of service or property damage, the Commission </w:t>
      </w:r>
      <w:r>
        <w:rPr>
          <w:sz w:val="24"/>
          <w:szCs w:val="24"/>
        </w:rPr>
        <w:t xml:space="preserve">is permitted </w:t>
      </w:r>
      <w:r w:rsidRPr="00BF51E4">
        <w:rPr>
          <w:sz w:val="24"/>
          <w:szCs w:val="24"/>
        </w:rPr>
        <w:t>to limit liability.</w:t>
      </w:r>
      <w:r w:rsidR="00A6043D">
        <w:rPr>
          <w:rStyle w:val="FootnoteReference"/>
          <w:sz w:val="24"/>
          <w:szCs w:val="24"/>
        </w:rPr>
        <w:footnoteReference w:id="5"/>
      </w:r>
      <w:r w:rsidRPr="00BF51E4">
        <w:rPr>
          <w:sz w:val="24"/>
          <w:szCs w:val="24"/>
        </w:rPr>
        <w:t xml:space="preserve">  </w:t>
      </w:r>
      <w:r>
        <w:rPr>
          <w:sz w:val="24"/>
          <w:szCs w:val="24"/>
        </w:rPr>
        <w:t xml:space="preserve">  </w:t>
      </w:r>
    </w:p>
    <w:p w:rsidR="004A0254" w:rsidRDefault="004A0254" w:rsidP="004A0254">
      <w:pPr>
        <w:pStyle w:val="BodyText"/>
        <w:jc w:val="left"/>
        <w:rPr>
          <w:sz w:val="24"/>
          <w:szCs w:val="24"/>
        </w:rPr>
      </w:pPr>
    </w:p>
    <w:p w:rsidR="004A0254" w:rsidRPr="004A0254" w:rsidRDefault="004A0254" w:rsidP="004A0254">
      <w:pPr>
        <w:pStyle w:val="BodyText"/>
        <w:jc w:val="left"/>
        <w:rPr>
          <w:sz w:val="24"/>
          <w:szCs w:val="24"/>
          <w:u w:val="single"/>
        </w:rPr>
      </w:pPr>
      <w:r w:rsidRPr="004A0254">
        <w:rPr>
          <w:sz w:val="24"/>
          <w:szCs w:val="24"/>
          <w:u w:val="single"/>
        </w:rPr>
        <w:t>Analysis</w:t>
      </w:r>
    </w:p>
    <w:p w:rsidR="004A0254" w:rsidRDefault="004A0254" w:rsidP="004A0254">
      <w:pPr>
        <w:pStyle w:val="BodyText"/>
        <w:jc w:val="left"/>
        <w:rPr>
          <w:sz w:val="24"/>
          <w:szCs w:val="24"/>
        </w:rPr>
      </w:pPr>
    </w:p>
    <w:p w:rsidR="00D63F09" w:rsidRDefault="007E48E1" w:rsidP="00DF6FF6">
      <w:pPr>
        <w:pStyle w:val="BodyText"/>
        <w:ind w:firstLine="1440"/>
        <w:jc w:val="left"/>
        <w:rPr>
          <w:sz w:val="24"/>
          <w:szCs w:val="24"/>
        </w:rPr>
      </w:pPr>
      <w:r>
        <w:rPr>
          <w:sz w:val="24"/>
          <w:szCs w:val="24"/>
        </w:rPr>
        <w:t xml:space="preserve">The testimony presented sufficiently proved </w:t>
      </w:r>
      <w:r w:rsidR="00584A00">
        <w:rPr>
          <w:sz w:val="24"/>
          <w:szCs w:val="24"/>
        </w:rPr>
        <w:t>Complainant did not inform PPL of his desire to switch suppliers until at least July 9, 2013.  Complainant testified he called PPL to make the initial request back on June 26, 2013 but his testimony is outweighed by PPL</w:t>
      </w:r>
      <w:r w:rsidR="007273E4">
        <w:rPr>
          <w:sz w:val="24"/>
          <w:szCs w:val="24"/>
        </w:rPr>
        <w:t xml:space="preserve"> </w:t>
      </w:r>
      <w:r w:rsidR="00584A00">
        <w:rPr>
          <w:sz w:val="24"/>
          <w:szCs w:val="24"/>
        </w:rPr>
        <w:t xml:space="preserve">Exhibit 2, which shows PPL received no contacts from Complainant in June 2013.  </w:t>
      </w:r>
      <w:r w:rsidR="000F17E7">
        <w:rPr>
          <w:sz w:val="24"/>
          <w:szCs w:val="24"/>
        </w:rPr>
        <w:t xml:space="preserve">Instead, the evidence convincingly proved Complainant made his initial call to switch in July 2013 when less than eleven days would elapse before the next scheduled meter reading.  It was appropriate and not unreasonable for PPL to wait until the next scheduled meter reading (on August 14, 2013) before making the switch.  By that time, Complainant had changed his mind and wanted to switch to FirstEnergy but that second switch did not cause any delay in PPL removing Dominion Energy as Complainant’s supplier.  </w:t>
      </w:r>
    </w:p>
    <w:p w:rsidR="000F17E7" w:rsidRDefault="000F17E7" w:rsidP="00DF6FF6">
      <w:pPr>
        <w:pStyle w:val="BodyText"/>
        <w:ind w:firstLine="1440"/>
        <w:jc w:val="left"/>
        <w:rPr>
          <w:sz w:val="24"/>
          <w:szCs w:val="24"/>
        </w:rPr>
      </w:pPr>
    </w:p>
    <w:p w:rsidR="000F17E7" w:rsidRDefault="000F17E7" w:rsidP="00DF6FF6">
      <w:pPr>
        <w:pStyle w:val="BodyText"/>
        <w:ind w:firstLine="1440"/>
        <w:jc w:val="left"/>
        <w:rPr>
          <w:sz w:val="24"/>
          <w:szCs w:val="24"/>
        </w:rPr>
      </w:pPr>
      <w:r>
        <w:rPr>
          <w:sz w:val="24"/>
          <w:szCs w:val="24"/>
        </w:rPr>
        <w:t xml:space="preserve">It is appropriate for PPL to have relied upon the Final-Omitted Rulemaking Order issued by the Commission on April 3, 2014 even though these actions occurred approximately nine months before the Final Order was issued.  The Final Order was based upon the Interim </w:t>
      </w:r>
      <w:r>
        <w:rPr>
          <w:sz w:val="24"/>
          <w:szCs w:val="24"/>
        </w:rPr>
        <w:lastRenderedPageBreak/>
        <w:t xml:space="preserve">Guidelines which were issued on October 25, 2012, approximately eight months before Complainant first called PPL to make a switch in his supplier.  </w:t>
      </w:r>
    </w:p>
    <w:p w:rsidR="00BC5324" w:rsidRDefault="00BC5324" w:rsidP="00DF6FF6">
      <w:pPr>
        <w:pStyle w:val="BodyText"/>
        <w:ind w:firstLine="1440"/>
        <w:jc w:val="left"/>
        <w:rPr>
          <w:sz w:val="24"/>
          <w:szCs w:val="24"/>
        </w:rPr>
      </w:pPr>
    </w:p>
    <w:p w:rsidR="00BC5324" w:rsidRDefault="00BC5324" w:rsidP="00DF6FF6">
      <w:pPr>
        <w:pStyle w:val="BodyText"/>
        <w:ind w:firstLine="1440"/>
        <w:jc w:val="left"/>
        <w:rPr>
          <w:sz w:val="24"/>
          <w:szCs w:val="24"/>
        </w:rPr>
      </w:pPr>
      <w:proofErr w:type="gramStart"/>
      <w:r>
        <w:rPr>
          <w:sz w:val="24"/>
          <w:szCs w:val="24"/>
        </w:rPr>
        <w:t>Since 1998</w:t>
      </w:r>
      <w:r w:rsidR="00FD0EC3">
        <w:rPr>
          <w:sz w:val="24"/>
          <w:szCs w:val="24"/>
        </w:rPr>
        <w:t xml:space="preserve">, when regulations were promulgated at 52 </w:t>
      </w:r>
      <w:proofErr w:type="spellStart"/>
      <w:r w:rsidR="00FD0EC3">
        <w:rPr>
          <w:sz w:val="24"/>
          <w:szCs w:val="24"/>
        </w:rPr>
        <w:t>Pa.Code</w:t>
      </w:r>
      <w:proofErr w:type="spellEnd"/>
      <w:r w:rsidR="00FD0EC3">
        <w:rPr>
          <w:sz w:val="24"/>
          <w:szCs w:val="24"/>
        </w:rPr>
        <w:t xml:space="preserve"> § 57.171 - §</w:t>
      </w:r>
      <w:r w:rsidR="004E18A6">
        <w:rPr>
          <w:sz w:val="24"/>
          <w:szCs w:val="24"/>
        </w:rPr>
        <w:t> </w:t>
      </w:r>
      <w:r w:rsidR="00FD0EC3">
        <w:rPr>
          <w:sz w:val="24"/>
          <w:szCs w:val="24"/>
        </w:rPr>
        <w:t xml:space="preserve">57.179 pursuant to the Commission’s statute at 66 </w:t>
      </w:r>
      <w:proofErr w:type="spellStart"/>
      <w:r w:rsidR="00FD0EC3">
        <w:rPr>
          <w:sz w:val="24"/>
          <w:szCs w:val="24"/>
        </w:rPr>
        <w:t>Pa.C.S.A</w:t>
      </w:r>
      <w:proofErr w:type="spellEnd"/>
      <w:r w:rsidR="00FD0EC3">
        <w:rPr>
          <w:sz w:val="24"/>
          <w:szCs w:val="24"/>
        </w:rPr>
        <w:t>.</w:t>
      </w:r>
      <w:proofErr w:type="gramEnd"/>
      <w:r w:rsidR="00FD0EC3">
        <w:rPr>
          <w:sz w:val="24"/>
          <w:szCs w:val="24"/>
        </w:rPr>
        <w:t xml:space="preserve"> §2807(d)(1)</w:t>
      </w:r>
      <w:r>
        <w:rPr>
          <w:sz w:val="24"/>
          <w:szCs w:val="24"/>
        </w:rPr>
        <w:t xml:space="preserve">, the Commission has required any new supplier to notify (by use of a notice of enrollment) the distribution company by the next business day after a customer calls a new supplier and wants to switch suppliers.  Once the distribution company receives the notice of enrollment, the distribution company is required to send the customer a ten-day notice in order to provide the customer with ten days in which to change his/her mind or to object if the customer did not want to make the switch.  </w:t>
      </w:r>
      <w:r w:rsidR="00FD0EC3">
        <w:rPr>
          <w:sz w:val="24"/>
          <w:szCs w:val="24"/>
        </w:rPr>
        <w:t xml:space="preserve">Not surprisingly then, the Commission requires the distribution </w:t>
      </w:r>
      <w:r w:rsidR="004E18A6">
        <w:rPr>
          <w:sz w:val="24"/>
          <w:szCs w:val="24"/>
        </w:rPr>
        <w:t xml:space="preserve">company </w:t>
      </w:r>
      <w:r w:rsidR="00FD0EC3">
        <w:rPr>
          <w:sz w:val="24"/>
          <w:szCs w:val="24"/>
        </w:rPr>
        <w:t xml:space="preserve">to make the switch effective at the beginning of the first feasible billing period after the ten-day waiting period expires.  PPL has interpreted the phrase, “the beginning of the first feasible billing period” to mean at the time of the next scheduled meter reading date, but only if the next scheduled meter reading date is scheduled to occur in more than eleven days.  The purpose of requiring a distribution company to wait was a provision given primarily for the </w:t>
      </w:r>
      <w:r w:rsidR="00FD0EC3" w:rsidRPr="00FD0EC3">
        <w:rPr>
          <w:sz w:val="24"/>
          <w:szCs w:val="24"/>
          <w:u w:val="single"/>
        </w:rPr>
        <w:t>customer’s</w:t>
      </w:r>
      <w:r w:rsidR="00FD0EC3">
        <w:rPr>
          <w:sz w:val="24"/>
          <w:szCs w:val="24"/>
        </w:rPr>
        <w:t xml:space="preserve"> benefit, so the customer has time to object to a switch, but the provision also was meant to provide distribution companies with sufficient time in which to comply with all of the Commission’s rules and regulations.  </w:t>
      </w:r>
    </w:p>
    <w:p w:rsidR="00FD0EC3" w:rsidRDefault="00FD0EC3" w:rsidP="00DF6FF6">
      <w:pPr>
        <w:pStyle w:val="BodyText"/>
        <w:ind w:firstLine="1440"/>
        <w:jc w:val="left"/>
        <w:rPr>
          <w:sz w:val="24"/>
          <w:szCs w:val="24"/>
        </w:rPr>
      </w:pPr>
    </w:p>
    <w:p w:rsidR="00FD0EC3" w:rsidRDefault="00FD0EC3" w:rsidP="00DF6FF6">
      <w:pPr>
        <w:pStyle w:val="BodyText"/>
        <w:ind w:firstLine="1440"/>
        <w:jc w:val="left"/>
        <w:rPr>
          <w:sz w:val="24"/>
          <w:szCs w:val="24"/>
        </w:rPr>
      </w:pPr>
      <w:r>
        <w:rPr>
          <w:sz w:val="24"/>
          <w:szCs w:val="24"/>
        </w:rPr>
        <w:t xml:space="preserve">Prior to October 2012 (when the Interim Guidelines were published), the time in which distribution companies were required to make a supplier switch could vary from as little as sixteen (16) days to as many as forty-five (45) days.  </w:t>
      </w:r>
      <w:r w:rsidR="00716895">
        <w:rPr>
          <w:sz w:val="24"/>
          <w:szCs w:val="24"/>
        </w:rPr>
        <w:t xml:space="preserve">With the publication of the Interim </w:t>
      </w:r>
      <w:r w:rsidR="00E77925">
        <w:rPr>
          <w:sz w:val="24"/>
          <w:szCs w:val="24"/>
        </w:rPr>
        <w:t>G</w:t>
      </w:r>
      <w:r w:rsidR="00716895">
        <w:rPr>
          <w:sz w:val="24"/>
          <w:szCs w:val="24"/>
        </w:rPr>
        <w:t xml:space="preserve">uidelines in October 2012, the Commission indicated a five-day period was a sufficient amount of time in which to notify customers about the upcoming switch but the Commission also indicated it was interested in determining the impact of shortening the notice period (from ten days to five days), and might change the notice period again in the future.  The Commission’s purpose was to facilitate mid-cycle supplier switching (e.g., switching that occurs in between </w:t>
      </w:r>
      <w:r w:rsidR="00716895">
        <w:rPr>
          <w:sz w:val="24"/>
          <w:szCs w:val="24"/>
        </w:rPr>
        <w:lastRenderedPageBreak/>
        <w:t>meter readings) “so that customers could respond more rapidly to retail market price offers and mitigate potential price increases associated with variable-priced contracts.”</w:t>
      </w:r>
      <w:r w:rsidR="00716895">
        <w:rPr>
          <w:rStyle w:val="FootnoteReference"/>
          <w:sz w:val="24"/>
          <w:szCs w:val="24"/>
        </w:rPr>
        <w:footnoteReference w:id="6"/>
      </w:r>
      <w:r w:rsidR="00716895">
        <w:rPr>
          <w:sz w:val="24"/>
          <w:szCs w:val="24"/>
        </w:rPr>
        <w:t xml:space="preserve">  </w:t>
      </w:r>
    </w:p>
    <w:p w:rsidR="004E18A6" w:rsidRDefault="004E18A6" w:rsidP="00DF6FF6">
      <w:pPr>
        <w:pStyle w:val="BodyText"/>
        <w:ind w:firstLine="1440"/>
        <w:jc w:val="left"/>
        <w:rPr>
          <w:sz w:val="24"/>
          <w:szCs w:val="24"/>
        </w:rPr>
      </w:pPr>
    </w:p>
    <w:p w:rsidR="00753E96" w:rsidRDefault="00753E96" w:rsidP="00DF6FF6">
      <w:pPr>
        <w:pStyle w:val="BodyText"/>
        <w:ind w:firstLine="1440"/>
        <w:jc w:val="left"/>
        <w:rPr>
          <w:sz w:val="24"/>
          <w:szCs w:val="24"/>
        </w:rPr>
      </w:pPr>
      <w:r>
        <w:rPr>
          <w:sz w:val="24"/>
          <w:szCs w:val="24"/>
        </w:rPr>
        <w:t xml:space="preserve">It was appropriate and consistent with the Commission’s rules and regulations for PPL to wait until the next meter reading schedule before switching Complainant’s supplier to FirstEnergy.  From July 9, 2013 until August 14, 2013 (when the switch was made) was a period of approximately thirty-six (36) days.  That length of time was not inappropriate or unreasonable.  </w:t>
      </w:r>
      <w:r w:rsidR="004E18A6">
        <w:rPr>
          <w:sz w:val="24"/>
          <w:szCs w:val="24"/>
        </w:rPr>
        <w:t>In addition, the distribution company is not required to provide notice to its customers before the generation supplier changes the rate it charges.  The generation supplier is a totally separate legal entity and PPL has no control over what rate is charged for the commodity.</w:t>
      </w:r>
      <w:r w:rsidR="004E18A6">
        <w:rPr>
          <w:sz w:val="24"/>
          <w:szCs w:val="24"/>
        </w:rPr>
        <w:t xml:space="preserve">  </w:t>
      </w:r>
      <w:r>
        <w:rPr>
          <w:sz w:val="24"/>
          <w:szCs w:val="24"/>
        </w:rPr>
        <w:t>Therefore, Complainant’s formal complaint will be denied because he did not meet the burden of proving PPL failed to comply with the Commission’s rules and regulations.</w:t>
      </w:r>
    </w:p>
    <w:p w:rsidR="004E18A6" w:rsidRDefault="004E18A6" w:rsidP="00DF6FF6">
      <w:pPr>
        <w:pStyle w:val="BodyText"/>
        <w:ind w:firstLine="1440"/>
        <w:jc w:val="left"/>
        <w:rPr>
          <w:sz w:val="24"/>
          <w:szCs w:val="24"/>
        </w:rPr>
      </w:pPr>
    </w:p>
    <w:p w:rsidR="00D63F09" w:rsidRDefault="00D63F09" w:rsidP="00DC090B">
      <w:pPr>
        <w:pStyle w:val="BodyText"/>
        <w:jc w:val="center"/>
        <w:rPr>
          <w:u w:val="single"/>
        </w:rPr>
      </w:pP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w:t>
      </w:r>
      <w:proofErr w:type="gramStart"/>
      <w:r w:rsidRPr="008B455C">
        <w:t xml:space="preserve">66 </w:t>
      </w:r>
      <w:proofErr w:type="spellStart"/>
      <w:r w:rsidRPr="008B455C">
        <w:t>Pa.C.S.</w:t>
      </w:r>
      <w:r w:rsidR="006C7416">
        <w:t>A</w:t>
      </w:r>
      <w:proofErr w:type="spellEnd"/>
      <w:r w:rsidR="006C7416">
        <w:t>.</w:t>
      </w:r>
      <w:proofErr w:type="gramEnd"/>
      <w:r w:rsidRPr="008B455C">
        <w:t xml:space="preserve"> §</w:t>
      </w:r>
      <w:r w:rsidR="00E561DC">
        <w:t xml:space="preserve"> </w:t>
      </w:r>
      <w:r w:rsidRPr="008B455C">
        <w:t>701.</w:t>
      </w:r>
    </w:p>
    <w:p w:rsidR="007E48E1" w:rsidRPr="008B455C" w:rsidRDefault="007E48E1" w:rsidP="007E48E1">
      <w:pPr>
        <w:tabs>
          <w:tab w:val="num" w:pos="2160"/>
        </w:tabs>
        <w:spacing w:line="360" w:lineRule="auto"/>
        <w:ind w:firstLine="1260"/>
      </w:pPr>
    </w:p>
    <w:p w:rsidR="007E48E1" w:rsidRPr="008B455C" w:rsidRDefault="007E48E1" w:rsidP="007E48E1">
      <w:pPr>
        <w:spacing w:line="360" w:lineRule="auto"/>
      </w:pPr>
      <w:r w:rsidRPr="008B455C">
        <w:tab/>
      </w:r>
      <w:r w:rsidRPr="008B455C">
        <w:tab/>
        <w:t>2.</w:t>
      </w:r>
      <w:r w:rsidRPr="008B455C">
        <w:tab/>
      </w:r>
      <w:r>
        <w:t>Complainant</w:t>
      </w:r>
      <w:r w:rsidRPr="008B455C">
        <w:t xml:space="preserve"> carr</w:t>
      </w:r>
      <w:r>
        <w:t>ies</w:t>
      </w:r>
      <w:r w:rsidRPr="008B455C">
        <w:t xml:space="preserve"> the burden of proving Respondent</w:t>
      </w:r>
      <w:r>
        <w:t xml:space="preserve"> did not provide reasonable and adequate service</w:t>
      </w:r>
      <w:r w:rsidRPr="008B455C">
        <w:t xml:space="preserve">.  66 </w:t>
      </w:r>
      <w:proofErr w:type="spellStart"/>
      <w:r w:rsidRPr="008B455C">
        <w:t>Pa.C.S.A</w:t>
      </w:r>
      <w:proofErr w:type="spellEnd"/>
      <w:r w:rsidRPr="008B455C">
        <w:t>. §</w:t>
      </w:r>
      <w:r w:rsidR="00E561DC">
        <w:t xml:space="preserve"> </w:t>
      </w:r>
      <w:r w:rsidRPr="008B455C">
        <w:t>332(a).</w:t>
      </w:r>
    </w:p>
    <w:p w:rsidR="007E48E1" w:rsidRPr="008B455C" w:rsidRDefault="007E48E1" w:rsidP="007E48E1">
      <w:pPr>
        <w:spacing w:line="360" w:lineRule="auto"/>
      </w:pPr>
    </w:p>
    <w:p w:rsidR="007E48E1" w:rsidRDefault="007E48E1" w:rsidP="007E48E1">
      <w:pPr>
        <w:pStyle w:val="FootnoteText"/>
        <w:spacing w:line="360" w:lineRule="auto"/>
        <w:rPr>
          <w:sz w:val="24"/>
          <w:szCs w:val="24"/>
        </w:rPr>
      </w:pPr>
      <w:r w:rsidRPr="008B455C">
        <w:rPr>
          <w:sz w:val="24"/>
          <w:szCs w:val="24"/>
        </w:rPr>
        <w:tab/>
      </w:r>
      <w:r w:rsidRPr="008B455C">
        <w:rPr>
          <w:sz w:val="24"/>
          <w:szCs w:val="24"/>
        </w:rPr>
        <w:tab/>
        <w:t>3.</w:t>
      </w:r>
      <w:r w:rsidRPr="008B455C">
        <w:rPr>
          <w:sz w:val="24"/>
          <w:szCs w:val="24"/>
        </w:rPr>
        <w:tab/>
      </w:r>
      <w:r>
        <w:rPr>
          <w:sz w:val="24"/>
          <w:szCs w:val="24"/>
        </w:rPr>
        <w:t xml:space="preserve">Respondent provided Complainant with reasonable and adequate customer service in </w:t>
      </w:r>
      <w:r w:rsidR="00753E96">
        <w:rPr>
          <w:sz w:val="24"/>
          <w:szCs w:val="24"/>
        </w:rPr>
        <w:t>the length of time it took to switch Complainant’s supplier</w:t>
      </w:r>
      <w:r w:rsidRPr="008B455C">
        <w:rPr>
          <w:sz w:val="24"/>
          <w:szCs w:val="24"/>
        </w:rPr>
        <w:t xml:space="preserve">.  </w:t>
      </w:r>
    </w:p>
    <w:p w:rsidR="0066793C" w:rsidRPr="008B455C" w:rsidRDefault="0066793C" w:rsidP="007E48E1">
      <w:pPr>
        <w:pStyle w:val="FootnoteText"/>
        <w:spacing w:line="360" w:lineRule="auto"/>
        <w:rPr>
          <w:sz w:val="24"/>
          <w:szCs w:val="24"/>
        </w:rPr>
      </w:pPr>
    </w:p>
    <w:p w:rsidR="007E48E1" w:rsidRDefault="007E48E1" w:rsidP="007E48E1">
      <w:pPr>
        <w:spacing w:line="360" w:lineRule="auto"/>
      </w:pPr>
      <w:r w:rsidRPr="008B455C">
        <w:tab/>
      </w:r>
      <w:r w:rsidRPr="008B455C">
        <w:tab/>
        <w:t>4.</w:t>
      </w:r>
      <w:r w:rsidRPr="008B455C">
        <w:tab/>
      </w:r>
      <w:r>
        <w:t>Complainant</w:t>
      </w:r>
      <w:r w:rsidRPr="008B455C">
        <w:t xml:space="preserve"> </w:t>
      </w:r>
      <w:r>
        <w:t>failed to meet</w:t>
      </w:r>
      <w:r w:rsidRPr="008B455C">
        <w:t xml:space="preserve"> the burden of proving Respondent</w:t>
      </w:r>
      <w:r>
        <w:t xml:space="preserve"> did not provide reasonable and adequate service.  </w:t>
      </w:r>
      <w:r w:rsidRPr="008B455C">
        <w:t xml:space="preserve">  </w:t>
      </w:r>
    </w:p>
    <w:p w:rsidR="007E48E1" w:rsidRDefault="007E48E1" w:rsidP="007E48E1">
      <w:pPr>
        <w:spacing w:line="360" w:lineRule="auto"/>
      </w:pPr>
    </w:p>
    <w:p w:rsidR="00E26046" w:rsidRDefault="00E26046">
      <w:pPr>
        <w:rPr>
          <w:u w:val="single"/>
        </w:rPr>
      </w:pPr>
      <w:r>
        <w:rPr>
          <w:u w:val="single"/>
        </w:rPr>
        <w:br w:type="page"/>
      </w:r>
    </w:p>
    <w:p w:rsidR="007E48E1" w:rsidRPr="008B455C" w:rsidRDefault="007E48E1" w:rsidP="007E48E1">
      <w:pPr>
        <w:spacing w:line="360" w:lineRule="auto"/>
        <w:jc w:val="center"/>
        <w:rPr>
          <w:u w:val="single"/>
        </w:rPr>
      </w:pPr>
      <w:bookmarkStart w:id="0" w:name="_GoBack"/>
      <w:bookmarkEnd w:id="0"/>
      <w:r w:rsidRPr="008B455C">
        <w:rPr>
          <w:u w:val="single"/>
        </w:rPr>
        <w:lastRenderedPageBreak/>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DE391B">
      <w:pPr>
        <w:pStyle w:val="ListParagraph"/>
        <w:numPr>
          <w:ilvl w:val="0"/>
          <w:numId w:val="8"/>
        </w:numPr>
        <w:tabs>
          <w:tab w:val="num" w:pos="2160"/>
        </w:tabs>
        <w:spacing w:line="360" w:lineRule="auto"/>
        <w:ind w:left="0" w:firstLine="1440"/>
      </w:pPr>
      <w:r w:rsidRPr="008B455C">
        <w:t xml:space="preserve">That the complaint </w:t>
      </w:r>
      <w:r w:rsidRPr="002F64FF">
        <w:t xml:space="preserve">of </w:t>
      </w:r>
      <w:r w:rsidR="00DF6FF6">
        <w:t>Kenneth Singh versus PPL Electric Utilities Corporation</w:t>
      </w:r>
      <w:r w:rsidRPr="00055267">
        <w:t xml:space="preserve"> </w:t>
      </w:r>
      <w:r w:rsidRPr="008B455C">
        <w:t xml:space="preserve">at </w:t>
      </w:r>
      <w:r>
        <w:t>Docket No. C</w:t>
      </w:r>
      <w:r w:rsidRPr="008B455C">
        <w:noBreakHyphen/>
      </w:r>
      <w:r w:rsidR="009A4572">
        <w:t>2013-23</w:t>
      </w:r>
      <w:r w:rsidR="00DF6FF6">
        <w:t>83113</w:t>
      </w:r>
      <w:r w:rsidRPr="008B455C">
        <w:t xml:space="preserve"> </w:t>
      </w:r>
      <w:r w:rsidRPr="00EA1625">
        <w:t>hereby</w:t>
      </w:r>
      <w:r>
        <w:t xml:space="preserve"> is</w:t>
      </w:r>
      <w:r w:rsidRPr="00EA1625">
        <w:t xml:space="preserve"> </w:t>
      </w:r>
      <w:r>
        <w:t xml:space="preserve">denied because Complainant failed to prove </w:t>
      </w:r>
      <w:r w:rsidRPr="008B455C">
        <w:t>Respondent</w:t>
      </w:r>
      <w:r>
        <w:t xml:space="preserve"> did not provide reasonable and adequate service </w:t>
      </w:r>
      <w:r w:rsidR="00753E96">
        <w:t>in the length of time it took to switch Complainant’s supplier</w:t>
      </w:r>
      <w:r w:rsidRPr="008B455C">
        <w:t>.</w:t>
      </w:r>
    </w:p>
    <w:p w:rsidR="00DE391B" w:rsidRDefault="00DE391B" w:rsidP="00DE391B">
      <w:pPr>
        <w:spacing w:line="360" w:lineRule="auto"/>
        <w:ind w:firstLine="1440"/>
      </w:pPr>
    </w:p>
    <w:p w:rsidR="00DE391B" w:rsidRPr="00DE391B" w:rsidRDefault="00DE391B" w:rsidP="00DE391B">
      <w:pPr>
        <w:pStyle w:val="ListParagraph"/>
        <w:numPr>
          <w:ilvl w:val="0"/>
          <w:numId w:val="8"/>
        </w:numPr>
        <w:tabs>
          <w:tab w:val="left" w:pos="-1440"/>
          <w:tab w:val="left" w:pos="-720"/>
        </w:tabs>
        <w:suppressAutoHyphens/>
        <w:ind w:left="0" w:firstLine="1440"/>
        <w:rPr>
          <w:spacing w:val="-3"/>
        </w:rPr>
      </w:pPr>
      <w:r w:rsidRPr="00DE391B">
        <w:rPr>
          <w:spacing w:val="-3"/>
        </w:rPr>
        <w:t>That this docket be marked closed.</w:t>
      </w:r>
    </w:p>
    <w:p w:rsidR="00DE391B" w:rsidRDefault="00DE391B" w:rsidP="00DE391B">
      <w:pPr>
        <w:tabs>
          <w:tab w:val="num" w:pos="2160"/>
        </w:tabs>
        <w:spacing w:line="360" w:lineRule="auto"/>
        <w:ind w:firstLine="1440"/>
      </w:pPr>
    </w:p>
    <w:p w:rsidR="007E48E1" w:rsidRPr="008B455C" w:rsidRDefault="007E48E1" w:rsidP="007E48E1">
      <w:pPr>
        <w:tabs>
          <w:tab w:val="num" w:pos="2160"/>
        </w:tabs>
        <w:spacing w:line="360" w:lineRule="auto"/>
      </w:pPr>
      <w:r>
        <w:tab/>
      </w:r>
    </w:p>
    <w:p w:rsidR="007E48E1" w:rsidRPr="008B455C" w:rsidRDefault="007E48E1" w:rsidP="007E48E1">
      <w:pPr>
        <w:tabs>
          <w:tab w:val="num" w:pos="2160"/>
        </w:tabs>
        <w:spacing w:line="360" w:lineRule="auto"/>
        <w:ind w:firstLine="1440"/>
      </w:pPr>
      <w:r w:rsidRPr="008B455C">
        <w:tab/>
        <w:t xml:space="preserve"> </w:t>
      </w:r>
    </w:p>
    <w:p w:rsidR="00C04092" w:rsidRDefault="00B86EF4" w:rsidP="00C04092">
      <w:r>
        <w:t xml:space="preserve"> </w:t>
      </w:r>
      <w:r w:rsidR="00FE5CE7">
        <w:t xml:space="preserve">Date:  </w:t>
      </w:r>
      <w:r w:rsidR="00DF6FF6">
        <w:rPr>
          <w:u w:val="single"/>
        </w:rPr>
        <w:t xml:space="preserve">June </w:t>
      </w:r>
      <w:r w:rsidR="00753E96">
        <w:rPr>
          <w:u w:val="single"/>
        </w:rPr>
        <w:t>10</w:t>
      </w:r>
      <w:r w:rsidR="00FE5CE7" w:rsidRPr="00FE5CE7">
        <w:rPr>
          <w:u w:val="single"/>
        </w:rPr>
        <w:t>, 2014</w:t>
      </w:r>
      <w:r w:rsidR="00C04092">
        <w:tab/>
      </w:r>
      <w:r w:rsidR="00C04092">
        <w:tab/>
      </w:r>
      <w:r w:rsidR="00C04092">
        <w:tab/>
      </w:r>
      <w:r w:rsidR="00C04092">
        <w:tab/>
      </w:r>
      <w:r w:rsidR="00C04092">
        <w:tab/>
      </w:r>
      <w:r w:rsidR="00C04092">
        <w:tab/>
      </w:r>
      <w:r w:rsidR="00C04092">
        <w:rPr>
          <w:u w:val="single"/>
        </w:rPr>
        <w:tab/>
      </w:r>
      <w:r w:rsidR="00C04092">
        <w:rPr>
          <w:u w:val="single"/>
        </w:rPr>
        <w:tab/>
        <w:t>/s/</w:t>
      </w:r>
      <w:r w:rsidR="00C04092">
        <w:rPr>
          <w:u w:val="single"/>
        </w:rPr>
        <w:tab/>
      </w:r>
      <w:r w:rsidR="00C04092">
        <w:rPr>
          <w:u w:val="single"/>
        </w:rPr>
        <w:tab/>
      </w:r>
      <w:r w:rsidR="00C04092">
        <w:rPr>
          <w:u w:val="single"/>
        </w:rPr>
        <w:tab/>
      </w:r>
    </w:p>
    <w:p w:rsidR="007E48E1" w:rsidRPr="008B455C" w:rsidRDefault="007E48E1" w:rsidP="007E48E1">
      <w:pPr>
        <w:tabs>
          <w:tab w:val="num" w:pos="2160"/>
        </w:tabs>
      </w:pPr>
      <w:r w:rsidRPr="008B455C">
        <w:tab/>
      </w:r>
      <w:r w:rsidRPr="008B455C">
        <w:tab/>
      </w:r>
      <w:r w:rsidRPr="008B455C">
        <w:tab/>
      </w:r>
      <w:r w:rsidRPr="008B455C">
        <w:tab/>
      </w:r>
      <w:r w:rsidR="004A7777">
        <w:tab/>
      </w:r>
      <w:r w:rsidR="001D78CA">
        <w:tab/>
      </w:r>
      <w:r w:rsidRPr="008B455C">
        <w:t>Katrina L. Dunderdale</w:t>
      </w:r>
    </w:p>
    <w:p w:rsidR="009A4572" w:rsidRPr="008B455C" w:rsidRDefault="007E48E1" w:rsidP="00EA12C1">
      <w:pPr>
        <w:tabs>
          <w:tab w:val="num" w:pos="2160"/>
        </w:tabs>
      </w:pPr>
      <w:r w:rsidRPr="008B455C">
        <w:tab/>
      </w:r>
      <w:r w:rsidRPr="008B455C">
        <w:tab/>
      </w:r>
      <w:r w:rsidRPr="008B455C">
        <w:tab/>
      </w:r>
      <w:r w:rsidRPr="008B455C">
        <w:tab/>
      </w:r>
      <w:r w:rsidR="004A7777">
        <w:tab/>
      </w:r>
      <w:r w:rsidR="001D78CA">
        <w:tab/>
      </w:r>
      <w:r w:rsidR="009A4572">
        <w:t>Administrative Law Judge</w:t>
      </w:r>
    </w:p>
    <w:sectPr w:rsidR="009A4572" w:rsidRPr="008B455C" w:rsidSect="00E3691B">
      <w:footerReference w:type="even" r:id="rId9"/>
      <w:footerReference w:type="default" r:id="rId10"/>
      <w:pgSz w:w="12240" w:h="15840" w:code="1"/>
      <w:pgMar w:top="1440" w:right="1440" w:bottom="1440" w:left="1440" w:header="720" w:footer="720" w:gutter="0"/>
      <w:paperSrc w:first="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10" w:rsidRDefault="001C0710">
      <w:r>
        <w:separator/>
      </w:r>
    </w:p>
  </w:endnote>
  <w:endnote w:type="continuationSeparator" w:id="0">
    <w:p w:rsidR="001C0710" w:rsidRDefault="001C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E52929"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E26046">
      <w:rPr>
        <w:rStyle w:val="PageNumber"/>
        <w:noProof/>
        <w:sz w:val="20"/>
        <w:szCs w:val="20"/>
      </w:rPr>
      <w:t>11</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10" w:rsidRDefault="001C0710">
      <w:r>
        <w:separator/>
      </w:r>
    </w:p>
  </w:footnote>
  <w:footnote w:type="continuationSeparator" w:id="0">
    <w:p w:rsidR="001C0710" w:rsidRDefault="001C0710">
      <w:r>
        <w:continuationSeparator/>
      </w:r>
    </w:p>
  </w:footnote>
  <w:footnote w:id="1">
    <w:p w:rsidR="00126B45"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Patterson v. Bell Telephone Co. of Pa.</w:t>
      </w:r>
      <w:r>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p w:rsidR="00B30601" w:rsidRPr="00A41132" w:rsidRDefault="00B30601" w:rsidP="00126B45">
      <w:pPr>
        <w:pStyle w:val="FootnoteText"/>
        <w:ind w:firstLine="720"/>
      </w:pPr>
    </w:p>
  </w:footnote>
  <w:footnote w:id="2">
    <w:p w:rsidR="00126B45" w:rsidRPr="00A41132"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 xml:space="preserve">Samuel J. </w:t>
      </w:r>
      <w:proofErr w:type="spellStart"/>
      <w:r w:rsidRPr="00A41132">
        <w:rPr>
          <w:u w:val="single"/>
        </w:rPr>
        <w:t>Lansberry</w:t>
      </w:r>
      <w:proofErr w:type="spellEnd"/>
      <w:r w:rsidRPr="00A41132">
        <w:rPr>
          <w:u w:val="single"/>
        </w:rPr>
        <w:t>, Inc. v. Pa. Pub</w:t>
      </w:r>
      <w:r>
        <w:rPr>
          <w:u w:val="single"/>
        </w:rPr>
        <w:t>.</w:t>
      </w:r>
      <w:proofErr w:type="gramEnd"/>
      <w:r>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578 A.2d 600 (</w:t>
      </w:r>
      <w:proofErr w:type="spellStart"/>
      <w:r w:rsidRPr="00A41132">
        <w:t>Pa.Cmwlth</w:t>
      </w:r>
      <w:proofErr w:type="spellEnd"/>
      <w:r w:rsidRPr="00A41132">
        <w:t xml:space="preserve">. 1990), </w:t>
      </w:r>
      <w:proofErr w:type="spellStart"/>
      <w:r w:rsidRPr="00A41132">
        <w:rPr>
          <w:u w:val="single"/>
        </w:rPr>
        <w:t>alloc</w:t>
      </w:r>
      <w:proofErr w:type="spellEnd"/>
      <w:r w:rsidRPr="00A41132">
        <w:rPr>
          <w:u w:val="single"/>
        </w:rPr>
        <w:t>.</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footnote>
  <w:footnote w:id="3">
    <w:p w:rsidR="00126B45" w:rsidRPr="00A41132" w:rsidRDefault="00126B45" w:rsidP="00126B45">
      <w:pPr>
        <w:pStyle w:val="FootnoteText"/>
      </w:pPr>
    </w:p>
    <w:p w:rsidR="00126B45" w:rsidRPr="00A41132"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proofErr w:type="spellStart"/>
      <w:r w:rsidRPr="00A41132">
        <w:rPr>
          <w:u w:val="single"/>
        </w:rPr>
        <w:t>Comm</w:t>
      </w:r>
      <w:r>
        <w:rPr>
          <w:u w:val="single"/>
        </w:rPr>
        <w:t>’n</w:t>
      </w:r>
      <w:proofErr w:type="spellEnd"/>
      <w:r w:rsidRPr="00A41132">
        <w:t>, 447 A.2d 1100 (</w:t>
      </w:r>
      <w:proofErr w:type="spellStart"/>
      <w:r w:rsidRPr="00A41132">
        <w:t>Pa.Cmwlth</w:t>
      </w:r>
      <w:proofErr w:type="spellEnd"/>
      <w:r w:rsidRPr="00A41132">
        <w:t xml:space="preserve">. 1982); </w:t>
      </w:r>
      <w:proofErr w:type="spellStart"/>
      <w:r w:rsidRPr="00A41132">
        <w:rPr>
          <w:u w:val="single"/>
        </w:rPr>
        <w:t>Edan</w:t>
      </w:r>
      <w:proofErr w:type="spellEnd"/>
      <w:r w:rsidRPr="00A41132">
        <w:rPr>
          <w:u w:val="single"/>
        </w:rPr>
        <w:t xml:space="preserve">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w:t>
      </w:r>
      <w:proofErr w:type="spellStart"/>
      <w:r w:rsidRPr="00A41132">
        <w:rPr>
          <w:u w:val="single"/>
        </w:rPr>
        <w:t>Comm</w:t>
      </w:r>
      <w:r>
        <w:rPr>
          <w:u w:val="single"/>
        </w:rPr>
        <w:t>’n</w:t>
      </w:r>
      <w:proofErr w:type="spellEnd"/>
      <w:r w:rsidRPr="00A41132">
        <w:t>, 623 A</w:t>
      </w:r>
      <w:r>
        <w:t>.2d 6 (</w:t>
      </w:r>
      <w:proofErr w:type="spellStart"/>
      <w:r>
        <w:t>Pa.Cmwlth</w:t>
      </w:r>
      <w:proofErr w:type="spellEnd"/>
      <w:r>
        <w:t xml:space="preserve">. 1993); 2 </w:t>
      </w:r>
      <w:proofErr w:type="spellStart"/>
      <w:r>
        <w:t>Pa.</w:t>
      </w:r>
      <w:r w:rsidRPr="00A41132">
        <w:t>C.S.A</w:t>
      </w:r>
      <w:proofErr w:type="spellEnd"/>
      <w:r w:rsidRPr="00A41132">
        <w:t>.</w:t>
      </w:r>
      <w:proofErr w:type="gramEnd"/>
      <w:r w:rsidRPr="00A41132">
        <w:t xml:space="preserve"> § 704.  </w:t>
      </w:r>
    </w:p>
  </w:footnote>
  <w:footnote w:id="4">
    <w:p w:rsidR="00126B45" w:rsidRPr="00A41132" w:rsidRDefault="00126B45" w:rsidP="00126B45">
      <w:pPr>
        <w:pStyle w:val="FootnoteText"/>
      </w:pPr>
    </w:p>
    <w:p w:rsidR="00126B45" w:rsidRPr="00A41132" w:rsidRDefault="00126B45" w:rsidP="00126B45">
      <w:pPr>
        <w:ind w:firstLine="720"/>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D925D7">
        <w:rPr>
          <w:sz w:val="20"/>
          <w:u w:val="single"/>
        </w:rPr>
        <w:t xml:space="preserve"> </w:t>
      </w:r>
      <w:proofErr w:type="gramStart"/>
      <w:r w:rsidRPr="00A41132">
        <w:rPr>
          <w:sz w:val="20"/>
          <w:u w:val="single"/>
        </w:rPr>
        <w:t>Util</w:t>
      </w:r>
      <w:r>
        <w:rPr>
          <w:sz w:val="20"/>
          <w:u w:val="single"/>
        </w:rPr>
        <w:t xml:space="preserve">. </w:t>
      </w:r>
      <w:proofErr w:type="spellStart"/>
      <w:r w:rsidRPr="00A41132">
        <w:rPr>
          <w:sz w:val="20"/>
          <w:u w:val="single"/>
        </w:rPr>
        <w:t>Comm</w:t>
      </w:r>
      <w:r>
        <w:rPr>
          <w:sz w:val="20"/>
          <w:u w:val="single"/>
        </w:rPr>
        <w:t>’n</w:t>
      </w:r>
      <w:proofErr w:type="spellEnd"/>
      <w:r w:rsidRPr="00A41132">
        <w:rPr>
          <w:sz w:val="20"/>
        </w:rPr>
        <w:t xml:space="preserve">, 413 A.2d 1037 (Pa. 1980); </w:t>
      </w:r>
      <w:r w:rsidRPr="00A41132">
        <w:rPr>
          <w:sz w:val="20"/>
          <w:u w:val="single"/>
        </w:rPr>
        <w:t>Erie Resistor Corp.</w:t>
      </w:r>
      <w:r>
        <w:rPr>
          <w:sz w:val="20"/>
          <w:u w:val="single"/>
        </w:rPr>
        <w:t> </w:t>
      </w:r>
      <w:r w:rsidRPr="00A41132">
        <w:rPr>
          <w:sz w:val="20"/>
          <w:u w:val="single"/>
        </w:rPr>
        <w:t>v. Unemployment Compensation Bd. of Review</w:t>
      </w:r>
      <w:r w:rsidRPr="00A41132">
        <w:rPr>
          <w:sz w:val="20"/>
        </w:rPr>
        <w:t xml:space="preserve">, 166 A.2d 96 (Pa. 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480 A.2d 382 (</w:t>
      </w:r>
      <w:proofErr w:type="spellStart"/>
      <w:r w:rsidRPr="00A41132">
        <w:rPr>
          <w:sz w:val="20"/>
        </w:rPr>
        <w:t>Pa.Cmwlth</w:t>
      </w:r>
      <w:proofErr w:type="spellEnd"/>
      <w:r w:rsidRPr="00A41132">
        <w:rPr>
          <w:sz w:val="20"/>
        </w:rPr>
        <w:t>. 1984).</w:t>
      </w:r>
    </w:p>
    <w:p w:rsidR="00126B45" w:rsidRPr="00A41132" w:rsidRDefault="00126B45" w:rsidP="00126B45">
      <w:pPr>
        <w:pStyle w:val="FootnoteText"/>
        <w:ind w:firstLine="720"/>
      </w:pPr>
    </w:p>
  </w:footnote>
  <w:footnote w:id="5">
    <w:p w:rsidR="00A6043D" w:rsidRDefault="00A6043D" w:rsidP="00A6043D">
      <w:pPr>
        <w:pStyle w:val="FootnoteText"/>
        <w:ind w:firstLine="720"/>
      </w:pPr>
      <w:r>
        <w:rPr>
          <w:rStyle w:val="FootnoteReference"/>
        </w:rPr>
        <w:footnoteRef/>
      </w:r>
      <w:r w:rsidR="00C058F6">
        <w:tab/>
      </w:r>
      <w:r w:rsidRPr="00A6043D">
        <w:t xml:space="preserve">See </w:t>
      </w:r>
      <w:proofErr w:type="spellStart"/>
      <w:r w:rsidRPr="00A6043D">
        <w:rPr>
          <w:u w:val="single"/>
        </w:rPr>
        <w:t>DeFranscesco</w:t>
      </w:r>
      <w:proofErr w:type="spellEnd"/>
      <w:r w:rsidRPr="00A6043D">
        <w:rPr>
          <w:u w:val="single"/>
        </w:rPr>
        <w:t xml:space="preserve"> v. West Penn Power Company</w:t>
      </w:r>
      <w:r w:rsidRPr="00A6043D">
        <w:t xml:space="preserve">, 329 Pa. Superior Ct. 508, </w:t>
      </w:r>
      <w:proofErr w:type="gramStart"/>
      <w:r w:rsidRPr="00A6043D">
        <w:t>478 A.2d 1295</w:t>
      </w:r>
      <w:proofErr w:type="gramEnd"/>
      <w:r w:rsidRPr="00A6043D">
        <w:t xml:space="preserve"> (1984).</w:t>
      </w:r>
    </w:p>
  </w:footnote>
  <w:footnote w:id="6">
    <w:p w:rsidR="00716895" w:rsidRDefault="00716895" w:rsidP="00716895">
      <w:pPr>
        <w:pStyle w:val="FootnoteText"/>
        <w:ind w:firstLine="720"/>
      </w:pPr>
      <w:r>
        <w:rPr>
          <w:rStyle w:val="FootnoteReference"/>
        </w:rPr>
        <w:footnoteRef/>
      </w:r>
      <w:r>
        <w:t xml:space="preserve"> </w:t>
      </w:r>
      <w:r>
        <w:tab/>
      </w:r>
      <w:r w:rsidR="00753E96">
        <w:t xml:space="preserve">See </w:t>
      </w:r>
      <w:r w:rsidR="00567A7F" w:rsidRPr="00753E96">
        <w:rPr>
          <w:u w:val="single"/>
        </w:rPr>
        <w:t xml:space="preserve">Review of Rules, Policies and Consumer Education Measures </w:t>
      </w:r>
      <w:proofErr w:type="gramStart"/>
      <w:r w:rsidR="00753E96" w:rsidRPr="00753E96">
        <w:rPr>
          <w:u w:val="single"/>
        </w:rPr>
        <w:t>Regarding</w:t>
      </w:r>
      <w:proofErr w:type="gramEnd"/>
      <w:r w:rsidR="00753E96" w:rsidRPr="00753E96">
        <w:rPr>
          <w:u w:val="single"/>
        </w:rPr>
        <w:t xml:space="preserve"> Variable Rate Retail Electric Products</w:t>
      </w:r>
      <w:r w:rsidR="00753E96">
        <w:t xml:space="preserve">, Docket No. M-2014-2406134 (Order entered March 4, 2014) at p. 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4579C3"/>
    <w:multiLevelType w:val="hybridMultilevel"/>
    <w:tmpl w:val="E7D8CD02"/>
    <w:lvl w:ilvl="0" w:tplc="78AE25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4CAB"/>
    <w:rsid w:val="00010C1B"/>
    <w:rsid w:val="00014CD9"/>
    <w:rsid w:val="00015B93"/>
    <w:rsid w:val="00015E77"/>
    <w:rsid w:val="000218E1"/>
    <w:rsid w:val="0002562B"/>
    <w:rsid w:val="0002677E"/>
    <w:rsid w:val="00027DAB"/>
    <w:rsid w:val="00030A0C"/>
    <w:rsid w:val="00032447"/>
    <w:rsid w:val="0003254A"/>
    <w:rsid w:val="0003345F"/>
    <w:rsid w:val="00034688"/>
    <w:rsid w:val="00034D3C"/>
    <w:rsid w:val="0003750C"/>
    <w:rsid w:val="00042684"/>
    <w:rsid w:val="00051FFD"/>
    <w:rsid w:val="000539E5"/>
    <w:rsid w:val="00055267"/>
    <w:rsid w:val="00060974"/>
    <w:rsid w:val="00065B67"/>
    <w:rsid w:val="00066099"/>
    <w:rsid w:val="00067DC6"/>
    <w:rsid w:val="00081933"/>
    <w:rsid w:val="0008418F"/>
    <w:rsid w:val="000841E3"/>
    <w:rsid w:val="00091995"/>
    <w:rsid w:val="000919E3"/>
    <w:rsid w:val="000920B0"/>
    <w:rsid w:val="000943A5"/>
    <w:rsid w:val="00094EC4"/>
    <w:rsid w:val="00095A48"/>
    <w:rsid w:val="000A7A4C"/>
    <w:rsid w:val="000A7A7E"/>
    <w:rsid w:val="000A7DE2"/>
    <w:rsid w:val="000B0443"/>
    <w:rsid w:val="000B1450"/>
    <w:rsid w:val="000B4044"/>
    <w:rsid w:val="000B575F"/>
    <w:rsid w:val="000B7C98"/>
    <w:rsid w:val="000C22D0"/>
    <w:rsid w:val="000C39FB"/>
    <w:rsid w:val="000C639E"/>
    <w:rsid w:val="000C6633"/>
    <w:rsid w:val="000C736C"/>
    <w:rsid w:val="000D4E83"/>
    <w:rsid w:val="000D6424"/>
    <w:rsid w:val="000D7D68"/>
    <w:rsid w:val="000E0DDA"/>
    <w:rsid w:val="000E33AA"/>
    <w:rsid w:val="000E4C15"/>
    <w:rsid w:val="000E4D29"/>
    <w:rsid w:val="000F0F3C"/>
    <w:rsid w:val="000F17E7"/>
    <w:rsid w:val="000F45A3"/>
    <w:rsid w:val="000F4D6B"/>
    <w:rsid w:val="0010040A"/>
    <w:rsid w:val="00101AB8"/>
    <w:rsid w:val="00103B9D"/>
    <w:rsid w:val="0010437D"/>
    <w:rsid w:val="00106746"/>
    <w:rsid w:val="001130C8"/>
    <w:rsid w:val="001140BC"/>
    <w:rsid w:val="001161AA"/>
    <w:rsid w:val="00116E78"/>
    <w:rsid w:val="0011788E"/>
    <w:rsid w:val="0012001F"/>
    <w:rsid w:val="0012141F"/>
    <w:rsid w:val="00121AE5"/>
    <w:rsid w:val="0012478B"/>
    <w:rsid w:val="00125CCD"/>
    <w:rsid w:val="00126B45"/>
    <w:rsid w:val="00130E27"/>
    <w:rsid w:val="001339E0"/>
    <w:rsid w:val="00133A47"/>
    <w:rsid w:val="00133B41"/>
    <w:rsid w:val="001354D6"/>
    <w:rsid w:val="00137307"/>
    <w:rsid w:val="001375AA"/>
    <w:rsid w:val="001406D8"/>
    <w:rsid w:val="00142A80"/>
    <w:rsid w:val="00143FA7"/>
    <w:rsid w:val="00144748"/>
    <w:rsid w:val="00144BDA"/>
    <w:rsid w:val="00145EBF"/>
    <w:rsid w:val="00147800"/>
    <w:rsid w:val="001509CF"/>
    <w:rsid w:val="001513EC"/>
    <w:rsid w:val="00152853"/>
    <w:rsid w:val="00153C2A"/>
    <w:rsid w:val="00153E19"/>
    <w:rsid w:val="00156938"/>
    <w:rsid w:val="00156A90"/>
    <w:rsid w:val="0016133D"/>
    <w:rsid w:val="00165400"/>
    <w:rsid w:val="00165B98"/>
    <w:rsid w:val="00166F22"/>
    <w:rsid w:val="00167534"/>
    <w:rsid w:val="0017741E"/>
    <w:rsid w:val="00182EDA"/>
    <w:rsid w:val="0018379D"/>
    <w:rsid w:val="00183AE1"/>
    <w:rsid w:val="00185EF9"/>
    <w:rsid w:val="00190788"/>
    <w:rsid w:val="00195561"/>
    <w:rsid w:val="00196E40"/>
    <w:rsid w:val="001B283D"/>
    <w:rsid w:val="001B3B0D"/>
    <w:rsid w:val="001B436F"/>
    <w:rsid w:val="001B5AF2"/>
    <w:rsid w:val="001B6607"/>
    <w:rsid w:val="001C0710"/>
    <w:rsid w:val="001C0836"/>
    <w:rsid w:val="001C3008"/>
    <w:rsid w:val="001C5F76"/>
    <w:rsid w:val="001D1195"/>
    <w:rsid w:val="001D1DC6"/>
    <w:rsid w:val="001D23B9"/>
    <w:rsid w:val="001D55AF"/>
    <w:rsid w:val="001D5E87"/>
    <w:rsid w:val="001D67F3"/>
    <w:rsid w:val="001D6F49"/>
    <w:rsid w:val="001D7070"/>
    <w:rsid w:val="001D737F"/>
    <w:rsid w:val="001D78CA"/>
    <w:rsid w:val="001D79FF"/>
    <w:rsid w:val="001E2C24"/>
    <w:rsid w:val="001E2CD6"/>
    <w:rsid w:val="001F030C"/>
    <w:rsid w:val="001F2B65"/>
    <w:rsid w:val="001F758E"/>
    <w:rsid w:val="00200D48"/>
    <w:rsid w:val="00200ED0"/>
    <w:rsid w:val="00203C61"/>
    <w:rsid w:val="002043E6"/>
    <w:rsid w:val="00206B04"/>
    <w:rsid w:val="002075E6"/>
    <w:rsid w:val="00210334"/>
    <w:rsid w:val="00210460"/>
    <w:rsid w:val="002132C0"/>
    <w:rsid w:val="00214A19"/>
    <w:rsid w:val="002154B5"/>
    <w:rsid w:val="00216456"/>
    <w:rsid w:val="002165A2"/>
    <w:rsid w:val="00216A05"/>
    <w:rsid w:val="00230C81"/>
    <w:rsid w:val="0023169E"/>
    <w:rsid w:val="00234C5A"/>
    <w:rsid w:val="002432E9"/>
    <w:rsid w:val="00244AD1"/>
    <w:rsid w:val="002520A5"/>
    <w:rsid w:val="00254BFC"/>
    <w:rsid w:val="00254FD1"/>
    <w:rsid w:val="0025557F"/>
    <w:rsid w:val="00263EFE"/>
    <w:rsid w:val="00264C6D"/>
    <w:rsid w:val="00265108"/>
    <w:rsid w:val="0026526F"/>
    <w:rsid w:val="002659FC"/>
    <w:rsid w:val="00265D57"/>
    <w:rsid w:val="00271E72"/>
    <w:rsid w:val="00271FF1"/>
    <w:rsid w:val="00280380"/>
    <w:rsid w:val="00280AF0"/>
    <w:rsid w:val="0028164C"/>
    <w:rsid w:val="00283A3F"/>
    <w:rsid w:val="00284FA9"/>
    <w:rsid w:val="00286074"/>
    <w:rsid w:val="002867AD"/>
    <w:rsid w:val="002904BB"/>
    <w:rsid w:val="00291917"/>
    <w:rsid w:val="00293E92"/>
    <w:rsid w:val="00295403"/>
    <w:rsid w:val="002A625C"/>
    <w:rsid w:val="002A78AC"/>
    <w:rsid w:val="002B433A"/>
    <w:rsid w:val="002B4996"/>
    <w:rsid w:val="002B4DFA"/>
    <w:rsid w:val="002C703F"/>
    <w:rsid w:val="002C7AB0"/>
    <w:rsid w:val="002D04F8"/>
    <w:rsid w:val="002D29E7"/>
    <w:rsid w:val="002E1E84"/>
    <w:rsid w:val="002E2A57"/>
    <w:rsid w:val="002E2B6E"/>
    <w:rsid w:val="002E597B"/>
    <w:rsid w:val="002E5A74"/>
    <w:rsid w:val="002E6B15"/>
    <w:rsid w:val="002F15F6"/>
    <w:rsid w:val="002F1743"/>
    <w:rsid w:val="002F4F6F"/>
    <w:rsid w:val="002F6CA8"/>
    <w:rsid w:val="002F6DFB"/>
    <w:rsid w:val="002F7AA9"/>
    <w:rsid w:val="002F7ADF"/>
    <w:rsid w:val="00302C62"/>
    <w:rsid w:val="00302D41"/>
    <w:rsid w:val="00307FF8"/>
    <w:rsid w:val="00311588"/>
    <w:rsid w:val="003121E7"/>
    <w:rsid w:val="00324C80"/>
    <w:rsid w:val="00324D48"/>
    <w:rsid w:val="00326059"/>
    <w:rsid w:val="00330B01"/>
    <w:rsid w:val="0033183D"/>
    <w:rsid w:val="00334639"/>
    <w:rsid w:val="00334D84"/>
    <w:rsid w:val="0034231B"/>
    <w:rsid w:val="00342B49"/>
    <w:rsid w:val="0034410D"/>
    <w:rsid w:val="0034692A"/>
    <w:rsid w:val="003540A7"/>
    <w:rsid w:val="0035629D"/>
    <w:rsid w:val="003603C7"/>
    <w:rsid w:val="00360442"/>
    <w:rsid w:val="00360EB9"/>
    <w:rsid w:val="00361EAC"/>
    <w:rsid w:val="003649AC"/>
    <w:rsid w:val="00365F7C"/>
    <w:rsid w:val="00370128"/>
    <w:rsid w:val="0037050A"/>
    <w:rsid w:val="00372F42"/>
    <w:rsid w:val="00373245"/>
    <w:rsid w:val="00373E26"/>
    <w:rsid w:val="00373ECC"/>
    <w:rsid w:val="0037694C"/>
    <w:rsid w:val="00380F4B"/>
    <w:rsid w:val="00383822"/>
    <w:rsid w:val="00386C1C"/>
    <w:rsid w:val="00387E50"/>
    <w:rsid w:val="003908EE"/>
    <w:rsid w:val="00391096"/>
    <w:rsid w:val="003937E3"/>
    <w:rsid w:val="00394A82"/>
    <w:rsid w:val="00396353"/>
    <w:rsid w:val="00396518"/>
    <w:rsid w:val="003B045F"/>
    <w:rsid w:val="003B3294"/>
    <w:rsid w:val="003B3FB0"/>
    <w:rsid w:val="003B4F65"/>
    <w:rsid w:val="003B7783"/>
    <w:rsid w:val="003C1053"/>
    <w:rsid w:val="003C13E7"/>
    <w:rsid w:val="003C1F6E"/>
    <w:rsid w:val="003C2777"/>
    <w:rsid w:val="003C417D"/>
    <w:rsid w:val="003C4E1D"/>
    <w:rsid w:val="003C7776"/>
    <w:rsid w:val="003D0DEF"/>
    <w:rsid w:val="003D374F"/>
    <w:rsid w:val="003D500A"/>
    <w:rsid w:val="003D5173"/>
    <w:rsid w:val="003D67D8"/>
    <w:rsid w:val="003E1EE5"/>
    <w:rsid w:val="003E2BB0"/>
    <w:rsid w:val="003E2D32"/>
    <w:rsid w:val="003E5E0F"/>
    <w:rsid w:val="003E60E7"/>
    <w:rsid w:val="003F1BC1"/>
    <w:rsid w:val="003F56DB"/>
    <w:rsid w:val="003F64C7"/>
    <w:rsid w:val="003F6E27"/>
    <w:rsid w:val="0040104B"/>
    <w:rsid w:val="0040125C"/>
    <w:rsid w:val="004035B1"/>
    <w:rsid w:val="00411416"/>
    <w:rsid w:val="0041637D"/>
    <w:rsid w:val="00421585"/>
    <w:rsid w:val="004219BD"/>
    <w:rsid w:val="00424E72"/>
    <w:rsid w:val="00430437"/>
    <w:rsid w:val="00431883"/>
    <w:rsid w:val="004322BD"/>
    <w:rsid w:val="004329E9"/>
    <w:rsid w:val="00440B6B"/>
    <w:rsid w:val="004455C4"/>
    <w:rsid w:val="00446EE8"/>
    <w:rsid w:val="004564BF"/>
    <w:rsid w:val="00462770"/>
    <w:rsid w:val="0046290B"/>
    <w:rsid w:val="004635FD"/>
    <w:rsid w:val="00465878"/>
    <w:rsid w:val="0046652F"/>
    <w:rsid w:val="00470AFC"/>
    <w:rsid w:val="00472A21"/>
    <w:rsid w:val="00474C53"/>
    <w:rsid w:val="0047665F"/>
    <w:rsid w:val="00477B44"/>
    <w:rsid w:val="004819B5"/>
    <w:rsid w:val="00483A4C"/>
    <w:rsid w:val="004859D0"/>
    <w:rsid w:val="00487AE0"/>
    <w:rsid w:val="00492C13"/>
    <w:rsid w:val="00493BBB"/>
    <w:rsid w:val="004970DA"/>
    <w:rsid w:val="004A0254"/>
    <w:rsid w:val="004A26B6"/>
    <w:rsid w:val="004A47A6"/>
    <w:rsid w:val="004A6673"/>
    <w:rsid w:val="004A7777"/>
    <w:rsid w:val="004B34C6"/>
    <w:rsid w:val="004B422F"/>
    <w:rsid w:val="004B4B53"/>
    <w:rsid w:val="004B6A2B"/>
    <w:rsid w:val="004B7FA4"/>
    <w:rsid w:val="004C32C0"/>
    <w:rsid w:val="004C5FA9"/>
    <w:rsid w:val="004C6202"/>
    <w:rsid w:val="004D0CBE"/>
    <w:rsid w:val="004D2634"/>
    <w:rsid w:val="004D3826"/>
    <w:rsid w:val="004D3A14"/>
    <w:rsid w:val="004D454A"/>
    <w:rsid w:val="004D477D"/>
    <w:rsid w:val="004D75D5"/>
    <w:rsid w:val="004E01BD"/>
    <w:rsid w:val="004E18A6"/>
    <w:rsid w:val="004E3B20"/>
    <w:rsid w:val="004E4252"/>
    <w:rsid w:val="004E605F"/>
    <w:rsid w:val="004E7B43"/>
    <w:rsid w:val="004F58E1"/>
    <w:rsid w:val="004F6097"/>
    <w:rsid w:val="0050181E"/>
    <w:rsid w:val="0050497A"/>
    <w:rsid w:val="00504A1A"/>
    <w:rsid w:val="00507ECF"/>
    <w:rsid w:val="005102C0"/>
    <w:rsid w:val="00515DD0"/>
    <w:rsid w:val="00517217"/>
    <w:rsid w:val="00522985"/>
    <w:rsid w:val="00531E4E"/>
    <w:rsid w:val="00537506"/>
    <w:rsid w:val="005375AF"/>
    <w:rsid w:val="0053772F"/>
    <w:rsid w:val="00540E3A"/>
    <w:rsid w:val="00543B7C"/>
    <w:rsid w:val="00543F98"/>
    <w:rsid w:val="005447FE"/>
    <w:rsid w:val="00544F7E"/>
    <w:rsid w:val="00545043"/>
    <w:rsid w:val="005451B0"/>
    <w:rsid w:val="00547948"/>
    <w:rsid w:val="00550F87"/>
    <w:rsid w:val="00552C73"/>
    <w:rsid w:val="00553E91"/>
    <w:rsid w:val="00557326"/>
    <w:rsid w:val="00560A07"/>
    <w:rsid w:val="00563142"/>
    <w:rsid w:val="00563254"/>
    <w:rsid w:val="005637DF"/>
    <w:rsid w:val="00563FC3"/>
    <w:rsid w:val="005647C7"/>
    <w:rsid w:val="00567A7F"/>
    <w:rsid w:val="005763CB"/>
    <w:rsid w:val="00577495"/>
    <w:rsid w:val="00577567"/>
    <w:rsid w:val="00580981"/>
    <w:rsid w:val="00580D5E"/>
    <w:rsid w:val="0058201B"/>
    <w:rsid w:val="00584A00"/>
    <w:rsid w:val="005900D4"/>
    <w:rsid w:val="0059029B"/>
    <w:rsid w:val="00592DDB"/>
    <w:rsid w:val="00592FBE"/>
    <w:rsid w:val="005944A4"/>
    <w:rsid w:val="00595806"/>
    <w:rsid w:val="00596262"/>
    <w:rsid w:val="0059631D"/>
    <w:rsid w:val="005A3E08"/>
    <w:rsid w:val="005A77D0"/>
    <w:rsid w:val="005B64BD"/>
    <w:rsid w:val="005C050D"/>
    <w:rsid w:val="005C6D4A"/>
    <w:rsid w:val="005D03F4"/>
    <w:rsid w:val="005D4345"/>
    <w:rsid w:val="005E0C3E"/>
    <w:rsid w:val="005E1CC5"/>
    <w:rsid w:val="005E2935"/>
    <w:rsid w:val="005E636D"/>
    <w:rsid w:val="005E6DB5"/>
    <w:rsid w:val="005F4120"/>
    <w:rsid w:val="00600AE4"/>
    <w:rsid w:val="00600EE9"/>
    <w:rsid w:val="0060359F"/>
    <w:rsid w:val="00603755"/>
    <w:rsid w:val="00607B04"/>
    <w:rsid w:val="00612520"/>
    <w:rsid w:val="00613AE9"/>
    <w:rsid w:val="00616E73"/>
    <w:rsid w:val="00616FE9"/>
    <w:rsid w:val="00617C29"/>
    <w:rsid w:val="006220FF"/>
    <w:rsid w:val="006228C5"/>
    <w:rsid w:val="00623177"/>
    <w:rsid w:val="0062332B"/>
    <w:rsid w:val="00632562"/>
    <w:rsid w:val="00633976"/>
    <w:rsid w:val="00633E89"/>
    <w:rsid w:val="0063487E"/>
    <w:rsid w:val="006354D3"/>
    <w:rsid w:val="00636459"/>
    <w:rsid w:val="00641052"/>
    <w:rsid w:val="00644349"/>
    <w:rsid w:val="00645FE8"/>
    <w:rsid w:val="0065019D"/>
    <w:rsid w:val="006515DB"/>
    <w:rsid w:val="00651AB0"/>
    <w:rsid w:val="0065346D"/>
    <w:rsid w:val="00653FDE"/>
    <w:rsid w:val="006552C8"/>
    <w:rsid w:val="00655B18"/>
    <w:rsid w:val="0066212D"/>
    <w:rsid w:val="00664032"/>
    <w:rsid w:val="006663CA"/>
    <w:rsid w:val="0066791C"/>
    <w:rsid w:val="0066793C"/>
    <w:rsid w:val="00674B93"/>
    <w:rsid w:val="006771E3"/>
    <w:rsid w:val="006772A2"/>
    <w:rsid w:val="00680930"/>
    <w:rsid w:val="00682B76"/>
    <w:rsid w:val="006869B5"/>
    <w:rsid w:val="00687C7C"/>
    <w:rsid w:val="00691FDA"/>
    <w:rsid w:val="00692E3E"/>
    <w:rsid w:val="00694153"/>
    <w:rsid w:val="0069460C"/>
    <w:rsid w:val="006954BC"/>
    <w:rsid w:val="006A005D"/>
    <w:rsid w:val="006A0714"/>
    <w:rsid w:val="006A7864"/>
    <w:rsid w:val="006B0612"/>
    <w:rsid w:val="006B2DFE"/>
    <w:rsid w:val="006B50E8"/>
    <w:rsid w:val="006B629F"/>
    <w:rsid w:val="006B7DE7"/>
    <w:rsid w:val="006C13BF"/>
    <w:rsid w:val="006C282B"/>
    <w:rsid w:val="006C7416"/>
    <w:rsid w:val="006C773F"/>
    <w:rsid w:val="006C7D49"/>
    <w:rsid w:val="006D2CFC"/>
    <w:rsid w:val="006D2E25"/>
    <w:rsid w:val="006D2F3E"/>
    <w:rsid w:val="006D3697"/>
    <w:rsid w:val="006D384B"/>
    <w:rsid w:val="006D38B1"/>
    <w:rsid w:val="006D68C8"/>
    <w:rsid w:val="006E0E78"/>
    <w:rsid w:val="006E12A1"/>
    <w:rsid w:val="006E175B"/>
    <w:rsid w:val="006E1ABC"/>
    <w:rsid w:val="006E59A8"/>
    <w:rsid w:val="006F0249"/>
    <w:rsid w:val="006F10EA"/>
    <w:rsid w:val="006F2B77"/>
    <w:rsid w:val="006F324E"/>
    <w:rsid w:val="006F5FE7"/>
    <w:rsid w:val="006F60DA"/>
    <w:rsid w:val="006F6520"/>
    <w:rsid w:val="006F7393"/>
    <w:rsid w:val="00700704"/>
    <w:rsid w:val="00700E85"/>
    <w:rsid w:val="00701501"/>
    <w:rsid w:val="00710B17"/>
    <w:rsid w:val="00710CE3"/>
    <w:rsid w:val="0071171E"/>
    <w:rsid w:val="007121EF"/>
    <w:rsid w:val="0071586C"/>
    <w:rsid w:val="00716895"/>
    <w:rsid w:val="007172D2"/>
    <w:rsid w:val="00720A51"/>
    <w:rsid w:val="00720C39"/>
    <w:rsid w:val="007272A7"/>
    <w:rsid w:val="007273E4"/>
    <w:rsid w:val="00732CDD"/>
    <w:rsid w:val="00736DBA"/>
    <w:rsid w:val="00740BC6"/>
    <w:rsid w:val="007454F2"/>
    <w:rsid w:val="007516D0"/>
    <w:rsid w:val="00751CE0"/>
    <w:rsid w:val="007535C9"/>
    <w:rsid w:val="00753A3F"/>
    <w:rsid w:val="00753E96"/>
    <w:rsid w:val="0075421A"/>
    <w:rsid w:val="00754FD3"/>
    <w:rsid w:val="00757A01"/>
    <w:rsid w:val="00762CDE"/>
    <w:rsid w:val="00766B36"/>
    <w:rsid w:val="0077246E"/>
    <w:rsid w:val="00772949"/>
    <w:rsid w:val="00772CFC"/>
    <w:rsid w:val="00776CD8"/>
    <w:rsid w:val="0078110D"/>
    <w:rsid w:val="00781268"/>
    <w:rsid w:val="00781A81"/>
    <w:rsid w:val="00783095"/>
    <w:rsid w:val="00785AF3"/>
    <w:rsid w:val="00787193"/>
    <w:rsid w:val="007923F1"/>
    <w:rsid w:val="0079328F"/>
    <w:rsid w:val="007939B6"/>
    <w:rsid w:val="00794EFF"/>
    <w:rsid w:val="00794F1B"/>
    <w:rsid w:val="007A32D3"/>
    <w:rsid w:val="007A40D1"/>
    <w:rsid w:val="007A5552"/>
    <w:rsid w:val="007A5EEF"/>
    <w:rsid w:val="007B6775"/>
    <w:rsid w:val="007C06FD"/>
    <w:rsid w:val="007C404E"/>
    <w:rsid w:val="007D2958"/>
    <w:rsid w:val="007D2DA0"/>
    <w:rsid w:val="007D79D2"/>
    <w:rsid w:val="007E48E1"/>
    <w:rsid w:val="007E77AF"/>
    <w:rsid w:val="007E7B4E"/>
    <w:rsid w:val="007F02A4"/>
    <w:rsid w:val="007F479E"/>
    <w:rsid w:val="0080315B"/>
    <w:rsid w:val="00806E0D"/>
    <w:rsid w:val="00823FCA"/>
    <w:rsid w:val="00824890"/>
    <w:rsid w:val="008251D8"/>
    <w:rsid w:val="00836D5A"/>
    <w:rsid w:val="00836E65"/>
    <w:rsid w:val="008418E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3E6"/>
    <w:rsid w:val="00873D8A"/>
    <w:rsid w:val="00874177"/>
    <w:rsid w:val="00874953"/>
    <w:rsid w:val="00890D5E"/>
    <w:rsid w:val="00891035"/>
    <w:rsid w:val="008927B5"/>
    <w:rsid w:val="00892EA3"/>
    <w:rsid w:val="00893E2C"/>
    <w:rsid w:val="00894816"/>
    <w:rsid w:val="008A28F8"/>
    <w:rsid w:val="008A63E2"/>
    <w:rsid w:val="008B3879"/>
    <w:rsid w:val="008B445B"/>
    <w:rsid w:val="008B455C"/>
    <w:rsid w:val="008B6587"/>
    <w:rsid w:val="008B6F28"/>
    <w:rsid w:val="008C17E6"/>
    <w:rsid w:val="008C36F2"/>
    <w:rsid w:val="008C666D"/>
    <w:rsid w:val="008C7936"/>
    <w:rsid w:val="008D0326"/>
    <w:rsid w:val="008D0D31"/>
    <w:rsid w:val="008D6CA9"/>
    <w:rsid w:val="008D6E2C"/>
    <w:rsid w:val="008D7DC6"/>
    <w:rsid w:val="008E09C6"/>
    <w:rsid w:val="008E0B49"/>
    <w:rsid w:val="008E0E89"/>
    <w:rsid w:val="008E10FA"/>
    <w:rsid w:val="008E450B"/>
    <w:rsid w:val="008E4FD6"/>
    <w:rsid w:val="008E5C99"/>
    <w:rsid w:val="008F4EF2"/>
    <w:rsid w:val="008F7500"/>
    <w:rsid w:val="008F7C99"/>
    <w:rsid w:val="009001C9"/>
    <w:rsid w:val="00906D50"/>
    <w:rsid w:val="00906FD4"/>
    <w:rsid w:val="009101FF"/>
    <w:rsid w:val="00910A53"/>
    <w:rsid w:val="00917283"/>
    <w:rsid w:val="0092068A"/>
    <w:rsid w:val="00921285"/>
    <w:rsid w:val="00922C3D"/>
    <w:rsid w:val="009252B2"/>
    <w:rsid w:val="00926935"/>
    <w:rsid w:val="009310EE"/>
    <w:rsid w:val="0093152B"/>
    <w:rsid w:val="00933485"/>
    <w:rsid w:val="0094142D"/>
    <w:rsid w:val="00943CC8"/>
    <w:rsid w:val="00943E53"/>
    <w:rsid w:val="009445CA"/>
    <w:rsid w:val="00944A1C"/>
    <w:rsid w:val="00952FEB"/>
    <w:rsid w:val="00957F48"/>
    <w:rsid w:val="00960580"/>
    <w:rsid w:val="00962EE7"/>
    <w:rsid w:val="00966C36"/>
    <w:rsid w:val="00970027"/>
    <w:rsid w:val="009760CB"/>
    <w:rsid w:val="009901A1"/>
    <w:rsid w:val="009A3FA2"/>
    <w:rsid w:val="009A4572"/>
    <w:rsid w:val="009A5AF8"/>
    <w:rsid w:val="009A6585"/>
    <w:rsid w:val="009A6CC7"/>
    <w:rsid w:val="009B446B"/>
    <w:rsid w:val="009C05E9"/>
    <w:rsid w:val="009C27D2"/>
    <w:rsid w:val="009C3132"/>
    <w:rsid w:val="009C4526"/>
    <w:rsid w:val="009C5EB5"/>
    <w:rsid w:val="009D00E9"/>
    <w:rsid w:val="009D0A13"/>
    <w:rsid w:val="009D227B"/>
    <w:rsid w:val="009D2B67"/>
    <w:rsid w:val="009D47A5"/>
    <w:rsid w:val="009D69B6"/>
    <w:rsid w:val="009E17C2"/>
    <w:rsid w:val="009E5767"/>
    <w:rsid w:val="009E6876"/>
    <w:rsid w:val="009F38D7"/>
    <w:rsid w:val="009F579E"/>
    <w:rsid w:val="009F588E"/>
    <w:rsid w:val="009F6130"/>
    <w:rsid w:val="009F6985"/>
    <w:rsid w:val="00A00793"/>
    <w:rsid w:val="00A02454"/>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40462"/>
    <w:rsid w:val="00A4355E"/>
    <w:rsid w:val="00A469B4"/>
    <w:rsid w:val="00A46AA1"/>
    <w:rsid w:val="00A511AD"/>
    <w:rsid w:val="00A52673"/>
    <w:rsid w:val="00A55F7C"/>
    <w:rsid w:val="00A6043D"/>
    <w:rsid w:val="00A61835"/>
    <w:rsid w:val="00A64AC5"/>
    <w:rsid w:val="00A705C1"/>
    <w:rsid w:val="00A70C75"/>
    <w:rsid w:val="00A733A2"/>
    <w:rsid w:val="00A7499F"/>
    <w:rsid w:val="00A801E7"/>
    <w:rsid w:val="00A806BC"/>
    <w:rsid w:val="00A80E4E"/>
    <w:rsid w:val="00A831C5"/>
    <w:rsid w:val="00A848BA"/>
    <w:rsid w:val="00A86E3D"/>
    <w:rsid w:val="00A90619"/>
    <w:rsid w:val="00A914E9"/>
    <w:rsid w:val="00A93EC0"/>
    <w:rsid w:val="00A94A48"/>
    <w:rsid w:val="00A94E36"/>
    <w:rsid w:val="00A96447"/>
    <w:rsid w:val="00A96A71"/>
    <w:rsid w:val="00AA70E2"/>
    <w:rsid w:val="00AB30CF"/>
    <w:rsid w:val="00AB40A9"/>
    <w:rsid w:val="00AC1113"/>
    <w:rsid w:val="00AC1F4C"/>
    <w:rsid w:val="00AC3C83"/>
    <w:rsid w:val="00AC6067"/>
    <w:rsid w:val="00AC6745"/>
    <w:rsid w:val="00AC6E5D"/>
    <w:rsid w:val="00AD40B2"/>
    <w:rsid w:val="00AE20FB"/>
    <w:rsid w:val="00AE2618"/>
    <w:rsid w:val="00AE290D"/>
    <w:rsid w:val="00AE3923"/>
    <w:rsid w:val="00AF4238"/>
    <w:rsid w:val="00AF5FC0"/>
    <w:rsid w:val="00AF63EA"/>
    <w:rsid w:val="00B010E8"/>
    <w:rsid w:val="00B051A8"/>
    <w:rsid w:val="00B16875"/>
    <w:rsid w:val="00B219F2"/>
    <w:rsid w:val="00B22533"/>
    <w:rsid w:val="00B23445"/>
    <w:rsid w:val="00B241DE"/>
    <w:rsid w:val="00B302EA"/>
    <w:rsid w:val="00B30601"/>
    <w:rsid w:val="00B32996"/>
    <w:rsid w:val="00B33E15"/>
    <w:rsid w:val="00B371BC"/>
    <w:rsid w:val="00B37A46"/>
    <w:rsid w:val="00B406E2"/>
    <w:rsid w:val="00B40E5D"/>
    <w:rsid w:val="00B41507"/>
    <w:rsid w:val="00B428F4"/>
    <w:rsid w:val="00B44FB1"/>
    <w:rsid w:val="00B46636"/>
    <w:rsid w:val="00B50814"/>
    <w:rsid w:val="00B50BB3"/>
    <w:rsid w:val="00B5162C"/>
    <w:rsid w:val="00B524A4"/>
    <w:rsid w:val="00B55DDC"/>
    <w:rsid w:val="00B607E5"/>
    <w:rsid w:val="00B616BC"/>
    <w:rsid w:val="00B66DDD"/>
    <w:rsid w:val="00B67B97"/>
    <w:rsid w:val="00B7377B"/>
    <w:rsid w:val="00B77E42"/>
    <w:rsid w:val="00B81FED"/>
    <w:rsid w:val="00B845F6"/>
    <w:rsid w:val="00B85EE4"/>
    <w:rsid w:val="00B86EF4"/>
    <w:rsid w:val="00B91AD9"/>
    <w:rsid w:val="00B93A4F"/>
    <w:rsid w:val="00B946B2"/>
    <w:rsid w:val="00B94FFF"/>
    <w:rsid w:val="00B97032"/>
    <w:rsid w:val="00BA1C5C"/>
    <w:rsid w:val="00BA28BA"/>
    <w:rsid w:val="00BA3DE1"/>
    <w:rsid w:val="00BA45E7"/>
    <w:rsid w:val="00BA4C2A"/>
    <w:rsid w:val="00BA5695"/>
    <w:rsid w:val="00BA724E"/>
    <w:rsid w:val="00BB036D"/>
    <w:rsid w:val="00BB1AB4"/>
    <w:rsid w:val="00BB1FC4"/>
    <w:rsid w:val="00BB4907"/>
    <w:rsid w:val="00BB6201"/>
    <w:rsid w:val="00BB70B3"/>
    <w:rsid w:val="00BB7D46"/>
    <w:rsid w:val="00BC1B4F"/>
    <w:rsid w:val="00BC1FD7"/>
    <w:rsid w:val="00BC360E"/>
    <w:rsid w:val="00BC5324"/>
    <w:rsid w:val="00BC6CA5"/>
    <w:rsid w:val="00BC7989"/>
    <w:rsid w:val="00BD11FD"/>
    <w:rsid w:val="00BD3085"/>
    <w:rsid w:val="00BD6511"/>
    <w:rsid w:val="00BD76C8"/>
    <w:rsid w:val="00BD7A50"/>
    <w:rsid w:val="00BE36AA"/>
    <w:rsid w:val="00BE55BE"/>
    <w:rsid w:val="00BE5FCB"/>
    <w:rsid w:val="00BE723C"/>
    <w:rsid w:val="00BF28AB"/>
    <w:rsid w:val="00C01EA5"/>
    <w:rsid w:val="00C03561"/>
    <w:rsid w:val="00C0376D"/>
    <w:rsid w:val="00C03919"/>
    <w:rsid w:val="00C04092"/>
    <w:rsid w:val="00C04B60"/>
    <w:rsid w:val="00C0572F"/>
    <w:rsid w:val="00C058F6"/>
    <w:rsid w:val="00C12C25"/>
    <w:rsid w:val="00C13DF0"/>
    <w:rsid w:val="00C14193"/>
    <w:rsid w:val="00C14FBB"/>
    <w:rsid w:val="00C17738"/>
    <w:rsid w:val="00C17AD8"/>
    <w:rsid w:val="00C2330B"/>
    <w:rsid w:val="00C23A79"/>
    <w:rsid w:val="00C23DE7"/>
    <w:rsid w:val="00C26323"/>
    <w:rsid w:val="00C3358D"/>
    <w:rsid w:val="00C378D0"/>
    <w:rsid w:val="00C37FDB"/>
    <w:rsid w:val="00C40364"/>
    <w:rsid w:val="00C4390C"/>
    <w:rsid w:val="00C44AC9"/>
    <w:rsid w:val="00C45F56"/>
    <w:rsid w:val="00C518D5"/>
    <w:rsid w:val="00C61317"/>
    <w:rsid w:val="00C63894"/>
    <w:rsid w:val="00C655E8"/>
    <w:rsid w:val="00C7117A"/>
    <w:rsid w:val="00C74183"/>
    <w:rsid w:val="00C800CB"/>
    <w:rsid w:val="00C803A5"/>
    <w:rsid w:val="00C82C14"/>
    <w:rsid w:val="00C85078"/>
    <w:rsid w:val="00C862F8"/>
    <w:rsid w:val="00C908DB"/>
    <w:rsid w:val="00C931B6"/>
    <w:rsid w:val="00C93B23"/>
    <w:rsid w:val="00CA0FA9"/>
    <w:rsid w:val="00CA1D85"/>
    <w:rsid w:val="00CA210E"/>
    <w:rsid w:val="00CA262F"/>
    <w:rsid w:val="00CA57BA"/>
    <w:rsid w:val="00CB54CC"/>
    <w:rsid w:val="00CB7EF0"/>
    <w:rsid w:val="00CC069F"/>
    <w:rsid w:val="00CC4851"/>
    <w:rsid w:val="00CD4ED5"/>
    <w:rsid w:val="00CD53CA"/>
    <w:rsid w:val="00CD7291"/>
    <w:rsid w:val="00CE02D2"/>
    <w:rsid w:val="00CE1628"/>
    <w:rsid w:val="00CE3A66"/>
    <w:rsid w:val="00CE3AFA"/>
    <w:rsid w:val="00CF150E"/>
    <w:rsid w:val="00CF2BAB"/>
    <w:rsid w:val="00CF54D1"/>
    <w:rsid w:val="00D010F1"/>
    <w:rsid w:val="00D01109"/>
    <w:rsid w:val="00D02CF4"/>
    <w:rsid w:val="00D06971"/>
    <w:rsid w:val="00D06B34"/>
    <w:rsid w:val="00D07E03"/>
    <w:rsid w:val="00D13BDB"/>
    <w:rsid w:val="00D2288B"/>
    <w:rsid w:val="00D27A8A"/>
    <w:rsid w:val="00D30BC3"/>
    <w:rsid w:val="00D30F60"/>
    <w:rsid w:val="00D354FD"/>
    <w:rsid w:val="00D3570E"/>
    <w:rsid w:val="00D41A38"/>
    <w:rsid w:val="00D422B1"/>
    <w:rsid w:val="00D42D72"/>
    <w:rsid w:val="00D45250"/>
    <w:rsid w:val="00D45488"/>
    <w:rsid w:val="00D467C6"/>
    <w:rsid w:val="00D477A8"/>
    <w:rsid w:val="00D50006"/>
    <w:rsid w:val="00D51E05"/>
    <w:rsid w:val="00D57B37"/>
    <w:rsid w:val="00D63F09"/>
    <w:rsid w:val="00D654B3"/>
    <w:rsid w:val="00D65923"/>
    <w:rsid w:val="00D65D16"/>
    <w:rsid w:val="00D66AFA"/>
    <w:rsid w:val="00D74CB8"/>
    <w:rsid w:val="00D761B6"/>
    <w:rsid w:val="00D76D1C"/>
    <w:rsid w:val="00D76DB8"/>
    <w:rsid w:val="00D838A7"/>
    <w:rsid w:val="00D85A3F"/>
    <w:rsid w:val="00D868FB"/>
    <w:rsid w:val="00D86C43"/>
    <w:rsid w:val="00D86FEA"/>
    <w:rsid w:val="00D90360"/>
    <w:rsid w:val="00D925D7"/>
    <w:rsid w:val="00D94038"/>
    <w:rsid w:val="00DA094B"/>
    <w:rsid w:val="00DA1ED0"/>
    <w:rsid w:val="00DA3335"/>
    <w:rsid w:val="00DA3D69"/>
    <w:rsid w:val="00DA430D"/>
    <w:rsid w:val="00DA5163"/>
    <w:rsid w:val="00DA66D7"/>
    <w:rsid w:val="00DA72B7"/>
    <w:rsid w:val="00DB1053"/>
    <w:rsid w:val="00DB192A"/>
    <w:rsid w:val="00DB40BF"/>
    <w:rsid w:val="00DB7463"/>
    <w:rsid w:val="00DC090B"/>
    <w:rsid w:val="00DC297D"/>
    <w:rsid w:val="00DC3243"/>
    <w:rsid w:val="00DC5620"/>
    <w:rsid w:val="00DC6EA0"/>
    <w:rsid w:val="00DD020B"/>
    <w:rsid w:val="00DD2547"/>
    <w:rsid w:val="00DD6D12"/>
    <w:rsid w:val="00DD7859"/>
    <w:rsid w:val="00DE391B"/>
    <w:rsid w:val="00DE608E"/>
    <w:rsid w:val="00DE775F"/>
    <w:rsid w:val="00DF08BA"/>
    <w:rsid w:val="00DF0974"/>
    <w:rsid w:val="00DF2688"/>
    <w:rsid w:val="00DF26E1"/>
    <w:rsid w:val="00DF3972"/>
    <w:rsid w:val="00DF39F5"/>
    <w:rsid w:val="00DF4B76"/>
    <w:rsid w:val="00DF4D13"/>
    <w:rsid w:val="00DF6FF6"/>
    <w:rsid w:val="00E05C97"/>
    <w:rsid w:val="00E109B6"/>
    <w:rsid w:val="00E11F39"/>
    <w:rsid w:val="00E14394"/>
    <w:rsid w:val="00E1446C"/>
    <w:rsid w:val="00E14693"/>
    <w:rsid w:val="00E147FA"/>
    <w:rsid w:val="00E14AE5"/>
    <w:rsid w:val="00E16E1F"/>
    <w:rsid w:val="00E16E9D"/>
    <w:rsid w:val="00E26046"/>
    <w:rsid w:val="00E305D1"/>
    <w:rsid w:val="00E31B73"/>
    <w:rsid w:val="00E323A1"/>
    <w:rsid w:val="00E34A6F"/>
    <w:rsid w:val="00E3691B"/>
    <w:rsid w:val="00E36F96"/>
    <w:rsid w:val="00E41DD8"/>
    <w:rsid w:val="00E45434"/>
    <w:rsid w:val="00E47B98"/>
    <w:rsid w:val="00E52929"/>
    <w:rsid w:val="00E52B61"/>
    <w:rsid w:val="00E52BA8"/>
    <w:rsid w:val="00E561DC"/>
    <w:rsid w:val="00E56F54"/>
    <w:rsid w:val="00E57675"/>
    <w:rsid w:val="00E645B5"/>
    <w:rsid w:val="00E65950"/>
    <w:rsid w:val="00E73280"/>
    <w:rsid w:val="00E75181"/>
    <w:rsid w:val="00E75573"/>
    <w:rsid w:val="00E7573A"/>
    <w:rsid w:val="00E76081"/>
    <w:rsid w:val="00E77925"/>
    <w:rsid w:val="00E7797A"/>
    <w:rsid w:val="00E8182E"/>
    <w:rsid w:val="00E86BB6"/>
    <w:rsid w:val="00E87654"/>
    <w:rsid w:val="00E9039A"/>
    <w:rsid w:val="00E906EF"/>
    <w:rsid w:val="00E90BC9"/>
    <w:rsid w:val="00E9204D"/>
    <w:rsid w:val="00E941A4"/>
    <w:rsid w:val="00E95158"/>
    <w:rsid w:val="00E96CE7"/>
    <w:rsid w:val="00EA075C"/>
    <w:rsid w:val="00EA12C1"/>
    <w:rsid w:val="00EA1752"/>
    <w:rsid w:val="00EA1EDF"/>
    <w:rsid w:val="00EA2B83"/>
    <w:rsid w:val="00EA5CC6"/>
    <w:rsid w:val="00EA70E2"/>
    <w:rsid w:val="00EB08F3"/>
    <w:rsid w:val="00EB0E90"/>
    <w:rsid w:val="00EB2F3A"/>
    <w:rsid w:val="00EB5786"/>
    <w:rsid w:val="00EB6518"/>
    <w:rsid w:val="00EB7303"/>
    <w:rsid w:val="00EC1213"/>
    <w:rsid w:val="00EC1C81"/>
    <w:rsid w:val="00EC6DA3"/>
    <w:rsid w:val="00ED0A26"/>
    <w:rsid w:val="00ED13BB"/>
    <w:rsid w:val="00ED6AF6"/>
    <w:rsid w:val="00ED7A75"/>
    <w:rsid w:val="00EE2926"/>
    <w:rsid w:val="00EE5126"/>
    <w:rsid w:val="00EF0B42"/>
    <w:rsid w:val="00EF0F65"/>
    <w:rsid w:val="00EF2B87"/>
    <w:rsid w:val="00EF49DF"/>
    <w:rsid w:val="00EF5386"/>
    <w:rsid w:val="00EF6B54"/>
    <w:rsid w:val="00EF6D7D"/>
    <w:rsid w:val="00EF7458"/>
    <w:rsid w:val="00EF7BB1"/>
    <w:rsid w:val="00F06B97"/>
    <w:rsid w:val="00F12CBF"/>
    <w:rsid w:val="00F1611B"/>
    <w:rsid w:val="00F17004"/>
    <w:rsid w:val="00F17080"/>
    <w:rsid w:val="00F205AD"/>
    <w:rsid w:val="00F21839"/>
    <w:rsid w:val="00F24DEF"/>
    <w:rsid w:val="00F25833"/>
    <w:rsid w:val="00F2639D"/>
    <w:rsid w:val="00F2792A"/>
    <w:rsid w:val="00F27D7F"/>
    <w:rsid w:val="00F27E5E"/>
    <w:rsid w:val="00F30562"/>
    <w:rsid w:val="00F31764"/>
    <w:rsid w:val="00F31BDE"/>
    <w:rsid w:val="00F328CD"/>
    <w:rsid w:val="00F3411A"/>
    <w:rsid w:val="00F35726"/>
    <w:rsid w:val="00F35B71"/>
    <w:rsid w:val="00F40F30"/>
    <w:rsid w:val="00F42A12"/>
    <w:rsid w:val="00F556B2"/>
    <w:rsid w:val="00F55C9E"/>
    <w:rsid w:val="00F606DA"/>
    <w:rsid w:val="00F650AC"/>
    <w:rsid w:val="00F65835"/>
    <w:rsid w:val="00F6612B"/>
    <w:rsid w:val="00F668A8"/>
    <w:rsid w:val="00F67901"/>
    <w:rsid w:val="00F716AC"/>
    <w:rsid w:val="00F73AC5"/>
    <w:rsid w:val="00F7580A"/>
    <w:rsid w:val="00F768B3"/>
    <w:rsid w:val="00F76C9B"/>
    <w:rsid w:val="00F77C50"/>
    <w:rsid w:val="00F81937"/>
    <w:rsid w:val="00F82A4B"/>
    <w:rsid w:val="00F83DE6"/>
    <w:rsid w:val="00F8480C"/>
    <w:rsid w:val="00F84B51"/>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B6200"/>
    <w:rsid w:val="00FC0796"/>
    <w:rsid w:val="00FC23D6"/>
    <w:rsid w:val="00FC4468"/>
    <w:rsid w:val="00FC53AC"/>
    <w:rsid w:val="00FD0EC3"/>
    <w:rsid w:val="00FD73AA"/>
    <w:rsid w:val="00FE3E04"/>
    <w:rsid w:val="00FE558E"/>
    <w:rsid w:val="00FE5CE7"/>
    <w:rsid w:val="00FF021A"/>
    <w:rsid w:val="00FF0E78"/>
    <w:rsid w:val="00FF31A7"/>
    <w:rsid w:val="00FF467D"/>
    <w:rsid w:val="00FF46A9"/>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0775">
      <w:bodyDiv w:val="1"/>
      <w:marLeft w:val="0"/>
      <w:marRight w:val="0"/>
      <w:marTop w:val="0"/>
      <w:marBottom w:val="0"/>
      <w:divBdr>
        <w:top w:val="none" w:sz="0" w:space="0" w:color="auto"/>
        <w:left w:val="none" w:sz="0" w:space="0" w:color="auto"/>
        <w:bottom w:val="none" w:sz="0" w:space="0" w:color="auto"/>
        <w:right w:val="none" w:sz="0" w:space="0" w:color="auto"/>
      </w:divBdr>
    </w:div>
    <w:div w:id="527137889">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D5B5-004D-4B12-A544-CB9202C2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bfaccenda</cp:lastModifiedBy>
  <cp:revision>36</cp:revision>
  <cp:lastPrinted>2014-06-13T18:27:00Z</cp:lastPrinted>
  <dcterms:created xsi:type="dcterms:W3CDTF">2014-06-10T18:48:00Z</dcterms:created>
  <dcterms:modified xsi:type="dcterms:W3CDTF">2014-06-13T18:35:00Z</dcterms:modified>
</cp:coreProperties>
</file>