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856434" w:rsidRDefault="00176DE0" w:rsidP="00176DE0">
      <w:pPr>
        <w:jc w:val="center"/>
        <w:rPr>
          <w:b/>
          <w:sz w:val="24"/>
          <w:szCs w:val="24"/>
        </w:rPr>
      </w:pPr>
      <w:r w:rsidRPr="00856434">
        <w:rPr>
          <w:b/>
          <w:sz w:val="24"/>
          <w:szCs w:val="24"/>
        </w:rPr>
        <w:t>BEFORE THE</w:t>
      </w:r>
    </w:p>
    <w:p w:rsidR="00176DE0" w:rsidRPr="00856434" w:rsidRDefault="00176DE0" w:rsidP="00176DE0">
      <w:pPr>
        <w:jc w:val="center"/>
        <w:rPr>
          <w:b/>
          <w:sz w:val="24"/>
          <w:szCs w:val="24"/>
        </w:rPr>
      </w:pPr>
      <w:r w:rsidRPr="00856434">
        <w:rPr>
          <w:b/>
          <w:sz w:val="24"/>
          <w:szCs w:val="24"/>
        </w:rPr>
        <w:t>PENNSYLVANIA PUBLIC UTILITY COMMISSION</w:t>
      </w:r>
    </w:p>
    <w:p w:rsidR="00176DE0" w:rsidRDefault="00176DE0" w:rsidP="00176DE0">
      <w:pPr>
        <w:jc w:val="center"/>
        <w:rPr>
          <w:sz w:val="24"/>
          <w:szCs w:val="24"/>
        </w:rPr>
      </w:pPr>
    </w:p>
    <w:p w:rsidR="00856434" w:rsidRPr="00856434" w:rsidRDefault="00856434" w:rsidP="00176DE0">
      <w:pPr>
        <w:jc w:val="center"/>
        <w:rPr>
          <w:sz w:val="24"/>
          <w:szCs w:val="24"/>
        </w:rPr>
      </w:pPr>
    </w:p>
    <w:p w:rsidR="00176DE0" w:rsidRPr="00856434" w:rsidRDefault="00176DE0" w:rsidP="00176DE0">
      <w:pPr>
        <w:jc w:val="center"/>
        <w:rPr>
          <w:sz w:val="24"/>
          <w:szCs w:val="24"/>
        </w:rPr>
      </w:pPr>
    </w:p>
    <w:p w:rsidR="00176DE0" w:rsidRPr="00856434" w:rsidRDefault="00E84715" w:rsidP="00176DE0">
      <w:pPr>
        <w:rPr>
          <w:sz w:val="24"/>
          <w:szCs w:val="24"/>
        </w:rPr>
      </w:pPr>
      <w:r w:rsidRPr="00856434">
        <w:rPr>
          <w:sz w:val="24"/>
          <w:szCs w:val="24"/>
        </w:rPr>
        <w:t>Cheryl Harba</w:t>
      </w:r>
      <w:r w:rsidR="005C617C" w:rsidRPr="00856434">
        <w:rPr>
          <w:sz w:val="24"/>
          <w:szCs w:val="24"/>
        </w:rPr>
        <w:t>u</w:t>
      </w:r>
      <w:r w:rsidRPr="00856434">
        <w:rPr>
          <w:sz w:val="24"/>
          <w:szCs w:val="24"/>
        </w:rPr>
        <w:t>gh</w:t>
      </w:r>
      <w:r w:rsidRPr="00856434">
        <w:rPr>
          <w:sz w:val="24"/>
          <w:szCs w:val="24"/>
        </w:rPr>
        <w:tab/>
      </w:r>
      <w:r w:rsidR="00176DE0" w:rsidRPr="00856434">
        <w:rPr>
          <w:sz w:val="24"/>
          <w:szCs w:val="24"/>
        </w:rPr>
        <w:tab/>
      </w:r>
      <w:r w:rsidR="00176DE0" w:rsidRPr="00856434">
        <w:rPr>
          <w:sz w:val="24"/>
          <w:szCs w:val="24"/>
        </w:rPr>
        <w:tab/>
      </w:r>
      <w:r w:rsidR="00176DE0" w:rsidRPr="00856434">
        <w:rPr>
          <w:sz w:val="24"/>
          <w:szCs w:val="24"/>
        </w:rPr>
        <w:tab/>
      </w:r>
      <w:r w:rsidR="00176DE0" w:rsidRPr="00856434">
        <w:rPr>
          <w:sz w:val="24"/>
          <w:szCs w:val="24"/>
        </w:rPr>
        <w:tab/>
        <w:t>:</w:t>
      </w:r>
    </w:p>
    <w:p w:rsidR="00176DE0" w:rsidRPr="00856434" w:rsidRDefault="00176DE0" w:rsidP="00176DE0">
      <w:pPr>
        <w:rPr>
          <w:sz w:val="24"/>
          <w:szCs w:val="24"/>
        </w:rPr>
      </w:pPr>
      <w:r w:rsidRPr="00856434">
        <w:rPr>
          <w:sz w:val="24"/>
          <w:szCs w:val="24"/>
        </w:rPr>
        <w:tab/>
      </w:r>
      <w:r w:rsidRPr="00856434">
        <w:rPr>
          <w:sz w:val="24"/>
          <w:szCs w:val="24"/>
        </w:rPr>
        <w:tab/>
      </w:r>
      <w:r w:rsidRPr="00856434">
        <w:rPr>
          <w:sz w:val="24"/>
          <w:szCs w:val="24"/>
        </w:rPr>
        <w:tab/>
      </w:r>
      <w:r w:rsidRPr="00856434">
        <w:rPr>
          <w:sz w:val="24"/>
          <w:szCs w:val="24"/>
        </w:rPr>
        <w:tab/>
      </w:r>
      <w:r w:rsidRPr="00856434">
        <w:rPr>
          <w:sz w:val="24"/>
          <w:szCs w:val="24"/>
        </w:rPr>
        <w:tab/>
      </w:r>
      <w:r w:rsidRPr="00856434">
        <w:rPr>
          <w:sz w:val="24"/>
          <w:szCs w:val="24"/>
        </w:rPr>
        <w:tab/>
      </w:r>
      <w:r w:rsidRPr="00856434">
        <w:rPr>
          <w:sz w:val="24"/>
          <w:szCs w:val="24"/>
        </w:rPr>
        <w:tab/>
        <w:t>:</w:t>
      </w:r>
    </w:p>
    <w:p w:rsidR="00176DE0" w:rsidRPr="00856434" w:rsidRDefault="00176DE0" w:rsidP="00176DE0">
      <w:pPr>
        <w:rPr>
          <w:sz w:val="24"/>
          <w:szCs w:val="24"/>
        </w:rPr>
      </w:pPr>
      <w:r w:rsidRPr="00856434">
        <w:rPr>
          <w:sz w:val="24"/>
          <w:szCs w:val="24"/>
        </w:rPr>
        <w:tab/>
        <w:t>v.</w:t>
      </w:r>
      <w:r w:rsidRPr="00856434">
        <w:rPr>
          <w:sz w:val="24"/>
          <w:szCs w:val="24"/>
        </w:rPr>
        <w:tab/>
      </w:r>
      <w:r w:rsidRPr="00856434">
        <w:rPr>
          <w:sz w:val="24"/>
          <w:szCs w:val="24"/>
        </w:rPr>
        <w:tab/>
      </w:r>
      <w:r w:rsidRPr="00856434">
        <w:rPr>
          <w:sz w:val="24"/>
          <w:szCs w:val="24"/>
        </w:rPr>
        <w:tab/>
      </w:r>
      <w:r w:rsidRPr="00856434">
        <w:rPr>
          <w:sz w:val="24"/>
          <w:szCs w:val="24"/>
        </w:rPr>
        <w:tab/>
      </w:r>
      <w:r w:rsidRPr="00856434">
        <w:rPr>
          <w:sz w:val="24"/>
          <w:szCs w:val="24"/>
        </w:rPr>
        <w:tab/>
      </w:r>
      <w:r w:rsidRPr="00856434">
        <w:rPr>
          <w:sz w:val="24"/>
          <w:szCs w:val="24"/>
        </w:rPr>
        <w:tab/>
        <w:t>:</w:t>
      </w:r>
      <w:r w:rsidRPr="00856434">
        <w:rPr>
          <w:sz w:val="24"/>
          <w:szCs w:val="24"/>
        </w:rPr>
        <w:tab/>
      </w:r>
      <w:r w:rsidR="00856434">
        <w:rPr>
          <w:sz w:val="24"/>
          <w:szCs w:val="24"/>
        </w:rPr>
        <w:tab/>
      </w:r>
      <w:r w:rsidRPr="00856434">
        <w:rPr>
          <w:sz w:val="24"/>
          <w:szCs w:val="24"/>
        </w:rPr>
        <w:t>C-201</w:t>
      </w:r>
      <w:r w:rsidR="00967502" w:rsidRPr="00856434">
        <w:rPr>
          <w:sz w:val="24"/>
          <w:szCs w:val="24"/>
        </w:rPr>
        <w:t>3</w:t>
      </w:r>
      <w:r w:rsidRPr="00856434">
        <w:rPr>
          <w:sz w:val="24"/>
          <w:szCs w:val="24"/>
        </w:rPr>
        <w:t>-2</w:t>
      </w:r>
      <w:r w:rsidR="00967502" w:rsidRPr="00856434">
        <w:rPr>
          <w:sz w:val="24"/>
          <w:szCs w:val="24"/>
        </w:rPr>
        <w:t>3</w:t>
      </w:r>
      <w:r w:rsidR="00E84715" w:rsidRPr="00856434">
        <w:rPr>
          <w:sz w:val="24"/>
          <w:szCs w:val="24"/>
        </w:rPr>
        <w:t>64639</w:t>
      </w:r>
    </w:p>
    <w:p w:rsidR="00176DE0" w:rsidRPr="00856434" w:rsidRDefault="00176DE0" w:rsidP="00176DE0">
      <w:pPr>
        <w:rPr>
          <w:sz w:val="24"/>
          <w:szCs w:val="24"/>
        </w:rPr>
      </w:pPr>
      <w:r w:rsidRPr="00856434">
        <w:rPr>
          <w:sz w:val="24"/>
          <w:szCs w:val="24"/>
        </w:rPr>
        <w:tab/>
      </w:r>
      <w:r w:rsidRPr="00856434">
        <w:rPr>
          <w:sz w:val="24"/>
          <w:szCs w:val="24"/>
        </w:rPr>
        <w:tab/>
      </w:r>
      <w:r w:rsidRPr="00856434">
        <w:rPr>
          <w:sz w:val="24"/>
          <w:szCs w:val="24"/>
        </w:rPr>
        <w:tab/>
      </w:r>
      <w:r w:rsidRPr="00856434">
        <w:rPr>
          <w:sz w:val="24"/>
          <w:szCs w:val="24"/>
        </w:rPr>
        <w:tab/>
      </w:r>
      <w:r w:rsidRPr="00856434">
        <w:rPr>
          <w:sz w:val="24"/>
          <w:szCs w:val="24"/>
        </w:rPr>
        <w:tab/>
      </w:r>
      <w:r w:rsidRPr="00856434">
        <w:rPr>
          <w:sz w:val="24"/>
          <w:szCs w:val="24"/>
        </w:rPr>
        <w:tab/>
      </w:r>
      <w:r w:rsidRPr="00856434">
        <w:rPr>
          <w:sz w:val="24"/>
          <w:szCs w:val="24"/>
        </w:rPr>
        <w:tab/>
        <w:t>:</w:t>
      </w:r>
    </w:p>
    <w:p w:rsidR="00176DE0" w:rsidRPr="00856434" w:rsidRDefault="00786751" w:rsidP="00176DE0">
      <w:pPr>
        <w:rPr>
          <w:sz w:val="24"/>
          <w:szCs w:val="24"/>
        </w:rPr>
      </w:pPr>
      <w:r w:rsidRPr="00856434">
        <w:rPr>
          <w:sz w:val="24"/>
          <w:szCs w:val="24"/>
        </w:rPr>
        <w:t>PECO Energy Company</w:t>
      </w:r>
      <w:r w:rsidRPr="00856434">
        <w:rPr>
          <w:sz w:val="24"/>
          <w:szCs w:val="24"/>
        </w:rPr>
        <w:tab/>
      </w:r>
      <w:r w:rsidR="00176DE0" w:rsidRPr="00856434">
        <w:rPr>
          <w:sz w:val="24"/>
          <w:szCs w:val="24"/>
        </w:rPr>
        <w:tab/>
      </w:r>
      <w:r w:rsidR="00176DE0" w:rsidRPr="00856434">
        <w:rPr>
          <w:sz w:val="24"/>
          <w:szCs w:val="24"/>
        </w:rPr>
        <w:tab/>
      </w:r>
      <w:r w:rsidR="00176DE0" w:rsidRPr="00856434">
        <w:rPr>
          <w:sz w:val="24"/>
          <w:szCs w:val="24"/>
        </w:rPr>
        <w:tab/>
        <w:t>:</w:t>
      </w:r>
    </w:p>
    <w:p w:rsidR="00176DE0" w:rsidRDefault="00176DE0" w:rsidP="00176DE0">
      <w:pPr>
        <w:rPr>
          <w:sz w:val="24"/>
          <w:szCs w:val="24"/>
        </w:rPr>
      </w:pPr>
    </w:p>
    <w:p w:rsidR="00856434" w:rsidRPr="00856434" w:rsidRDefault="00856434" w:rsidP="00176DE0">
      <w:pPr>
        <w:rPr>
          <w:sz w:val="24"/>
          <w:szCs w:val="24"/>
        </w:rPr>
      </w:pPr>
    </w:p>
    <w:p w:rsidR="00176DE0" w:rsidRPr="00856434" w:rsidRDefault="00176DE0" w:rsidP="00176DE0">
      <w:pPr>
        <w:rPr>
          <w:sz w:val="24"/>
          <w:szCs w:val="24"/>
        </w:rPr>
      </w:pPr>
    </w:p>
    <w:p w:rsidR="00397FFE" w:rsidRPr="00856434" w:rsidRDefault="00397FFE" w:rsidP="00397FFE">
      <w:pPr>
        <w:tabs>
          <w:tab w:val="center" w:pos="4680"/>
        </w:tabs>
        <w:suppressAutoHyphens/>
        <w:autoSpaceDE w:val="0"/>
        <w:autoSpaceDN w:val="0"/>
        <w:jc w:val="center"/>
        <w:rPr>
          <w:b/>
          <w:bCs/>
          <w:spacing w:val="-3"/>
          <w:sz w:val="24"/>
          <w:szCs w:val="24"/>
          <w:u w:val="single"/>
        </w:rPr>
      </w:pPr>
      <w:r w:rsidRPr="00856434">
        <w:rPr>
          <w:b/>
          <w:bCs/>
          <w:spacing w:val="-3"/>
          <w:sz w:val="24"/>
          <w:szCs w:val="24"/>
          <w:u w:val="single"/>
        </w:rPr>
        <w:t>INITIAL DECISION</w:t>
      </w:r>
    </w:p>
    <w:p w:rsidR="00397FFE" w:rsidRPr="00856434" w:rsidRDefault="00397FFE" w:rsidP="00397FFE">
      <w:pPr>
        <w:tabs>
          <w:tab w:val="center" w:pos="4680"/>
        </w:tabs>
        <w:suppressAutoHyphens/>
        <w:autoSpaceDE w:val="0"/>
        <w:autoSpaceDN w:val="0"/>
        <w:jc w:val="center"/>
        <w:rPr>
          <w:bCs/>
          <w:spacing w:val="-3"/>
          <w:sz w:val="24"/>
          <w:szCs w:val="24"/>
        </w:rPr>
      </w:pPr>
    </w:p>
    <w:p w:rsidR="00397FFE" w:rsidRPr="00856434" w:rsidRDefault="00397FFE" w:rsidP="00397FFE">
      <w:pPr>
        <w:tabs>
          <w:tab w:val="center" w:pos="4680"/>
        </w:tabs>
        <w:suppressAutoHyphens/>
        <w:autoSpaceDE w:val="0"/>
        <w:autoSpaceDN w:val="0"/>
        <w:jc w:val="center"/>
        <w:rPr>
          <w:bCs/>
          <w:spacing w:val="-3"/>
          <w:sz w:val="24"/>
          <w:szCs w:val="24"/>
        </w:rPr>
      </w:pPr>
    </w:p>
    <w:p w:rsidR="00397FFE" w:rsidRPr="00856434" w:rsidRDefault="00397FFE" w:rsidP="00397FFE">
      <w:pPr>
        <w:tabs>
          <w:tab w:val="center" w:pos="4680"/>
        </w:tabs>
        <w:suppressAutoHyphens/>
        <w:autoSpaceDE w:val="0"/>
        <w:autoSpaceDN w:val="0"/>
        <w:jc w:val="center"/>
        <w:rPr>
          <w:spacing w:val="-3"/>
          <w:sz w:val="24"/>
          <w:szCs w:val="24"/>
        </w:rPr>
      </w:pPr>
      <w:r w:rsidRPr="00856434">
        <w:rPr>
          <w:spacing w:val="-3"/>
          <w:sz w:val="24"/>
          <w:szCs w:val="24"/>
        </w:rPr>
        <w:t>Before</w:t>
      </w:r>
    </w:p>
    <w:p w:rsidR="00397FFE" w:rsidRPr="00856434" w:rsidRDefault="00397FFE" w:rsidP="00397FFE">
      <w:pPr>
        <w:tabs>
          <w:tab w:val="center" w:pos="4680"/>
        </w:tabs>
        <w:suppressAutoHyphens/>
        <w:autoSpaceDE w:val="0"/>
        <w:autoSpaceDN w:val="0"/>
        <w:jc w:val="center"/>
        <w:rPr>
          <w:spacing w:val="-3"/>
          <w:sz w:val="24"/>
          <w:szCs w:val="24"/>
        </w:rPr>
      </w:pPr>
      <w:r w:rsidRPr="00856434">
        <w:rPr>
          <w:spacing w:val="-3"/>
          <w:sz w:val="24"/>
          <w:szCs w:val="24"/>
        </w:rPr>
        <w:t>Dennis J. Buckley</w:t>
      </w:r>
    </w:p>
    <w:p w:rsidR="00397FFE" w:rsidRPr="00856434" w:rsidRDefault="00397FFE" w:rsidP="00397FFE">
      <w:pPr>
        <w:tabs>
          <w:tab w:val="center" w:pos="4680"/>
        </w:tabs>
        <w:suppressAutoHyphens/>
        <w:autoSpaceDE w:val="0"/>
        <w:autoSpaceDN w:val="0"/>
        <w:jc w:val="center"/>
        <w:rPr>
          <w:spacing w:val="-3"/>
          <w:sz w:val="24"/>
          <w:szCs w:val="24"/>
        </w:rPr>
      </w:pPr>
      <w:r w:rsidRPr="00856434">
        <w:rPr>
          <w:spacing w:val="-3"/>
          <w:sz w:val="24"/>
          <w:szCs w:val="24"/>
        </w:rPr>
        <w:t>Administrative Law Judge</w:t>
      </w:r>
    </w:p>
    <w:p w:rsidR="00397FFE" w:rsidRPr="00856434" w:rsidRDefault="00397FFE" w:rsidP="00397FFE">
      <w:pPr>
        <w:tabs>
          <w:tab w:val="center" w:pos="4680"/>
        </w:tabs>
        <w:suppressAutoHyphens/>
        <w:autoSpaceDE w:val="0"/>
        <w:autoSpaceDN w:val="0"/>
        <w:ind w:firstLine="1440"/>
        <w:rPr>
          <w:spacing w:val="-3"/>
          <w:sz w:val="24"/>
          <w:szCs w:val="24"/>
        </w:rPr>
      </w:pPr>
    </w:p>
    <w:p w:rsidR="00A87277" w:rsidRPr="00856434" w:rsidRDefault="00A87277" w:rsidP="00397FFE">
      <w:pPr>
        <w:tabs>
          <w:tab w:val="center" w:pos="4680"/>
        </w:tabs>
        <w:suppressAutoHyphens/>
        <w:autoSpaceDE w:val="0"/>
        <w:autoSpaceDN w:val="0"/>
        <w:ind w:firstLine="1440"/>
        <w:rPr>
          <w:spacing w:val="-3"/>
          <w:sz w:val="24"/>
          <w:szCs w:val="24"/>
        </w:rPr>
      </w:pPr>
    </w:p>
    <w:p w:rsidR="00397FFE" w:rsidRPr="00856434" w:rsidRDefault="00A87277" w:rsidP="00A87277">
      <w:pPr>
        <w:tabs>
          <w:tab w:val="center" w:pos="4680"/>
        </w:tabs>
        <w:suppressAutoHyphens/>
        <w:autoSpaceDE w:val="0"/>
        <w:autoSpaceDN w:val="0"/>
        <w:spacing w:line="360" w:lineRule="auto"/>
        <w:ind w:firstLine="1440"/>
        <w:rPr>
          <w:spacing w:val="-3"/>
          <w:sz w:val="24"/>
          <w:szCs w:val="24"/>
        </w:rPr>
      </w:pPr>
      <w:r w:rsidRPr="00856434">
        <w:rPr>
          <w:spacing w:val="-3"/>
          <w:sz w:val="24"/>
          <w:szCs w:val="24"/>
        </w:rPr>
        <w:t xml:space="preserve">This Initial Decision dismisses the formal Complaint filed by Cheryl Harbaugh (Complainant) against PECO Energy Company (PECO or Respondent) </w:t>
      </w:r>
      <w:r w:rsidR="00AF3E14" w:rsidRPr="00856434">
        <w:rPr>
          <w:spacing w:val="-3"/>
          <w:sz w:val="24"/>
          <w:szCs w:val="24"/>
        </w:rPr>
        <w:t>because</w:t>
      </w:r>
      <w:r w:rsidRPr="00856434">
        <w:rPr>
          <w:spacing w:val="-3"/>
          <w:sz w:val="24"/>
          <w:szCs w:val="24"/>
        </w:rPr>
        <w:t xml:space="preserve"> the Complainant failed to meet her burden of proof.</w:t>
      </w:r>
    </w:p>
    <w:p w:rsidR="00A87277" w:rsidRDefault="00A87277" w:rsidP="00397FFE">
      <w:pPr>
        <w:tabs>
          <w:tab w:val="center" w:pos="4680"/>
        </w:tabs>
        <w:suppressAutoHyphens/>
        <w:autoSpaceDE w:val="0"/>
        <w:autoSpaceDN w:val="0"/>
        <w:ind w:firstLine="1440"/>
        <w:rPr>
          <w:spacing w:val="-3"/>
          <w:sz w:val="24"/>
          <w:szCs w:val="24"/>
        </w:rPr>
      </w:pPr>
    </w:p>
    <w:p w:rsidR="00856434" w:rsidRPr="00856434" w:rsidRDefault="00856434" w:rsidP="00397FFE">
      <w:pPr>
        <w:tabs>
          <w:tab w:val="center" w:pos="4680"/>
        </w:tabs>
        <w:suppressAutoHyphens/>
        <w:autoSpaceDE w:val="0"/>
        <w:autoSpaceDN w:val="0"/>
        <w:ind w:firstLine="1440"/>
        <w:rPr>
          <w:spacing w:val="-3"/>
          <w:sz w:val="24"/>
          <w:szCs w:val="24"/>
        </w:rPr>
      </w:pPr>
    </w:p>
    <w:p w:rsidR="00397FFE" w:rsidRPr="00856434" w:rsidRDefault="00397FFE" w:rsidP="00397FFE">
      <w:pPr>
        <w:tabs>
          <w:tab w:val="center" w:pos="4680"/>
        </w:tabs>
        <w:suppressAutoHyphens/>
        <w:autoSpaceDE w:val="0"/>
        <w:autoSpaceDN w:val="0"/>
        <w:jc w:val="center"/>
        <w:rPr>
          <w:spacing w:val="-3"/>
          <w:sz w:val="24"/>
          <w:szCs w:val="24"/>
          <w:u w:val="single"/>
        </w:rPr>
      </w:pPr>
      <w:r w:rsidRPr="00856434">
        <w:rPr>
          <w:spacing w:val="-3"/>
          <w:sz w:val="24"/>
          <w:szCs w:val="24"/>
          <w:u w:val="single"/>
        </w:rPr>
        <w:t>HISTORY OF THE PROCEEDING</w:t>
      </w:r>
    </w:p>
    <w:p w:rsidR="00176DE0" w:rsidRPr="00856434" w:rsidRDefault="00176DE0" w:rsidP="00176DE0">
      <w:pPr>
        <w:jc w:val="center"/>
        <w:rPr>
          <w:sz w:val="24"/>
          <w:szCs w:val="24"/>
        </w:rPr>
      </w:pPr>
    </w:p>
    <w:p w:rsidR="00ED3EC8" w:rsidRPr="00856434" w:rsidRDefault="00ED3EC8" w:rsidP="00ED3EC8">
      <w:pPr>
        <w:jc w:val="center"/>
        <w:rPr>
          <w:b/>
          <w:sz w:val="24"/>
          <w:szCs w:val="24"/>
        </w:rPr>
      </w:pPr>
    </w:p>
    <w:p w:rsidR="00397FFE" w:rsidRPr="00856434" w:rsidRDefault="00397FFE" w:rsidP="00E84715">
      <w:pPr>
        <w:spacing w:line="360" w:lineRule="auto"/>
        <w:rPr>
          <w:sz w:val="24"/>
          <w:szCs w:val="24"/>
        </w:rPr>
      </w:pPr>
      <w:r w:rsidRPr="00856434">
        <w:rPr>
          <w:sz w:val="24"/>
          <w:szCs w:val="24"/>
        </w:rPr>
        <w:tab/>
      </w:r>
      <w:r w:rsidRPr="00856434">
        <w:rPr>
          <w:sz w:val="24"/>
          <w:szCs w:val="24"/>
        </w:rPr>
        <w:tab/>
        <w:t xml:space="preserve">On May 21, 2013, </w:t>
      </w:r>
      <w:r w:rsidR="008A2445" w:rsidRPr="00856434">
        <w:rPr>
          <w:sz w:val="24"/>
          <w:szCs w:val="24"/>
        </w:rPr>
        <w:t xml:space="preserve">the Complainant </w:t>
      </w:r>
      <w:r w:rsidRPr="00856434">
        <w:rPr>
          <w:sz w:val="24"/>
          <w:szCs w:val="24"/>
        </w:rPr>
        <w:t xml:space="preserve">filed a formal Complaint with the Secretary of the Commission. </w:t>
      </w:r>
      <w:r w:rsidR="00856434">
        <w:rPr>
          <w:sz w:val="24"/>
          <w:szCs w:val="24"/>
        </w:rPr>
        <w:t xml:space="preserve"> </w:t>
      </w:r>
      <w:r w:rsidRPr="00856434">
        <w:rPr>
          <w:sz w:val="24"/>
          <w:szCs w:val="24"/>
        </w:rPr>
        <w:t xml:space="preserve">In that Complaint, the Complainant alleged that she had been improperly billed by </w:t>
      </w:r>
      <w:r w:rsidR="008A2445" w:rsidRPr="00856434">
        <w:rPr>
          <w:sz w:val="24"/>
          <w:szCs w:val="24"/>
        </w:rPr>
        <w:t xml:space="preserve">PECO </w:t>
      </w:r>
      <w:r w:rsidRPr="00856434">
        <w:rPr>
          <w:sz w:val="24"/>
          <w:szCs w:val="24"/>
        </w:rPr>
        <w:t>for electric service, contending that the service was in her son’s name.</w:t>
      </w:r>
      <w:r w:rsidR="00721D54" w:rsidRPr="00856434">
        <w:rPr>
          <w:rStyle w:val="FootnoteReference"/>
          <w:sz w:val="24"/>
          <w:szCs w:val="24"/>
        </w:rPr>
        <w:footnoteReference w:id="1"/>
      </w:r>
      <w:r w:rsidRPr="00856434">
        <w:rPr>
          <w:sz w:val="24"/>
          <w:szCs w:val="24"/>
        </w:rPr>
        <w:t xml:space="preserve">  </w:t>
      </w:r>
      <w:r w:rsidR="008A2445" w:rsidRPr="00856434">
        <w:rPr>
          <w:sz w:val="24"/>
          <w:szCs w:val="24"/>
        </w:rPr>
        <w:t xml:space="preserve">However, the </w:t>
      </w:r>
      <w:r w:rsidRPr="00856434">
        <w:rPr>
          <w:sz w:val="24"/>
          <w:szCs w:val="24"/>
        </w:rPr>
        <w:t>Complainant asked that the account be transferred to her name and that PECO provide an acceptable payment arrangement.</w:t>
      </w:r>
      <w:r w:rsidRPr="00856434">
        <w:rPr>
          <w:rStyle w:val="FootnoteReference"/>
          <w:sz w:val="24"/>
          <w:szCs w:val="24"/>
        </w:rPr>
        <w:footnoteReference w:id="2"/>
      </w:r>
      <w:r w:rsidR="00ED3EC8" w:rsidRPr="00856434">
        <w:rPr>
          <w:sz w:val="24"/>
          <w:szCs w:val="24"/>
        </w:rPr>
        <w:tab/>
      </w:r>
      <w:r w:rsidR="00ED3EC8" w:rsidRPr="00856434">
        <w:rPr>
          <w:sz w:val="24"/>
          <w:szCs w:val="24"/>
        </w:rPr>
        <w:tab/>
      </w:r>
    </w:p>
    <w:p w:rsidR="00397FFE" w:rsidRPr="00856434" w:rsidRDefault="00397FFE" w:rsidP="00E84715">
      <w:pPr>
        <w:spacing w:line="360" w:lineRule="auto"/>
        <w:rPr>
          <w:sz w:val="24"/>
          <w:szCs w:val="24"/>
        </w:rPr>
      </w:pPr>
    </w:p>
    <w:p w:rsidR="00397FFE" w:rsidRPr="00856434" w:rsidRDefault="008A2445" w:rsidP="00E84715">
      <w:pPr>
        <w:spacing w:line="360" w:lineRule="auto"/>
        <w:rPr>
          <w:sz w:val="24"/>
          <w:szCs w:val="24"/>
        </w:rPr>
      </w:pPr>
      <w:r w:rsidRPr="00856434">
        <w:rPr>
          <w:sz w:val="24"/>
          <w:szCs w:val="24"/>
        </w:rPr>
        <w:lastRenderedPageBreak/>
        <w:tab/>
      </w:r>
      <w:r w:rsidRPr="00856434">
        <w:rPr>
          <w:sz w:val="24"/>
          <w:szCs w:val="24"/>
        </w:rPr>
        <w:tab/>
      </w:r>
      <w:r w:rsidR="00397FFE" w:rsidRPr="00856434">
        <w:rPr>
          <w:sz w:val="24"/>
          <w:szCs w:val="24"/>
        </w:rPr>
        <w:t>On May 22, 2013, the Secretary of the Commission served the Complaint on PECO.</w:t>
      </w:r>
    </w:p>
    <w:p w:rsidR="00397FFE" w:rsidRPr="00856434" w:rsidRDefault="00397FFE" w:rsidP="00E84715">
      <w:pPr>
        <w:spacing w:line="360" w:lineRule="auto"/>
        <w:rPr>
          <w:sz w:val="24"/>
          <w:szCs w:val="24"/>
        </w:rPr>
      </w:pPr>
    </w:p>
    <w:p w:rsidR="00397FFE" w:rsidRPr="00856434" w:rsidRDefault="00397FFE" w:rsidP="00E84715">
      <w:pPr>
        <w:spacing w:line="360" w:lineRule="auto"/>
        <w:rPr>
          <w:sz w:val="24"/>
          <w:szCs w:val="24"/>
        </w:rPr>
      </w:pPr>
      <w:r w:rsidRPr="00856434">
        <w:rPr>
          <w:sz w:val="24"/>
          <w:szCs w:val="24"/>
        </w:rPr>
        <w:tab/>
      </w:r>
      <w:r w:rsidRPr="00856434">
        <w:rPr>
          <w:sz w:val="24"/>
          <w:szCs w:val="24"/>
        </w:rPr>
        <w:tab/>
        <w:t>On June 10, 2013, PECO filed an Answer and New Matter, the latter being properly endorsed with a Notice to Plead.  The Answer denied all material allegations of fact and conclusions of law in the Complaint.</w:t>
      </w:r>
      <w:r w:rsidR="000D530F" w:rsidRPr="00856434">
        <w:rPr>
          <w:sz w:val="24"/>
          <w:szCs w:val="24"/>
        </w:rPr>
        <w:t xml:space="preserve">  Complainant never filed a responsive pleading to PECO’s New Matter.</w:t>
      </w:r>
    </w:p>
    <w:p w:rsidR="00D55A88" w:rsidRPr="00856434" w:rsidRDefault="00D55A88" w:rsidP="00E84715">
      <w:pPr>
        <w:spacing w:line="360" w:lineRule="auto"/>
        <w:rPr>
          <w:sz w:val="24"/>
          <w:szCs w:val="24"/>
        </w:rPr>
      </w:pPr>
    </w:p>
    <w:p w:rsidR="00D55A88" w:rsidRPr="00856434" w:rsidRDefault="00D55A88" w:rsidP="00E84715">
      <w:pPr>
        <w:spacing w:line="360" w:lineRule="auto"/>
        <w:rPr>
          <w:sz w:val="24"/>
          <w:szCs w:val="24"/>
        </w:rPr>
      </w:pPr>
      <w:r w:rsidRPr="00856434">
        <w:rPr>
          <w:sz w:val="24"/>
          <w:szCs w:val="24"/>
        </w:rPr>
        <w:tab/>
      </w:r>
      <w:r w:rsidRPr="00856434">
        <w:rPr>
          <w:sz w:val="24"/>
          <w:szCs w:val="24"/>
        </w:rPr>
        <w:tab/>
        <w:t>On July 31, 2013, a hearing noticed was issued setting September 27, 2013 as the date for a telephonic hearing in this case.</w:t>
      </w:r>
    </w:p>
    <w:p w:rsidR="006E117B" w:rsidRPr="00856434" w:rsidRDefault="006E117B" w:rsidP="00E84715">
      <w:pPr>
        <w:spacing w:line="360" w:lineRule="auto"/>
        <w:rPr>
          <w:sz w:val="24"/>
          <w:szCs w:val="24"/>
        </w:rPr>
      </w:pPr>
    </w:p>
    <w:p w:rsidR="006E117B" w:rsidRPr="00856434" w:rsidRDefault="006E117B" w:rsidP="00E84715">
      <w:pPr>
        <w:spacing w:line="360" w:lineRule="auto"/>
        <w:rPr>
          <w:sz w:val="24"/>
          <w:szCs w:val="24"/>
        </w:rPr>
      </w:pPr>
      <w:r w:rsidRPr="00856434">
        <w:rPr>
          <w:sz w:val="24"/>
          <w:szCs w:val="24"/>
        </w:rPr>
        <w:tab/>
      </w:r>
      <w:r w:rsidRPr="00856434">
        <w:rPr>
          <w:sz w:val="24"/>
          <w:szCs w:val="24"/>
        </w:rPr>
        <w:tab/>
        <w:t xml:space="preserve">On August 2, 2013, a standard form </w:t>
      </w:r>
      <w:r w:rsidR="00D55A88" w:rsidRPr="00856434">
        <w:rPr>
          <w:sz w:val="24"/>
          <w:szCs w:val="24"/>
        </w:rPr>
        <w:t>Prehearing Order was issued.</w:t>
      </w:r>
    </w:p>
    <w:p w:rsidR="00397FFE" w:rsidRPr="00856434" w:rsidRDefault="00397FFE" w:rsidP="00E84715">
      <w:pPr>
        <w:spacing w:line="360" w:lineRule="auto"/>
        <w:rPr>
          <w:sz w:val="24"/>
          <w:szCs w:val="24"/>
        </w:rPr>
      </w:pPr>
    </w:p>
    <w:p w:rsidR="00397FFE" w:rsidRPr="00856434" w:rsidRDefault="00397FFE" w:rsidP="00E84715">
      <w:pPr>
        <w:spacing w:line="360" w:lineRule="auto"/>
        <w:rPr>
          <w:sz w:val="24"/>
          <w:szCs w:val="24"/>
        </w:rPr>
      </w:pPr>
      <w:r w:rsidRPr="00856434">
        <w:rPr>
          <w:sz w:val="24"/>
          <w:szCs w:val="24"/>
        </w:rPr>
        <w:tab/>
      </w:r>
      <w:r w:rsidRPr="00856434">
        <w:rPr>
          <w:sz w:val="24"/>
          <w:szCs w:val="24"/>
        </w:rPr>
        <w:tab/>
        <w:t xml:space="preserve">On September 18, 2013, PECO </w:t>
      </w:r>
      <w:r w:rsidR="008A2445" w:rsidRPr="00856434">
        <w:rPr>
          <w:sz w:val="24"/>
          <w:szCs w:val="24"/>
        </w:rPr>
        <w:t>pre-</w:t>
      </w:r>
      <w:r w:rsidRPr="00856434">
        <w:rPr>
          <w:sz w:val="24"/>
          <w:szCs w:val="24"/>
        </w:rPr>
        <w:t>served its proposed hearing exhibits on the Presiding Officer and the Complainant.</w:t>
      </w:r>
    </w:p>
    <w:p w:rsidR="00397FFE" w:rsidRPr="00856434" w:rsidRDefault="00397FFE" w:rsidP="00E84715">
      <w:pPr>
        <w:spacing w:line="360" w:lineRule="auto"/>
        <w:rPr>
          <w:sz w:val="24"/>
          <w:szCs w:val="24"/>
        </w:rPr>
      </w:pPr>
    </w:p>
    <w:p w:rsidR="006E49E8" w:rsidRPr="00856434" w:rsidRDefault="00397FFE" w:rsidP="00E84715">
      <w:pPr>
        <w:spacing w:line="360" w:lineRule="auto"/>
        <w:rPr>
          <w:sz w:val="24"/>
          <w:szCs w:val="24"/>
        </w:rPr>
      </w:pPr>
      <w:r w:rsidRPr="00856434">
        <w:rPr>
          <w:sz w:val="24"/>
          <w:szCs w:val="24"/>
        </w:rPr>
        <w:tab/>
      </w:r>
      <w:r w:rsidRPr="00856434">
        <w:rPr>
          <w:sz w:val="24"/>
          <w:szCs w:val="24"/>
        </w:rPr>
        <w:tab/>
      </w:r>
      <w:r w:rsidR="00E74140" w:rsidRPr="00856434">
        <w:rPr>
          <w:sz w:val="24"/>
          <w:szCs w:val="24"/>
        </w:rPr>
        <w:t xml:space="preserve">On </w:t>
      </w:r>
      <w:r w:rsidR="00E84715" w:rsidRPr="00856434">
        <w:rPr>
          <w:sz w:val="24"/>
          <w:szCs w:val="24"/>
        </w:rPr>
        <w:t xml:space="preserve">September 27, </w:t>
      </w:r>
      <w:r w:rsidR="00E74140" w:rsidRPr="00856434">
        <w:rPr>
          <w:sz w:val="24"/>
          <w:szCs w:val="24"/>
        </w:rPr>
        <w:t>201</w:t>
      </w:r>
      <w:r w:rsidR="00967502" w:rsidRPr="00856434">
        <w:rPr>
          <w:sz w:val="24"/>
          <w:szCs w:val="24"/>
        </w:rPr>
        <w:t>3</w:t>
      </w:r>
      <w:r w:rsidR="00E74140" w:rsidRPr="00856434">
        <w:rPr>
          <w:sz w:val="24"/>
          <w:szCs w:val="24"/>
        </w:rPr>
        <w:t>, a</w:t>
      </w:r>
      <w:r w:rsidR="00E84715" w:rsidRPr="00856434">
        <w:rPr>
          <w:sz w:val="24"/>
          <w:szCs w:val="24"/>
        </w:rPr>
        <w:t xml:space="preserve"> telephonic </w:t>
      </w:r>
      <w:r w:rsidR="00E74140" w:rsidRPr="00856434">
        <w:rPr>
          <w:sz w:val="24"/>
          <w:szCs w:val="24"/>
        </w:rPr>
        <w:t xml:space="preserve">hearing in the above-captioned matter </w:t>
      </w:r>
      <w:r w:rsidR="00967502" w:rsidRPr="00856434">
        <w:rPr>
          <w:sz w:val="24"/>
          <w:szCs w:val="24"/>
        </w:rPr>
        <w:t>convened</w:t>
      </w:r>
      <w:r w:rsidR="008C7D99" w:rsidRPr="00856434">
        <w:rPr>
          <w:sz w:val="24"/>
          <w:szCs w:val="24"/>
        </w:rPr>
        <w:t xml:space="preserve"> pursuant to Notice</w:t>
      </w:r>
      <w:r w:rsidR="00967502" w:rsidRPr="00856434">
        <w:rPr>
          <w:sz w:val="24"/>
          <w:szCs w:val="24"/>
        </w:rPr>
        <w:t xml:space="preserve"> in </w:t>
      </w:r>
      <w:r w:rsidR="00E74140" w:rsidRPr="00856434">
        <w:rPr>
          <w:sz w:val="24"/>
          <w:szCs w:val="24"/>
        </w:rPr>
        <w:t>Hearing Room No. 2 of the Commission’s Offices at 400 North Street, Harrisburg, Pennsylvania</w:t>
      </w:r>
      <w:r w:rsidR="00ED3C68" w:rsidRPr="00856434">
        <w:rPr>
          <w:sz w:val="24"/>
          <w:szCs w:val="24"/>
        </w:rPr>
        <w:t xml:space="preserve">.  </w:t>
      </w:r>
      <w:r w:rsidR="006E49E8" w:rsidRPr="00856434">
        <w:rPr>
          <w:sz w:val="24"/>
          <w:szCs w:val="24"/>
        </w:rPr>
        <w:t xml:space="preserve">The Complainant was present and represented herself.  She offered testimony but no exhibits.  PECO was represented by Ms. Shawane Lee, Esquire.  A </w:t>
      </w:r>
      <w:r w:rsidR="002B6787" w:rsidRPr="00856434">
        <w:rPr>
          <w:sz w:val="24"/>
          <w:szCs w:val="24"/>
        </w:rPr>
        <w:t>thirty-three</w:t>
      </w:r>
      <w:r w:rsidR="006E49E8" w:rsidRPr="00856434">
        <w:rPr>
          <w:sz w:val="24"/>
          <w:szCs w:val="24"/>
        </w:rPr>
        <w:t xml:space="preserve"> page transcript was compiled.  At the conclusion of her case, the Complainant denied receiving PECO’s pre-served proposed exhibits.</w:t>
      </w:r>
    </w:p>
    <w:p w:rsidR="006E49E8" w:rsidRPr="00856434" w:rsidRDefault="006E49E8" w:rsidP="00E84715">
      <w:pPr>
        <w:spacing w:line="360" w:lineRule="auto"/>
        <w:rPr>
          <w:sz w:val="24"/>
          <w:szCs w:val="24"/>
        </w:rPr>
      </w:pPr>
    </w:p>
    <w:p w:rsidR="00871CAF" w:rsidRPr="00856434" w:rsidRDefault="006E49E8" w:rsidP="00E84715">
      <w:pPr>
        <w:spacing w:line="360" w:lineRule="auto"/>
        <w:rPr>
          <w:sz w:val="24"/>
          <w:szCs w:val="24"/>
        </w:rPr>
      </w:pPr>
      <w:r w:rsidRPr="00856434">
        <w:rPr>
          <w:sz w:val="24"/>
          <w:szCs w:val="24"/>
        </w:rPr>
        <w:tab/>
      </w:r>
      <w:r w:rsidRPr="00856434">
        <w:rPr>
          <w:sz w:val="24"/>
          <w:szCs w:val="24"/>
        </w:rPr>
        <w:tab/>
        <w:t xml:space="preserve">It </w:t>
      </w:r>
      <w:r w:rsidR="00E84715" w:rsidRPr="00856434">
        <w:rPr>
          <w:sz w:val="24"/>
          <w:szCs w:val="24"/>
        </w:rPr>
        <w:t>was necessary for me to continue th</w:t>
      </w:r>
      <w:r w:rsidRPr="00856434">
        <w:rPr>
          <w:sz w:val="24"/>
          <w:szCs w:val="24"/>
        </w:rPr>
        <w:t>e</w:t>
      </w:r>
      <w:r w:rsidR="00E84715" w:rsidRPr="00856434">
        <w:rPr>
          <w:sz w:val="24"/>
          <w:szCs w:val="24"/>
        </w:rPr>
        <w:t xml:space="preserve"> hearing, the reason being that the Complainant had not received the proposed exhibits that counsel for PECO had pre-served in this case.  The failure of receipt was not the fault of PECO’s counsel, however.  In fact</w:t>
      </w:r>
      <w:r w:rsidRPr="00856434">
        <w:rPr>
          <w:sz w:val="24"/>
          <w:szCs w:val="24"/>
        </w:rPr>
        <w:t xml:space="preserve">, the </w:t>
      </w:r>
      <w:r w:rsidR="00E84715" w:rsidRPr="00856434">
        <w:rPr>
          <w:sz w:val="24"/>
          <w:szCs w:val="24"/>
        </w:rPr>
        <w:t xml:space="preserve">Complainant had moved from her service address, apparently without informing PECO, so when the proposed exhibits arrived </w:t>
      </w:r>
      <w:r w:rsidR="00AE31FF" w:rsidRPr="00856434">
        <w:rPr>
          <w:sz w:val="24"/>
          <w:szCs w:val="24"/>
        </w:rPr>
        <w:t xml:space="preserve">at the service address, </w:t>
      </w:r>
      <w:r w:rsidR="00E84715" w:rsidRPr="00856434">
        <w:rPr>
          <w:sz w:val="24"/>
          <w:szCs w:val="24"/>
        </w:rPr>
        <w:t>they were returned to PECO as undeliverable.</w:t>
      </w:r>
    </w:p>
    <w:p w:rsidR="00E84715" w:rsidRPr="00856434" w:rsidRDefault="00E84715" w:rsidP="00E84715">
      <w:pPr>
        <w:spacing w:line="360" w:lineRule="auto"/>
        <w:rPr>
          <w:sz w:val="24"/>
          <w:szCs w:val="24"/>
        </w:rPr>
      </w:pPr>
    </w:p>
    <w:p w:rsidR="00ED3C68" w:rsidRPr="00856434" w:rsidRDefault="00E84715" w:rsidP="00E84715">
      <w:pPr>
        <w:spacing w:line="360" w:lineRule="auto"/>
        <w:rPr>
          <w:sz w:val="24"/>
          <w:szCs w:val="24"/>
        </w:rPr>
      </w:pPr>
      <w:r w:rsidRPr="00856434">
        <w:rPr>
          <w:sz w:val="24"/>
          <w:szCs w:val="24"/>
        </w:rPr>
        <w:tab/>
      </w:r>
      <w:r w:rsidRPr="00856434">
        <w:rPr>
          <w:sz w:val="24"/>
          <w:szCs w:val="24"/>
        </w:rPr>
        <w:tab/>
      </w:r>
      <w:r w:rsidR="006E49E8" w:rsidRPr="00856434">
        <w:rPr>
          <w:sz w:val="24"/>
          <w:szCs w:val="24"/>
        </w:rPr>
        <w:t>Further</w:t>
      </w:r>
      <w:r w:rsidR="002B6787" w:rsidRPr="00856434">
        <w:rPr>
          <w:sz w:val="24"/>
          <w:szCs w:val="24"/>
        </w:rPr>
        <w:t xml:space="preserve"> justifying the continuance was </w:t>
      </w:r>
      <w:r w:rsidR="006E49E8" w:rsidRPr="00856434">
        <w:rPr>
          <w:sz w:val="24"/>
          <w:szCs w:val="24"/>
        </w:rPr>
        <w:t>t</w:t>
      </w:r>
      <w:r w:rsidRPr="00856434">
        <w:rPr>
          <w:sz w:val="24"/>
          <w:szCs w:val="24"/>
        </w:rPr>
        <w:t>h</w:t>
      </w:r>
      <w:r w:rsidR="006E49E8" w:rsidRPr="00856434">
        <w:rPr>
          <w:sz w:val="24"/>
          <w:szCs w:val="24"/>
        </w:rPr>
        <w:t>e</w:t>
      </w:r>
      <w:r w:rsidRPr="00856434">
        <w:rPr>
          <w:sz w:val="24"/>
          <w:szCs w:val="24"/>
        </w:rPr>
        <w:t xml:space="preserve"> Complainant’s conduct </w:t>
      </w:r>
      <w:r w:rsidR="006E49E8" w:rsidRPr="00856434">
        <w:rPr>
          <w:sz w:val="24"/>
          <w:szCs w:val="24"/>
        </w:rPr>
        <w:t>at the hearing on September 27, 2013</w:t>
      </w:r>
      <w:r w:rsidRPr="00856434">
        <w:rPr>
          <w:sz w:val="24"/>
          <w:szCs w:val="24"/>
        </w:rPr>
        <w:t xml:space="preserve">.  </w:t>
      </w:r>
      <w:r w:rsidR="006E49E8" w:rsidRPr="00856434">
        <w:rPr>
          <w:sz w:val="24"/>
          <w:szCs w:val="24"/>
        </w:rPr>
        <w:t xml:space="preserve">The </w:t>
      </w:r>
      <w:r w:rsidRPr="00856434">
        <w:rPr>
          <w:sz w:val="24"/>
          <w:szCs w:val="24"/>
        </w:rPr>
        <w:t xml:space="preserve">Complainant </w:t>
      </w:r>
      <w:r w:rsidR="00ED3C68" w:rsidRPr="00856434">
        <w:rPr>
          <w:sz w:val="24"/>
          <w:szCs w:val="24"/>
        </w:rPr>
        <w:t>was</w:t>
      </w:r>
      <w:r w:rsidRPr="00856434">
        <w:rPr>
          <w:sz w:val="24"/>
          <w:szCs w:val="24"/>
        </w:rPr>
        <w:t xml:space="preserve"> </w:t>
      </w:r>
      <w:r w:rsidR="002E44E3" w:rsidRPr="00856434">
        <w:rPr>
          <w:sz w:val="24"/>
          <w:szCs w:val="24"/>
        </w:rPr>
        <w:t xml:space="preserve">unjustifiably </w:t>
      </w:r>
      <w:r w:rsidRPr="00856434">
        <w:rPr>
          <w:sz w:val="24"/>
          <w:szCs w:val="24"/>
        </w:rPr>
        <w:t>confrontational with both counsel for PECO and with th</w:t>
      </w:r>
      <w:r w:rsidR="00ED3C68" w:rsidRPr="00856434">
        <w:rPr>
          <w:sz w:val="24"/>
          <w:szCs w:val="24"/>
        </w:rPr>
        <w:t>e</w:t>
      </w:r>
      <w:r w:rsidRPr="00856434">
        <w:rPr>
          <w:sz w:val="24"/>
          <w:szCs w:val="24"/>
        </w:rPr>
        <w:t xml:space="preserve"> Presiding Officer</w:t>
      </w:r>
      <w:r w:rsidR="000E50F7" w:rsidRPr="00856434">
        <w:rPr>
          <w:sz w:val="24"/>
          <w:szCs w:val="24"/>
        </w:rPr>
        <w:t xml:space="preserve"> on and off the record</w:t>
      </w:r>
      <w:r w:rsidRPr="00856434">
        <w:rPr>
          <w:sz w:val="24"/>
          <w:szCs w:val="24"/>
        </w:rPr>
        <w:t xml:space="preserve">.  </w:t>
      </w:r>
      <w:r w:rsidR="006E49E8" w:rsidRPr="00856434">
        <w:rPr>
          <w:sz w:val="24"/>
          <w:szCs w:val="24"/>
        </w:rPr>
        <w:t xml:space="preserve">The Complainant refused to respond to </w:t>
      </w:r>
      <w:r w:rsidR="00431760" w:rsidRPr="00856434">
        <w:rPr>
          <w:sz w:val="24"/>
          <w:szCs w:val="24"/>
        </w:rPr>
        <w:t xml:space="preserve">basic, non-prejudicial questions from counsel and from the Presiding Officer.  </w:t>
      </w:r>
      <w:r w:rsidR="00ED3C68" w:rsidRPr="00856434">
        <w:rPr>
          <w:sz w:val="24"/>
          <w:szCs w:val="24"/>
        </w:rPr>
        <w:t>It was necessary</w:t>
      </w:r>
      <w:r w:rsidRPr="00856434">
        <w:rPr>
          <w:sz w:val="24"/>
          <w:szCs w:val="24"/>
        </w:rPr>
        <w:t xml:space="preserve"> to</w:t>
      </w:r>
      <w:r w:rsidR="00681A59">
        <w:rPr>
          <w:sz w:val="24"/>
          <w:szCs w:val="24"/>
        </w:rPr>
        <w:t xml:space="preserve"> invoke the provision at 52 Pa.</w:t>
      </w:r>
      <w:r w:rsidRPr="00856434">
        <w:rPr>
          <w:sz w:val="24"/>
          <w:szCs w:val="24"/>
        </w:rPr>
        <w:t>Code § 5.245(c) relative to obstructive and disorderly conduct inimical to the public interest both on and off the record with th</w:t>
      </w:r>
      <w:r w:rsidR="00ED3C68" w:rsidRPr="00856434">
        <w:rPr>
          <w:sz w:val="24"/>
          <w:szCs w:val="24"/>
        </w:rPr>
        <w:t>e</w:t>
      </w:r>
      <w:r w:rsidRPr="00856434">
        <w:rPr>
          <w:sz w:val="24"/>
          <w:szCs w:val="24"/>
        </w:rPr>
        <w:t xml:space="preserve"> Complainant.</w:t>
      </w:r>
      <w:r w:rsidR="0074420E" w:rsidRPr="00856434">
        <w:rPr>
          <w:rStyle w:val="FootnoteReference"/>
          <w:sz w:val="24"/>
          <w:szCs w:val="24"/>
        </w:rPr>
        <w:footnoteReference w:id="3"/>
      </w:r>
      <w:r w:rsidRPr="00856434">
        <w:rPr>
          <w:sz w:val="24"/>
          <w:szCs w:val="24"/>
        </w:rPr>
        <w:t xml:space="preserve"> </w:t>
      </w:r>
    </w:p>
    <w:p w:rsidR="00ED3C68" w:rsidRPr="00856434" w:rsidRDefault="00ED3C68" w:rsidP="00E84715">
      <w:pPr>
        <w:spacing w:line="360" w:lineRule="auto"/>
        <w:rPr>
          <w:sz w:val="24"/>
          <w:szCs w:val="24"/>
        </w:rPr>
      </w:pPr>
    </w:p>
    <w:p w:rsidR="00ED3C68" w:rsidRPr="00856434" w:rsidRDefault="00ED3C68" w:rsidP="00E84715">
      <w:pPr>
        <w:spacing w:line="360" w:lineRule="auto"/>
        <w:rPr>
          <w:sz w:val="24"/>
          <w:szCs w:val="24"/>
        </w:rPr>
      </w:pPr>
      <w:r w:rsidRPr="00856434">
        <w:rPr>
          <w:sz w:val="24"/>
          <w:szCs w:val="24"/>
        </w:rPr>
        <w:tab/>
      </w:r>
      <w:r w:rsidRPr="00856434">
        <w:rPr>
          <w:sz w:val="24"/>
          <w:szCs w:val="24"/>
        </w:rPr>
        <w:tab/>
        <w:t>On September 30, 2013, I issued a post-hearing Order formalizing my ruling continuing the hearing, directing PECO to re-serve its proposed exhibits on the Complainant at the address she provided at hearing</w:t>
      </w:r>
      <w:r w:rsidR="00F867CD" w:rsidRPr="00856434">
        <w:rPr>
          <w:sz w:val="24"/>
          <w:szCs w:val="24"/>
        </w:rPr>
        <w:t xml:space="preserve"> (her brother’s address)</w:t>
      </w:r>
      <w:r w:rsidRPr="00856434">
        <w:rPr>
          <w:sz w:val="24"/>
          <w:szCs w:val="24"/>
        </w:rPr>
        <w:t xml:space="preserve">, and admonishing Complainant to behave </w:t>
      </w:r>
      <w:r w:rsidR="000E50F7" w:rsidRPr="00856434">
        <w:rPr>
          <w:sz w:val="24"/>
          <w:szCs w:val="24"/>
        </w:rPr>
        <w:t>in a civil manner</w:t>
      </w:r>
      <w:r w:rsidRPr="00856434">
        <w:rPr>
          <w:sz w:val="24"/>
          <w:szCs w:val="24"/>
        </w:rPr>
        <w:t>.</w:t>
      </w:r>
      <w:r w:rsidR="00C31F4A" w:rsidRPr="00856434">
        <w:rPr>
          <w:rStyle w:val="FootnoteReference"/>
          <w:sz w:val="24"/>
          <w:szCs w:val="24"/>
        </w:rPr>
        <w:footnoteReference w:id="4"/>
      </w:r>
    </w:p>
    <w:p w:rsidR="00A477C8" w:rsidRPr="00856434" w:rsidRDefault="00A477C8" w:rsidP="00E84715">
      <w:pPr>
        <w:spacing w:line="360" w:lineRule="auto"/>
        <w:rPr>
          <w:sz w:val="24"/>
          <w:szCs w:val="24"/>
        </w:rPr>
      </w:pPr>
    </w:p>
    <w:p w:rsidR="00A477C8" w:rsidRPr="00856434" w:rsidRDefault="00A477C8" w:rsidP="00E84715">
      <w:pPr>
        <w:spacing w:line="360" w:lineRule="auto"/>
        <w:rPr>
          <w:sz w:val="24"/>
          <w:szCs w:val="24"/>
        </w:rPr>
      </w:pPr>
      <w:r w:rsidRPr="00856434">
        <w:rPr>
          <w:sz w:val="24"/>
          <w:szCs w:val="24"/>
        </w:rPr>
        <w:tab/>
      </w:r>
      <w:r w:rsidRPr="00856434">
        <w:rPr>
          <w:sz w:val="24"/>
          <w:szCs w:val="24"/>
        </w:rPr>
        <w:tab/>
        <w:t>On December 16, 2013, a hearing notice was issued setting February 1</w:t>
      </w:r>
      <w:r w:rsidR="00DF3015">
        <w:rPr>
          <w:sz w:val="24"/>
          <w:szCs w:val="24"/>
        </w:rPr>
        <w:t>2</w:t>
      </w:r>
      <w:r w:rsidRPr="00856434">
        <w:rPr>
          <w:sz w:val="24"/>
          <w:szCs w:val="24"/>
        </w:rPr>
        <w:t>, 2014 as the date for the continued evidentiary hearing.</w:t>
      </w:r>
    </w:p>
    <w:p w:rsidR="00A477C8" w:rsidRPr="00856434" w:rsidRDefault="00A477C8" w:rsidP="00E84715">
      <w:pPr>
        <w:spacing w:line="360" w:lineRule="auto"/>
        <w:rPr>
          <w:sz w:val="24"/>
          <w:szCs w:val="24"/>
        </w:rPr>
      </w:pPr>
    </w:p>
    <w:p w:rsidR="00A477C8" w:rsidRPr="00856434" w:rsidRDefault="00A477C8" w:rsidP="00E84715">
      <w:pPr>
        <w:spacing w:line="360" w:lineRule="auto"/>
        <w:rPr>
          <w:sz w:val="24"/>
          <w:szCs w:val="24"/>
        </w:rPr>
      </w:pPr>
      <w:r w:rsidRPr="00856434">
        <w:rPr>
          <w:sz w:val="24"/>
          <w:szCs w:val="24"/>
        </w:rPr>
        <w:tab/>
      </w:r>
      <w:r w:rsidRPr="00856434">
        <w:rPr>
          <w:sz w:val="24"/>
          <w:szCs w:val="24"/>
        </w:rPr>
        <w:tab/>
        <w:t xml:space="preserve">On January 6, 2014, I was advised by the Office of Administrative Law Judge (OALJ) scheduling staff that the hearing notice sent to Complainant </w:t>
      </w:r>
      <w:r w:rsidR="00F867CD" w:rsidRPr="00856434">
        <w:rPr>
          <w:sz w:val="24"/>
          <w:szCs w:val="24"/>
        </w:rPr>
        <w:t xml:space="preserve">at the address she had provided </w:t>
      </w:r>
      <w:r w:rsidRPr="00856434">
        <w:rPr>
          <w:sz w:val="24"/>
          <w:szCs w:val="24"/>
        </w:rPr>
        <w:t>had been returned by the United States Postal Service (USPS) marked: “RETURN TO SENDER-ATTEMPTED NOT KNOWN-UNABLE TO FORWARD.”</w:t>
      </w:r>
    </w:p>
    <w:p w:rsidR="00A477C8" w:rsidRPr="00856434" w:rsidRDefault="00A477C8" w:rsidP="00E84715">
      <w:pPr>
        <w:spacing w:line="360" w:lineRule="auto"/>
        <w:rPr>
          <w:sz w:val="24"/>
          <w:szCs w:val="24"/>
        </w:rPr>
      </w:pPr>
    </w:p>
    <w:p w:rsidR="00A477C8" w:rsidRPr="00856434" w:rsidRDefault="00A477C8" w:rsidP="00E84715">
      <w:pPr>
        <w:spacing w:line="360" w:lineRule="auto"/>
        <w:rPr>
          <w:sz w:val="24"/>
          <w:szCs w:val="24"/>
        </w:rPr>
      </w:pPr>
      <w:r w:rsidRPr="00856434">
        <w:rPr>
          <w:sz w:val="24"/>
          <w:szCs w:val="24"/>
        </w:rPr>
        <w:tab/>
      </w:r>
      <w:r w:rsidRPr="00856434">
        <w:rPr>
          <w:sz w:val="24"/>
          <w:szCs w:val="24"/>
        </w:rPr>
        <w:tab/>
        <w:t>On February 5, 2014, PECO served copies of its proposed hearing exhibits in conformity with the Prehearing Order of September 30, 2013.</w:t>
      </w:r>
    </w:p>
    <w:p w:rsidR="00A477C8" w:rsidRPr="00856434" w:rsidRDefault="00A477C8" w:rsidP="00E84715">
      <w:pPr>
        <w:spacing w:line="360" w:lineRule="auto"/>
        <w:rPr>
          <w:sz w:val="24"/>
          <w:szCs w:val="24"/>
        </w:rPr>
      </w:pPr>
    </w:p>
    <w:p w:rsidR="00A477C8" w:rsidRPr="00856434" w:rsidRDefault="00A477C8" w:rsidP="00E84715">
      <w:pPr>
        <w:spacing w:line="360" w:lineRule="auto"/>
        <w:rPr>
          <w:sz w:val="24"/>
          <w:szCs w:val="24"/>
        </w:rPr>
      </w:pPr>
      <w:r w:rsidRPr="00856434">
        <w:rPr>
          <w:sz w:val="24"/>
          <w:szCs w:val="24"/>
        </w:rPr>
        <w:tab/>
      </w:r>
      <w:r w:rsidRPr="00856434">
        <w:rPr>
          <w:sz w:val="24"/>
          <w:szCs w:val="24"/>
        </w:rPr>
        <w:tab/>
        <w:t xml:space="preserve">On February 12, 2014, a further evidentiary hearing convened originating from the Commission’s Harrisburg Office.  Counsel for PECO was present as </w:t>
      </w:r>
      <w:r w:rsidR="00F867CD" w:rsidRPr="00856434">
        <w:rPr>
          <w:sz w:val="24"/>
          <w:szCs w:val="24"/>
        </w:rPr>
        <w:t>was</w:t>
      </w:r>
      <w:r w:rsidRPr="00856434">
        <w:rPr>
          <w:sz w:val="24"/>
          <w:szCs w:val="24"/>
        </w:rPr>
        <w:t xml:space="preserve"> PECO’s witness, Ms. Renee Tarpley</w:t>
      </w:r>
      <w:r w:rsidR="00F867CD" w:rsidRPr="00856434">
        <w:rPr>
          <w:sz w:val="24"/>
          <w:szCs w:val="24"/>
        </w:rPr>
        <w:t>, Senior R</w:t>
      </w:r>
      <w:r w:rsidR="002752E4" w:rsidRPr="00856434">
        <w:rPr>
          <w:sz w:val="24"/>
          <w:szCs w:val="24"/>
        </w:rPr>
        <w:t>egulatory Asses</w:t>
      </w:r>
      <w:r w:rsidR="005629AA" w:rsidRPr="00856434">
        <w:rPr>
          <w:sz w:val="24"/>
          <w:szCs w:val="24"/>
        </w:rPr>
        <w:t>s</w:t>
      </w:r>
      <w:r w:rsidR="002752E4" w:rsidRPr="00856434">
        <w:rPr>
          <w:sz w:val="24"/>
          <w:szCs w:val="24"/>
        </w:rPr>
        <w:t>or with PECO</w:t>
      </w:r>
      <w:r w:rsidRPr="00856434">
        <w:rPr>
          <w:sz w:val="24"/>
          <w:szCs w:val="24"/>
        </w:rPr>
        <w:t xml:space="preserve">.  The Complainant was not present.  Despite the Notice of Hearing to Complainant having been returned, I twice attempted to contact the Complainant the morning of the hearing and left voicemails for her, but Complainant did not contact me or the OALJ at that time or subsequent to the hearing.  Counsel for PECO stated that its proposed exhibits had, in fact, been received by the Complainant at her </w:t>
      </w:r>
      <w:r w:rsidR="00F867CD" w:rsidRPr="00856434">
        <w:rPr>
          <w:sz w:val="24"/>
          <w:szCs w:val="24"/>
        </w:rPr>
        <w:t>brother</w:t>
      </w:r>
      <w:r w:rsidRPr="00856434">
        <w:rPr>
          <w:sz w:val="24"/>
          <w:szCs w:val="24"/>
        </w:rPr>
        <w:t xml:space="preserve">’s address, but that PECO had no further contact with the Complainant thereafter.  As the Complainant had presented her case at the hearing on September 27, 2013, PECO presented its case on </w:t>
      </w:r>
      <w:r w:rsidR="000974C1">
        <w:rPr>
          <w:sz w:val="24"/>
          <w:szCs w:val="24"/>
        </w:rPr>
        <w:t>February 12, </w:t>
      </w:r>
      <w:r w:rsidR="00A0018B" w:rsidRPr="00856434">
        <w:rPr>
          <w:sz w:val="24"/>
          <w:szCs w:val="24"/>
        </w:rPr>
        <w:t>2014.  PECO’s case consisted of the testimony of Ms. Tarpley and eleven exhibits</w:t>
      </w:r>
      <w:r w:rsidR="004D4927" w:rsidRPr="00856434">
        <w:rPr>
          <w:sz w:val="24"/>
          <w:szCs w:val="24"/>
        </w:rPr>
        <w:t xml:space="preserve"> </w:t>
      </w:r>
      <w:r w:rsidR="00A0018B" w:rsidRPr="00856434">
        <w:rPr>
          <w:sz w:val="24"/>
          <w:szCs w:val="24"/>
        </w:rPr>
        <w:t>which were received into evidence:</w:t>
      </w:r>
      <w:r w:rsidR="002B6787" w:rsidRPr="00856434">
        <w:rPr>
          <w:sz w:val="24"/>
          <w:szCs w:val="24"/>
        </w:rPr>
        <w:t xml:space="preserve"> </w:t>
      </w:r>
      <w:r w:rsidR="006E04DB" w:rsidRPr="00856434">
        <w:rPr>
          <w:sz w:val="24"/>
          <w:szCs w:val="24"/>
        </w:rPr>
        <w:t xml:space="preserve">PECO Exhibit No. 1, Account Activity Statement; PECO Exhibit No. 2, CAP Rate Information; PECO Exhibit No. 3, Service Denial Notice; PECO Exhibit No. 4, ID and Lease Agreement; PECO Exhibit No. 5, SSA Status Letter; PECO Exhibit No. 6, CAP Rate Application Letter; PECO Exhibit No. 7, Denial of Service Letter; PECO Exhibit No. 8, Case Details Report; PECO Exhibit No. </w:t>
      </w:r>
      <w:r w:rsidR="009414CD">
        <w:rPr>
          <w:sz w:val="24"/>
          <w:szCs w:val="24"/>
        </w:rPr>
        <w:t>9, PECO Investigation dated May 7, </w:t>
      </w:r>
      <w:r w:rsidR="006E04DB" w:rsidRPr="00856434">
        <w:rPr>
          <w:sz w:val="24"/>
          <w:szCs w:val="24"/>
        </w:rPr>
        <w:t>2013; PECO Exhibit No. 10</w:t>
      </w:r>
      <w:r w:rsidR="00CE721E" w:rsidRPr="00856434">
        <w:rPr>
          <w:sz w:val="24"/>
          <w:szCs w:val="24"/>
        </w:rPr>
        <w:t xml:space="preserve">, BCS Determination; PECO Exhibit No. 11, PECO Tariff Electric Pa. PUC No. 4 (excerpt).  Also included in the record was a memorandum I had marked and entered as ALJ No. 1, that being the memorandum to me from the OALJ Scheduling Staff with respect to the returned Notice of Hearing from the USPS.  A transcript of a further thirty pages was compiled.  The record in this case </w:t>
      </w:r>
      <w:r w:rsidR="000D530F" w:rsidRPr="00856434">
        <w:rPr>
          <w:sz w:val="24"/>
          <w:szCs w:val="24"/>
        </w:rPr>
        <w:t xml:space="preserve">consists of the hearing transcripts from the September 27, 2013 and February 12, 2014 hearings, a total of sixty </w:t>
      </w:r>
      <w:r w:rsidR="00DF3015">
        <w:rPr>
          <w:sz w:val="24"/>
          <w:szCs w:val="24"/>
        </w:rPr>
        <w:t>three</w:t>
      </w:r>
      <w:r w:rsidR="000D530F" w:rsidRPr="00856434">
        <w:rPr>
          <w:sz w:val="24"/>
          <w:szCs w:val="24"/>
        </w:rPr>
        <w:t xml:space="preserve"> pages, and PECO’s eleven exhibits.  The record </w:t>
      </w:r>
      <w:r w:rsidR="00CE721E" w:rsidRPr="00856434">
        <w:rPr>
          <w:sz w:val="24"/>
          <w:szCs w:val="24"/>
        </w:rPr>
        <w:t>closed on February 25, 201</w:t>
      </w:r>
      <w:r w:rsidR="00DF3015">
        <w:rPr>
          <w:sz w:val="24"/>
          <w:szCs w:val="24"/>
        </w:rPr>
        <w:t>4</w:t>
      </w:r>
      <w:r w:rsidR="00CE721E" w:rsidRPr="00856434">
        <w:rPr>
          <w:sz w:val="24"/>
          <w:szCs w:val="24"/>
        </w:rPr>
        <w:t xml:space="preserve"> with the filing of the transcript </w:t>
      </w:r>
      <w:r w:rsidR="000D530F" w:rsidRPr="00856434">
        <w:rPr>
          <w:sz w:val="24"/>
          <w:szCs w:val="24"/>
        </w:rPr>
        <w:t xml:space="preserve">of the February 12, 2014 hearing </w:t>
      </w:r>
      <w:r w:rsidR="00CE721E" w:rsidRPr="00856434">
        <w:rPr>
          <w:sz w:val="24"/>
          <w:szCs w:val="24"/>
        </w:rPr>
        <w:t>with the Secretary of the Commission.</w:t>
      </w:r>
    </w:p>
    <w:p w:rsidR="00CE721E" w:rsidRPr="00856434" w:rsidRDefault="00CE721E" w:rsidP="00E84715">
      <w:pPr>
        <w:spacing w:line="360" w:lineRule="auto"/>
        <w:rPr>
          <w:sz w:val="24"/>
          <w:szCs w:val="24"/>
        </w:rPr>
      </w:pPr>
    </w:p>
    <w:p w:rsidR="00CE721E" w:rsidRPr="00856434" w:rsidRDefault="00CE721E" w:rsidP="00E84715">
      <w:pPr>
        <w:spacing w:line="360" w:lineRule="auto"/>
        <w:rPr>
          <w:sz w:val="24"/>
          <w:szCs w:val="24"/>
        </w:rPr>
      </w:pPr>
      <w:r w:rsidRPr="00856434">
        <w:rPr>
          <w:sz w:val="24"/>
          <w:szCs w:val="24"/>
        </w:rPr>
        <w:tab/>
      </w:r>
      <w:r w:rsidRPr="00856434">
        <w:rPr>
          <w:sz w:val="24"/>
          <w:szCs w:val="24"/>
        </w:rPr>
        <w:tab/>
        <w:t>This matter is now ready for decision.</w:t>
      </w:r>
    </w:p>
    <w:p w:rsidR="004D4927" w:rsidRDefault="004D4927" w:rsidP="009414CD">
      <w:pPr>
        <w:rPr>
          <w:sz w:val="24"/>
          <w:szCs w:val="24"/>
        </w:rPr>
      </w:pPr>
    </w:p>
    <w:p w:rsidR="009414CD" w:rsidRPr="00856434" w:rsidRDefault="009414CD" w:rsidP="009414CD">
      <w:pPr>
        <w:rPr>
          <w:sz w:val="24"/>
          <w:szCs w:val="24"/>
        </w:rPr>
      </w:pPr>
    </w:p>
    <w:p w:rsidR="00CE721E" w:rsidRPr="00856434" w:rsidRDefault="001051E6" w:rsidP="001051E6">
      <w:pPr>
        <w:spacing w:line="360" w:lineRule="auto"/>
        <w:jc w:val="center"/>
        <w:rPr>
          <w:sz w:val="24"/>
          <w:szCs w:val="24"/>
        </w:rPr>
      </w:pPr>
      <w:r w:rsidRPr="00856434">
        <w:rPr>
          <w:sz w:val="24"/>
          <w:szCs w:val="24"/>
          <w:u w:val="single"/>
        </w:rPr>
        <w:t>FINDINGS OF FACT</w:t>
      </w:r>
    </w:p>
    <w:p w:rsidR="001051E6" w:rsidRPr="00856434" w:rsidRDefault="001051E6" w:rsidP="001051E6">
      <w:pPr>
        <w:spacing w:line="360" w:lineRule="auto"/>
        <w:rPr>
          <w:sz w:val="24"/>
          <w:szCs w:val="24"/>
        </w:rPr>
      </w:pPr>
    </w:p>
    <w:p w:rsidR="001051E6" w:rsidRPr="00856434" w:rsidRDefault="001051E6" w:rsidP="001051E6">
      <w:pPr>
        <w:spacing w:line="360" w:lineRule="auto"/>
        <w:rPr>
          <w:sz w:val="24"/>
          <w:szCs w:val="24"/>
        </w:rPr>
      </w:pPr>
      <w:r w:rsidRPr="00856434">
        <w:rPr>
          <w:sz w:val="24"/>
          <w:szCs w:val="24"/>
        </w:rPr>
        <w:tab/>
      </w:r>
      <w:r w:rsidRPr="00856434">
        <w:rPr>
          <w:sz w:val="24"/>
          <w:szCs w:val="24"/>
        </w:rPr>
        <w:tab/>
        <w:t>1.</w:t>
      </w:r>
      <w:r w:rsidRPr="00856434">
        <w:rPr>
          <w:sz w:val="24"/>
          <w:szCs w:val="24"/>
        </w:rPr>
        <w:tab/>
      </w:r>
      <w:r w:rsidR="007B5B13" w:rsidRPr="00856434">
        <w:rPr>
          <w:sz w:val="24"/>
          <w:szCs w:val="24"/>
        </w:rPr>
        <w:t>The Complainant in this case is Cheryl Harbaugh.</w:t>
      </w:r>
    </w:p>
    <w:p w:rsidR="007B5B13" w:rsidRPr="00856434" w:rsidRDefault="007B5B13" w:rsidP="001051E6">
      <w:pPr>
        <w:spacing w:line="360" w:lineRule="auto"/>
        <w:rPr>
          <w:sz w:val="24"/>
          <w:szCs w:val="24"/>
        </w:rPr>
      </w:pPr>
    </w:p>
    <w:p w:rsidR="007B5B13" w:rsidRPr="00856434" w:rsidRDefault="007B5B13" w:rsidP="001051E6">
      <w:pPr>
        <w:spacing w:line="360" w:lineRule="auto"/>
        <w:rPr>
          <w:sz w:val="24"/>
          <w:szCs w:val="24"/>
        </w:rPr>
      </w:pPr>
      <w:r w:rsidRPr="00856434">
        <w:rPr>
          <w:sz w:val="24"/>
          <w:szCs w:val="24"/>
        </w:rPr>
        <w:tab/>
      </w:r>
      <w:r w:rsidRPr="00856434">
        <w:rPr>
          <w:sz w:val="24"/>
          <w:szCs w:val="24"/>
        </w:rPr>
        <w:tab/>
        <w:t>2.</w:t>
      </w:r>
      <w:r w:rsidRPr="00856434">
        <w:rPr>
          <w:sz w:val="24"/>
          <w:szCs w:val="24"/>
        </w:rPr>
        <w:tab/>
        <w:t>The Respondent is PECO Energy Company, a jurisdictional utility that provided electric service to the Complainant.</w:t>
      </w:r>
    </w:p>
    <w:p w:rsidR="007B5B13" w:rsidRPr="00856434" w:rsidRDefault="007B5B13" w:rsidP="001051E6">
      <w:pPr>
        <w:spacing w:line="360" w:lineRule="auto"/>
        <w:rPr>
          <w:sz w:val="24"/>
          <w:szCs w:val="24"/>
        </w:rPr>
      </w:pPr>
    </w:p>
    <w:p w:rsidR="007B5B13" w:rsidRPr="00856434" w:rsidRDefault="007B5B13" w:rsidP="001051E6">
      <w:pPr>
        <w:spacing w:line="360" w:lineRule="auto"/>
        <w:rPr>
          <w:sz w:val="24"/>
          <w:szCs w:val="24"/>
        </w:rPr>
      </w:pPr>
      <w:r w:rsidRPr="00856434">
        <w:rPr>
          <w:sz w:val="24"/>
          <w:szCs w:val="24"/>
        </w:rPr>
        <w:tab/>
      </w:r>
      <w:r w:rsidRPr="00856434">
        <w:rPr>
          <w:sz w:val="24"/>
          <w:szCs w:val="24"/>
        </w:rPr>
        <w:tab/>
        <w:t>3.</w:t>
      </w:r>
      <w:r w:rsidRPr="00856434">
        <w:rPr>
          <w:sz w:val="24"/>
          <w:szCs w:val="24"/>
        </w:rPr>
        <w:tab/>
      </w:r>
      <w:r w:rsidR="001E09DB" w:rsidRPr="00856434">
        <w:rPr>
          <w:sz w:val="24"/>
          <w:szCs w:val="24"/>
        </w:rPr>
        <w:t>The service address in this case is 753 Baltimore Pike, Glen Mills, Pennsylvania.  The Complainant vacated those premises on August 1, 2013.  Tr. at 15.</w:t>
      </w:r>
    </w:p>
    <w:p w:rsidR="00457FA9" w:rsidRPr="00856434" w:rsidRDefault="00457FA9" w:rsidP="001051E6">
      <w:pPr>
        <w:spacing w:line="360" w:lineRule="auto"/>
        <w:rPr>
          <w:sz w:val="24"/>
          <w:szCs w:val="24"/>
        </w:rPr>
      </w:pPr>
    </w:p>
    <w:p w:rsidR="00457FA9" w:rsidRPr="00856434" w:rsidRDefault="00457FA9" w:rsidP="001051E6">
      <w:pPr>
        <w:spacing w:line="360" w:lineRule="auto"/>
        <w:rPr>
          <w:sz w:val="24"/>
          <w:szCs w:val="24"/>
        </w:rPr>
      </w:pPr>
      <w:r w:rsidRPr="00856434">
        <w:rPr>
          <w:sz w:val="24"/>
          <w:szCs w:val="24"/>
        </w:rPr>
        <w:tab/>
      </w:r>
      <w:r w:rsidRPr="00856434">
        <w:rPr>
          <w:sz w:val="24"/>
          <w:szCs w:val="24"/>
        </w:rPr>
        <w:tab/>
        <w:t>4.</w:t>
      </w:r>
      <w:r w:rsidRPr="00856434">
        <w:rPr>
          <w:sz w:val="24"/>
          <w:szCs w:val="24"/>
        </w:rPr>
        <w:tab/>
        <w:t xml:space="preserve">The Complainant </w:t>
      </w:r>
      <w:r w:rsidR="00721D54" w:rsidRPr="00856434">
        <w:rPr>
          <w:sz w:val="24"/>
          <w:szCs w:val="24"/>
        </w:rPr>
        <w:t xml:space="preserve">had </w:t>
      </w:r>
      <w:r w:rsidRPr="00856434">
        <w:rPr>
          <w:sz w:val="24"/>
          <w:szCs w:val="24"/>
        </w:rPr>
        <w:t>applied for service at 753 Baltimore Pike, Glen Mills, Pennsylvania, on April 18, 2013.  Tr. at 42.</w:t>
      </w:r>
    </w:p>
    <w:p w:rsidR="00457FA9" w:rsidRPr="00856434" w:rsidRDefault="00457FA9" w:rsidP="001051E6">
      <w:pPr>
        <w:spacing w:line="360" w:lineRule="auto"/>
        <w:rPr>
          <w:sz w:val="24"/>
          <w:szCs w:val="24"/>
        </w:rPr>
      </w:pPr>
    </w:p>
    <w:p w:rsidR="00457FA9" w:rsidRDefault="00457FA9" w:rsidP="001051E6">
      <w:pPr>
        <w:spacing w:line="360" w:lineRule="auto"/>
        <w:rPr>
          <w:sz w:val="24"/>
          <w:szCs w:val="24"/>
        </w:rPr>
      </w:pPr>
      <w:r w:rsidRPr="00856434">
        <w:rPr>
          <w:sz w:val="24"/>
          <w:szCs w:val="24"/>
        </w:rPr>
        <w:tab/>
      </w:r>
      <w:r w:rsidRPr="00856434">
        <w:rPr>
          <w:sz w:val="24"/>
          <w:szCs w:val="24"/>
        </w:rPr>
        <w:tab/>
        <w:t>5.</w:t>
      </w:r>
      <w:r w:rsidRPr="00856434">
        <w:rPr>
          <w:sz w:val="24"/>
          <w:szCs w:val="24"/>
        </w:rPr>
        <w:tab/>
        <w:t xml:space="preserve">PECO declined to put electric service in the Complainant’s name due to her responsibility for the outstanding balance or a portion of the outstanding balance </w:t>
      </w:r>
      <w:r w:rsidR="00721D54" w:rsidRPr="00856434">
        <w:rPr>
          <w:sz w:val="24"/>
          <w:szCs w:val="24"/>
        </w:rPr>
        <w:t xml:space="preserve">of the bill for service </w:t>
      </w:r>
      <w:r w:rsidRPr="00856434">
        <w:rPr>
          <w:sz w:val="24"/>
          <w:szCs w:val="24"/>
        </w:rPr>
        <w:t>due at 753 Baltimore Pike, Glen Mills, Pennsylvania.  PECO Exhibit No. 3.</w:t>
      </w:r>
    </w:p>
    <w:p w:rsidR="0037179A" w:rsidRPr="00856434" w:rsidRDefault="0037179A" w:rsidP="001051E6">
      <w:pPr>
        <w:spacing w:line="360" w:lineRule="auto"/>
        <w:rPr>
          <w:sz w:val="24"/>
          <w:szCs w:val="24"/>
        </w:rPr>
      </w:pPr>
    </w:p>
    <w:p w:rsidR="001E09DB" w:rsidRPr="00856434" w:rsidRDefault="001E09DB" w:rsidP="001051E6">
      <w:pPr>
        <w:spacing w:line="360" w:lineRule="auto"/>
        <w:rPr>
          <w:sz w:val="24"/>
          <w:szCs w:val="24"/>
        </w:rPr>
      </w:pPr>
      <w:r w:rsidRPr="00856434">
        <w:rPr>
          <w:sz w:val="24"/>
          <w:szCs w:val="24"/>
        </w:rPr>
        <w:tab/>
      </w:r>
      <w:r w:rsidRPr="00856434">
        <w:rPr>
          <w:sz w:val="24"/>
          <w:szCs w:val="24"/>
        </w:rPr>
        <w:tab/>
      </w:r>
      <w:r w:rsidR="00DF3015">
        <w:rPr>
          <w:sz w:val="24"/>
          <w:szCs w:val="24"/>
        </w:rPr>
        <w:t>6</w:t>
      </w:r>
      <w:r w:rsidRPr="00856434">
        <w:rPr>
          <w:sz w:val="24"/>
          <w:szCs w:val="24"/>
        </w:rPr>
        <w:t>.</w:t>
      </w:r>
      <w:r w:rsidRPr="00856434">
        <w:rPr>
          <w:sz w:val="24"/>
          <w:szCs w:val="24"/>
        </w:rPr>
        <w:tab/>
        <w:t>The Complainant is not disputing her responsibility for the bill incurred for electric service at that address.  She wants a payment arrangement for the outstanding balance.  Tr. at 15-16; 21.</w:t>
      </w:r>
    </w:p>
    <w:p w:rsidR="001E09DB" w:rsidRPr="00856434" w:rsidRDefault="001E09DB" w:rsidP="001051E6">
      <w:pPr>
        <w:spacing w:line="360" w:lineRule="auto"/>
        <w:rPr>
          <w:sz w:val="24"/>
          <w:szCs w:val="24"/>
        </w:rPr>
      </w:pPr>
    </w:p>
    <w:p w:rsidR="001E09DB" w:rsidRPr="00856434" w:rsidRDefault="001E09DB" w:rsidP="001051E6">
      <w:pPr>
        <w:spacing w:line="360" w:lineRule="auto"/>
        <w:rPr>
          <w:sz w:val="24"/>
          <w:szCs w:val="24"/>
        </w:rPr>
      </w:pPr>
      <w:r w:rsidRPr="00856434">
        <w:rPr>
          <w:sz w:val="24"/>
          <w:szCs w:val="24"/>
        </w:rPr>
        <w:tab/>
      </w:r>
      <w:r w:rsidRPr="00856434">
        <w:rPr>
          <w:sz w:val="24"/>
          <w:szCs w:val="24"/>
        </w:rPr>
        <w:tab/>
      </w:r>
      <w:r w:rsidR="00DF3015">
        <w:rPr>
          <w:sz w:val="24"/>
          <w:szCs w:val="24"/>
        </w:rPr>
        <w:t>7</w:t>
      </w:r>
      <w:r w:rsidRPr="00856434">
        <w:rPr>
          <w:sz w:val="24"/>
          <w:szCs w:val="24"/>
        </w:rPr>
        <w:t>.</w:t>
      </w:r>
      <w:r w:rsidRPr="00856434">
        <w:rPr>
          <w:sz w:val="24"/>
          <w:szCs w:val="24"/>
        </w:rPr>
        <w:tab/>
        <w:t>The Complainant is unemployed and has no income, though two of her children receive SSI for a total of $</w:t>
      </w:r>
      <w:r w:rsidR="004242EA" w:rsidRPr="00856434">
        <w:rPr>
          <w:sz w:val="24"/>
          <w:szCs w:val="24"/>
        </w:rPr>
        <w:t>1,639</w:t>
      </w:r>
      <w:r w:rsidRPr="00856434">
        <w:rPr>
          <w:sz w:val="24"/>
          <w:szCs w:val="24"/>
        </w:rPr>
        <w:t xml:space="preserve"> per month.  Tr. at </w:t>
      </w:r>
      <w:r w:rsidR="004242EA" w:rsidRPr="00856434">
        <w:rPr>
          <w:sz w:val="24"/>
          <w:szCs w:val="24"/>
        </w:rPr>
        <w:t>2</w:t>
      </w:r>
      <w:r w:rsidRPr="00856434">
        <w:rPr>
          <w:sz w:val="24"/>
          <w:szCs w:val="24"/>
        </w:rPr>
        <w:t>9.</w:t>
      </w:r>
    </w:p>
    <w:p w:rsidR="001E09DB" w:rsidRPr="00856434" w:rsidRDefault="001E09DB" w:rsidP="001051E6">
      <w:pPr>
        <w:spacing w:line="360" w:lineRule="auto"/>
        <w:rPr>
          <w:sz w:val="24"/>
          <w:szCs w:val="24"/>
        </w:rPr>
      </w:pPr>
    </w:p>
    <w:p w:rsidR="0053179C" w:rsidRPr="00856434" w:rsidRDefault="001E09DB" w:rsidP="001051E6">
      <w:pPr>
        <w:spacing w:line="360" w:lineRule="auto"/>
        <w:rPr>
          <w:sz w:val="24"/>
          <w:szCs w:val="24"/>
        </w:rPr>
      </w:pPr>
      <w:r w:rsidRPr="00856434">
        <w:rPr>
          <w:sz w:val="24"/>
          <w:szCs w:val="24"/>
        </w:rPr>
        <w:tab/>
      </w:r>
      <w:r w:rsidRPr="00856434">
        <w:rPr>
          <w:sz w:val="24"/>
          <w:szCs w:val="24"/>
        </w:rPr>
        <w:tab/>
      </w:r>
      <w:r w:rsidR="00DF3015">
        <w:rPr>
          <w:sz w:val="24"/>
          <w:szCs w:val="24"/>
        </w:rPr>
        <w:t>8</w:t>
      </w:r>
      <w:r w:rsidR="00746E15" w:rsidRPr="00856434">
        <w:rPr>
          <w:sz w:val="24"/>
          <w:szCs w:val="24"/>
        </w:rPr>
        <w:t>.</w:t>
      </w:r>
      <w:r w:rsidR="00457FA9" w:rsidRPr="00856434">
        <w:rPr>
          <w:sz w:val="24"/>
          <w:szCs w:val="24"/>
        </w:rPr>
        <w:tab/>
      </w:r>
      <w:r w:rsidR="0053179C" w:rsidRPr="00856434">
        <w:rPr>
          <w:sz w:val="24"/>
          <w:szCs w:val="24"/>
        </w:rPr>
        <w:t>Electric service was initiated at 753 Baltimore Pike, Glen Mills, Pennsylvania, in the name of Joshua Harbaugh, the Complainant’</w:t>
      </w:r>
      <w:r w:rsidR="0037179A">
        <w:rPr>
          <w:sz w:val="24"/>
          <w:szCs w:val="24"/>
        </w:rPr>
        <w:t xml:space="preserve">s son, on April 9, 2011.  </w:t>
      </w:r>
      <w:r w:rsidR="00A03F53">
        <w:rPr>
          <w:sz w:val="24"/>
          <w:szCs w:val="24"/>
        </w:rPr>
        <w:t>Tr.</w:t>
      </w:r>
      <w:r w:rsidR="0037179A">
        <w:rPr>
          <w:sz w:val="24"/>
          <w:szCs w:val="24"/>
        </w:rPr>
        <w:t xml:space="preserve"> at </w:t>
      </w:r>
      <w:r w:rsidR="0053179C" w:rsidRPr="00856434">
        <w:rPr>
          <w:sz w:val="24"/>
          <w:szCs w:val="24"/>
        </w:rPr>
        <w:t>51; PECO Exhibit No. 9.</w:t>
      </w:r>
    </w:p>
    <w:p w:rsidR="0053179C" w:rsidRPr="00856434" w:rsidRDefault="0053179C" w:rsidP="001051E6">
      <w:pPr>
        <w:spacing w:line="360" w:lineRule="auto"/>
        <w:rPr>
          <w:sz w:val="24"/>
          <w:szCs w:val="24"/>
        </w:rPr>
      </w:pPr>
    </w:p>
    <w:p w:rsidR="0053179C" w:rsidRPr="00856434" w:rsidRDefault="0053179C" w:rsidP="001051E6">
      <w:pPr>
        <w:spacing w:line="360" w:lineRule="auto"/>
        <w:rPr>
          <w:sz w:val="24"/>
          <w:szCs w:val="24"/>
        </w:rPr>
      </w:pPr>
      <w:r w:rsidRPr="00856434">
        <w:rPr>
          <w:sz w:val="24"/>
          <w:szCs w:val="24"/>
        </w:rPr>
        <w:tab/>
      </w:r>
      <w:r w:rsidRPr="00856434">
        <w:rPr>
          <w:sz w:val="24"/>
          <w:szCs w:val="24"/>
        </w:rPr>
        <w:tab/>
      </w:r>
      <w:r w:rsidR="00DF3015">
        <w:rPr>
          <w:sz w:val="24"/>
          <w:szCs w:val="24"/>
        </w:rPr>
        <w:t>9</w:t>
      </w:r>
      <w:r w:rsidRPr="00856434">
        <w:rPr>
          <w:sz w:val="24"/>
          <w:szCs w:val="24"/>
        </w:rPr>
        <w:t>.</w:t>
      </w:r>
      <w:r w:rsidRPr="00856434">
        <w:rPr>
          <w:sz w:val="24"/>
          <w:szCs w:val="24"/>
        </w:rPr>
        <w:tab/>
        <w:t>Joshua Harbaugh was enrolled in PECO’s CAP Rate Program on December 12, 2011, at which time the Complainant was listed as an adult resident at 753 Baltimore Pike, Glen Mills, Pennsylvania.  PECO Exhibit No. 9.</w:t>
      </w:r>
    </w:p>
    <w:p w:rsidR="0025302C" w:rsidRPr="00856434" w:rsidRDefault="0025302C" w:rsidP="001051E6">
      <w:pPr>
        <w:spacing w:line="360" w:lineRule="auto"/>
        <w:rPr>
          <w:sz w:val="24"/>
          <w:szCs w:val="24"/>
        </w:rPr>
      </w:pPr>
    </w:p>
    <w:p w:rsidR="0025302C" w:rsidRPr="00856434" w:rsidRDefault="0025302C" w:rsidP="001051E6">
      <w:pPr>
        <w:spacing w:line="360" w:lineRule="auto"/>
        <w:rPr>
          <w:sz w:val="24"/>
          <w:szCs w:val="24"/>
        </w:rPr>
      </w:pPr>
      <w:r w:rsidRPr="00856434">
        <w:rPr>
          <w:sz w:val="24"/>
          <w:szCs w:val="24"/>
        </w:rPr>
        <w:tab/>
      </w:r>
      <w:r w:rsidRPr="00856434">
        <w:rPr>
          <w:sz w:val="24"/>
          <w:szCs w:val="24"/>
        </w:rPr>
        <w:tab/>
      </w:r>
      <w:r w:rsidR="00DF3015">
        <w:rPr>
          <w:sz w:val="24"/>
          <w:szCs w:val="24"/>
        </w:rPr>
        <w:t>10</w:t>
      </w:r>
      <w:r w:rsidRPr="00856434">
        <w:rPr>
          <w:sz w:val="24"/>
          <w:szCs w:val="24"/>
        </w:rPr>
        <w:t>.</w:t>
      </w:r>
      <w:r w:rsidRPr="00856434">
        <w:rPr>
          <w:sz w:val="24"/>
          <w:szCs w:val="24"/>
        </w:rPr>
        <w:tab/>
        <w:t>The Complainant resided at the service a</w:t>
      </w:r>
      <w:r w:rsidR="00D52214">
        <w:rPr>
          <w:sz w:val="24"/>
          <w:szCs w:val="24"/>
        </w:rPr>
        <w:t>ddress since at least December, </w:t>
      </w:r>
      <w:r w:rsidRPr="00856434">
        <w:rPr>
          <w:sz w:val="24"/>
          <w:szCs w:val="24"/>
        </w:rPr>
        <w:t>2011, with her son, Joshua Harbaugh and a</w:t>
      </w:r>
      <w:r w:rsidR="00457FA9" w:rsidRPr="00856434">
        <w:rPr>
          <w:sz w:val="24"/>
          <w:szCs w:val="24"/>
        </w:rPr>
        <w:t xml:space="preserve"> minor child, </w:t>
      </w:r>
      <w:r w:rsidRPr="00856434">
        <w:rPr>
          <w:sz w:val="24"/>
          <w:szCs w:val="24"/>
        </w:rPr>
        <w:t>Shawn Daws.  Tr. at 44-45; PECO Exhibit Nos. 2, 5.</w:t>
      </w:r>
    </w:p>
    <w:p w:rsidR="0025302C" w:rsidRPr="00856434" w:rsidRDefault="0025302C" w:rsidP="001051E6">
      <w:pPr>
        <w:spacing w:line="360" w:lineRule="auto"/>
        <w:rPr>
          <w:sz w:val="24"/>
          <w:szCs w:val="24"/>
        </w:rPr>
      </w:pPr>
    </w:p>
    <w:p w:rsidR="0025302C" w:rsidRPr="00856434" w:rsidRDefault="0025302C" w:rsidP="001051E6">
      <w:pPr>
        <w:spacing w:line="360" w:lineRule="auto"/>
        <w:rPr>
          <w:sz w:val="24"/>
          <w:szCs w:val="24"/>
        </w:rPr>
      </w:pPr>
      <w:r w:rsidRPr="00856434">
        <w:rPr>
          <w:sz w:val="24"/>
          <w:szCs w:val="24"/>
        </w:rPr>
        <w:tab/>
      </w:r>
      <w:r w:rsidRPr="00856434">
        <w:rPr>
          <w:sz w:val="24"/>
          <w:szCs w:val="24"/>
        </w:rPr>
        <w:tab/>
      </w:r>
      <w:r w:rsidR="00DF3015">
        <w:rPr>
          <w:sz w:val="24"/>
          <w:szCs w:val="24"/>
        </w:rPr>
        <w:t>11</w:t>
      </w:r>
      <w:r w:rsidRPr="00856434">
        <w:rPr>
          <w:sz w:val="24"/>
          <w:szCs w:val="24"/>
        </w:rPr>
        <w:t>.</w:t>
      </w:r>
      <w:r w:rsidRPr="00856434">
        <w:rPr>
          <w:sz w:val="24"/>
          <w:szCs w:val="24"/>
        </w:rPr>
        <w:tab/>
        <w:t>The Complainant’s name appeared on a letter to her from the Social Security Administration dated September 19, 2011.  The address on the letter is 753 Baltimore Pike, Glen Mills, Pennsylvania.  Tr. at 46; PECO Exhibit No 6.</w:t>
      </w:r>
    </w:p>
    <w:p w:rsidR="004D4927" w:rsidRPr="00856434" w:rsidRDefault="004D4927" w:rsidP="001051E6">
      <w:pPr>
        <w:spacing w:line="360" w:lineRule="auto"/>
        <w:rPr>
          <w:sz w:val="24"/>
          <w:szCs w:val="24"/>
        </w:rPr>
      </w:pPr>
    </w:p>
    <w:p w:rsidR="004D4927" w:rsidRPr="00856434" w:rsidRDefault="004D4927" w:rsidP="001051E6">
      <w:pPr>
        <w:spacing w:line="360" w:lineRule="auto"/>
        <w:rPr>
          <w:sz w:val="24"/>
          <w:szCs w:val="24"/>
        </w:rPr>
      </w:pPr>
      <w:r w:rsidRPr="00856434">
        <w:rPr>
          <w:sz w:val="24"/>
          <w:szCs w:val="24"/>
        </w:rPr>
        <w:tab/>
      </w:r>
      <w:r w:rsidRPr="00856434">
        <w:rPr>
          <w:sz w:val="24"/>
          <w:szCs w:val="24"/>
        </w:rPr>
        <w:tab/>
        <w:t>1</w:t>
      </w:r>
      <w:r w:rsidR="00DF3015">
        <w:rPr>
          <w:sz w:val="24"/>
          <w:szCs w:val="24"/>
        </w:rPr>
        <w:t>2</w:t>
      </w:r>
      <w:r w:rsidR="00B13742">
        <w:rPr>
          <w:sz w:val="24"/>
          <w:szCs w:val="24"/>
        </w:rPr>
        <w:t>.</w:t>
      </w:r>
      <w:r w:rsidR="00C45931" w:rsidRPr="00856434">
        <w:rPr>
          <w:sz w:val="24"/>
          <w:szCs w:val="24"/>
        </w:rPr>
        <w:tab/>
      </w:r>
      <w:r w:rsidRPr="00856434">
        <w:rPr>
          <w:sz w:val="24"/>
          <w:szCs w:val="24"/>
        </w:rPr>
        <w:t>Joshua Harbaugh was granted a payment arrangement by PECO while in the CAP Rate Program on May 31, 2012, but that arrangement was defaulted on twice.  Tr. at 57; PECO Exhibit No. 1.</w:t>
      </w:r>
    </w:p>
    <w:p w:rsidR="00457FA9" w:rsidRPr="00856434" w:rsidRDefault="00457FA9" w:rsidP="001051E6">
      <w:pPr>
        <w:spacing w:line="360" w:lineRule="auto"/>
        <w:rPr>
          <w:sz w:val="24"/>
          <w:szCs w:val="24"/>
        </w:rPr>
      </w:pPr>
    </w:p>
    <w:p w:rsidR="00457FA9" w:rsidRPr="00856434" w:rsidRDefault="00457FA9" w:rsidP="00457FA9">
      <w:pPr>
        <w:spacing w:line="360" w:lineRule="auto"/>
        <w:rPr>
          <w:sz w:val="24"/>
          <w:szCs w:val="24"/>
        </w:rPr>
      </w:pPr>
      <w:r w:rsidRPr="00856434">
        <w:rPr>
          <w:sz w:val="24"/>
          <w:szCs w:val="24"/>
        </w:rPr>
        <w:tab/>
      </w:r>
      <w:r w:rsidRPr="00856434">
        <w:rPr>
          <w:sz w:val="24"/>
          <w:szCs w:val="24"/>
        </w:rPr>
        <w:tab/>
        <w:t>1</w:t>
      </w:r>
      <w:r w:rsidR="00DF3015">
        <w:rPr>
          <w:sz w:val="24"/>
          <w:szCs w:val="24"/>
        </w:rPr>
        <w:t>3</w:t>
      </w:r>
      <w:r w:rsidRPr="00856434">
        <w:rPr>
          <w:sz w:val="24"/>
          <w:szCs w:val="24"/>
        </w:rPr>
        <w:t>.</w:t>
      </w:r>
      <w:r w:rsidRPr="00856434">
        <w:rPr>
          <w:sz w:val="24"/>
          <w:szCs w:val="24"/>
        </w:rPr>
        <w:tab/>
        <w:t>Neither the Complainant nor Joshua Harbaugh have made a payment on the account with PECO since August, 2012.  Tr. at 22; PECO Exhibit No. 1.</w:t>
      </w:r>
    </w:p>
    <w:p w:rsidR="00457FA9" w:rsidRPr="00856434" w:rsidRDefault="00457FA9" w:rsidP="00457FA9">
      <w:pPr>
        <w:spacing w:line="360" w:lineRule="auto"/>
        <w:rPr>
          <w:sz w:val="24"/>
          <w:szCs w:val="24"/>
        </w:rPr>
      </w:pPr>
    </w:p>
    <w:p w:rsidR="0025302C" w:rsidRPr="00856434" w:rsidRDefault="00457FA9" w:rsidP="001051E6">
      <w:pPr>
        <w:spacing w:line="360" w:lineRule="auto"/>
        <w:rPr>
          <w:sz w:val="24"/>
          <w:szCs w:val="24"/>
        </w:rPr>
      </w:pPr>
      <w:r w:rsidRPr="00856434">
        <w:rPr>
          <w:sz w:val="24"/>
          <w:szCs w:val="24"/>
        </w:rPr>
        <w:tab/>
      </w:r>
      <w:r w:rsidRPr="00856434">
        <w:rPr>
          <w:sz w:val="24"/>
          <w:szCs w:val="24"/>
        </w:rPr>
        <w:tab/>
      </w:r>
      <w:r w:rsidR="0053179C" w:rsidRPr="00856434">
        <w:rPr>
          <w:sz w:val="24"/>
          <w:szCs w:val="24"/>
        </w:rPr>
        <w:t>1</w:t>
      </w:r>
      <w:r w:rsidR="00DF3015">
        <w:rPr>
          <w:sz w:val="24"/>
          <w:szCs w:val="24"/>
        </w:rPr>
        <w:t>4</w:t>
      </w:r>
      <w:r w:rsidR="0025302C" w:rsidRPr="00856434">
        <w:rPr>
          <w:sz w:val="24"/>
          <w:szCs w:val="24"/>
        </w:rPr>
        <w:t>.</w:t>
      </w:r>
      <w:r w:rsidR="0025302C" w:rsidRPr="00856434">
        <w:rPr>
          <w:sz w:val="24"/>
          <w:szCs w:val="24"/>
        </w:rPr>
        <w:tab/>
        <w:t>On May 3, 2013, PECO advised the Complainant that she was jointly responsible for the bill for service at 753 Baltimore Pike, Glen Mills, Pennsylvania.  At that time, the outstanding balance on the account was $13,257.55.  Tr. at 50.</w:t>
      </w:r>
    </w:p>
    <w:p w:rsidR="00457FA9" w:rsidRPr="00856434" w:rsidRDefault="00457FA9" w:rsidP="001051E6">
      <w:pPr>
        <w:spacing w:line="360" w:lineRule="auto"/>
        <w:rPr>
          <w:sz w:val="24"/>
          <w:szCs w:val="24"/>
        </w:rPr>
      </w:pPr>
    </w:p>
    <w:p w:rsidR="00457FA9" w:rsidRPr="00856434" w:rsidRDefault="00457FA9" w:rsidP="001051E6">
      <w:pPr>
        <w:spacing w:line="360" w:lineRule="auto"/>
        <w:rPr>
          <w:sz w:val="24"/>
          <w:szCs w:val="24"/>
        </w:rPr>
      </w:pPr>
      <w:r w:rsidRPr="00856434">
        <w:rPr>
          <w:sz w:val="24"/>
          <w:szCs w:val="24"/>
        </w:rPr>
        <w:tab/>
      </w:r>
      <w:r w:rsidRPr="00856434">
        <w:rPr>
          <w:sz w:val="24"/>
          <w:szCs w:val="24"/>
        </w:rPr>
        <w:tab/>
        <w:t>1</w:t>
      </w:r>
      <w:r w:rsidR="00DF3015">
        <w:rPr>
          <w:sz w:val="24"/>
          <w:szCs w:val="24"/>
        </w:rPr>
        <w:t>5</w:t>
      </w:r>
      <w:r w:rsidRPr="00856434">
        <w:rPr>
          <w:sz w:val="24"/>
          <w:szCs w:val="24"/>
        </w:rPr>
        <w:t>.</w:t>
      </w:r>
      <w:r w:rsidRPr="00856434">
        <w:rPr>
          <w:sz w:val="24"/>
          <w:szCs w:val="24"/>
        </w:rPr>
        <w:tab/>
        <w:t>On October 14, 2013, PECO issued a final bill to the Complainant in the amount of $19,139.09.</w:t>
      </w:r>
      <w:r w:rsidR="00585D15" w:rsidRPr="00585D15">
        <w:t xml:space="preserve"> </w:t>
      </w:r>
      <w:r w:rsidR="00585D15" w:rsidRPr="00585D15">
        <w:rPr>
          <w:sz w:val="24"/>
          <w:szCs w:val="24"/>
        </w:rPr>
        <w:t>The arrearage includes $15,024.19 in CAP Rate Program arrears.</w:t>
      </w:r>
      <w:r w:rsidRPr="00856434">
        <w:rPr>
          <w:sz w:val="24"/>
          <w:szCs w:val="24"/>
        </w:rPr>
        <w:t xml:space="preserve">  Tr. at 39</w:t>
      </w:r>
      <w:r w:rsidR="00585D15">
        <w:rPr>
          <w:sz w:val="24"/>
          <w:szCs w:val="24"/>
        </w:rPr>
        <w:t>, 61</w:t>
      </w:r>
      <w:r w:rsidRPr="00856434">
        <w:rPr>
          <w:sz w:val="24"/>
          <w:szCs w:val="24"/>
        </w:rPr>
        <w:t>.</w:t>
      </w:r>
    </w:p>
    <w:p w:rsidR="00DF0F5C" w:rsidRPr="00856434" w:rsidRDefault="00DF0F5C" w:rsidP="001051E6">
      <w:pPr>
        <w:spacing w:line="360" w:lineRule="auto"/>
        <w:rPr>
          <w:sz w:val="24"/>
          <w:szCs w:val="24"/>
        </w:rPr>
      </w:pPr>
    </w:p>
    <w:p w:rsidR="007B5B13" w:rsidRPr="00856434" w:rsidRDefault="007B5B13" w:rsidP="007B5B13">
      <w:pPr>
        <w:spacing w:line="360" w:lineRule="auto"/>
        <w:jc w:val="center"/>
        <w:rPr>
          <w:sz w:val="24"/>
          <w:szCs w:val="24"/>
          <w:u w:val="single"/>
        </w:rPr>
      </w:pPr>
      <w:r w:rsidRPr="00856434">
        <w:rPr>
          <w:sz w:val="24"/>
          <w:szCs w:val="24"/>
          <w:u w:val="single"/>
        </w:rPr>
        <w:t>DISCUSSION</w:t>
      </w:r>
    </w:p>
    <w:p w:rsidR="007B5B13" w:rsidRPr="00856434" w:rsidRDefault="007B5B13" w:rsidP="007B5B13">
      <w:pPr>
        <w:spacing w:line="360" w:lineRule="auto"/>
        <w:rPr>
          <w:sz w:val="24"/>
          <w:szCs w:val="24"/>
        </w:rPr>
      </w:pPr>
    </w:p>
    <w:p w:rsidR="007B5B13" w:rsidRPr="00856434" w:rsidRDefault="007B5B13" w:rsidP="007B5B13">
      <w:pPr>
        <w:spacing w:line="360" w:lineRule="auto"/>
        <w:rPr>
          <w:sz w:val="24"/>
          <w:szCs w:val="24"/>
        </w:rPr>
      </w:pPr>
      <w:r w:rsidRPr="00856434">
        <w:rPr>
          <w:sz w:val="24"/>
          <w:szCs w:val="24"/>
        </w:rPr>
        <w:tab/>
      </w:r>
      <w:r w:rsidRPr="00856434">
        <w:rPr>
          <w:sz w:val="24"/>
          <w:szCs w:val="24"/>
        </w:rPr>
        <w:tab/>
        <w:t xml:space="preserve">As the proponent of a rule or order, </w:t>
      </w:r>
      <w:r w:rsidR="00DF3015">
        <w:rPr>
          <w:sz w:val="24"/>
          <w:szCs w:val="24"/>
        </w:rPr>
        <w:t>the C</w:t>
      </w:r>
      <w:r w:rsidRPr="00856434">
        <w:rPr>
          <w:sz w:val="24"/>
          <w:szCs w:val="24"/>
        </w:rPr>
        <w:t>omplainant has the burden of proof in this matter pursuant to 66 Pa.C.S.A. § 332(a).</w:t>
      </w:r>
      <w:r w:rsidR="005C1AA9" w:rsidRPr="00856434">
        <w:rPr>
          <w:sz w:val="24"/>
          <w:szCs w:val="24"/>
        </w:rPr>
        <w:t xml:space="preserve">  Thus, the Complainant has the burden of proving that PECO violated a provision of the Public Utility Code or a regulation of the Commission by not agreeing to provide the Complain</w:t>
      </w:r>
      <w:r w:rsidR="00DF3015">
        <w:rPr>
          <w:sz w:val="24"/>
          <w:szCs w:val="24"/>
        </w:rPr>
        <w:t>an</w:t>
      </w:r>
      <w:r w:rsidR="005C1AA9" w:rsidRPr="00856434">
        <w:rPr>
          <w:sz w:val="24"/>
          <w:szCs w:val="24"/>
        </w:rPr>
        <w:t>t with a payment arrangement for the substantial arrearage on the account for electric service at 753 Baltimore Pike, Glen Mills, Pennsylvania.  The Complainant has not met this burden, and her Complaint must be dismissed.</w:t>
      </w:r>
    </w:p>
    <w:p w:rsidR="005C1AA9" w:rsidRPr="00856434" w:rsidRDefault="005C1AA9" w:rsidP="007B5B13">
      <w:pPr>
        <w:spacing w:line="360" w:lineRule="auto"/>
        <w:rPr>
          <w:sz w:val="24"/>
          <w:szCs w:val="24"/>
        </w:rPr>
      </w:pPr>
    </w:p>
    <w:p w:rsidR="007B5B13" w:rsidRPr="00856434" w:rsidRDefault="005C1AA9" w:rsidP="007B5B13">
      <w:pPr>
        <w:spacing w:line="360" w:lineRule="auto"/>
        <w:rPr>
          <w:sz w:val="24"/>
          <w:szCs w:val="24"/>
        </w:rPr>
      </w:pPr>
      <w:r w:rsidRPr="00856434">
        <w:rPr>
          <w:sz w:val="24"/>
          <w:szCs w:val="24"/>
        </w:rPr>
        <w:tab/>
      </w:r>
      <w:r w:rsidRPr="00856434">
        <w:rPr>
          <w:sz w:val="24"/>
          <w:szCs w:val="24"/>
        </w:rPr>
        <w:tab/>
      </w:r>
      <w:r w:rsidR="007B5B13" w:rsidRPr="00856434">
        <w:rPr>
          <w:sz w:val="24"/>
          <w:szCs w:val="24"/>
        </w:rPr>
        <w:t xml:space="preserve">To establish a sufficient case and satisfy the burden of proof, a complainant must show that the respondent public utility is responsible or accountable for the problem described in the Complaint.  </w:t>
      </w:r>
      <w:r w:rsidR="007B5B13" w:rsidRPr="00856434">
        <w:rPr>
          <w:i/>
          <w:sz w:val="24"/>
          <w:szCs w:val="24"/>
        </w:rPr>
        <w:t>Patterson v. Bell Telephone Company of Pennsylvania</w:t>
      </w:r>
      <w:r w:rsidR="007B5B13" w:rsidRPr="00856434">
        <w:rPr>
          <w:sz w:val="24"/>
          <w:szCs w:val="24"/>
        </w:rPr>
        <w:t xml:space="preserve">, 72 Pa. PUC 196 (1990); </w:t>
      </w:r>
      <w:r w:rsidR="007B5B13" w:rsidRPr="00856434">
        <w:rPr>
          <w:i/>
          <w:sz w:val="24"/>
          <w:szCs w:val="24"/>
        </w:rPr>
        <w:t>Feinstein v. Philadelphia Suburban Water Company</w:t>
      </w:r>
      <w:r w:rsidR="007B5B13" w:rsidRPr="00856434">
        <w:rPr>
          <w:sz w:val="24"/>
          <w:szCs w:val="24"/>
        </w:rPr>
        <w:t xml:space="preserve">, 50 Pa. PUC 300 (1976).  Such a showing must be by a preponderance of the evidence.  </w:t>
      </w:r>
      <w:r w:rsidR="007B5B13" w:rsidRPr="00856434">
        <w:rPr>
          <w:i/>
          <w:sz w:val="24"/>
          <w:szCs w:val="24"/>
        </w:rPr>
        <w:t>Samuel J. Lansberry, Inc. v. Pa. Pub. Util. Comm’n</w:t>
      </w:r>
      <w:r w:rsidR="007B5B13" w:rsidRPr="00856434">
        <w:rPr>
          <w:sz w:val="24"/>
          <w:szCs w:val="24"/>
        </w:rPr>
        <w:t xml:space="preserve">, 134 Pa.Cmwlth. 218; 221-222, 578 A.2d 600; 602 (1990), </w:t>
      </w:r>
      <w:r w:rsidR="007B5B13" w:rsidRPr="00856434">
        <w:rPr>
          <w:iCs/>
          <w:sz w:val="24"/>
          <w:szCs w:val="24"/>
        </w:rPr>
        <w:t>app. denied,</w:t>
      </w:r>
      <w:r w:rsidR="007B5B13" w:rsidRPr="00856434">
        <w:rPr>
          <w:sz w:val="24"/>
          <w:szCs w:val="24"/>
        </w:rPr>
        <w:t xml:space="preserve"> 602 A.2d 863 (1992).  A preponderance of the evidence is established by presenting evidence more convincing, by even the smallest amount, than that presented by the other party.  </w:t>
      </w:r>
      <w:r w:rsidR="007B5B13" w:rsidRPr="00856434">
        <w:rPr>
          <w:i/>
          <w:sz w:val="24"/>
          <w:szCs w:val="24"/>
        </w:rPr>
        <w:t>Se-Ling Hosiery v. Margulies</w:t>
      </w:r>
      <w:r w:rsidR="00A44D73">
        <w:rPr>
          <w:sz w:val="24"/>
          <w:szCs w:val="24"/>
        </w:rPr>
        <w:t xml:space="preserve">, 364 Pa. 45, </w:t>
      </w:r>
      <w:r w:rsidR="007B5B13" w:rsidRPr="00856434">
        <w:rPr>
          <w:sz w:val="24"/>
          <w:szCs w:val="24"/>
        </w:rPr>
        <w:t xml:space="preserve">70 A.2d 854 (1950).  Additionally, any finding of fact necessary to support the Commission’s adjudication must be based upon substantial evidence.  </w:t>
      </w:r>
      <w:r w:rsidR="007B5B13" w:rsidRPr="00856434">
        <w:rPr>
          <w:i/>
          <w:sz w:val="24"/>
          <w:szCs w:val="24"/>
        </w:rPr>
        <w:t>Mill v. Pa. Pub. Util. Comm’n</w:t>
      </w:r>
      <w:r w:rsidR="007B5B13" w:rsidRPr="00856434">
        <w:rPr>
          <w:sz w:val="24"/>
          <w:szCs w:val="24"/>
        </w:rPr>
        <w:t xml:space="preserve">, 67 Pa.Cmwlth. 597, 447 A.2d 1100 (1982); </w:t>
      </w:r>
      <w:r w:rsidR="007B5B13" w:rsidRPr="00856434">
        <w:rPr>
          <w:i/>
          <w:sz w:val="24"/>
          <w:szCs w:val="24"/>
        </w:rPr>
        <w:t>Edan Transportation Corp. v. Pa. Pub. Util. Comm’n</w:t>
      </w:r>
      <w:r w:rsidR="007B5B13" w:rsidRPr="00856434">
        <w:rPr>
          <w:sz w:val="24"/>
          <w:szCs w:val="24"/>
        </w:rPr>
        <w:t>, 154 Pa.Cmwlth. 21, 623 A.2d 6 (1993)</w:t>
      </w:r>
      <w:r w:rsidR="00DF3015">
        <w:rPr>
          <w:sz w:val="24"/>
          <w:szCs w:val="24"/>
        </w:rPr>
        <w:t>;</w:t>
      </w:r>
      <w:r w:rsidR="007B5B13" w:rsidRPr="00856434">
        <w:rPr>
          <w:sz w:val="24"/>
          <w:szCs w:val="24"/>
        </w:rPr>
        <w:t xml:space="preserve"> 2 Pa.C.S. § 704.  Substantial evidence has been defined as such relevant evidence as a reasonable mind might accept as adequate to support a conclusion.  </w:t>
      </w:r>
      <w:r w:rsidR="007B5B13" w:rsidRPr="00856434">
        <w:rPr>
          <w:i/>
          <w:sz w:val="24"/>
          <w:szCs w:val="24"/>
        </w:rPr>
        <w:t>Bethenergy Mines, Inc. v. Workmen’s Compensation Appeal Bd. (Skirpan)</w:t>
      </w:r>
      <w:r w:rsidR="005070DC">
        <w:rPr>
          <w:sz w:val="24"/>
          <w:szCs w:val="24"/>
        </w:rPr>
        <w:t xml:space="preserve">, 531 Pa. </w:t>
      </w:r>
      <w:r w:rsidR="007B5B13" w:rsidRPr="00856434">
        <w:rPr>
          <w:sz w:val="24"/>
          <w:szCs w:val="24"/>
        </w:rPr>
        <w:t xml:space="preserve">287, 612 A.2d 434 (1992).  More is required than a mere trace of evidence or a suspicion of the existence of a fact sought to be established.  </w:t>
      </w:r>
      <w:r w:rsidR="007B5B13" w:rsidRPr="00856434">
        <w:rPr>
          <w:i/>
          <w:sz w:val="24"/>
          <w:szCs w:val="24"/>
        </w:rPr>
        <w:t>Norfol</w:t>
      </w:r>
      <w:bookmarkStart w:id="0" w:name="_GoBack"/>
      <w:bookmarkEnd w:id="0"/>
      <w:r w:rsidR="007B5B13" w:rsidRPr="00856434">
        <w:rPr>
          <w:i/>
          <w:sz w:val="24"/>
          <w:szCs w:val="24"/>
        </w:rPr>
        <w:t>k and Western Ry. v. Pa. Pub. Util. Comm’n</w:t>
      </w:r>
      <w:r w:rsidR="007B5B13" w:rsidRPr="00856434">
        <w:rPr>
          <w:sz w:val="24"/>
          <w:szCs w:val="24"/>
        </w:rPr>
        <w:t xml:space="preserve">, 489 Pa. 109, 413 A.2d 1037 (1980); </w:t>
      </w:r>
      <w:r w:rsidR="007B5B13" w:rsidRPr="00856434">
        <w:rPr>
          <w:i/>
          <w:sz w:val="24"/>
          <w:szCs w:val="24"/>
        </w:rPr>
        <w:t>Erie Resistor Corp. v. Unemployment Compensation Bd. of Review</w:t>
      </w:r>
      <w:r w:rsidR="005070DC">
        <w:rPr>
          <w:sz w:val="24"/>
          <w:szCs w:val="24"/>
        </w:rPr>
        <w:t xml:space="preserve">, </w:t>
      </w:r>
      <w:r w:rsidR="007B5B13" w:rsidRPr="00856434">
        <w:rPr>
          <w:sz w:val="24"/>
          <w:szCs w:val="24"/>
        </w:rPr>
        <w:t xml:space="preserve">194 Pa.Super. 278, 166 A.2d 96 (1960); </w:t>
      </w:r>
      <w:r w:rsidR="007B5B13" w:rsidRPr="00856434">
        <w:rPr>
          <w:i/>
          <w:sz w:val="24"/>
          <w:szCs w:val="24"/>
        </w:rPr>
        <w:t>Murphy v. Dep’t. of Public Welfare, White Haven Center</w:t>
      </w:r>
      <w:r w:rsidR="007B5B13" w:rsidRPr="00856434">
        <w:rPr>
          <w:sz w:val="24"/>
          <w:szCs w:val="24"/>
        </w:rPr>
        <w:t>, 85 Pa.Cmwlth. 23, 480 A.2d 382 (1984).</w:t>
      </w:r>
    </w:p>
    <w:p w:rsidR="00F3043D" w:rsidRPr="00856434" w:rsidRDefault="00F3043D" w:rsidP="007B5B13">
      <w:pPr>
        <w:spacing w:line="360" w:lineRule="auto"/>
        <w:rPr>
          <w:sz w:val="24"/>
          <w:szCs w:val="24"/>
        </w:rPr>
      </w:pPr>
    </w:p>
    <w:p w:rsidR="00F3043D" w:rsidRPr="00856434" w:rsidRDefault="00F3043D" w:rsidP="007B5B13">
      <w:pPr>
        <w:spacing w:line="360" w:lineRule="auto"/>
        <w:rPr>
          <w:sz w:val="24"/>
          <w:szCs w:val="24"/>
        </w:rPr>
      </w:pPr>
      <w:r w:rsidRPr="00856434">
        <w:rPr>
          <w:sz w:val="24"/>
          <w:szCs w:val="24"/>
        </w:rPr>
        <w:tab/>
      </w:r>
      <w:r w:rsidRPr="00856434">
        <w:rPr>
          <w:sz w:val="24"/>
          <w:szCs w:val="24"/>
        </w:rPr>
        <w:tab/>
      </w:r>
      <w:r w:rsidR="00664944">
        <w:rPr>
          <w:sz w:val="24"/>
          <w:szCs w:val="24"/>
        </w:rPr>
        <w:t xml:space="preserve">The </w:t>
      </w:r>
      <w:r w:rsidRPr="00856434">
        <w:rPr>
          <w:sz w:val="24"/>
          <w:szCs w:val="24"/>
        </w:rPr>
        <w:t xml:space="preserve">Complainant never articulated her theory of the case as such, but I infer from the record that her basic theory was that by stepping into the shoes of the person named on the </w:t>
      </w:r>
      <w:r w:rsidR="00DF0F5C" w:rsidRPr="00856434">
        <w:rPr>
          <w:sz w:val="24"/>
          <w:szCs w:val="24"/>
        </w:rPr>
        <w:t xml:space="preserve">overdue </w:t>
      </w:r>
      <w:r w:rsidRPr="00856434">
        <w:rPr>
          <w:sz w:val="24"/>
          <w:szCs w:val="24"/>
        </w:rPr>
        <w:t xml:space="preserve">account for service at 753 Baltimore Pike, Glen Mills, Pennsylvania, (i.e. her son), she could then demand and obtain a payment arrangement for the past due account from PECO.  That, in turn, would allow the </w:t>
      </w:r>
      <w:r w:rsidR="0074420E" w:rsidRPr="00856434">
        <w:rPr>
          <w:sz w:val="24"/>
          <w:szCs w:val="24"/>
        </w:rPr>
        <w:t>continuation of electric service at that address</w:t>
      </w:r>
      <w:r w:rsidR="00DF0F5C" w:rsidRPr="00856434">
        <w:rPr>
          <w:sz w:val="24"/>
          <w:szCs w:val="24"/>
        </w:rPr>
        <w:t>, the Complaint having been filed several months before Complainant moved from that address</w:t>
      </w:r>
      <w:r w:rsidR="0074420E" w:rsidRPr="00856434">
        <w:rPr>
          <w:sz w:val="24"/>
          <w:szCs w:val="24"/>
        </w:rPr>
        <w:t>.  Complainant never presented any authority to support this theory.</w:t>
      </w:r>
    </w:p>
    <w:p w:rsidR="002B0A4C" w:rsidRPr="00856434" w:rsidRDefault="002B0A4C" w:rsidP="007B5B13">
      <w:pPr>
        <w:spacing w:line="360" w:lineRule="auto"/>
        <w:rPr>
          <w:sz w:val="24"/>
          <w:szCs w:val="24"/>
        </w:rPr>
      </w:pPr>
    </w:p>
    <w:p w:rsidR="002B0A4C" w:rsidRPr="00856434" w:rsidRDefault="002B0A4C" w:rsidP="007B5B13">
      <w:pPr>
        <w:spacing w:line="360" w:lineRule="auto"/>
        <w:rPr>
          <w:sz w:val="24"/>
          <w:szCs w:val="24"/>
        </w:rPr>
      </w:pPr>
      <w:r w:rsidRPr="00856434">
        <w:rPr>
          <w:sz w:val="24"/>
          <w:szCs w:val="24"/>
        </w:rPr>
        <w:tab/>
      </w:r>
      <w:r w:rsidRPr="00856434">
        <w:rPr>
          <w:sz w:val="24"/>
          <w:szCs w:val="24"/>
        </w:rPr>
        <w:tab/>
      </w:r>
      <w:r w:rsidR="0074420E" w:rsidRPr="00856434">
        <w:rPr>
          <w:sz w:val="24"/>
          <w:szCs w:val="24"/>
        </w:rPr>
        <w:t xml:space="preserve">The </w:t>
      </w:r>
      <w:r w:rsidRPr="00856434">
        <w:rPr>
          <w:sz w:val="24"/>
          <w:szCs w:val="24"/>
        </w:rPr>
        <w:t xml:space="preserve">Complainant attended the first day of hearing.  She did not appear for the second day of hearing, although </w:t>
      </w:r>
      <w:r w:rsidR="00DF3015">
        <w:rPr>
          <w:sz w:val="24"/>
          <w:szCs w:val="24"/>
        </w:rPr>
        <w:t>the OALJ sent her</w:t>
      </w:r>
      <w:r w:rsidRPr="00856434">
        <w:rPr>
          <w:sz w:val="24"/>
          <w:szCs w:val="24"/>
        </w:rPr>
        <w:t xml:space="preserve"> proper notice of the same.  Notice of the telephonic hearing of February 12, 2014 was sent to the Complainant by regular first-class mail to </w:t>
      </w:r>
      <w:r w:rsidR="00DF0F5C" w:rsidRPr="00856434">
        <w:rPr>
          <w:sz w:val="24"/>
          <w:szCs w:val="24"/>
        </w:rPr>
        <w:t xml:space="preserve">her brother’s address, </w:t>
      </w:r>
      <w:r w:rsidRPr="00856434">
        <w:rPr>
          <w:sz w:val="24"/>
          <w:szCs w:val="24"/>
        </w:rPr>
        <w:t xml:space="preserve">the address she provided for service at the September 27, 2013 hearing.  The Complainant did not notify the Commission of any subsequent change of address.  Therefore, the due process rights of the Complainant have been fully protected.  </w:t>
      </w:r>
      <w:r w:rsidRPr="00856434">
        <w:rPr>
          <w:i/>
          <w:sz w:val="24"/>
          <w:szCs w:val="24"/>
        </w:rPr>
        <w:t>Sentner v. Bell Telephone Company of Pennsylvania</w:t>
      </w:r>
      <w:r w:rsidRPr="00856434">
        <w:rPr>
          <w:sz w:val="24"/>
          <w:szCs w:val="24"/>
        </w:rPr>
        <w:t>, Docket No. F-00161106 (Order entered October 25, 1993); and 52 Pa.Code § 5.245(a).  I am left with Complainant’s testimony on Se</w:t>
      </w:r>
      <w:r w:rsidR="00C45931" w:rsidRPr="00856434">
        <w:rPr>
          <w:sz w:val="24"/>
          <w:szCs w:val="24"/>
        </w:rPr>
        <w:t>p</w:t>
      </w:r>
      <w:r w:rsidRPr="00856434">
        <w:rPr>
          <w:sz w:val="24"/>
          <w:szCs w:val="24"/>
        </w:rPr>
        <w:t>tember 27, 2013, the cross-examination of the Complainant on that date by counsel for PECO, and PECO’s unrebutted presentation at the hearing on February 12, 2014.</w:t>
      </w:r>
    </w:p>
    <w:p w:rsidR="000D2564" w:rsidRPr="00856434" w:rsidRDefault="000D2564" w:rsidP="007B5B13">
      <w:pPr>
        <w:spacing w:line="360" w:lineRule="auto"/>
        <w:rPr>
          <w:sz w:val="24"/>
          <w:szCs w:val="24"/>
        </w:rPr>
      </w:pPr>
      <w:r w:rsidRPr="00856434">
        <w:rPr>
          <w:sz w:val="24"/>
          <w:szCs w:val="24"/>
        </w:rPr>
        <w:tab/>
      </w:r>
      <w:r w:rsidRPr="00856434">
        <w:rPr>
          <w:sz w:val="24"/>
          <w:szCs w:val="24"/>
        </w:rPr>
        <w:tab/>
      </w:r>
      <w:r w:rsidR="0074420E" w:rsidRPr="00856434">
        <w:rPr>
          <w:sz w:val="24"/>
          <w:szCs w:val="24"/>
        </w:rPr>
        <w:t>T</w:t>
      </w:r>
      <w:r w:rsidRPr="00856434">
        <w:rPr>
          <w:sz w:val="24"/>
          <w:szCs w:val="24"/>
        </w:rPr>
        <w:t>he Complainant d</w:t>
      </w:r>
      <w:r w:rsidR="002B0A4C" w:rsidRPr="00856434">
        <w:rPr>
          <w:sz w:val="24"/>
          <w:szCs w:val="24"/>
        </w:rPr>
        <w:t>id</w:t>
      </w:r>
      <w:r w:rsidRPr="00856434">
        <w:rPr>
          <w:sz w:val="24"/>
          <w:szCs w:val="24"/>
        </w:rPr>
        <w:t xml:space="preserve"> not dispute her responsibility for the arrearage accumulated while she was a resident at the service address and was enjoying the benefits of electric service.  What Complainant want</w:t>
      </w:r>
      <w:r w:rsidR="0074420E" w:rsidRPr="00856434">
        <w:rPr>
          <w:sz w:val="24"/>
          <w:szCs w:val="24"/>
        </w:rPr>
        <w:t>ed was</w:t>
      </w:r>
      <w:r w:rsidRPr="00856434">
        <w:rPr>
          <w:sz w:val="24"/>
          <w:szCs w:val="24"/>
        </w:rPr>
        <w:t xml:space="preserve"> a payment arrangement that she c</w:t>
      </w:r>
      <w:r w:rsidR="00DF3015">
        <w:rPr>
          <w:sz w:val="24"/>
          <w:szCs w:val="24"/>
        </w:rPr>
        <w:t>ould</w:t>
      </w:r>
      <w:r w:rsidRPr="00856434">
        <w:rPr>
          <w:sz w:val="24"/>
          <w:szCs w:val="24"/>
        </w:rPr>
        <w:t xml:space="preserve"> afford</w:t>
      </w:r>
      <w:r w:rsidR="0074420E" w:rsidRPr="00856434">
        <w:rPr>
          <w:sz w:val="24"/>
          <w:szCs w:val="24"/>
        </w:rPr>
        <w:t>, although it was never definitively established what such an arrangement would be</w:t>
      </w:r>
      <w:r w:rsidRPr="00856434">
        <w:rPr>
          <w:sz w:val="24"/>
          <w:szCs w:val="24"/>
        </w:rPr>
        <w:t xml:space="preserve">.  Given the substantial arrearage, it is difficult to see how such a payment arrangement </w:t>
      </w:r>
      <w:r w:rsidRPr="00856434">
        <w:rPr>
          <w:i/>
          <w:sz w:val="24"/>
          <w:szCs w:val="24"/>
        </w:rPr>
        <w:t>could</w:t>
      </w:r>
      <w:r w:rsidRPr="00856434">
        <w:rPr>
          <w:sz w:val="24"/>
          <w:szCs w:val="24"/>
        </w:rPr>
        <w:t xml:space="preserve"> be established, </w:t>
      </w:r>
      <w:r w:rsidR="002B0A4C" w:rsidRPr="00856434">
        <w:rPr>
          <w:sz w:val="24"/>
          <w:szCs w:val="24"/>
        </w:rPr>
        <w:t xml:space="preserve">even if it was legally possible and </w:t>
      </w:r>
      <w:r w:rsidRPr="00856434">
        <w:rPr>
          <w:sz w:val="24"/>
          <w:szCs w:val="24"/>
        </w:rPr>
        <w:t xml:space="preserve">even </w:t>
      </w:r>
      <w:r w:rsidR="002B0A4C" w:rsidRPr="00856434">
        <w:rPr>
          <w:sz w:val="24"/>
          <w:szCs w:val="24"/>
        </w:rPr>
        <w:t xml:space="preserve">if </w:t>
      </w:r>
      <w:r w:rsidR="00C45931" w:rsidRPr="00856434">
        <w:rPr>
          <w:sz w:val="24"/>
          <w:szCs w:val="24"/>
        </w:rPr>
        <w:t xml:space="preserve">it was </w:t>
      </w:r>
      <w:r w:rsidR="002B0A4C" w:rsidRPr="00856434">
        <w:rPr>
          <w:sz w:val="24"/>
          <w:szCs w:val="24"/>
        </w:rPr>
        <w:t xml:space="preserve">limited to </w:t>
      </w:r>
      <w:r w:rsidRPr="00856434">
        <w:rPr>
          <w:sz w:val="24"/>
          <w:szCs w:val="24"/>
        </w:rPr>
        <w:t>that portion of the account that is non-CAP Program related.</w:t>
      </w:r>
    </w:p>
    <w:p w:rsidR="007B5B13" w:rsidRPr="00856434" w:rsidRDefault="007B5B13" w:rsidP="001051E6">
      <w:pPr>
        <w:spacing w:line="360" w:lineRule="auto"/>
        <w:rPr>
          <w:sz w:val="24"/>
          <w:szCs w:val="24"/>
        </w:rPr>
      </w:pPr>
    </w:p>
    <w:p w:rsidR="000D2564" w:rsidRPr="00856434" w:rsidRDefault="000D2564" w:rsidP="000D2564">
      <w:pPr>
        <w:spacing w:line="360" w:lineRule="auto"/>
        <w:rPr>
          <w:sz w:val="24"/>
          <w:szCs w:val="24"/>
        </w:rPr>
      </w:pPr>
      <w:r w:rsidRPr="00856434">
        <w:rPr>
          <w:sz w:val="24"/>
          <w:szCs w:val="24"/>
        </w:rPr>
        <w:tab/>
      </w:r>
      <w:r w:rsidRPr="00856434">
        <w:rPr>
          <w:sz w:val="24"/>
          <w:szCs w:val="24"/>
        </w:rPr>
        <w:tab/>
        <w:t xml:space="preserve">The issuance of a payment agreement for the non-CAP portion of the arrearage is a matter within the Commission’s discretion.  </w:t>
      </w:r>
      <w:r w:rsidRPr="00856434">
        <w:rPr>
          <w:i/>
          <w:sz w:val="24"/>
          <w:szCs w:val="24"/>
        </w:rPr>
        <w:t>Hewitt v. PECO Energy Co.,</w:t>
      </w:r>
      <w:r w:rsidRPr="00856434">
        <w:rPr>
          <w:sz w:val="24"/>
          <w:szCs w:val="24"/>
        </w:rPr>
        <w:t xml:space="preserve"> Docket No. F-2011-2273271 at 11 (Order entered September 12, 2013).  It is Commission policy to exercise its discretion when customers have demonstrated some evidence of a good-faith effort in paying utility bills or when customers have experienced a change of circumstance outside of their control.  </w:t>
      </w:r>
      <w:r w:rsidRPr="00856434">
        <w:rPr>
          <w:i/>
          <w:sz w:val="24"/>
          <w:szCs w:val="24"/>
        </w:rPr>
        <w:t>Crawford v. National Fuel Gas Distribution Corp.,</w:t>
      </w:r>
      <w:r w:rsidRPr="00856434">
        <w:rPr>
          <w:sz w:val="24"/>
          <w:szCs w:val="24"/>
        </w:rPr>
        <w:t xml:space="preserve"> Docket No. C-20066348 at 15-16 (Opinion and Order entered December 6, 2007).  Complainant’s payment history and capability to keep prior payment agreements are determinative of whether the Commission exercises its authority to issue a payment agreement for the non-CAP portion of the arrearage.  </w:t>
      </w:r>
      <w:r w:rsidRPr="00856434">
        <w:rPr>
          <w:i/>
          <w:sz w:val="24"/>
          <w:szCs w:val="24"/>
        </w:rPr>
        <w:t>Id</w:t>
      </w:r>
      <w:r w:rsidRPr="00856434">
        <w:rPr>
          <w:sz w:val="24"/>
          <w:szCs w:val="24"/>
        </w:rPr>
        <w:t xml:space="preserve">. at 10; </w:t>
      </w:r>
      <w:r w:rsidR="00DF3015" w:rsidRPr="00DF3015">
        <w:rPr>
          <w:i/>
          <w:sz w:val="24"/>
          <w:szCs w:val="24"/>
        </w:rPr>
        <w:t>S</w:t>
      </w:r>
      <w:r w:rsidRPr="00DF3015">
        <w:rPr>
          <w:i/>
          <w:sz w:val="24"/>
          <w:szCs w:val="24"/>
        </w:rPr>
        <w:t xml:space="preserve">ee </w:t>
      </w:r>
      <w:r w:rsidRPr="00856434">
        <w:rPr>
          <w:i/>
          <w:sz w:val="24"/>
          <w:szCs w:val="24"/>
        </w:rPr>
        <w:t>also Columbia Gas v. Byerts</w:t>
      </w:r>
      <w:r w:rsidRPr="00856434">
        <w:rPr>
          <w:sz w:val="24"/>
          <w:szCs w:val="24"/>
        </w:rPr>
        <w:t>, Docket No. F-2011-22479</w:t>
      </w:r>
      <w:r w:rsidR="00D04D57">
        <w:rPr>
          <w:sz w:val="24"/>
          <w:szCs w:val="24"/>
        </w:rPr>
        <w:t>34 a</w:t>
      </w:r>
      <w:r w:rsidR="008574F6">
        <w:rPr>
          <w:sz w:val="24"/>
          <w:szCs w:val="24"/>
        </w:rPr>
        <w:t xml:space="preserve">t 12 (Order entered October 17, </w:t>
      </w:r>
      <w:r w:rsidRPr="00856434">
        <w:rPr>
          <w:sz w:val="24"/>
          <w:szCs w:val="24"/>
        </w:rPr>
        <w:t xml:space="preserve">2013); </w:t>
      </w:r>
      <w:r w:rsidRPr="00856434">
        <w:rPr>
          <w:i/>
          <w:sz w:val="24"/>
          <w:szCs w:val="24"/>
        </w:rPr>
        <w:t>Dorsey v. Philadelphia Gas Works</w:t>
      </w:r>
      <w:r w:rsidRPr="00856434">
        <w:rPr>
          <w:sz w:val="24"/>
          <w:szCs w:val="24"/>
        </w:rPr>
        <w:t>, Docket No. F-2012-2313679 at 5 (Opinion and Order entered November 22, 2013).  In this case, it is clear that the Complainant has not done anything to address the substantial arrearage incurred, and it does not appear that even if she was inclined to attempt to do so that the Complainant could sustain a payment arrangement.</w:t>
      </w:r>
    </w:p>
    <w:p w:rsidR="005C1AA9" w:rsidRPr="00856434" w:rsidRDefault="005C1AA9" w:rsidP="000D2564">
      <w:pPr>
        <w:spacing w:line="360" w:lineRule="auto"/>
        <w:rPr>
          <w:sz w:val="24"/>
          <w:szCs w:val="24"/>
        </w:rPr>
      </w:pPr>
    </w:p>
    <w:p w:rsidR="005C1AA9" w:rsidRPr="00856434" w:rsidRDefault="005C1AA9" w:rsidP="000D2564">
      <w:pPr>
        <w:spacing w:line="360" w:lineRule="auto"/>
        <w:rPr>
          <w:sz w:val="24"/>
          <w:szCs w:val="24"/>
        </w:rPr>
      </w:pPr>
      <w:r w:rsidRPr="00856434">
        <w:rPr>
          <w:sz w:val="24"/>
          <w:szCs w:val="24"/>
        </w:rPr>
        <w:tab/>
      </w:r>
      <w:r w:rsidRPr="00856434">
        <w:rPr>
          <w:sz w:val="24"/>
          <w:szCs w:val="24"/>
        </w:rPr>
        <w:tab/>
        <w:t>The Complainant never disputed her responsibility for the overdue payments, and she never contended that she was not a resident at the service address who enjoyed the benefits of that service.  Indeed, Complainant accepted responsibility</w:t>
      </w:r>
      <w:r w:rsidR="00C45931" w:rsidRPr="00856434">
        <w:rPr>
          <w:sz w:val="24"/>
          <w:szCs w:val="24"/>
        </w:rPr>
        <w:t xml:space="preserve"> for the account</w:t>
      </w:r>
      <w:r w:rsidRPr="00856434">
        <w:rPr>
          <w:sz w:val="24"/>
          <w:szCs w:val="24"/>
        </w:rPr>
        <w:t xml:space="preserve">.  However, attempting to change the name on an account does not clear the slate, nor does it mean that a utility must treat the Complainant as a brand new customer entitled to a </w:t>
      </w:r>
      <w:r w:rsidR="007F3225" w:rsidRPr="00856434">
        <w:rPr>
          <w:sz w:val="24"/>
          <w:szCs w:val="24"/>
        </w:rPr>
        <w:t xml:space="preserve">new </w:t>
      </w:r>
      <w:r w:rsidRPr="00856434">
        <w:rPr>
          <w:sz w:val="24"/>
          <w:szCs w:val="24"/>
        </w:rPr>
        <w:t>payment arrangement</w:t>
      </w:r>
      <w:r w:rsidR="007F3225" w:rsidRPr="00856434">
        <w:rPr>
          <w:sz w:val="24"/>
          <w:szCs w:val="24"/>
        </w:rPr>
        <w:t xml:space="preserve"> after another resident and account holder defaulted on a prior plan</w:t>
      </w:r>
      <w:r w:rsidRPr="00856434">
        <w:rPr>
          <w:sz w:val="24"/>
          <w:szCs w:val="24"/>
        </w:rPr>
        <w:t>.</w:t>
      </w:r>
    </w:p>
    <w:p w:rsidR="005C1AA9" w:rsidRPr="00856434" w:rsidRDefault="005C1AA9" w:rsidP="000D2564">
      <w:pPr>
        <w:spacing w:line="360" w:lineRule="auto"/>
        <w:rPr>
          <w:sz w:val="24"/>
          <w:szCs w:val="24"/>
        </w:rPr>
      </w:pPr>
    </w:p>
    <w:p w:rsidR="005C1AA9" w:rsidRPr="00856434" w:rsidRDefault="005C1AA9" w:rsidP="000D2564">
      <w:pPr>
        <w:spacing w:line="360" w:lineRule="auto"/>
        <w:rPr>
          <w:sz w:val="24"/>
          <w:szCs w:val="24"/>
        </w:rPr>
      </w:pPr>
      <w:r w:rsidRPr="00856434">
        <w:rPr>
          <w:sz w:val="24"/>
          <w:szCs w:val="24"/>
        </w:rPr>
        <w:tab/>
      </w:r>
      <w:r w:rsidRPr="00856434">
        <w:rPr>
          <w:sz w:val="24"/>
          <w:szCs w:val="24"/>
        </w:rPr>
        <w:tab/>
      </w:r>
      <w:r w:rsidR="0074420E" w:rsidRPr="00856434">
        <w:rPr>
          <w:sz w:val="24"/>
          <w:szCs w:val="24"/>
        </w:rPr>
        <w:t>Finally, w</w:t>
      </w:r>
      <w:r w:rsidRPr="00856434">
        <w:rPr>
          <w:sz w:val="24"/>
          <w:szCs w:val="24"/>
        </w:rPr>
        <w:t>hile the Complainant referred to her disabled children</w:t>
      </w:r>
      <w:r w:rsidR="006920D0" w:rsidRPr="00856434">
        <w:rPr>
          <w:sz w:val="24"/>
          <w:szCs w:val="24"/>
        </w:rPr>
        <w:t xml:space="preserve"> (See Tr. at 16-19)</w:t>
      </w:r>
      <w:r w:rsidRPr="00856434">
        <w:rPr>
          <w:sz w:val="24"/>
          <w:szCs w:val="24"/>
        </w:rPr>
        <w:t xml:space="preserve">, </w:t>
      </w:r>
      <w:r w:rsidR="006920D0" w:rsidRPr="00856434">
        <w:rPr>
          <w:sz w:val="24"/>
          <w:szCs w:val="24"/>
        </w:rPr>
        <w:t xml:space="preserve">one of whom is a minor, </w:t>
      </w:r>
      <w:r w:rsidRPr="00856434">
        <w:rPr>
          <w:sz w:val="24"/>
          <w:szCs w:val="24"/>
        </w:rPr>
        <w:t>that is not a change in circumstance for the household.  Medical certificates were filed with PECO in the past, though those were not renewed.  See, PECO Exhibit No. 9.</w:t>
      </w:r>
      <w:r w:rsidR="007F3225" w:rsidRPr="00856434">
        <w:rPr>
          <w:sz w:val="24"/>
          <w:szCs w:val="24"/>
        </w:rPr>
        <w:t xml:space="preserve">  No evidence was presented</w:t>
      </w:r>
      <w:r w:rsidR="00C45931" w:rsidRPr="00856434">
        <w:rPr>
          <w:sz w:val="24"/>
          <w:szCs w:val="24"/>
        </w:rPr>
        <w:t xml:space="preserve"> at hearing</w:t>
      </w:r>
      <w:r w:rsidR="007F3225" w:rsidRPr="00856434">
        <w:rPr>
          <w:sz w:val="24"/>
          <w:szCs w:val="24"/>
        </w:rPr>
        <w:t xml:space="preserve"> as to a change in circumstance for the household.</w:t>
      </w:r>
    </w:p>
    <w:p w:rsidR="007F3225" w:rsidRPr="00856434" w:rsidRDefault="007F3225" w:rsidP="000D2564">
      <w:pPr>
        <w:spacing w:line="360" w:lineRule="auto"/>
        <w:rPr>
          <w:sz w:val="24"/>
          <w:szCs w:val="24"/>
        </w:rPr>
      </w:pPr>
    </w:p>
    <w:p w:rsidR="007F3225" w:rsidRPr="00856434" w:rsidRDefault="007F3225" w:rsidP="000D2564">
      <w:pPr>
        <w:spacing w:line="360" w:lineRule="auto"/>
        <w:rPr>
          <w:sz w:val="24"/>
          <w:szCs w:val="24"/>
        </w:rPr>
      </w:pPr>
      <w:r w:rsidRPr="00856434">
        <w:rPr>
          <w:sz w:val="24"/>
          <w:szCs w:val="24"/>
        </w:rPr>
        <w:tab/>
      </w:r>
      <w:r w:rsidRPr="00856434">
        <w:rPr>
          <w:sz w:val="24"/>
          <w:szCs w:val="24"/>
        </w:rPr>
        <w:tab/>
        <w:t>As the Complainant has not met her burden of proof, her Complaint must be dismissed.</w:t>
      </w:r>
    </w:p>
    <w:p w:rsidR="00ED3C68" w:rsidRPr="00856434" w:rsidRDefault="00ED3C68" w:rsidP="00E84715">
      <w:pPr>
        <w:spacing w:line="360" w:lineRule="auto"/>
        <w:rPr>
          <w:sz w:val="24"/>
          <w:szCs w:val="24"/>
        </w:rPr>
      </w:pPr>
    </w:p>
    <w:p w:rsidR="007B5B13" w:rsidRPr="00856434" w:rsidRDefault="007B5B13" w:rsidP="007B5B13">
      <w:pPr>
        <w:tabs>
          <w:tab w:val="center" w:pos="4680"/>
        </w:tabs>
        <w:suppressAutoHyphens/>
        <w:autoSpaceDE w:val="0"/>
        <w:autoSpaceDN w:val="0"/>
        <w:spacing w:line="360" w:lineRule="auto"/>
        <w:jc w:val="center"/>
        <w:rPr>
          <w:spacing w:val="-3"/>
          <w:sz w:val="24"/>
          <w:szCs w:val="24"/>
          <w:u w:val="single"/>
        </w:rPr>
      </w:pPr>
      <w:r w:rsidRPr="00856434">
        <w:rPr>
          <w:spacing w:val="-3"/>
          <w:sz w:val="24"/>
          <w:szCs w:val="24"/>
          <w:u w:val="single"/>
        </w:rPr>
        <w:t>CONCLUSIONS OF LAW</w:t>
      </w:r>
    </w:p>
    <w:p w:rsidR="007B5B13" w:rsidRPr="00856434" w:rsidRDefault="007B5B13" w:rsidP="007B5B13">
      <w:pPr>
        <w:tabs>
          <w:tab w:val="center" w:pos="4680"/>
        </w:tabs>
        <w:suppressAutoHyphens/>
        <w:autoSpaceDE w:val="0"/>
        <w:autoSpaceDN w:val="0"/>
        <w:spacing w:line="360" w:lineRule="auto"/>
        <w:ind w:firstLine="1440"/>
        <w:rPr>
          <w:spacing w:val="-3"/>
          <w:sz w:val="24"/>
          <w:szCs w:val="24"/>
        </w:rPr>
      </w:pP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r w:rsidRPr="00856434">
        <w:rPr>
          <w:spacing w:val="-3"/>
          <w:sz w:val="24"/>
          <w:szCs w:val="24"/>
        </w:rPr>
        <w:t>1.</w:t>
      </w:r>
      <w:r w:rsidRPr="00856434">
        <w:rPr>
          <w:spacing w:val="-3"/>
          <w:sz w:val="24"/>
          <w:szCs w:val="24"/>
        </w:rPr>
        <w:tab/>
        <w:t>The Commission has jurisdiction over the parties to, and the subject matter of, this proceeding.</w:t>
      </w: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r w:rsidRPr="00856434">
        <w:rPr>
          <w:spacing w:val="-3"/>
          <w:sz w:val="24"/>
          <w:szCs w:val="24"/>
        </w:rPr>
        <w:t>2.</w:t>
      </w:r>
      <w:r w:rsidRPr="00856434">
        <w:rPr>
          <w:spacing w:val="-3"/>
          <w:sz w:val="24"/>
          <w:szCs w:val="24"/>
        </w:rPr>
        <w:tab/>
        <w:t>Pursuant to 66 Pa.C.S.A. § 332(a), the burden of proof in this proceeding is upon the Complainant.</w:t>
      </w: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r w:rsidRPr="00856434">
        <w:rPr>
          <w:spacing w:val="-3"/>
          <w:sz w:val="24"/>
          <w:szCs w:val="24"/>
        </w:rPr>
        <w:t>3.</w:t>
      </w:r>
      <w:r w:rsidRPr="00856434">
        <w:rPr>
          <w:spacing w:val="-3"/>
          <w:sz w:val="24"/>
          <w:szCs w:val="24"/>
        </w:rPr>
        <w:tab/>
        <w:t>To establish a sufficient case and satisfy the burden of proof, the Complainant must show that the Respondent public utility is responsible or accountable for the problem described in the Complaint.  Such a showing must be by a preponderance of the evidence.</w:t>
      </w: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r w:rsidRPr="00856434">
        <w:rPr>
          <w:spacing w:val="-3"/>
          <w:sz w:val="24"/>
          <w:szCs w:val="24"/>
        </w:rPr>
        <w:t>4.</w:t>
      </w:r>
      <w:r w:rsidRPr="00856434">
        <w:rPr>
          <w:spacing w:val="-3"/>
          <w:sz w:val="24"/>
          <w:szCs w:val="24"/>
        </w:rPr>
        <w:tab/>
        <w:t>A preponderance of the evidence is established by presenting evidence more convincing, by even the smallest amount, than that presented by the other party.</w:t>
      </w: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r w:rsidRPr="00856434">
        <w:rPr>
          <w:spacing w:val="-3"/>
          <w:sz w:val="24"/>
          <w:szCs w:val="24"/>
        </w:rPr>
        <w:t>5.</w:t>
      </w:r>
      <w:r w:rsidRPr="00856434">
        <w:rPr>
          <w:spacing w:val="-3"/>
          <w:sz w:val="24"/>
          <w:szCs w:val="24"/>
        </w:rPr>
        <w:tab/>
        <w:t>Any finding of fact necessary to support the Commission’s adjudication must be based upon substantial evidence.</w:t>
      </w: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r w:rsidRPr="00856434">
        <w:rPr>
          <w:spacing w:val="-3"/>
          <w:sz w:val="24"/>
          <w:szCs w:val="24"/>
        </w:rPr>
        <w:t>6.</w:t>
      </w:r>
      <w:r w:rsidRPr="00856434">
        <w:rPr>
          <w:spacing w:val="-3"/>
          <w:sz w:val="24"/>
          <w:szCs w:val="24"/>
        </w:rPr>
        <w:tab/>
        <w:t>Substantial evidence has been defined as such relevant evidence as a reasonable mind might accept as adequate to support a conclusion.  More is required than a mere trace of evidence or a suspicion of the existence of a fact sought to be established.</w:t>
      </w: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p>
    <w:p w:rsidR="007F3225"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r w:rsidRPr="00856434">
        <w:rPr>
          <w:spacing w:val="-3"/>
          <w:sz w:val="24"/>
          <w:szCs w:val="24"/>
        </w:rPr>
        <w:t>7.</w:t>
      </w:r>
      <w:r w:rsidRPr="00856434">
        <w:rPr>
          <w:spacing w:val="-3"/>
          <w:sz w:val="24"/>
          <w:szCs w:val="24"/>
        </w:rPr>
        <w:tab/>
      </w:r>
      <w:r w:rsidR="007F3225" w:rsidRPr="00856434">
        <w:rPr>
          <w:spacing w:val="-3"/>
          <w:sz w:val="24"/>
          <w:szCs w:val="24"/>
        </w:rPr>
        <w:t xml:space="preserve">The issuance of a payment agreement for the non-CAP portion of the arrearage is a matter within the Commission’s discretion.  </w:t>
      </w:r>
      <w:r w:rsidR="007F3225" w:rsidRPr="00856434">
        <w:rPr>
          <w:i/>
          <w:spacing w:val="-3"/>
          <w:sz w:val="24"/>
          <w:szCs w:val="24"/>
        </w:rPr>
        <w:t>Hewitt v. PECO Energy Co</w:t>
      </w:r>
      <w:r w:rsidR="007F3225" w:rsidRPr="00856434">
        <w:rPr>
          <w:spacing w:val="-3"/>
          <w:sz w:val="24"/>
          <w:szCs w:val="24"/>
        </w:rPr>
        <w:t>., Docket No. F-2011-2273271 (Order entered September 12, 2013).</w:t>
      </w:r>
    </w:p>
    <w:p w:rsidR="007B5B13" w:rsidRPr="00856434" w:rsidRDefault="007B5B13" w:rsidP="00871CAF">
      <w:pPr>
        <w:spacing w:line="360" w:lineRule="auto"/>
        <w:rPr>
          <w:sz w:val="24"/>
          <w:szCs w:val="24"/>
        </w:rPr>
      </w:pPr>
    </w:p>
    <w:p w:rsidR="007B5B13" w:rsidRPr="00856434" w:rsidRDefault="007B5B13" w:rsidP="007B5B13">
      <w:pPr>
        <w:tabs>
          <w:tab w:val="left" w:pos="-1440"/>
          <w:tab w:val="left" w:pos="-720"/>
        </w:tabs>
        <w:suppressAutoHyphens/>
        <w:autoSpaceDE w:val="0"/>
        <w:autoSpaceDN w:val="0"/>
        <w:spacing w:line="360" w:lineRule="auto"/>
        <w:jc w:val="center"/>
        <w:rPr>
          <w:bCs/>
          <w:spacing w:val="-3"/>
          <w:sz w:val="24"/>
          <w:szCs w:val="24"/>
          <w:u w:val="single"/>
        </w:rPr>
      </w:pPr>
      <w:r w:rsidRPr="00856434">
        <w:rPr>
          <w:bCs/>
          <w:spacing w:val="-3"/>
          <w:sz w:val="24"/>
          <w:szCs w:val="24"/>
          <w:u w:val="single"/>
        </w:rPr>
        <w:t>ORDER</w:t>
      </w:r>
    </w:p>
    <w:p w:rsidR="007B5B13" w:rsidRPr="00856434" w:rsidRDefault="007B5B13" w:rsidP="007B5B13">
      <w:pPr>
        <w:tabs>
          <w:tab w:val="center" w:pos="4680"/>
        </w:tabs>
        <w:suppressAutoHyphens/>
        <w:autoSpaceDE w:val="0"/>
        <w:autoSpaceDN w:val="0"/>
        <w:spacing w:line="360" w:lineRule="auto"/>
        <w:ind w:firstLine="1440"/>
        <w:rPr>
          <w:bCs/>
          <w:spacing w:val="-3"/>
          <w:sz w:val="24"/>
          <w:szCs w:val="24"/>
          <w:u w:val="single"/>
        </w:rPr>
      </w:pPr>
    </w:p>
    <w:p w:rsidR="007B5B13" w:rsidRPr="00856434" w:rsidRDefault="007B5B13" w:rsidP="007B5B13">
      <w:pPr>
        <w:tabs>
          <w:tab w:val="left" w:pos="-1440"/>
          <w:tab w:val="left" w:pos="-720"/>
        </w:tabs>
        <w:suppressAutoHyphens/>
        <w:autoSpaceDE w:val="0"/>
        <w:autoSpaceDN w:val="0"/>
        <w:spacing w:line="360" w:lineRule="auto"/>
        <w:ind w:firstLine="1440"/>
        <w:rPr>
          <w:bCs/>
          <w:spacing w:val="-3"/>
          <w:sz w:val="24"/>
          <w:szCs w:val="24"/>
        </w:rPr>
      </w:pPr>
      <w:r w:rsidRPr="00856434">
        <w:rPr>
          <w:bCs/>
          <w:spacing w:val="-3"/>
          <w:sz w:val="24"/>
          <w:szCs w:val="24"/>
        </w:rPr>
        <w:t>THEREFORE,</w:t>
      </w: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p>
    <w:p w:rsidR="007B5B13" w:rsidRPr="00856434" w:rsidRDefault="007B5B13" w:rsidP="007B5B13">
      <w:pPr>
        <w:tabs>
          <w:tab w:val="left" w:pos="-1440"/>
          <w:tab w:val="left" w:pos="-720"/>
        </w:tabs>
        <w:suppressAutoHyphens/>
        <w:autoSpaceDE w:val="0"/>
        <w:autoSpaceDN w:val="0"/>
        <w:spacing w:line="360" w:lineRule="auto"/>
        <w:ind w:firstLine="1440"/>
        <w:rPr>
          <w:bCs/>
          <w:spacing w:val="-3"/>
          <w:sz w:val="24"/>
          <w:szCs w:val="24"/>
        </w:rPr>
      </w:pPr>
      <w:r w:rsidRPr="00856434">
        <w:rPr>
          <w:bCs/>
          <w:spacing w:val="-3"/>
          <w:sz w:val="24"/>
          <w:szCs w:val="24"/>
        </w:rPr>
        <w:t>IT IS ORDERED:</w:t>
      </w:r>
    </w:p>
    <w:p w:rsidR="007B5B13" w:rsidRPr="00856434" w:rsidRDefault="007B5B13" w:rsidP="007B5B13">
      <w:pPr>
        <w:tabs>
          <w:tab w:val="left" w:pos="-1440"/>
          <w:tab w:val="left" w:pos="-720"/>
        </w:tabs>
        <w:suppressAutoHyphens/>
        <w:autoSpaceDE w:val="0"/>
        <w:autoSpaceDN w:val="0"/>
        <w:spacing w:line="360" w:lineRule="auto"/>
        <w:rPr>
          <w:spacing w:val="-3"/>
          <w:sz w:val="24"/>
          <w:szCs w:val="24"/>
        </w:rPr>
      </w:pP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r w:rsidRPr="00856434">
        <w:rPr>
          <w:spacing w:val="-3"/>
          <w:sz w:val="24"/>
          <w:szCs w:val="24"/>
        </w:rPr>
        <w:t>1.</w:t>
      </w:r>
      <w:r w:rsidRPr="00856434">
        <w:rPr>
          <w:spacing w:val="-3"/>
          <w:sz w:val="24"/>
          <w:szCs w:val="24"/>
        </w:rPr>
        <w:tab/>
        <w:t>That the Complaint of Cheryl Harbaugh against PECO Energy Company at Docket No. C-2013-2364639 is dismissed.</w:t>
      </w:r>
    </w:p>
    <w:p w:rsidR="007B5B13" w:rsidRPr="00856434" w:rsidRDefault="007B5B13" w:rsidP="007B5B13">
      <w:pPr>
        <w:tabs>
          <w:tab w:val="left" w:pos="-1440"/>
          <w:tab w:val="left" w:pos="-720"/>
        </w:tabs>
        <w:suppressAutoHyphens/>
        <w:autoSpaceDE w:val="0"/>
        <w:autoSpaceDN w:val="0"/>
        <w:spacing w:line="360" w:lineRule="auto"/>
        <w:rPr>
          <w:spacing w:val="-3"/>
          <w:sz w:val="24"/>
          <w:szCs w:val="24"/>
        </w:rPr>
      </w:pP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r w:rsidRPr="00856434">
        <w:rPr>
          <w:spacing w:val="-3"/>
          <w:sz w:val="24"/>
          <w:szCs w:val="24"/>
        </w:rPr>
        <w:t>2.</w:t>
      </w:r>
      <w:r w:rsidRPr="00856434">
        <w:rPr>
          <w:spacing w:val="-3"/>
          <w:sz w:val="24"/>
          <w:szCs w:val="24"/>
        </w:rPr>
        <w:tab/>
        <w:t>That the case at Docket No.</w:t>
      </w:r>
      <w:r w:rsidRPr="00856434">
        <w:rPr>
          <w:sz w:val="24"/>
          <w:szCs w:val="24"/>
        </w:rPr>
        <w:t xml:space="preserve"> </w:t>
      </w:r>
      <w:r w:rsidRPr="00856434">
        <w:rPr>
          <w:spacing w:val="-3"/>
          <w:sz w:val="24"/>
          <w:szCs w:val="24"/>
        </w:rPr>
        <w:t>C-2013-2364639 be marked closed.</w:t>
      </w: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u w:val="single"/>
        </w:rPr>
      </w:pPr>
    </w:p>
    <w:p w:rsidR="007B5B13" w:rsidRPr="00856434" w:rsidRDefault="007B5B13" w:rsidP="007B5B13">
      <w:pPr>
        <w:tabs>
          <w:tab w:val="left" w:pos="-1440"/>
          <w:tab w:val="left" w:pos="-720"/>
        </w:tabs>
        <w:suppressAutoHyphens/>
        <w:autoSpaceDE w:val="0"/>
        <w:autoSpaceDN w:val="0"/>
        <w:spacing w:line="360" w:lineRule="auto"/>
        <w:ind w:firstLine="1440"/>
        <w:rPr>
          <w:spacing w:val="-3"/>
          <w:sz w:val="24"/>
          <w:szCs w:val="24"/>
        </w:rPr>
      </w:pPr>
    </w:p>
    <w:p w:rsidR="007B5B13" w:rsidRPr="00856434" w:rsidRDefault="007B5B13" w:rsidP="007B5B13">
      <w:pPr>
        <w:tabs>
          <w:tab w:val="left" w:pos="-1440"/>
          <w:tab w:val="left" w:pos="-720"/>
        </w:tabs>
        <w:suppressAutoHyphens/>
        <w:autoSpaceDE w:val="0"/>
        <w:autoSpaceDN w:val="0"/>
        <w:rPr>
          <w:spacing w:val="-3"/>
          <w:sz w:val="24"/>
          <w:szCs w:val="24"/>
          <w:u w:val="single"/>
        </w:rPr>
      </w:pPr>
      <w:r w:rsidRPr="00856434">
        <w:rPr>
          <w:spacing w:val="-3"/>
          <w:sz w:val="24"/>
          <w:szCs w:val="24"/>
        </w:rPr>
        <w:t xml:space="preserve">Date:  </w:t>
      </w:r>
      <w:r w:rsidRPr="00856434">
        <w:rPr>
          <w:spacing w:val="-3"/>
          <w:sz w:val="24"/>
          <w:szCs w:val="24"/>
          <w:u w:val="single"/>
        </w:rPr>
        <w:t>June 12, 2014</w:t>
      </w:r>
      <w:r w:rsidR="002F3CF2" w:rsidRPr="00856434">
        <w:rPr>
          <w:spacing w:val="-3"/>
          <w:sz w:val="24"/>
          <w:szCs w:val="24"/>
        </w:rPr>
        <w:tab/>
      </w:r>
      <w:r w:rsidRPr="00856434">
        <w:rPr>
          <w:spacing w:val="-3"/>
          <w:sz w:val="24"/>
          <w:szCs w:val="24"/>
        </w:rPr>
        <w:tab/>
      </w:r>
      <w:r w:rsidRPr="00856434">
        <w:rPr>
          <w:spacing w:val="-3"/>
          <w:sz w:val="24"/>
          <w:szCs w:val="24"/>
        </w:rPr>
        <w:tab/>
      </w:r>
      <w:r w:rsidRPr="00856434">
        <w:rPr>
          <w:spacing w:val="-3"/>
          <w:sz w:val="24"/>
          <w:szCs w:val="24"/>
        </w:rPr>
        <w:tab/>
      </w:r>
      <w:r w:rsidRPr="00856434">
        <w:rPr>
          <w:spacing w:val="-3"/>
          <w:sz w:val="24"/>
          <w:szCs w:val="24"/>
        </w:rPr>
        <w:tab/>
      </w:r>
      <w:r w:rsidRPr="00856434">
        <w:rPr>
          <w:spacing w:val="-3"/>
          <w:sz w:val="24"/>
          <w:szCs w:val="24"/>
          <w:u w:val="single"/>
        </w:rPr>
        <w:tab/>
        <w:t>/s/</w:t>
      </w:r>
      <w:r w:rsidRPr="00856434">
        <w:rPr>
          <w:spacing w:val="-3"/>
          <w:sz w:val="24"/>
          <w:szCs w:val="24"/>
          <w:u w:val="single"/>
        </w:rPr>
        <w:tab/>
      </w:r>
      <w:r w:rsidRPr="00856434">
        <w:rPr>
          <w:spacing w:val="-3"/>
          <w:sz w:val="24"/>
          <w:szCs w:val="24"/>
          <w:u w:val="single"/>
        </w:rPr>
        <w:tab/>
      </w:r>
      <w:r w:rsidRPr="00856434">
        <w:rPr>
          <w:spacing w:val="-3"/>
          <w:sz w:val="24"/>
          <w:szCs w:val="24"/>
          <w:u w:val="single"/>
        </w:rPr>
        <w:tab/>
      </w:r>
      <w:r w:rsidRPr="00856434">
        <w:rPr>
          <w:spacing w:val="-3"/>
          <w:sz w:val="24"/>
          <w:szCs w:val="24"/>
          <w:u w:val="single"/>
        </w:rPr>
        <w:tab/>
      </w:r>
    </w:p>
    <w:p w:rsidR="007B5B13" w:rsidRPr="00856434" w:rsidRDefault="007B5B13" w:rsidP="007B5B13">
      <w:pPr>
        <w:tabs>
          <w:tab w:val="left" w:pos="5040"/>
        </w:tabs>
        <w:autoSpaceDE w:val="0"/>
        <w:autoSpaceDN w:val="0"/>
        <w:rPr>
          <w:sz w:val="24"/>
          <w:szCs w:val="24"/>
        </w:rPr>
      </w:pPr>
      <w:r w:rsidRPr="00856434">
        <w:rPr>
          <w:sz w:val="24"/>
          <w:szCs w:val="24"/>
        </w:rPr>
        <w:tab/>
        <w:t>Dennis J. Buckley</w:t>
      </w:r>
    </w:p>
    <w:p w:rsidR="007B5B13" w:rsidRPr="00856434" w:rsidRDefault="007B5B13" w:rsidP="007B5B13">
      <w:pPr>
        <w:autoSpaceDE w:val="0"/>
        <w:autoSpaceDN w:val="0"/>
        <w:rPr>
          <w:sz w:val="24"/>
          <w:szCs w:val="24"/>
        </w:rPr>
      </w:pPr>
      <w:r w:rsidRPr="00856434">
        <w:rPr>
          <w:sz w:val="24"/>
          <w:szCs w:val="24"/>
        </w:rPr>
        <w:tab/>
      </w:r>
      <w:r w:rsidRPr="00856434">
        <w:rPr>
          <w:sz w:val="24"/>
          <w:szCs w:val="24"/>
        </w:rPr>
        <w:tab/>
      </w:r>
      <w:r w:rsidRPr="00856434">
        <w:rPr>
          <w:sz w:val="24"/>
          <w:szCs w:val="24"/>
        </w:rPr>
        <w:tab/>
      </w:r>
      <w:r w:rsidRPr="00856434">
        <w:rPr>
          <w:sz w:val="24"/>
          <w:szCs w:val="24"/>
        </w:rPr>
        <w:tab/>
      </w:r>
      <w:r w:rsidRPr="00856434">
        <w:rPr>
          <w:sz w:val="24"/>
          <w:szCs w:val="24"/>
        </w:rPr>
        <w:tab/>
      </w:r>
      <w:r w:rsidRPr="00856434">
        <w:rPr>
          <w:sz w:val="24"/>
          <w:szCs w:val="24"/>
        </w:rPr>
        <w:tab/>
      </w:r>
      <w:r w:rsidRPr="00856434">
        <w:rPr>
          <w:sz w:val="24"/>
          <w:szCs w:val="24"/>
        </w:rPr>
        <w:tab/>
        <w:t>Administrative Law Judge</w:t>
      </w:r>
    </w:p>
    <w:p w:rsidR="007B5B13" w:rsidRPr="00856434" w:rsidRDefault="007B5B13" w:rsidP="00871CAF">
      <w:pPr>
        <w:spacing w:line="360" w:lineRule="auto"/>
        <w:rPr>
          <w:sz w:val="24"/>
          <w:szCs w:val="24"/>
        </w:rPr>
      </w:pPr>
    </w:p>
    <w:sectPr w:rsidR="007B5B13" w:rsidRPr="00856434" w:rsidSect="0085643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A3" w:rsidRDefault="00C87FA3">
      <w:r>
        <w:separator/>
      </w:r>
    </w:p>
  </w:endnote>
  <w:endnote w:type="continuationSeparator" w:id="0">
    <w:p w:rsidR="00C87FA3" w:rsidRDefault="00C8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681A59" w:rsidRDefault="00447316" w:rsidP="00ED3EC8">
    <w:pPr>
      <w:pStyle w:val="Footer"/>
      <w:framePr w:wrap="around" w:vAnchor="text" w:hAnchor="margin" w:xAlign="center" w:y="1"/>
      <w:rPr>
        <w:rStyle w:val="PageNumber"/>
        <w:sz w:val="20"/>
        <w:szCs w:val="20"/>
      </w:rPr>
    </w:pPr>
    <w:r w:rsidRPr="00681A59">
      <w:rPr>
        <w:rStyle w:val="PageNumber"/>
        <w:sz w:val="20"/>
        <w:szCs w:val="20"/>
      </w:rPr>
      <w:fldChar w:fldCharType="begin"/>
    </w:r>
    <w:r w:rsidR="00ED3EC8" w:rsidRPr="00681A59">
      <w:rPr>
        <w:rStyle w:val="PageNumber"/>
        <w:sz w:val="20"/>
        <w:szCs w:val="20"/>
      </w:rPr>
      <w:instrText xml:space="preserve">PAGE  </w:instrText>
    </w:r>
    <w:r w:rsidRPr="00681A59">
      <w:rPr>
        <w:rStyle w:val="PageNumber"/>
        <w:sz w:val="20"/>
        <w:szCs w:val="20"/>
      </w:rPr>
      <w:fldChar w:fldCharType="separate"/>
    </w:r>
    <w:r w:rsidR="0094355C">
      <w:rPr>
        <w:rStyle w:val="PageNumber"/>
        <w:noProof/>
        <w:sz w:val="20"/>
        <w:szCs w:val="20"/>
      </w:rPr>
      <w:t>9</w:t>
    </w:r>
    <w:r w:rsidRPr="00681A59">
      <w:rPr>
        <w:rStyle w:val="PageNumber"/>
        <w:sz w:val="20"/>
        <w:szCs w:val="20"/>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A3" w:rsidRDefault="00C87FA3">
      <w:r>
        <w:separator/>
      </w:r>
    </w:p>
  </w:footnote>
  <w:footnote w:type="continuationSeparator" w:id="0">
    <w:p w:rsidR="00C87FA3" w:rsidRDefault="00C87FA3">
      <w:r>
        <w:continuationSeparator/>
      </w:r>
    </w:p>
  </w:footnote>
  <w:footnote w:id="1">
    <w:p w:rsidR="00721D54" w:rsidRDefault="00721D54">
      <w:pPr>
        <w:pStyle w:val="FootnoteText"/>
      </w:pPr>
      <w:r>
        <w:rPr>
          <w:rStyle w:val="FootnoteReference"/>
        </w:rPr>
        <w:footnoteRef/>
      </w:r>
      <w:r>
        <w:t xml:space="preserve"> </w:t>
      </w:r>
      <w:r>
        <w:tab/>
        <w:t>At hearing, the Complainant did not pursue her allegation that she had been improperly billed.  In fact, and as will be discussed herein, she accepted responsibility for the billed amount.</w:t>
      </w:r>
    </w:p>
    <w:p w:rsidR="00721D54" w:rsidRDefault="00721D54">
      <w:pPr>
        <w:pStyle w:val="FootnoteText"/>
      </w:pPr>
    </w:p>
  </w:footnote>
  <w:footnote w:id="2">
    <w:p w:rsidR="00397FFE" w:rsidRDefault="00397FFE">
      <w:pPr>
        <w:pStyle w:val="FootnoteText"/>
      </w:pPr>
      <w:r>
        <w:rPr>
          <w:rStyle w:val="FootnoteReference"/>
        </w:rPr>
        <w:footnoteRef/>
      </w:r>
      <w:r>
        <w:t xml:space="preserve"> </w:t>
      </w:r>
      <w:r>
        <w:tab/>
        <w:t>Complainant cited an underlying determination by the Commission’s Bureau of Consumer Services (BCS) at Case No. 3092959.  However, this proceeding is not an appeal of that determination.</w:t>
      </w:r>
    </w:p>
  </w:footnote>
  <w:footnote w:id="3">
    <w:p w:rsidR="0074420E" w:rsidRDefault="0074420E">
      <w:pPr>
        <w:pStyle w:val="FootnoteText"/>
      </w:pPr>
      <w:r>
        <w:rPr>
          <w:rStyle w:val="FootnoteReference"/>
        </w:rPr>
        <w:footnoteRef/>
      </w:r>
      <w:r>
        <w:t xml:space="preserve"> </w:t>
      </w:r>
      <w:r>
        <w:tab/>
        <w:t>At one point, Complainant stated that it was “unfair” that PECO was represented by counsel while she was not (See Tr. at 7).  I would point out that this case was heard before the</w:t>
      </w:r>
      <w:r w:rsidR="00022C95">
        <w:t xml:space="preserve"> </w:t>
      </w:r>
      <w:r w:rsidR="00585D15">
        <w:t>re-inauguration of the program</w:t>
      </w:r>
      <w:r w:rsidR="00022C95">
        <w:t xml:space="preserve"> </w:t>
      </w:r>
      <w:r w:rsidR="000E50F7">
        <w:t xml:space="preserve">for </w:t>
      </w:r>
      <w:r w:rsidR="00585D15">
        <w:t xml:space="preserve">counsel for </w:t>
      </w:r>
      <w:r w:rsidR="000E50F7">
        <w:t xml:space="preserve">low-income Complainants </w:t>
      </w:r>
      <w:r w:rsidR="00022C95">
        <w:t xml:space="preserve">through the </w:t>
      </w:r>
      <w:r w:rsidR="00022C95" w:rsidRPr="00022C95">
        <w:t>Widener Harrisburg Civil Law Clinic</w:t>
      </w:r>
      <w:r w:rsidR="00022C95">
        <w:t>.</w:t>
      </w:r>
      <w:r>
        <w:t xml:space="preserve"> </w:t>
      </w:r>
    </w:p>
    <w:p w:rsidR="003E3DBA" w:rsidRDefault="003E3DBA">
      <w:pPr>
        <w:pStyle w:val="FootnoteText"/>
      </w:pPr>
    </w:p>
  </w:footnote>
  <w:footnote w:id="4">
    <w:p w:rsidR="00C31F4A" w:rsidRDefault="00C31F4A">
      <w:pPr>
        <w:pStyle w:val="FootnoteText"/>
      </w:pPr>
      <w:r>
        <w:rPr>
          <w:rStyle w:val="FootnoteReference"/>
        </w:rPr>
        <w:footnoteRef/>
      </w:r>
      <w:r>
        <w:t xml:space="preserve"> </w:t>
      </w:r>
      <w:r>
        <w:tab/>
        <w:t>Complainant’s brother is Daniel Harbaugh, 1103 Opal Avenue, Boothwyn, Pennsylvania.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1716E"/>
    <w:rsid w:val="0002105C"/>
    <w:rsid w:val="00022C95"/>
    <w:rsid w:val="00026731"/>
    <w:rsid w:val="00035BB8"/>
    <w:rsid w:val="00042D10"/>
    <w:rsid w:val="000541C0"/>
    <w:rsid w:val="000576ED"/>
    <w:rsid w:val="000576F6"/>
    <w:rsid w:val="000605B6"/>
    <w:rsid w:val="00060932"/>
    <w:rsid w:val="00061278"/>
    <w:rsid w:val="000634EB"/>
    <w:rsid w:val="00063801"/>
    <w:rsid w:val="00067CBC"/>
    <w:rsid w:val="000902E3"/>
    <w:rsid w:val="0009220F"/>
    <w:rsid w:val="00092B4E"/>
    <w:rsid w:val="00092E44"/>
    <w:rsid w:val="00093562"/>
    <w:rsid w:val="000974C1"/>
    <w:rsid w:val="000A770B"/>
    <w:rsid w:val="000B339A"/>
    <w:rsid w:val="000C1EFC"/>
    <w:rsid w:val="000C2A2B"/>
    <w:rsid w:val="000C34F3"/>
    <w:rsid w:val="000C6B6E"/>
    <w:rsid w:val="000C6EF0"/>
    <w:rsid w:val="000D2564"/>
    <w:rsid w:val="000D29BA"/>
    <w:rsid w:val="000D530F"/>
    <w:rsid w:val="000E50F7"/>
    <w:rsid w:val="000E7EF5"/>
    <w:rsid w:val="000F2E5F"/>
    <w:rsid w:val="001021FB"/>
    <w:rsid w:val="00102A77"/>
    <w:rsid w:val="0010420D"/>
    <w:rsid w:val="001051E6"/>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63D55"/>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09D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46444"/>
    <w:rsid w:val="00251E5A"/>
    <w:rsid w:val="00252DB6"/>
    <w:rsid w:val="0025302C"/>
    <w:rsid w:val="002546D8"/>
    <w:rsid w:val="00260459"/>
    <w:rsid w:val="002608A7"/>
    <w:rsid w:val="002636FF"/>
    <w:rsid w:val="0026705F"/>
    <w:rsid w:val="002704DD"/>
    <w:rsid w:val="002752E4"/>
    <w:rsid w:val="00284760"/>
    <w:rsid w:val="0029096F"/>
    <w:rsid w:val="0029353E"/>
    <w:rsid w:val="00297286"/>
    <w:rsid w:val="002A05C6"/>
    <w:rsid w:val="002A5F4D"/>
    <w:rsid w:val="002B0A4C"/>
    <w:rsid w:val="002B6787"/>
    <w:rsid w:val="002B754D"/>
    <w:rsid w:val="002C4F02"/>
    <w:rsid w:val="002E1B09"/>
    <w:rsid w:val="002E44E3"/>
    <w:rsid w:val="002E7DDB"/>
    <w:rsid w:val="002F3CF2"/>
    <w:rsid w:val="002F42FC"/>
    <w:rsid w:val="00304AA1"/>
    <w:rsid w:val="00306C33"/>
    <w:rsid w:val="00320678"/>
    <w:rsid w:val="00321DB1"/>
    <w:rsid w:val="00330A67"/>
    <w:rsid w:val="00334F62"/>
    <w:rsid w:val="003364EB"/>
    <w:rsid w:val="003366D5"/>
    <w:rsid w:val="00344C34"/>
    <w:rsid w:val="00351E1B"/>
    <w:rsid w:val="00354574"/>
    <w:rsid w:val="00360F5F"/>
    <w:rsid w:val="0036124A"/>
    <w:rsid w:val="00364636"/>
    <w:rsid w:val="00365459"/>
    <w:rsid w:val="0036754C"/>
    <w:rsid w:val="0037179A"/>
    <w:rsid w:val="00381B05"/>
    <w:rsid w:val="00386626"/>
    <w:rsid w:val="00390929"/>
    <w:rsid w:val="00397FFE"/>
    <w:rsid w:val="003A0B9C"/>
    <w:rsid w:val="003A0E5A"/>
    <w:rsid w:val="003A3F15"/>
    <w:rsid w:val="003A7581"/>
    <w:rsid w:val="003B4D40"/>
    <w:rsid w:val="003B5D19"/>
    <w:rsid w:val="003B610B"/>
    <w:rsid w:val="003C47E8"/>
    <w:rsid w:val="003E2B14"/>
    <w:rsid w:val="003E3DBA"/>
    <w:rsid w:val="003F01A7"/>
    <w:rsid w:val="004047B1"/>
    <w:rsid w:val="00407C2F"/>
    <w:rsid w:val="00411425"/>
    <w:rsid w:val="00412E46"/>
    <w:rsid w:val="00413BA5"/>
    <w:rsid w:val="004242EA"/>
    <w:rsid w:val="00426277"/>
    <w:rsid w:val="004262B3"/>
    <w:rsid w:val="00431130"/>
    <w:rsid w:val="00431760"/>
    <w:rsid w:val="00442254"/>
    <w:rsid w:val="00446B02"/>
    <w:rsid w:val="00447316"/>
    <w:rsid w:val="0045300F"/>
    <w:rsid w:val="00454158"/>
    <w:rsid w:val="00454723"/>
    <w:rsid w:val="00456657"/>
    <w:rsid w:val="00457FA9"/>
    <w:rsid w:val="00460140"/>
    <w:rsid w:val="0046238B"/>
    <w:rsid w:val="00491F39"/>
    <w:rsid w:val="0049575D"/>
    <w:rsid w:val="004A5318"/>
    <w:rsid w:val="004A741E"/>
    <w:rsid w:val="004B1ADE"/>
    <w:rsid w:val="004B570B"/>
    <w:rsid w:val="004B652A"/>
    <w:rsid w:val="004B7858"/>
    <w:rsid w:val="004C30D2"/>
    <w:rsid w:val="004D0BE0"/>
    <w:rsid w:val="004D14F0"/>
    <w:rsid w:val="004D2DBA"/>
    <w:rsid w:val="004D43C1"/>
    <w:rsid w:val="004D4927"/>
    <w:rsid w:val="004D4A68"/>
    <w:rsid w:val="004E429F"/>
    <w:rsid w:val="004F03B3"/>
    <w:rsid w:val="004F25E0"/>
    <w:rsid w:val="004F37CB"/>
    <w:rsid w:val="004F45CA"/>
    <w:rsid w:val="00504F92"/>
    <w:rsid w:val="005070DC"/>
    <w:rsid w:val="005078B3"/>
    <w:rsid w:val="00521B57"/>
    <w:rsid w:val="00522DE9"/>
    <w:rsid w:val="00523FBA"/>
    <w:rsid w:val="00524079"/>
    <w:rsid w:val="005255C0"/>
    <w:rsid w:val="0053179C"/>
    <w:rsid w:val="005328F4"/>
    <w:rsid w:val="005534BD"/>
    <w:rsid w:val="005629AA"/>
    <w:rsid w:val="00564A3A"/>
    <w:rsid w:val="005674EF"/>
    <w:rsid w:val="00570C2E"/>
    <w:rsid w:val="00575B99"/>
    <w:rsid w:val="00575D4F"/>
    <w:rsid w:val="00575F27"/>
    <w:rsid w:val="0058036C"/>
    <w:rsid w:val="00585BD9"/>
    <w:rsid w:val="00585D15"/>
    <w:rsid w:val="005A1839"/>
    <w:rsid w:val="005A3759"/>
    <w:rsid w:val="005B68AC"/>
    <w:rsid w:val="005C1AA9"/>
    <w:rsid w:val="005C373B"/>
    <w:rsid w:val="005C4AAA"/>
    <w:rsid w:val="005C617C"/>
    <w:rsid w:val="005D1442"/>
    <w:rsid w:val="005D4D2F"/>
    <w:rsid w:val="005F064D"/>
    <w:rsid w:val="005F5A21"/>
    <w:rsid w:val="00600458"/>
    <w:rsid w:val="00603824"/>
    <w:rsid w:val="00620850"/>
    <w:rsid w:val="00624D32"/>
    <w:rsid w:val="006273ED"/>
    <w:rsid w:val="0064750C"/>
    <w:rsid w:val="00652DF3"/>
    <w:rsid w:val="006621E9"/>
    <w:rsid w:val="00664944"/>
    <w:rsid w:val="00664C73"/>
    <w:rsid w:val="00681A59"/>
    <w:rsid w:val="006856E2"/>
    <w:rsid w:val="006920D0"/>
    <w:rsid w:val="00695397"/>
    <w:rsid w:val="0069562F"/>
    <w:rsid w:val="006B2FA8"/>
    <w:rsid w:val="006B3E08"/>
    <w:rsid w:val="006C4536"/>
    <w:rsid w:val="006C51E2"/>
    <w:rsid w:val="006C71BB"/>
    <w:rsid w:val="006D1276"/>
    <w:rsid w:val="006E04DB"/>
    <w:rsid w:val="006E117B"/>
    <w:rsid w:val="006E49E8"/>
    <w:rsid w:val="006E670A"/>
    <w:rsid w:val="006E6833"/>
    <w:rsid w:val="006F27FC"/>
    <w:rsid w:val="006F3153"/>
    <w:rsid w:val="006F4F6D"/>
    <w:rsid w:val="006F64E8"/>
    <w:rsid w:val="00705262"/>
    <w:rsid w:val="00705CA5"/>
    <w:rsid w:val="00716D0A"/>
    <w:rsid w:val="00721D54"/>
    <w:rsid w:val="00721ECF"/>
    <w:rsid w:val="00725BEA"/>
    <w:rsid w:val="007306D1"/>
    <w:rsid w:val="00742CE1"/>
    <w:rsid w:val="0074372C"/>
    <w:rsid w:val="0074420E"/>
    <w:rsid w:val="00744C7C"/>
    <w:rsid w:val="00746E15"/>
    <w:rsid w:val="00747C4D"/>
    <w:rsid w:val="0075585E"/>
    <w:rsid w:val="0078470A"/>
    <w:rsid w:val="00786751"/>
    <w:rsid w:val="00787AF1"/>
    <w:rsid w:val="007A459F"/>
    <w:rsid w:val="007B1039"/>
    <w:rsid w:val="007B5B13"/>
    <w:rsid w:val="007C60BB"/>
    <w:rsid w:val="007D5B1C"/>
    <w:rsid w:val="007E0ADA"/>
    <w:rsid w:val="007E5866"/>
    <w:rsid w:val="007F3225"/>
    <w:rsid w:val="00804065"/>
    <w:rsid w:val="008317F0"/>
    <w:rsid w:val="00840A53"/>
    <w:rsid w:val="008427B3"/>
    <w:rsid w:val="0085047D"/>
    <w:rsid w:val="008524EA"/>
    <w:rsid w:val="00856434"/>
    <w:rsid w:val="008574F6"/>
    <w:rsid w:val="00857642"/>
    <w:rsid w:val="00857F8E"/>
    <w:rsid w:val="0086268A"/>
    <w:rsid w:val="00864B15"/>
    <w:rsid w:val="00865C18"/>
    <w:rsid w:val="0086621E"/>
    <w:rsid w:val="00871CAF"/>
    <w:rsid w:val="00882CB8"/>
    <w:rsid w:val="00884650"/>
    <w:rsid w:val="00890848"/>
    <w:rsid w:val="00893901"/>
    <w:rsid w:val="008A2445"/>
    <w:rsid w:val="008A41C8"/>
    <w:rsid w:val="008B10E0"/>
    <w:rsid w:val="008B19B1"/>
    <w:rsid w:val="008B2982"/>
    <w:rsid w:val="008C03AD"/>
    <w:rsid w:val="008C1485"/>
    <w:rsid w:val="008C7D99"/>
    <w:rsid w:val="008D2DBA"/>
    <w:rsid w:val="008D638B"/>
    <w:rsid w:val="008E19D7"/>
    <w:rsid w:val="008E6FB7"/>
    <w:rsid w:val="008E7FE5"/>
    <w:rsid w:val="008F57CC"/>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1351"/>
    <w:rsid w:val="009414CD"/>
    <w:rsid w:val="0094355C"/>
    <w:rsid w:val="00944730"/>
    <w:rsid w:val="009471B5"/>
    <w:rsid w:val="00952928"/>
    <w:rsid w:val="00953CFD"/>
    <w:rsid w:val="009669E3"/>
    <w:rsid w:val="009671DB"/>
    <w:rsid w:val="00967502"/>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018B"/>
    <w:rsid w:val="00A03F53"/>
    <w:rsid w:val="00A07D8F"/>
    <w:rsid w:val="00A13C95"/>
    <w:rsid w:val="00A20540"/>
    <w:rsid w:val="00A249F6"/>
    <w:rsid w:val="00A35AFD"/>
    <w:rsid w:val="00A40731"/>
    <w:rsid w:val="00A448EF"/>
    <w:rsid w:val="00A44D73"/>
    <w:rsid w:val="00A477C8"/>
    <w:rsid w:val="00A52A4E"/>
    <w:rsid w:val="00A5343C"/>
    <w:rsid w:val="00A71DFC"/>
    <w:rsid w:val="00A7538D"/>
    <w:rsid w:val="00A8008F"/>
    <w:rsid w:val="00A80E74"/>
    <w:rsid w:val="00A851A4"/>
    <w:rsid w:val="00A85409"/>
    <w:rsid w:val="00A86BD8"/>
    <w:rsid w:val="00A87277"/>
    <w:rsid w:val="00A87EDF"/>
    <w:rsid w:val="00A969D9"/>
    <w:rsid w:val="00AA0379"/>
    <w:rsid w:val="00AA1496"/>
    <w:rsid w:val="00AA3D06"/>
    <w:rsid w:val="00AA4899"/>
    <w:rsid w:val="00AA639F"/>
    <w:rsid w:val="00AC0D42"/>
    <w:rsid w:val="00AC7DAD"/>
    <w:rsid w:val="00AD344D"/>
    <w:rsid w:val="00AD5E7B"/>
    <w:rsid w:val="00AE0D14"/>
    <w:rsid w:val="00AE31FF"/>
    <w:rsid w:val="00AE7E8A"/>
    <w:rsid w:val="00AF32D8"/>
    <w:rsid w:val="00AF3E14"/>
    <w:rsid w:val="00AF4C64"/>
    <w:rsid w:val="00B01BE5"/>
    <w:rsid w:val="00B06DDF"/>
    <w:rsid w:val="00B079A5"/>
    <w:rsid w:val="00B13742"/>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1F4A"/>
    <w:rsid w:val="00C3343C"/>
    <w:rsid w:val="00C36C29"/>
    <w:rsid w:val="00C45931"/>
    <w:rsid w:val="00C61D15"/>
    <w:rsid w:val="00C65047"/>
    <w:rsid w:val="00C833D6"/>
    <w:rsid w:val="00C87FA3"/>
    <w:rsid w:val="00C95318"/>
    <w:rsid w:val="00C95A99"/>
    <w:rsid w:val="00C96F6B"/>
    <w:rsid w:val="00CA27F9"/>
    <w:rsid w:val="00CA30B5"/>
    <w:rsid w:val="00CA42D7"/>
    <w:rsid w:val="00CC1659"/>
    <w:rsid w:val="00CC30C3"/>
    <w:rsid w:val="00CE047D"/>
    <w:rsid w:val="00CE721E"/>
    <w:rsid w:val="00CE7731"/>
    <w:rsid w:val="00CF6A79"/>
    <w:rsid w:val="00CF7CCE"/>
    <w:rsid w:val="00D02D5A"/>
    <w:rsid w:val="00D04D57"/>
    <w:rsid w:val="00D06F2D"/>
    <w:rsid w:val="00D13B2D"/>
    <w:rsid w:val="00D16E7D"/>
    <w:rsid w:val="00D17731"/>
    <w:rsid w:val="00D21DFB"/>
    <w:rsid w:val="00D23D53"/>
    <w:rsid w:val="00D23DD0"/>
    <w:rsid w:val="00D33231"/>
    <w:rsid w:val="00D36240"/>
    <w:rsid w:val="00D36DB7"/>
    <w:rsid w:val="00D40E5E"/>
    <w:rsid w:val="00D4152F"/>
    <w:rsid w:val="00D43F6F"/>
    <w:rsid w:val="00D52214"/>
    <w:rsid w:val="00D55A88"/>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2993"/>
    <w:rsid w:val="00DE4037"/>
    <w:rsid w:val="00DF0F5C"/>
    <w:rsid w:val="00DF3015"/>
    <w:rsid w:val="00DF63EB"/>
    <w:rsid w:val="00E04EFF"/>
    <w:rsid w:val="00E101A9"/>
    <w:rsid w:val="00E13468"/>
    <w:rsid w:val="00E257AB"/>
    <w:rsid w:val="00E3212A"/>
    <w:rsid w:val="00E333C7"/>
    <w:rsid w:val="00E41293"/>
    <w:rsid w:val="00E43188"/>
    <w:rsid w:val="00E44479"/>
    <w:rsid w:val="00E475F0"/>
    <w:rsid w:val="00E50CA8"/>
    <w:rsid w:val="00E553E9"/>
    <w:rsid w:val="00E62177"/>
    <w:rsid w:val="00E6494D"/>
    <w:rsid w:val="00E703C3"/>
    <w:rsid w:val="00E74140"/>
    <w:rsid w:val="00E80333"/>
    <w:rsid w:val="00E8107B"/>
    <w:rsid w:val="00E84715"/>
    <w:rsid w:val="00E9310C"/>
    <w:rsid w:val="00E93742"/>
    <w:rsid w:val="00E9501F"/>
    <w:rsid w:val="00E9676A"/>
    <w:rsid w:val="00E96920"/>
    <w:rsid w:val="00EB7A35"/>
    <w:rsid w:val="00EC05B4"/>
    <w:rsid w:val="00EC074E"/>
    <w:rsid w:val="00EC33EA"/>
    <w:rsid w:val="00ED2F8A"/>
    <w:rsid w:val="00ED3C68"/>
    <w:rsid w:val="00ED3EC8"/>
    <w:rsid w:val="00ED7543"/>
    <w:rsid w:val="00EE1EE5"/>
    <w:rsid w:val="00EF7235"/>
    <w:rsid w:val="00F04C8C"/>
    <w:rsid w:val="00F054DA"/>
    <w:rsid w:val="00F0682D"/>
    <w:rsid w:val="00F07BCF"/>
    <w:rsid w:val="00F16FAB"/>
    <w:rsid w:val="00F3043D"/>
    <w:rsid w:val="00F31625"/>
    <w:rsid w:val="00F36E39"/>
    <w:rsid w:val="00F5046F"/>
    <w:rsid w:val="00F5088C"/>
    <w:rsid w:val="00F510AC"/>
    <w:rsid w:val="00F561B9"/>
    <w:rsid w:val="00F62D04"/>
    <w:rsid w:val="00F70887"/>
    <w:rsid w:val="00F867CD"/>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993"/>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67502"/>
    <w:rPr>
      <w:sz w:val="20"/>
      <w:szCs w:val="20"/>
    </w:rPr>
  </w:style>
  <w:style w:type="character" w:customStyle="1" w:styleId="FootnoteTextChar">
    <w:name w:val="Footnote Text Char"/>
    <w:basedOn w:val="DefaultParagraphFont"/>
    <w:link w:val="FootnoteText"/>
    <w:uiPriority w:val="99"/>
    <w:semiHidden/>
    <w:rsid w:val="00967502"/>
    <w:rPr>
      <w:rFonts w:eastAsia="Times New Roman"/>
    </w:rPr>
  </w:style>
  <w:style w:type="character" w:styleId="FootnoteReference">
    <w:name w:val="footnote reference"/>
    <w:basedOn w:val="DefaultParagraphFont"/>
    <w:uiPriority w:val="99"/>
    <w:semiHidden/>
    <w:unhideWhenUsed/>
    <w:rsid w:val="00967502"/>
    <w:rPr>
      <w:vertAlign w:val="superscript"/>
    </w:rPr>
  </w:style>
  <w:style w:type="paragraph" w:styleId="Header">
    <w:name w:val="header"/>
    <w:basedOn w:val="Normal"/>
    <w:link w:val="HeaderChar"/>
    <w:uiPriority w:val="99"/>
    <w:unhideWhenUsed/>
    <w:rsid w:val="00681A59"/>
    <w:pPr>
      <w:tabs>
        <w:tab w:val="center" w:pos="4680"/>
        <w:tab w:val="right" w:pos="9360"/>
      </w:tabs>
    </w:pPr>
  </w:style>
  <w:style w:type="character" w:customStyle="1" w:styleId="HeaderChar">
    <w:name w:val="Header Char"/>
    <w:basedOn w:val="DefaultParagraphFont"/>
    <w:link w:val="Header"/>
    <w:uiPriority w:val="99"/>
    <w:rsid w:val="00681A59"/>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993"/>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67502"/>
    <w:rPr>
      <w:sz w:val="20"/>
      <w:szCs w:val="20"/>
    </w:rPr>
  </w:style>
  <w:style w:type="character" w:customStyle="1" w:styleId="FootnoteTextChar">
    <w:name w:val="Footnote Text Char"/>
    <w:basedOn w:val="DefaultParagraphFont"/>
    <w:link w:val="FootnoteText"/>
    <w:uiPriority w:val="99"/>
    <w:semiHidden/>
    <w:rsid w:val="00967502"/>
    <w:rPr>
      <w:rFonts w:eastAsia="Times New Roman"/>
    </w:rPr>
  </w:style>
  <w:style w:type="character" w:styleId="FootnoteReference">
    <w:name w:val="footnote reference"/>
    <w:basedOn w:val="DefaultParagraphFont"/>
    <w:uiPriority w:val="99"/>
    <w:semiHidden/>
    <w:unhideWhenUsed/>
    <w:rsid w:val="00967502"/>
    <w:rPr>
      <w:vertAlign w:val="superscript"/>
    </w:rPr>
  </w:style>
  <w:style w:type="paragraph" w:styleId="Header">
    <w:name w:val="header"/>
    <w:basedOn w:val="Normal"/>
    <w:link w:val="HeaderChar"/>
    <w:uiPriority w:val="99"/>
    <w:unhideWhenUsed/>
    <w:rsid w:val="00681A59"/>
    <w:pPr>
      <w:tabs>
        <w:tab w:val="center" w:pos="4680"/>
        <w:tab w:val="right" w:pos="9360"/>
      </w:tabs>
    </w:pPr>
  </w:style>
  <w:style w:type="character" w:customStyle="1" w:styleId="HeaderChar">
    <w:name w:val="Header Char"/>
    <w:basedOn w:val="DefaultParagraphFont"/>
    <w:link w:val="Header"/>
    <w:uiPriority w:val="99"/>
    <w:rsid w:val="00681A59"/>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5A617-A6BF-4297-B40A-5FD2B7F7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2014-06-11T20:03:00Z</cp:lastPrinted>
  <dcterms:created xsi:type="dcterms:W3CDTF">2014-06-18T16:54:00Z</dcterms:created>
  <dcterms:modified xsi:type="dcterms:W3CDTF">2014-06-18T16:59:00Z</dcterms:modified>
</cp:coreProperties>
</file>