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9C47BC" w:rsidRDefault="00631709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C-2014-2402746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B62B94" w:rsidP="00B62B94">
      <w:r>
        <w:lastRenderedPageBreak/>
        <w:tab/>
      </w:r>
    </w:p>
    <w:p w:rsidR="00B62B94" w:rsidRPr="00D12C93" w:rsidRDefault="00EB477A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t>June 19, 2014</w:t>
      </w: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301571" w:rsidRDefault="00301571" w:rsidP="000D5F21">
      <w:pPr>
        <w:ind w:left="720" w:right="576" w:hanging="720"/>
        <w:rPr>
          <w:sz w:val="26"/>
          <w:szCs w:val="26"/>
        </w:rPr>
      </w:pPr>
    </w:p>
    <w:p w:rsidR="00EF5B45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1423D2">
        <w:rPr>
          <w:b/>
          <w:sz w:val="26"/>
          <w:szCs w:val="26"/>
        </w:rPr>
        <w:t xml:space="preserve">Pennsylvania Public Utility Commission, </w:t>
      </w:r>
      <w:r w:rsidR="0036326A">
        <w:rPr>
          <w:b/>
          <w:sz w:val="26"/>
          <w:szCs w:val="26"/>
        </w:rPr>
        <w:t xml:space="preserve">Bureau of Investigation and Enforcement </w:t>
      </w:r>
      <w:r w:rsidR="001423D2">
        <w:rPr>
          <w:b/>
          <w:sz w:val="26"/>
          <w:szCs w:val="26"/>
        </w:rPr>
        <w:t xml:space="preserve">v. </w:t>
      </w:r>
      <w:r w:rsidR="00EF5B45">
        <w:rPr>
          <w:b/>
          <w:sz w:val="26"/>
          <w:szCs w:val="26"/>
        </w:rPr>
        <w:t>Snyder Brothers, Inc.</w:t>
      </w:r>
      <w:r w:rsidR="0036326A">
        <w:rPr>
          <w:b/>
          <w:sz w:val="26"/>
          <w:szCs w:val="26"/>
        </w:rPr>
        <w:t xml:space="preserve"> </w:t>
      </w:r>
    </w:p>
    <w:p w:rsidR="001423D2" w:rsidRDefault="00EF5B45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36326A">
        <w:rPr>
          <w:b/>
          <w:sz w:val="26"/>
          <w:szCs w:val="26"/>
        </w:rPr>
        <w:t>Docket No</w:t>
      </w:r>
      <w:r w:rsidR="0030157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C-2014-2402746</w:t>
      </w:r>
    </w:p>
    <w:p w:rsidR="00723FC0" w:rsidRDefault="00723FC0" w:rsidP="00723FC0">
      <w:pPr>
        <w:ind w:left="720" w:right="576"/>
        <w:rPr>
          <w:b/>
          <w:sz w:val="26"/>
          <w:szCs w:val="26"/>
        </w:rPr>
      </w:pPr>
      <w:r>
        <w:rPr>
          <w:b/>
          <w:sz w:val="26"/>
          <w:szCs w:val="26"/>
        </w:rPr>
        <w:t>Petition for Interlocutory Review and Answer to a Material Question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36326A">
        <w:rPr>
          <w:sz w:val="26"/>
          <w:szCs w:val="26"/>
        </w:rPr>
        <w:t>June 4, 2014</w:t>
      </w:r>
      <w:r w:rsidR="002C6997">
        <w:rPr>
          <w:sz w:val="26"/>
          <w:szCs w:val="26"/>
        </w:rPr>
        <w:t xml:space="preserve">, </w:t>
      </w:r>
      <w:r w:rsidR="0036326A">
        <w:rPr>
          <w:sz w:val="26"/>
          <w:szCs w:val="26"/>
        </w:rPr>
        <w:t xml:space="preserve">the Pennsylvania Public Utility Commission, Bureau of Investigation and Enforcement </w:t>
      </w:r>
      <w:r>
        <w:rPr>
          <w:sz w:val="26"/>
          <w:szCs w:val="26"/>
        </w:rPr>
        <w:t>filed a Petition for Inter</w:t>
      </w:r>
      <w:r w:rsidR="002C6997">
        <w:rPr>
          <w:sz w:val="26"/>
          <w:szCs w:val="26"/>
        </w:rPr>
        <w:t xml:space="preserve">locutory Review and Answer to </w:t>
      </w:r>
      <w:r w:rsidR="0036326A">
        <w:rPr>
          <w:sz w:val="26"/>
          <w:szCs w:val="26"/>
        </w:rPr>
        <w:t xml:space="preserve">a </w:t>
      </w:r>
      <w:r>
        <w:rPr>
          <w:sz w:val="26"/>
          <w:szCs w:val="26"/>
        </w:rPr>
        <w:t>Material Question in the above-captioned proceeding.</w:t>
      </w:r>
      <w:r w:rsidR="00FD0FED">
        <w:rPr>
          <w:sz w:val="26"/>
          <w:szCs w:val="26"/>
        </w:rPr>
        <w:t xml:space="preserve">  On June </w:t>
      </w:r>
      <w:r w:rsidR="00AD4EEE">
        <w:rPr>
          <w:sz w:val="26"/>
          <w:szCs w:val="26"/>
        </w:rPr>
        <w:t>9, Snyder Brothers, Inc</w:t>
      </w:r>
      <w:proofErr w:type="gramStart"/>
      <w:r w:rsidR="00AD4EEE">
        <w:rPr>
          <w:sz w:val="26"/>
          <w:szCs w:val="26"/>
        </w:rPr>
        <w:t>.,</w:t>
      </w:r>
      <w:proofErr w:type="gramEnd"/>
      <w:r w:rsidR="00AD4EEE">
        <w:rPr>
          <w:sz w:val="26"/>
          <w:szCs w:val="26"/>
        </w:rPr>
        <w:t xml:space="preserve"> filed an Answer to the Petition.  </w:t>
      </w:r>
      <w:r w:rsidR="00E95520">
        <w:rPr>
          <w:sz w:val="26"/>
          <w:szCs w:val="26"/>
        </w:rPr>
        <w:t xml:space="preserve">Briefs were due on or before June 17, 2014.  </w:t>
      </w:r>
      <w:r w:rsidR="00AD4EEE">
        <w:rPr>
          <w:sz w:val="26"/>
          <w:szCs w:val="26"/>
        </w:rPr>
        <w:t>On June 13, the Pennsylvania I</w:t>
      </w:r>
      <w:r w:rsidR="002D010B">
        <w:rPr>
          <w:sz w:val="26"/>
          <w:szCs w:val="26"/>
        </w:rPr>
        <w:t>ndependent</w:t>
      </w:r>
      <w:r w:rsidR="00AD4EEE">
        <w:rPr>
          <w:sz w:val="26"/>
          <w:szCs w:val="26"/>
        </w:rPr>
        <w:t xml:space="preserve"> Oil and Gas Assoc</w:t>
      </w:r>
      <w:r w:rsidR="002D010B">
        <w:rPr>
          <w:sz w:val="26"/>
          <w:szCs w:val="26"/>
        </w:rPr>
        <w:t>i</w:t>
      </w:r>
      <w:r w:rsidR="00AD4EEE">
        <w:rPr>
          <w:sz w:val="26"/>
          <w:szCs w:val="26"/>
        </w:rPr>
        <w:t>ation filed a brief.</w:t>
      </w:r>
      <w:r w:rsidR="00E95520">
        <w:rPr>
          <w:sz w:val="26"/>
          <w:szCs w:val="26"/>
        </w:rPr>
        <w:t xml:space="preserve">  </w:t>
      </w:r>
    </w:p>
    <w:p w:rsidR="00AD4EEE" w:rsidRDefault="00AD4EEE" w:rsidP="00B62B94">
      <w:pPr>
        <w:ind w:firstLine="1440"/>
        <w:rPr>
          <w:sz w:val="26"/>
          <w:szCs w:val="26"/>
        </w:rPr>
      </w:pPr>
    </w:p>
    <w:p w:rsidR="00B62B94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</w:t>
      </w:r>
      <w:r w:rsidR="008A5C88">
        <w:rPr>
          <w:sz w:val="26"/>
          <w:szCs w:val="26"/>
        </w:rPr>
        <w:t xml:space="preserve">matters raised in the </w:t>
      </w:r>
      <w:r>
        <w:rPr>
          <w:sz w:val="26"/>
          <w:szCs w:val="26"/>
        </w:rPr>
        <w:t xml:space="preserve">Petition will be addressed </w:t>
      </w:r>
      <w:r w:rsidR="008A5C88">
        <w:rPr>
          <w:sz w:val="26"/>
          <w:szCs w:val="26"/>
        </w:rPr>
        <w:t xml:space="preserve">in the future.  </w:t>
      </w:r>
      <w:r>
        <w:rPr>
          <w:sz w:val="26"/>
          <w:szCs w:val="26"/>
        </w:rPr>
        <w:t xml:space="preserve"> </w:t>
      </w:r>
    </w:p>
    <w:p w:rsidR="006F3E97" w:rsidRDefault="00EB477A" w:rsidP="00B62B94">
      <w:pPr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8CE9BB" wp14:editId="20EF6A07">
            <wp:simplePos x="0" y="0"/>
            <wp:positionH relativeFrom="column">
              <wp:posOffset>3397250</wp:posOffset>
            </wp:positionH>
            <wp:positionV relativeFrom="paragraph">
              <wp:posOffset>139065</wp:posOffset>
            </wp:positionV>
            <wp:extent cx="2200275" cy="838200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</w:p>
    <w:p w:rsidR="00B62B94" w:rsidRPr="00D12C93" w:rsidRDefault="00B62B94" w:rsidP="00E46D6D">
      <w:pPr>
        <w:ind w:firstLine="576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423D2"/>
    <w:rsid w:val="00181AC7"/>
    <w:rsid w:val="00185D09"/>
    <w:rsid w:val="001907B1"/>
    <w:rsid w:val="0019345D"/>
    <w:rsid w:val="001C46D9"/>
    <w:rsid w:val="001C702D"/>
    <w:rsid w:val="00204AD0"/>
    <w:rsid w:val="00232901"/>
    <w:rsid w:val="0025560C"/>
    <w:rsid w:val="002920AD"/>
    <w:rsid w:val="00296BB6"/>
    <w:rsid w:val="002B44F3"/>
    <w:rsid w:val="002C6997"/>
    <w:rsid w:val="002D010B"/>
    <w:rsid w:val="00301571"/>
    <w:rsid w:val="00320FE4"/>
    <w:rsid w:val="0034202A"/>
    <w:rsid w:val="00354A97"/>
    <w:rsid w:val="003606EB"/>
    <w:rsid w:val="0036326A"/>
    <w:rsid w:val="00366356"/>
    <w:rsid w:val="003851F7"/>
    <w:rsid w:val="00395BA6"/>
    <w:rsid w:val="003F4A94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31709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23FC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A5C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47BC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AD4EEE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61CBA"/>
    <w:rsid w:val="00D672BA"/>
    <w:rsid w:val="00DB5FC3"/>
    <w:rsid w:val="00DC09CB"/>
    <w:rsid w:val="00DD023D"/>
    <w:rsid w:val="00DE14A0"/>
    <w:rsid w:val="00DF0025"/>
    <w:rsid w:val="00E146DC"/>
    <w:rsid w:val="00E46D6D"/>
    <w:rsid w:val="00E53130"/>
    <w:rsid w:val="00E77239"/>
    <w:rsid w:val="00E80A1A"/>
    <w:rsid w:val="00E95520"/>
    <w:rsid w:val="00E963BE"/>
    <w:rsid w:val="00EA73F7"/>
    <w:rsid w:val="00EB477A"/>
    <w:rsid w:val="00EF5B45"/>
    <w:rsid w:val="00F2058A"/>
    <w:rsid w:val="00F212F8"/>
    <w:rsid w:val="00FD0FED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590C-F3D7-451B-97A3-9F1750B2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Hinds, Margaret</cp:lastModifiedBy>
  <cp:revision>7</cp:revision>
  <cp:lastPrinted>2014-06-19T13:33:00Z</cp:lastPrinted>
  <dcterms:created xsi:type="dcterms:W3CDTF">2014-06-16T19:07:00Z</dcterms:created>
  <dcterms:modified xsi:type="dcterms:W3CDTF">2014-06-19T13:33:00Z</dcterms:modified>
</cp:coreProperties>
</file>