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D65D31" w:rsidRPr="00D65D31" w:rsidRDefault="00D65D31" w:rsidP="00D65D31">
      <w:pPr>
        <w:widowControl w:val="0"/>
        <w:adjustRightInd w:val="0"/>
        <w:rPr>
          <w:bCs/>
          <w:color w:val="000000"/>
        </w:rPr>
      </w:pPr>
      <w:r w:rsidRPr="00D65D31">
        <w:rPr>
          <w:bCs/>
          <w:color w:val="000000"/>
        </w:rPr>
        <w:t>Insurance Company of Greater New York</w:t>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t>C-2013-2393832</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proofErr w:type="gramStart"/>
      <w:r w:rsidRPr="00D65D31">
        <w:rPr>
          <w:bCs/>
          <w:color w:val="000000"/>
        </w:rPr>
        <w:t>United Water Pennsylvania Inc.</w:t>
      </w:r>
      <w:proofErr w:type="gramEnd"/>
      <w:r w:rsidRPr="00D65D31">
        <w:rPr>
          <w:bCs/>
          <w:color w:val="000000"/>
        </w:rPr>
        <w:tab/>
      </w:r>
      <w:r w:rsidRPr="00D65D31">
        <w:rPr>
          <w:bCs/>
          <w:color w:val="000000"/>
        </w:rPr>
        <w:tab/>
      </w:r>
      <w:r w:rsidRPr="00D65D31">
        <w:rPr>
          <w:bCs/>
          <w:color w:val="000000"/>
        </w:rPr>
        <w:tab/>
        <w:t>:</w:t>
      </w:r>
    </w:p>
    <w:p w:rsidR="00D65D31" w:rsidRPr="00D65D31" w:rsidRDefault="00D65D31" w:rsidP="00D65D31">
      <w:pPr>
        <w:tabs>
          <w:tab w:val="left" w:pos="-720"/>
        </w:tabs>
        <w:suppressAutoHyphens/>
        <w:jc w:val="both"/>
        <w:rPr>
          <w:spacing w:val="-3"/>
        </w:rPr>
      </w:pPr>
    </w:p>
    <w:p w:rsidR="00D65D31" w:rsidRPr="00D65D31" w:rsidRDefault="00D65D31" w:rsidP="00D65D31">
      <w:pPr>
        <w:tabs>
          <w:tab w:val="left" w:pos="-720"/>
          <w:tab w:val="left" w:pos="5040"/>
        </w:tabs>
        <w:suppressAutoHyphens/>
        <w:jc w:val="both"/>
        <w:rPr>
          <w:spacing w:val="-3"/>
        </w:rPr>
      </w:pPr>
    </w:p>
    <w:p w:rsidR="00D65D31" w:rsidRPr="00D65D31" w:rsidRDefault="00D65D31" w:rsidP="00D65D31">
      <w:pPr>
        <w:widowControl w:val="0"/>
        <w:adjustRightInd w:val="0"/>
        <w:rPr>
          <w:bCs/>
          <w:color w:val="000000"/>
        </w:rPr>
      </w:pPr>
      <w:r w:rsidRPr="00D65D31">
        <w:rPr>
          <w:bCs/>
          <w:color w:val="000000"/>
        </w:rPr>
        <w:t>State Farm Fire and Casualty Company</w:t>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t>C-2014-2416206</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 xml:space="preserve">: </w:t>
      </w:r>
    </w:p>
    <w:p w:rsidR="00D65D31" w:rsidRPr="00D65D31" w:rsidRDefault="00D65D31" w:rsidP="00D65D31">
      <w:pPr>
        <w:widowControl w:val="0"/>
        <w:adjustRightInd w:val="0"/>
        <w:rPr>
          <w:bCs/>
          <w:color w:val="000000"/>
        </w:rPr>
      </w:pPr>
      <w:proofErr w:type="gramStart"/>
      <w:r w:rsidRPr="00D65D31">
        <w:rPr>
          <w:bCs/>
          <w:color w:val="000000"/>
        </w:rPr>
        <w:t>United Water Pennsylvania Inc.</w:t>
      </w:r>
      <w:proofErr w:type="gramEnd"/>
      <w:r w:rsidRPr="00D65D31">
        <w:rPr>
          <w:bCs/>
          <w:color w:val="000000"/>
        </w:rPr>
        <w:tab/>
      </w:r>
      <w:r w:rsidRPr="00D65D31">
        <w:rPr>
          <w:bCs/>
          <w:color w:val="000000"/>
        </w:rPr>
        <w:tab/>
      </w:r>
      <w:r w:rsidRPr="00D65D31">
        <w:rPr>
          <w:bCs/>
          <w:color w:val="000000"/>
        </w:rPr>
        <w:tab/>
        <w:t>:</w:t>
      </w:r>
    </w:p>
    <w:p w:rsidR="0062545F" w:rsidRPr="00550B34" w:rsidRDefault="0062545F" w:rsidP="0062545F">
      <w:pPr>
        <w:tabs>
          <w:tab w:val="left" w:pos="-720"/>
        </w:tabs>
        <w:suppressAutoHyphens/>
        <w:rPr>
          <w:spacing w:val="-3"/>
        </w:rPr>
      </w:pPr>
    </w:p>
    <w:p w:rsidR="0062545F" w:rsidRPr="00550B34" w:rsidRDefault="0062545F" w:rsidP="0062545F">
      <w:pPr>
        <w:tabs>
          <w:tab w:val="left" w:pos="-720"/>
        </w:tabs>
        <w:suppressAutoHyphens/>
        <w:rPr>
          <w:spacing w:val="-3"/>
        </w:rPr>
      </w:pPr>
    </w:p>
    <w:p w:rsidR="0062545F" w:rsidRDefault="0062545F" w:rsidP="0062545F">
      <w:pPr>
        <w:tabs>
          <w:tab w:val="center" w:pos="4680"/>
        </w:tabs>
        <w:suppressAutoHyphens/>
        <w:jc w:val="center"/>
        <w:rPr>
          <w:b/>
          <w:bCs/>
          <w:spacing w:val="-3"/>
          <w:u w:val="single"/>
        </w:rPr>
      </w:pPr>
      <w:r w:rsidRPr="00550B34">
        <w:rPr>
          <w:b/>
          <w:bCs/>
          <w:spacing w:val="-3"/>
          <w:u w:val="single"/>
        </w:rPr>
        <w:t>ORDER</w:t>
      </w:r>
    </w:p>
    <w:p w:rsidR="00910C3F" w:rsidRPr="00550B34" w:rsidRDefault="00910C3F" w:rsidP="0062545F">
      <w:pPr>
        <w:tabs>
          <w:tab w:val="center" w:pos="4680"/>
        </w:tabs>
        <w:suppressAutoHyphens/>
        <w:jc w:val="center"/>
        <w:rPr>
          <w:b/>
          <w:bCs/>
          <w:spacing w:val="-3"/>
          <w:u w:val="single"/>
        </w:rPr>
      </w:pPr>
      <w:r>
        <w:rPr>
          <w:b/>
          <w:bCs/>
          <w:spacing w:val="-3"/>
          <w:u w:val="single"/>
        </w:rPr>
        <w:t>GRANTING PETITION FOR PROTECTIVE ORDER</w:t>
      </w:r>
    </w:p>
    <w:p w:rsidR="0062545F" w:rsidRPr="00550B34" w:rsidRDefault="0062545F" w:rsidP="0062545F">
      <w:pPr>
        <w:tabs>
          <w:tab w:val="center" w:pos="4680"/>
        </w:tabs>
        <w:suppressAutoHyphens/>
        <w:jc w:val="center"/>
        <w:rPr>
          <w:b/>
          <w:bCs/>
          <w:spacing w:val="-3"/>
          <w:u w:val="single"/>
        </w:rPr>
      </w:pPr>
    </w:p>
    <w:p w:rsidR="0062545F" w:rsidRPr="00550B34" w:rsidRDefault="0062545F" w:rsidP="0062545F">
      <w:pPr>
        <w:tabs>
          <w:tab w:val="center" w:pos="4680"/>
        </w:tabs>
        <w:suppressAutoHyphens/>
        <w:jc w:val="center"/>
        <w:rPr>
          <w:b/>
          <w:bCs/>
          <w:spacing w:val="-3"/>
        </w:rPr>
      </w:pPr>
    </w:p>
    <w:p w:rsidR="0094648D" w:rsidRPr="0094648D" w:rsidRDefault="0094648D" w:rsidP="0094648D">
      <w:pPr>
        <w:widowControl w:val="0"/>
        <w:adjustRightInd w:val="0"/>
        <w:spacing w:line="360" w:lineRule="auto"/>
        <w:ind w:firstLine="1440"/>
        <w:rPr>
          <w:bCs/>
          <w:color w:val="000000"/>
        </w:rPr>
      </w:pPr>
      <w:r w:rsidRPr="0094648D">
        <w:rPr>
          <w:bCs/>
          <w:color w:val="000000"/>
        </w:rPr>
        <w:t xml:space="preserve">On November 18, 2013, Insurance Company of Greater New York, a/s/o Quail Run Real Estate L.P. d/b/a Quail Run Apartments (INSCO) filed with the Pennsylvania Public Utility Commission (Commission) a formal Complaint against United Water Pennsylvania Inc. (United), Docket Number C-2013-2393832.  In its Complaint, INSCO averred that on June 11, 2010, a fire began in an apartment unit that it insured and that United provided domestic water services to the apartment complex and nearby fire hydrants.  INSCO further averred, among other things, that the fire company that responded to the fire attempted to use the nearby fire hydrants to suppress the fire but that United failed to provide enough water pressure to allow for a sufficient amount of water to extinguish the fire.  INSCO added that it was directed to file the Complaint with the Commission by the Middle District of Pennsylvania which </w:t>
      </w:r>
      <w:proofErr w:type="gramStart"/>
      <w:r w:rsidRPr="0094648D">
        <w:rPr>
          <w:bCs/>
          <w:color w:val="000000"/>
        </w:rPr>
        <w:t>bifurcated</w:t>
      </w:r>
      <w:proofErr w:type="gramEnd"/>
      <w:r w:rsidRPr="0094648D">
        <w:rPr>
          <w:bCs/>
          <w:color w:val="000000"/>
        </w:rPr>
        <w:t xml:space="preserve"> a complaint pending before it for a determination regarding whether any of United’s action were a violation of the Public Utility Code.</w:t>
      </w:r>
    </w:p>
    <w:p w:rsidR="0094648D" w:rsidRPr="0094648D" w:rsidRDefault="0094648D" w:rsidP="0094648D">
      <w:pPr>
        <w:widowControl w:val="0"/>
        <w:adjustRightInd w:val="0"/>
        <w:spacing w:line="360" w:lineRule="auto"/>
        <w:ind w:firstLine="1440"/>
        <w:rPr>
          <w:bCs/>
          <w:color w:val="000000"/>
        </w:rPr>
      </w:pPr>
    </w:p>
    <w:p w:rsidR="0094648D" w:rsidRPr="0094648D" w:rsidRDefault="0094648D" w:rsidP="0094648D">
      <w:pPr>
        <w:widowControl w:val="0"/>
        <w:adjustRightInd w:val="0"/>
        <w:spacing w:line="360" w:lineRule="auto"/>
        <w:ind w:firstLine="1440"/>
        <w:rPr>
          <w:bCs/>
          <w:color w:val="000000"/>
        </w:rPr>
      </w:pPr>
      <w:r w:rsidRPr="0094648D">
        <w:rPr>
          <w:bCs/>
          <w:color w:val="000000"/>
        </w:rPr>
        <w:t xml:space="preserve">On December 12, 2013, United filed an Answer with New Matter in response to INSCO’s Complaint.  In its Answer, United admitted that it provides </w:t>
      </w:r>
      <w:r w:rsidRPr="0094648D">
        <w:rPr>
          <w:bCs/>
          <w:color w:val="000000"/>
        </w:rPr>
        <w:lastRenderedPageBreak/>
        <w:t xml:space="preserve">domestic water services to the apartment complex at issue and fire protection service to a single, privately-owned fire hydrant located in the courtyard adjacent to the apartment complex.  United further averred, among other things, that the fire hydrant was fully operational.  United also denied that it violated the Public Utility Code or failed to furnish and maintain adequate, efficient, safe and reasonable water service and facilities necessary or proper for the accommodation, convenience and safety of the public continuously and without reasonable interruptions or delay to the apartment complex during the fire on June 11, 2010.  In its New Matter, United noted that its tariff contains rules and regulations governing fire protection service and averred that United acted at all times in compliance with its tariff.  United concluded </w:t>
      </w:r>
      <w:proofErr w:type="gramStart"/>
      <w:r w:rsidRPr="0094648D">
        <w:rPr>
          <w:bCs/>
          <w:color w:val="000000"/>
        </w:rPr>
        <w:t>its</w:t>
      </w:r>
      <w:proofErr w:type="gramEnd"/>
      <w:r w:rsidRPr="0094648D">
        <w:rPr>
          <w:bCs/>
          <w:color w:val="000000"/>
        </w:rPr>
        <w:t xml:space="preserve"> Answer with New Matter by requesting that the Commission dismiss the Complaint.</w:t>
      </w:r>
    </w:p>
    <w:p w:rsidR="0094648D" w:rsidRPr="0094648D" w:rsidRDefault="0094648D" w:rsidP="0094648D">
      <w:pPr>
        <w:widowControl w:val="0"/>
        <w:adjustRightInd w:val="0"/>
        <w:spacing w:line="360" w:lineRule="auto"/>
        <w:ind w:firstLine="1440"/>
        <w:rPr>
          <w:bCs/>
          <w:color w:val="000000"/>
        </w:rPr>
      </w:pPr>
    </w:p>
    <w:p w:rsidR="0094648D" w:rsidRPr="0094648D" w:rsidRDefault="0094648D" w:rsidP="0094648D">
      <w:pPr>
        <w:widowControl w:val="0"/>
        <w:adjustRightInd w:val="0"/>
        <w:spacing w:line="360" w:lineRule="auto"/>
        <w:ind w:firstLine="1440"/>
        <w:rPr>
          <w:bCs/>
          <w:color w:val="000000"/>
        </w:rPr>
      </w:pPr>
      <w:r w:rsidRPr="0094648D">
        <w:rPr>
          <w:bCs/>
          <w:color w:val="000000"/>
        </w:rPr>
        <w:t>On January 2, 2014, INSCO filed an Answer to United’s New Matter.  INSCO denied all of the allegations United raised in its New Matter and requested that the Commission sustain its Complaint.</w:t>
      </w:r>
    </w:p>
    <w:p w:rsidR="0094648D" w:rsidRPr="0094648D" w:rsidRDefault="0094648D" w:rsidP="0094648D">
      <w:pPr>
        <w:widowControl w:val="0"/>
        <w:adjustRightInd w:val="0"/>
        <w:spacing w:line="360" w:lineRule="auto"/>
        <w:ind w:firstLine="1440"/>
        <w:rPr>
          <w:bCs/>
          <w:color w:val="000000"/>
        </w:rPr>
      </w:pPr>
    </w:p>
    <w:p w:rsidR="0094648D" w:rsidRPr="0094648D" w:rsidRDefault="0094648D" w:rsidP="0094648D">
      <w:pPr>
        <w:widowControl w:val="0"/>
        <w:adjustRightInd w:val="0"/>
        <w:spacing w:line="360" w:lineRule="auto"/>
        <w:ind w:firstLine="1440"/>
        <w:rPr>
          <w:bCs/>
          <w:color w:val="000000"/>
        </w:rPr>
      </w:pPr>
      <w:r w:rsidRPr="0094648D">
        <w:rPr>
          <w:bCs/>
          <w:color w:val="000000"/>
        </w:rPr>
        <w:t xml:space="preserve">On April 14, 2014, State Farm Fire and Casualty Company (“State Farm”) filed a formal Complaint against United, Docket Number C-2014-2416206.  In its Complaint, State Farm averred that, on June 11, 2012, it filed a complaint in the United States District Court for the Middle District of Pennsylvania against United alleging that United failed to provide enough water pressure to allow for a sufficient amount of water to extinguish a fire on June 11, 2010 at 4065 </w:t>
      </w:r>
      <w:proofErr w:type="spellStart"/>
      <w:r w:rsidRPr="0094648D">
        <w:rPr>
          <w:bCs/>
          <w:color w:val="000000"/>
        </w:rPr>
        <w:t>Rawleigh</w:t>
      </w:r>
      <w:proofErr w:type="spellEnd"/>
      <w:r w:rsidRPr="0094648D">
        <w:rPr>
          <w:bCs/>
          <w:color w:val="000000"/>
        </w:rPr>
        <w:t xml:space="preserve"> Street in Harrisburg.  State Farm further averred that the District Court entered an order </w:t>
      </w:r>
      <w:proofErr w:type="gramStart"/>
      <w:r w:rsidRPr="0094648D">
        <w:rPr>
          <w:bCs/>
          <w:color w:val="000000"/>
        </w:rPr>
        <w:t>bifurcating</w:t>
      </w:r>
      <w:proofErr w:type="gramEnd"/>
      <w:r w:rsidRPr="0094648D">
        <w:rPr>
          <w:bCs/>
          <w:color w:val="000000"/>
        </w:rPr>
        <w:t xml:space="preserve"> the complaint and transferring the matter to the Commission for a determination regarding whether any of United’s action were a violation of the Public Utility Code.</w:t>
      </w:r>
    </w:p>
    <w:p w:rsidR="0094648D" w:rsidRPr="0094648D" w:rsidRDefault="0094648D" w:rsidP="0094648D">
      <w:pPr>
        <w:widowControl w:val="0"/>
        <w:adjustRightInd w:val="0"/>
        <w:spacing w:line="360" w:lineRule="auto"/>
        <w:ind w:firstLine="1440"/>
        <w:rPr>
          <w:bCs/>
          <w:color w:val="000000"/>
        </w:rPr>
      </w:pPr>
    </w:p>
    <w:p w:rsidR="0094648D" w:rsidRPr="0094648D" w:rsidRDefault="0094648D" w:rsidP="0094648D">
      <w:pPr>
        <w:widowControl w:val="0"/>
        <w:adjustRightInd w:val="0"/>
        <w:spacing w:line="360" w:lineRule="auto"/>
        <w:ind w:firstLine="1440"/>
        <w:rPr>
          <w:bCs/>
          <w:color w:val="000000"/>
        </w:rPr>
      </w:pPr>
      <w:r w:rsidRPr="0094648D">
        <w:rPr>
          <w:bCs/>
          <w:color w:val="000000"/>
        </w:rPr>
        <w:t xml:space="preserve">On May 5, 2014, United filed an Answer with New Matter in response to State Farm’s Complaint.  In its Answer, United, among other things, admitted that it provides domestic water services to the apartment complex where the fire occurred and fire protection service to a single, privately-owned fire hydrant located adjacent to the complex.  United denied, however, that it failed to supply sufficient water pressure and </w:t>
      </w:r>
      <w:r w:rsidRPr="0094648D">
        <w:rPr>
          <w:bCs/>
          <w:color w:val="000000"/>
        </w:rPr>
        <w:lastRenderedPageBreak/>
        <w:t xml:space="preserve">volume to the complex during the fire on June 11, 2010.  United added that at all times it complied with the Public Utility Code and its tariff.  In its New Matter, United denied that it violated Section 1501 of the Public Utility Code with regard to the June 11, 2010 fire but that at all times material hereto, acted in compliance with its Tariff.  United concluded </w:t>
      </w:r>
      <w:proofErr w:type="gramStart"/>
      <w:r w:rsidRPr="0094648D">
        <w:rPr>
          <w:bCs/>
          <w:color w:val="000000"/>
        </w:rPr>
        <w:t>its</w:t>
      </w:r>
      <w:proofErr w:type="gramEnd"/>
      <w:r w:rsidRPr="0094648D">
        <w:rPr>
          <w:bCs/>
          <w:color w:val="000000"/>
        </w:rPr>
        <w:t xml:space="preserve"> Answer with New Matter by requesting that the Commission dismiss State Farm’s Complaint.</w:t>
      </w:r>
    </w:p>
    <w:p w:rsidR="0094648D" w:rsidRPr="0094648D" w:rsidRDefault="0094648D" w:rsidP="0094648D">
      <w:pPr>
        <w:widowControl w:val="0"/>
        <w:adjustRightInd w:val="0"/>
        <w:spacing w:line="360" w:lineRule="auto"/>
        <w:ind w:firstLine="1440"/>
        <w:rPr>
          <w:bCs/>
          <w:color w:val="000000"/>
        </w:rPr>
      </w:pPr>
    </w:p>
    <w:p w:rsidR="0094648D" w:rsidRPr="0094648D" w:rsidRDefault="0094648D" w:rsidP="0094648D">
      <w:pPr>
        <w:widowControl w:val="0"/>
        <w:adjustRightInd w:val="0"/>
        <w:spacing w:line="360" w:lineRule="auto"/>
        <w:ind w:firstLine="1440"/>
        <w:rPr>
          <w:bCs/>
          <w:color w:val="000000"/>
        </w:rPr>
      </w:pPr>
      <w:r w:rsidRPr="0094648D">
        <w:rPr>
          <w:bCs/>
          <w:color w:val="000000"/>
        </w:rPr>
        <w:t>On May 22, 2014, State Farm filed an Answer to United’s New Matter.  In its Answer, State Farm admitted or denied the various averments made by United in its New Matter and requested that the Commission determine the liability in this case as directed in the order issued by the District Court.</w:t>
      </w:r>
    </w:p>
    <w:p w:rsidR="0094648D" w:rsidRPr="0094648D" w:rsidRDefault="0094648D" w:rsidP="0094648D">
      <w:pPr>
        <w:widowControl w:val="0"/>
        <w:adjustRightInd w:val="0"/>
        <w:spacing w:line="360" w:lineRule="auto"/>
        <w:ind w:firstLine="1440"/>
        <w:rPr>
          <w:bCs/>
          <w:color w:val="000000"/>
        </w:rPr>
      </w:pPr>
    </w:p>
    <w:p w:rsidR="00D02279" w:rsidRPr="00B852ED" w:rsidRDefault="0094648D" w:rsidP="0094648D">
      <w:pPr>
        <w:widowControl w:val="0"/>
        <w:spacing w:line="360" w:lineRule="auto"/>
        <w:ind w:firstLine="1440"/>
        <w:rPr>
          <w:rFonts w:eastAsiaTheme="minorHAnsi"/>
          <w:bCs/>
          <w:color w:val="000000"/>
        </w:rPr>
      </w:pPr>
      <w:r w:rsidRPr="00B852ED">
        <w:rPr>
          <w:rFonts w:eastAsiaTheme="minorHAnsi"/>
          <w:bCs/>
          <w:color w:val="000000"/>
        </w:rPr>
        <w:t xml:space="preserve">Also, on May 22, 2014, United filed at both Docket Number C-2013-2393832 and C-2014-2416206 a Motion to Consolidate the Complaint filed by INSCO against United and the Complaint filed by State Farm against United.  That Motion was granted by Order </w:t>
      </w:r>
      <w:r w:rsidR="00B852ED" w:rsidRPr="00B852ED">
        <w:rPr>
          <w:rFonts w:eastAsiaTheme="minorHAnsi"/>
          <w:bCs/>
          <w:color w:val="000000"/>
        </w:rPr>
        <w:t>dated May 29, 2014.</w:t>
      </w:r>
    </w:p>
    <w:p w:rsidR="00B852ED" w:rsidRPr="00B852ED" w:rsidRDefault="00B852ED" w:rsidP="0094648D">
      <w:pPr>
        <w:widowControl w:val="0"/>
        <w:spacing w:line="360" w:lineRule="auto"/>
        <w:ind w:firstLine="1440"/>
        <w:rPr>
          <w:rFonts w:eastAsiaTheme="minorHAnsi"/>
          <w:bCs/>
          <w:color w:val="000000"/>
        </w:rPr>
      </w:pPr>
    </w:p>
    <w:p w:rsidR="00D95385" w:rsidRDefault="00D95385" w:rsidP="0094648D">
      <w:pPr>
        <w:widowControl w:val="0"/>
        <w:spacing w:line="360" w:lineRule="auto"/>
        <w:ind w:firstLine="1440"/>
        <w:rPr>
          <w:rFonts w:eastAsiaTheme="minorHAnsi"/>
          <w:bCs/>
          <w:color w:val="000000"/>
        </w:rPr>
      </w:pPr>
      <w:r>
        <w:rPr>
          <w:rFonts w:eastAsiaTheme="minorHAnsi"/>
          <w:bCs/>
          <w:color w:val="000000"/>
        </w:rPr>
        <w:t xml:space="preserve">On June 12, 2014, the Further Prehearing Conference convened as scheduled.  </w:t>
      </w:r>
      <w:r w:rsidR="00B76E4E">
        <w:rPr>
          <w:rFonts w:eastAsiaTheme="minorHAnsi"/>
          <w:bCs/>
          <w:color w:val="000000"/>
        </w:rPr>
        <w:t>Charles Thomas, III, Esquire and Thomas Niesen, Esquire appeared on behalf of United.  Gary Baily, Esquire appeared on behalf of INSCO.  No one appeared on behalf of State Farm because counsel for State Farm previously indicated that it has determined to no longer pursue its Complaint and that it would not be participating in the Further Prehearing Conference.</w:t>
      </w:r>
    </w:p>
    <w:p w:rsidR="00B76E4E" w:rsidRDefault="00B76E4E" w:rsidP="0094648D">
      <w:pPr>
        <w:widowControl w:val="0"/>
        <w:spacing w:line="360" w:lineRule="auto"/>
        <w:ind w:firstLine="1440"/>
        <w:rPr>
          <w:rFonts w:eastAsiaTheme="minorHAnsi"/>
          <w:bCs/>
          <w:color w:val="000000"/>
        </w:rPr>
      </w:pPr>
    </w:p>
    <w:p w:rsidR="00E93D93" w:rsidRDefault="00E93D93">
      <w:pPr>
        <w:spacing w:line="360" w:lineRule="auto"/>
        <w:ind w:firstLine="1440"/>
      </w:pPr>
      <w:r w:rsidRPr="00550B34">
        <w:t xml:space="preserve">During the </w:t>
      </w:r>
      <w:r w:rsidR="00130568">
        <w:t xml:space="preserve">Further </w:t>
      </w:r>
      <w:r w:rsidRPr="00550B34">
        <w:t xml:space="preserve">Prehearing Conference, various procedural matters were discussed.  </w:t>
      </w:r>
      <w:r w:rsidR="00096D6A">
        <w:t>Those procedural matters were memorialized by a Scheduling Order dated June 13, 2014.</w:t>
      </w:r>
    </w:p>
    <w:p w:rsidR="00096D6A" w:rsidRDefault="00096D6A">
      <w:pPr>
        <w:spacing w:line="360" w:lineRule="auto"/>
        <w:ind w:firstLine="1440"/>
      </w:pPr>
    </w:p>
    <w:p w:rsidR="00F320B4" w:rsidRDefault="00DF1F31">
      <w:pPr>
        <w:spacing w:line="360" w:lineRule="auto"/>
        <w:ind w:firstLine="1440"/>
      </w:pPr>
      <w:r>
        <w:t>On May 13, 2014, United filed a Petition for a Protective Order.</w:t>
      </w:r>
      <w:r w:rsidR="00F320B4">
        <w:t xml:space="preserve">  In its Petition, United averred that some of the discovery served in this proceeding seeks information about United’s water distribution system and its facilities and that disclosing </w:t>
      </w:r>
      <w:r w:rsidR="00F320B4">
        <w:lastRenderedPageBreak/>
        <w:t>this information without restriction would expose United and/or its customers to potential harm and security threats.  United further averred that, accordingly, the issuance of a Protective Order covering confidential information produced in this proceeding is appropriate and will facilitate the orderly and efficient progress of this proceeding without prejudicing the rights of the parties.</w:t>
      </w:r>
      <w:r w:rsidR="00B77BC5">
        <w:t xml:space="preserve">  </w:t>
      </w:r>
      <w:proofErr w:type="gramStart"/>
      <w:r w:rsidR="00B77BC5">
        <w:t>United attached to its Petition a proposed Protective Order for use in this proceeding.</w:t>
      </w:r>
      <w:proofErr w:type="gramEnd"/>
    </w:p>
    <w:p w:rsidR="00F320B4" w:rsidRDefault="00F320B4">
      <w:pPr>
        <w:spacing w:line="360" w:lineRule="auto"/>
        <w:ind w:firstLine="1440"/>
      </w:pPr>
    </w:p>
    <w:p w:rsidR="00096D6A" w:rsidRDefault="00F320B4">
      <w:pPr>
        <w:spacing w:line="360" w:lineRule="auto"/>
        <w:ind w:firstLine="1440"/>
      </w:pPr>
      <w:r>
        <w:t>No Answers were received in response to the Petition.</w:t>
      </w:r>
    </w:p>
    <w:p w:rsidR="00DF1F31" w:rsidRDefault="00DF1F31">
      <w:pPr>
        <w:spacing w:line="360" w:lineRule="auto"/>
        <w:ind w:firstLine="1440"/>
      </w:pPr>
    </w:p>
    <w:p w:rsidR="00B77BC5" w:rsidRPr="00FE026D" w:rsidRDefault="00B77BC5" w:rsidP="00B77BC5">
      <w:pPr>
        <w:tabs>
          <w:tab w:val="left" w:pos="-720"/>
        </w:tabs>
        <w:suppressAutoHyphens/>
        <w:spacing w:line="360" w:lineRule="auto"/>
        <w:ind w:left="90" w:firstLine="1350"/>
      </w:pPr>
      <w:r w:rsidRPr="00FE026D">
        <w:t>The Commission’s Rules of Practice and Procedure permit the Commission to issue protective orders limiting the availability of certain proprietary or c</w:t>
      </w:r>
      <w:r w:rsidR="001E3CC9">
        <w:t xml:space="preserve">onfidential information. </w:t>
      </w:r>
      <w:proofErr w:type="gramStart"/>
      <w:r w:rsidR="001E3CC9">
        <w:t xml:space="preserve">52 </w:t>
      </w:r>
      <w:proofErr w:type="spellStart"/>
      <w:r w:rsidR="001E3CC9">
        <w:t>Pa.</w:t>
      </w:r>
      <w:r w:rsidRPr="00FE026D">
        <w:t>Code</w:t>
      </w:r>
      <w:proofErr w:type="spellEnd"/>
      <w:r w:rsidRPr="00FE026D">
        <w:t xml:space="preserve"> §§</w:t>
      </w:r>
      <w:r w:rsidR="001E3CC9">
        <w:t xml:space="preserve"> </w:t>
      </w:r>
      <w:r w:rsidRPr="00FE026D">
        <w:t>5.362 and 5.423.</w:t>
      </w:r>
      <w:proofErr w:type="gramEnd"/>
      <w:r w:rsidRPr="00FE026D">
        <w:t xml:space="preserve">  The party seeking the protective order has the burden to establish that the potential harm to the party of providing the information would be substantial and the harm to the party if the information is disclosed without restriction outweighs the public’s interest in free and open access to the administrative hearing process.  </w:t>
      </w:r>
      <w:proofErr w:type="gramStart"/>
      <w:r w:rsidRPr="00FE026D">
        <w:rPr>
          <w:u w:val="single"/>
        </w:rPr>
        <w:t>Petition for Protective order of GTE North Inc.</w:t>
      </w:r>
      <w:r w:rsidRPr="00FE026D">
        <w:t>, 1996 Pa PUC LEXIS 95, Docket No.</w:t>
      </w:r>
      <w:proofErr w:type="gramEnd"/>
      <w:r w:rsidRPr="00FE026D">
        <w:t xml:space="preserve"> G-00940402, Order </w:t>
      </w:r>
      <w:r>
        <w:t>(</w:t>
      </w:r>
      <w:r w:rsidRPr="00FE026D">
        <w:t xml:space="preserve">entered August 8, 1996); </w:t>
      </w:r>
      <w:r w:rsidRPr="00FE026D">
        <w:rPr>
          <w:u w:val="single"/>
        </w:rPr>
        <w:t>ITT Communications Services’ Petition for a Protective Order</w:t>
      </w:r>
      <w:r w:rsidRPr="00FE026D">
        <w:t xml:space="preserve">, 1991 Pa PUC LEXIS 193, </w:t>
      </w:r>
      <w:r>
        <w:t xml:space="preserve">Docket No. R-912017, </w:t>
      </w:r>
      <w:r w:rsidRPr="00FE026D">
        <w:t xml:space="preserve">Order </w:t>
      </w:r>
      <w:r>
        <w:t>(</w:t>
      </w:r>
      <w:r w:rsidRPr="00FE026D">
        <w:t>entered November 5, 1991)</w:t>
      </w:r>
      <w:r>
        <w:t xml:space="preserve">.  If that burden is satisfied, the least restrictive means of limitation which will provide the necessary protection from disclosure will be applied.  </w:t>
      </w:r>
      <w:proofErr w:type="gramStart"/>
      <w:r>
        <w:t xml:space="preserve">52 </w:t>
      </w:r>
      <w:proofErr w:type="spellStart"/>
      <w:r>
        <w:t>Pa.Code</w:t>
      </w:r>
      <w:proofErr w:type="spellEnd"/>
      <w:r>
        <w:t xml:space="preserve"> § 5.423(a).</w:t>
      </w:r>
      <w:proofErr w:type="gramEnd"/>
    </w:p>
    <w:p w:rsidR="00B77BC5" w:rsidRPr="00FE026D" w:rsidRDefault="00B77BC5" w:rsidP="00B77BC5">
      <w:pPr>
        <w:tabs>
          <w:tab w:val="left" w:pos="-720"/>
        </w:tabs>
        <w:suppressAutoHyphens/>
        <w:spacing w:line="360" w:lineRule="auto"/>
        <w:ind w:left="90" w:firstLine="1350"/>
      </w:pPr>
    </w:p>
    <w:p w:rsidR="00B77BC5" w:rsidRPr="00FE026D" w:rsidRDefault="00B77BC5" w:rsidP="00B77BC5">
      <w:pPr>
        <w:tabs>
          <w:tab w:val="left" w:pos="-720"/>
        </w:tabs>
        <w:suppressAutoHyphens/>
        <w:spacing w:line="360" w:lineRule="auto"/>
        <w:ind w:left="90" w:firstLine="1350"/>
      </w:pPr>
      <w:r w:rsidRPr="00FE026D">
        <w:t>In considering whether to issue a protective order, the Commission, pursuant to Section 5.423(a), should consider the following factors:</w:t>
      </w:r>
    </w:p>
    <w:p w:rsidR="00B77BC5" w:rsidRPr="00FE026D" w:rsidRDefault="00B77BC5" w:rsidP="00B77BC5">
      <w:pPr>
        <w:spacing w:before="100" w:beforeAutospacing="1"/>
        <w:ind w:left="1440" w:right="1530"/>
      </w:pPr>
      <w:bookmarkStart w:id="0" w:name="5.423."/>
      <w:r w:rsidRPr="00FE026D">
        <w:t xml:space="preserve">(1)  The extent to which the disclosure would cause unfair economic or competitive damage. </w:t>
      </w:r>
    </w:p>
    <w:p w:rsidR="00B77BC5" w:rsidRPr="00FE026D" w:rsidRDefault="00B77BC5" w:rsidP="00B77BC5">
      <w:pPr>
        <w:spacing w:before="100" w:beforeAutospacing="1"/>
        <w:ind w:left="1440" w:right="1530"/>
      </w:pPr>
      <w:r w:rsidRPr="00FE026D">
        <w:t xml:space="preserve">(2)  The extent to which the information is known by others and used in similar activities. </w:t>
      </w:r>
    </w:p>
    <w:p w:rsidR="00B77BC5" w:rsidRPr="00FE026D" w:rsidRDefault="00B77BC5" w:rsidP="00B77BC5">
      <w:pPr>
        <w:spacing w:before="100" w:beforeAutospacing="1"/>
        <w:ind w:left="1440" w:right="1530"/>
      </w:pPr>
      <w:r w:rsidRPr="00FE026D">
        <w:t xml:space="preserve">(3)  The worth or value of the information to the party and to the party’s competitors. </w:t>
      </w:r>
    </w:p>
    <w:p w:rsidR="00B77BC5" w:rsidRPr="00FE026D" w:rsidRDefault="00B77BC5" w:rsidP="00B77BC5">
      <w:pPr>
        <w:spacing w:before="100" w:beforeAutospacing="1"/>
        <w:ind w:left="1440" w:right="1530"/>
      </w:pPr>
      <w:r w:rsidRPr="00FE026D">
        <w:lastRenderedPageBreak/>
        <w:t xml:space="preserve">(4)  The degree of difficulty and cost of developing the information. </w:t>
      </w:r>
    </w:p>
    <w:p w:rsidR="00B77BC5" w:rsidRPr="00F654CD" w:rsidRDefault="00B77BC5" w:rsidP="00B77BC5">
      <w:pPr>
        <w:spacing w:before="100" w:beforeAutospacing="1"/>
        <w:ind w:left="1440" w:right="1530"/>
      </w:pPr>
      <w:r w:rsidRPr="00FE026D">
        <w:t xml:space="preserve">(5)  Other statutes or regulations dealing specifically with disclosure of the information. </w:t>
      </w:r>
    </w:p>
    <w:p w:rsidR="00B77BC5" w:rsidRPr="00FE026D" w:rsidRDefault="00B77BC5" w:rsidP="00B77BC5">
      <w:pPr>
        <w:spacing w:before="100" w:beforeAutospacing="1"/>
        <w:ind w:left="1440" w:right="1530"/>
      </w:pPr>
    </w:p>
    <w:bookmarkEnd w:id="0"/>
    <w:p w:rsidR="00B77BC5" w:rsidRPr="00FE026D" w:rsidRDefault="001E3CC9" w:rsidP="00B77BC5">
      <w:pPr>
        <w:spacing w:line="360" w:lineRule="auto"/>
        <w:rPr>
          <w:rFonts w:eastAsiaTheme="minorHAnsi"/>
        </w:rPr>
      </w:pPr>
      <w:proofErr w:type="gramStart"/>
      <w:r>
        <w:rPr>
          <w:rFonts w:eastAsiaTheme="minorHAnsi"/>
        </w:rPr>
        <w:t xml:space="preserve">52 </w:t>
      </w:r>
      <w:proofErr w:type="spellStart"/>
      <w:r>
        <w:rPr>
          <w:rFonts w:eastAsiaTheme="minorHAnsi"/>
        </w:rPr>
        <w:t>Pa.</w:t>
      </w:r>
      <w:r w:rsidR="00B77BC5" w:rsidRPr="00FE026D">
        <w:rPr>
          <w:rFonts w:eastAsiaTheme="minorHAnsi"/>
        </w:rPr>
        <w:t>Code</w:t>
      </w:r>
      <w:proofErr w:type="spellEnd"/>
      <w:r w:rsidR="00B77BC5" w:rsidRPr="00FE026D">
        <w:rPr>
          <w:rFonts w:eastAsiaTheme="minorHAnsi"/>
        </w:rPr>
        <w:t xml:space="preserve"> § 5.423(a).</w:t>
      </w:r>
      <w:proofErr w:type="gramEnd"/>
      <w:r w:rsidR="00B77BC5" w:rsidRPr="00F654CD">
        <w:rPr>
          <w:rFonts w:eastAsiaTheme="minorHAnsi"/>
        </w:rPr>
        <w:t xml:space="preserve">  The Commission’s regulations further provide detail regarding restrictions placed on the proprietary material, access to proprietary material by representatives of parties, special restrictions and the return of proprietary information at the conclusion </w:t>
      </w:r>
      <w:r>
        <w:rPr>
          <w:rFonts w:eastAsiaTheme="minorHAnsi"/>
        </w:rPr>
        <w:t xml:space="preserve">of the proceeding.  </w:t>
      </w:r>
      <w:proofErr w:type="gramStart"/>
      <w:r>
        <w:rPr>
          <w:rFonts w:eastAsiaTheme="minorHAnsi"/>
        </w:rPr>
        <w:t xml:space="preserve">52 </w:t>
      </w:r>
      <w:proofErr w:type="spellStart"/>
      <w:r>
        <w:rPr>
          <w:rFonts w:eastAsiaTheme="minorHAnsi"/>
        </w:rPr>
        <w:t>Pa.</w:t>
      </w:r>
      <w:r w:rsidR="00B77BC5" w:rsidRPr="00F654CD">
        <w:rPr>
          <w:rFonts w:eastAsiaTheme="minorHAnsi"/>
        </w:rPr>
        <w:t>Code</w:t>
      </w:r>
      <w:proofErr w:type="spellEnd"/>
      <w:r w:rsidR="00B77BC5" w:rsidRPr="00F654CD">
        <w:rPr>
          <w:rFonts w:eastAsiaTheme="minorHAnsi"/>
        </w:rPr>
        <w:t xml:space="preserve"> §§ 5.423(c)-(f).</w:t>
      </w:r>
      <w:proofErr w:type="gramEnd"/>
    </w:p>
    <w:p w:rsidR="00B77BC5" w:rsidRPr="00FE026D" w:rsidRDefault="00B77BC5" w:rsidP="00B77BC5">
      <w:pPr>
        <w:spacing w:line="360" w:lineRule="auto"/>
        <w:ind w:firstLine="1440"/>
        <w:rPr>
          <w:rFonts w:eastAsiaTheme="minorHAnsi"/>
        </w:rPr>
      </w:pPr>
    </w:p>
    <w:p w:rsidR="00B77BC5" w:rsidRPr="00FE026D" w:rsidRDefault="00B77BC5" w:rsidP="00B77BC5">
      <w:pPr>
        <w:spacing w:line="360" w:lineRule="auto"/>
        <w:ind w:firstLine="1440"/>
        <w:rPr>
          <w:rFonts w:eastAsiaTheme="minorHAnsi"/>
        </w:rPr>
      </w:pPr>
      <w:r w:rsidRPr="00FE026D">
        <w:rPr>
          <w:rFonts w:eastAsiaTheme="minorHAnsi"/>
        </w:rPr>
        <w:t xml:space="preserve">In contrast, </w:t>
      </w:r>
      <w:r>
        <w:rPr>
          <w:rFonts w:eastAsiaTheme="minorHAnsi"/>
        </w:rPr>
        <w:t xml:space="preserve">however, Commission regulations also provide that </w:t>
      </w:r>
      <w:r w:rsidRPr="00FE026D">
        <w:rPr>
          <w:rFonts w:eastAsiaTheme="minorHAnsi"/>
        </w:rPr>
        <w:t>the Commission’s records, including the record of this proceeding, may be accessed b</w:t>
      </w:r>
      <w:r w:rsidR="001E3CC9">
        <w:rPr>
          <w:rFonts w:eastAsiaTheme="minorHAnsi"/>
        </w:rPr>
        <w:t xml:space="preserve">y the public pursuant to 52 </w:t>
      </w:r>
      <w:proofErr w:type="spellStart"/>
      <w:r w:rsidR="001E3CC9">
        <w:rPr>
          <w:rFonts w:eastAsiaTheme="minorHAnsi"/>
        </w:rPr>
        <w:t>Pa.</w:t>
      </w:r>
      <w:r w:rsidRPr="00FE026D">
        <w:rPr>
          <w:rFonts w:eastAsiaTheme="minorHAnsi"/>
        </w:rPr>
        <w:t>Code</w:t>
      </w:r>
      <w:proofErr w:type="spellEnd"/>
      <w:r w:rsidRPr="00FE026D">
        <w:rPr>
          <w:rFonts w:eastAsiaTheme="minorHAnsi"/>
        </w:rPr>
        <w:t xml:space="preserve"> §§ 1.71-1.77.  In particular, Section 1.71 of the Commission’s regulations provides: “The Commission’s record maintenance system is intended to provide for the greatest degree of public access to Commission documents that is consistent with the exercise of the functions of the Commission under the act and </w:t>
      </w:r>
      <w:r w:rsidR="001E3CC9">
        <w:rPr>
          <w:rFonts w:eastAsiaTheme="minorHAnsi"/>
        </w:rPr>
        <w:t xml:space="preserve">other applicable laws.”  </w:t>
      </w:r>
      <w:proofErr w:type="gramStart"/>
      <w:r w:rsidR="001E3CC9">
        <w:rPr>
          <w:rFonts w:eastAsiaTheme="minorHAnsi"/>
        </w:rPr>
        <w:t xml:space="preserve">52 </w:t>
      </w:r>
      <w:proofErr w:type="spellStart"/>
      <w:r w:rsidR="001E3CC9">
        <w:rPr>
          <w:rFonts w:eastAsiaTheme="minorHAnsi"/>
        </w:rPr>
        <w:t>Pa.</w:t>
      </w:r>
      <w:r w:rsidRPr="00FE026D">
        <w:rPr>
          <w:rFonts w:eastAsiaTheme="minorHAnsi"/>
        </w:rPr>
        <w:t>Code</w:t>
      </w:r>
      <w:proofErr w:type="spellEnd"/>
      <w:r w:rsidRPr="00FE026D">
        <w:rPr>
          <w:rFonts w:eastAsiaTheme="minorHAnsi"/>
        </w:rPr>
        <w:t xml:space="preserve"> § 1</w:t>
      </w:r>
      <w:r w:rsidR="001E3CC9">
        <w:rPr>
          <w:rFonts w:eastAsiaTheme="minorHAnsi"/>
        </w:rPr>
        <w:t>.</w:t>
      </w:r>
      <w:r w:rsidRPr="00FE026D">
        <w:rPr>
          <w:rFonts w:eastAsiaTheme="minorHAnsi"/>
        </w:rPr>
        <w:t>71.</w:t>
      </w:r>
      <w:proofErr w:type="gramEnd"/>
    </w:p>
    <w:p w:rsidR="00B77BC5" w:rsidRDefault="00B77BC5" w:rsidP="00B77BC5">
      <w:pPr>
        <w:widowControl w:val="0"/>
        <w:spacing w:line="360" w:lineRule="auto"/>
        <w:ind w:firstLine="1440"/>
      </w:pPr>
    </w:p>
    <w:p w:rsidR="00DF1F31" w:rsidRDefault="00B77BC5" w:rsidP="00B77BC5">
      <w:pPr>
        <w:spacing w:line="360" w:lineRule="auto"/>
        <w:ind w:firstLine="1440"/>
      </w:pPr>
      <w:r>
        <w:t>In this case,</w:t>
      </w:r>
      <w:r w:rsidR="007D527E">
        <w:t xml:space="preserve"> </w:t>
      </w:r>
      <w:r w:rsidR="003678E6">
        <w:t xml:space="preserve">United averred that </w:t>
      </w:r>
      <w:r w:rsidR="001E3CC9">
        <w:t>it has received and expects to continue to receive interrogatories and requests for production of documents that require the production of confidential information.  United noted that some of the outstanding discovery seeks information about its water distribution system, including scaled mechanical drawings, maps and diagrams of the United system and its facilities.  United averred that the disclosure of such information, without restriction, would expose United and its customers to potential harm and security threats.  United added that the issuance of a Protective Order will facilitate the orderly and efficient progress of this proceeding but will not prejudice the right of the parties.  United attached a proposed Protective Order to its Petition and noted that it is fully consistent with due process rights and evidentiary burdens and balances the interests of the parties, the Commission and the public.  I agree.</w:t>
      </w:r>
    </w:p>
    <w:p w:rsidR="007D527E" w:rsidRDefault="007D527E" w:rsidP="00B77BC5">
      <w:pPr>
        <w:spacing w:line="360" w:lineRule="auto"/>
        <w:ind w:firstLine="1440"/>
      </w:pPr>
    </w:p>
    <w:p w:rsidR="007D527E" w:rsidRPr="009B4B3F" w:rsidRDefault="007D527E" w:rsidP="007D527E">
      <w:pPr>
        <w:tabs>
          <w:tab w:val="left" w:pos="-720"/>
          <w:tab w:val="left" w:pos="1260"/>
          <w:tab w:val="left" w:pos="2070"/>
        </w:tabs>
        <w:suppressAutoHyphens/>
        <w:spacing w:line="360" w:lineRule="auto"/>
        <w:ind w:firstLine="1440"/>
      </w:pPr>
      <w:r>
        <w:rPr>
          <w:rFonts w:eastAsiaTheme="minorEastAsia"/>
        </w:rPr>
        <w:lastRenderedPageBreak/>
        <w:t xml:space="preserve">The proposed Protective Order balances United’s right to restrict certain information from public disclosure with the public’s right to access information, and does so in the least restrictive means.  Furthermore, the proposed Protective Order retains the right of nonproducing parties to question or challenge the designation of a document or information as proprietary, with the producing party retaining the burden of demonstrating that protection is appropriate.  Finally, no party has opposed United's Petition.  United’s Petition, therefore, will be granted.  </w:t>
      </w:r>
    </w:p>
    <w:p w:rsidR="00D22294" w:rsidRPr="00550B34" w:rsidRDefault="00D22294" w:rsidP="00E93D93">
      <w:pPr>
        <w:spacing w:line="360" w:lineRule="auto"/>
      </w:pPr>
    </w:p>
    <w:p w:rsidR="00AA5A3B" w:rsidRDefault="00FA0DC0" w:rsidP="00FA0DC0">
      <w:pPr>
        <w:spacing w:line="360" w:lineRule="auto"/>
        <w:jc w:val="center"/>
      </w:pPr>
      <w:r>
        <w:rPr>
          <w:u w:val="single"/>
        </w:rPr>
        <w:t>ORDER</w:t>
      </w:r>
    </w:p>
    <w:p w:rsidR="00FA0DC0" w:rsidRPr="00FA0DC0" w:rsidRDefault="00FA0DC0" w:rsidP="00E93D93">
      <w:pPr>
        <w:spacing w:line="360" w:lineRule="auto"/>
      </w:pPr>
    </w:p>
    <w:p w:rsidR="009160D8" w:rsidRPr="005E5BFA" w:rsidRDefault="009160D8" w:rsidP="009160D8">
      <w:pPr>
        <w:pStyle w:val="NoSpacing"/>
        <w:spacing w:line="360" w:lineRule="auto"/>
        <w:jc w:val="both"/>
        <w:rPr>
          <w:szCs w:val="24"/>
        </w:rPr>
      </w:pPr>
      <w:r w:rsidRPr="005E5BFA">
        <w:rPr>
          <w:szCs w:val="24"/>
        </w:rPr>
        <w:tab/>
      </w:r>
      <w:r w:rsidRPr="005E5BFA">
        <w:rPr>
          <w:szCs w:val="24"/>
        </w:rPr>
        <w:tab/>
        <w:t>THEREFORE,</w:t>
      </w:r>
    </w:p>
    <w:p w:rsidR="009160D8" w:rsidRPr="005E5BFA" w:rsidRDefault="009160D8" w:rsidP="009160D8">
      <w:pPr>
        <w:pStyle w:val="NoSpacing"/>
        <w:spacing w:line="360" w:lineRule="auto"/>
        <w:jc w:val="both"/>
        <w:rPr>
          <w:szCs w:val="24"/>
        </w:rPr>
      </w:pPr>
    </w:p>
    <w:p w:rsidR="009160D8" w:rsidRPr="005E5BFA" w:rsidRDefault="009160D8" w:rsidP="009160D8">
      <w:pPr>
        <w:pStyle w:val="NoSpacing"/>
        <w:spacing w:line="360" w:lineRule="auto"/>
        <w:jc w:val="both"/>
        <w:rPr>
          <w:szCs w:val="24"/>
        </w:rPr>
      </w:pPr>
      <w:r w:rsidRPr="005E5BFA">
        <w:rPr>
          <w:szCs w:val="24"/>
        </w:rPr>
        <w:tab/>
      </w:r>
      <w:r w:rsidRPr="005E5BFA">
        <w:rPr>
          <w:szCs w:val="24"/>
        </w:rPr>
        <w:tab/>
        <w:t>IT IS ORDERED:</w:t>
      </w:r>
    </w:p>
    <w:p w:rsidR="009160D8" w:rsidRDefault="009160D8" w:rsidP="009160D8">
      <w:pPr>
        <w:pStyle w:val="NoSpacing"/>
        <w:spacing w:line="360" w:lineRule="auto"/>
        <w:rPr>
          <w:szCs w:val="24"/>
        </w:rPr>
      </w:pPr>
    </w:p>
    <w:p w:rsidR="009160D8" w:rsidRDefault="009160D8" w:rsidP="009160D8">
      <w:pPr>
        <w:numPr>
          <w:ilvl w:val="0"/>
          <w:numId w:val="18"/>
        </w:numPr>
        <w:tabs>
          <w:tab w:val="clear" w:pos="720"/>
          <w:tab w:val="num" w:pos="0"/>
        </w:tabs>
        <w:autoSpaceDE/>
        <w:autoSpaceDN/>
        <w:spacing w:line="360" w:lineRule="auto"/>
        <w:ind w:left="0" w:firstLine="1440"/>
      </w:pPr>
      <w:r w:rsidRPr="002A69C6">
        <w:t>T</w:t>
      </w:r>
      <w:r>
        <w:t xml:space="preserve">hat the petition for a protective order filed by United </w:t>
      </w:r>
      <w:r w:rsidRPr="002A69C6">
        <w:t xml:space="preserve">is granted with respect to all materials and information identified in Paragraph 2 below, which are filed with the </w:t>
      </w:r>
      <w:r>
        <w:t xml:space="preserve">Pennsylvania Public Utility </w:t>
      </w:r>
      <w:r w:rsidRPr="002A69C6">
        <w:t>Commission</w:t>
      </w:r>
      <w:r>
        <w:t xml:space="preserve"> (Commission)</w:t>
      </w:r>
      <w:r w:rsidRPr="002A69C6">
        <w:t>, produced in discovery, or otherwise presented during these proceedings.  All persons now and hereafter granted access to the materials and information identified in Paragraph 2 of this Protective Order shall use and disclose such information only in accordance with this Order.</w:t>
      </w:r>
    </w:p>
    <w:p w:rsidR="009160D8" w:rsidRDefault="009160D8" w:rsidP="009160D8">
      <w:pPr>
        <w:spacing w:line="360" w:lineRule="auto"/>
      </w:pPr>
    </w:p>
    <w:p w:rsidR="009160D8" w:rsidRDefault="009160D8" w:rsidP="009160D8">
      <w:pPr>
        <w:numPr>
          <w:ilvl w:val="0"/>
          <w:numId w:val="18"/>
        </w:numPr>
        <w:tabs>
          <w:tab w:val="clear" w:pos="720"/>
          <w:tab w:val="num" w:pos="0"/>
        </w:tabs>
        <w:autoSpaceDE/>
        <w:autoSpaceDN/>
        <w:spacing w:line="360" w:lineRule="auto"/>
        <w:ind w:left="0" w:firstLine="1440"/>
      </w:pPr>
      <w:r w:rsidRPr="00F4098C">
        <w:t>T</w:t>
      </w:r>
      <w:r>
        <w:t>hat t</w:t>
      </w:r>
      <w:r w:rsidRPr="00F4098C">
        <w:t xml:space="preserve">he materials subject to this </w:t>
      </w:r>
      <w:r>
        <w:t xml:space="preserve">Protective </w:t>
      </w:r>
      <w:r w:rsidRPr="00F4098C">
        <w:t>Order are all correspondence, documents, data, information, excerpts, summaries, studies, methodologies</w:t>
      </w:r>
      <w:r>
        <w:t>, system maps,</w:t>
      </w:r>
      <w:r w:rsidRPr="00F4098C">
        <w:t xml:space="preserve"> and other materials (including materials derived therefrom) which a party or an affiliate of a party furnishes in this proceeding pursuant to Commission rules and regulations, formal and informal discovery procedures, testimony or oral examination, or provided as a courtesy to a party to this proceeding, which are claimed to be of a proprietary or confidential nature and which are designated by the producing party as </w:t>
      </w:r>
      <w:r>
        <w:t>“Confidential Information.”</w:t>
      </w:r>
    </w:p>
    <w:p w:rsidR="009160D8" w:rsidRDefault="009160D8" w:rsidP="009160D8">
      <w:pPr>
        <w:pStyle w:val="ListParagraph"/>
        <w:spacing w:line="360" w:lineRule="auto"/>
      </w:pPr>
    </w:p>
    <w:p w:rsidR="009160D8" w:rsidRPr="00AD53D2" w:rsidRDefault="009160D8" w:rsidP="009160D8">
      <w:pPr>
        <w:numPr>
          <w:ilvl w:val="0"/>
          <w:numId w:val="18"/>
        </w:numPr>
        <w:tabs>
          <w:tab w:val="clear" w:pos="720"/>
          <w:tab w:val="num" w:pos="0"/>
        </w:tabs>
        <w:autoSpaceDE/>
        <w:autoSpaceDN/>
        <w:spacing w:line="360" w:lineRule="auto"/>
        <w:ind w:left="0" w:firstLine="1440"/>
      </w:pPr>
      <w:r w:rsidRPr="00AD53D2">
        <w:lastRenderedPageBreak/>
        <w:t>That any information provided to the Commission or any party in connection with the above-captioned proceeding that a producing party claims constitutes or contains “Confidential Information” shall be specifically identified and marked as Confidential Information.  The producing party shall designate data or documents as constituting or containing Confidential Information by affixing a conspicuous “CONFIDENTIAL” stamp or typewritten designation on such data or documents.  Where only part of data compilations or multi-page documents constitutes or contains Confidential Information, the producing party, insofar as reasonably practicable within time constraints imposed in this proceeding, shall designate only the specific data or pages of documents which constitute or contain Confidential  Information and shall serve such documents separately from non-confidential information.</w:t>
      </w:r>
    </w:p>
    <w:p w:rsidR="009160D8" w:rsidRDefault="009160D8" w:rsidP="009160D8">
      <w:pPr>
        <w:pStyle w:val="ListParagraph"/>
        <w:spacing w:line="360" w:lineRule="auto"/>
      </w:pPr>
    </w:p>
    <w:p w:rsidR="009160D8" w:rsidRPr="00AD53D2" w:rsidRDefault="009160D8" w:rsidP="009160D8">
      <w:pPr>
        <w:numPr>
          <w:ilvl w:val="0"/>
          <w:numId w:val="18"/>
        </w:numPr>
        <w:tabs>
          <w:tab w:val="clear" w:pos="720"/>
          <w:tab w:val="num" w:pos="0"/>
        </w:tabs>
        <w:autoSpaceDE/>
        <w:autoSpaceDN/>
        <w:spacing w:line="360" w:lineRule="auto"/>
        <w:ind w:left="0" w:firstLine="1440"/>
      </w:pPr>
      <w:r w:rsidRPr="00AD53D2">
        <w:t>That each document and the information contained therein designated as “Confidential Information” shall be used by the recipient solely for purposes relating to the prosecution, review and processing of this proceeding and for no other purpose; and such documents and information shall be maintained in secure files, separate from public information, until returned to the producing party or destroyed pursuant to the terms thereof.</w:t>
      </w:r>
    </w:p>
    <w:p w:rsidR="009160D8" w:rsidRDefault="009160D8" w:rsidP="009160D8">
      <w:pPr>
        <w:pStyle w:val="ListParagraph"/>
        <w:spacing w:line="360" w:lineRule="auto"/>
      </w:pPr>
    </w:p>
    <w:p w:rsidR="009160D8" w:rsidRPr="00AD53D2" w:rsidRDefault="009160D8" w:rsidP="009160D8">
      <w:pPr>
        <w:numPr>
          <w:ilvl w:val="0"/>
          <w:numId w:val="18"/>
        </w:numPr>
        <w:tabs>
          <w:tab w:val="clear" w:pos="720"/>
          <w:tab w:val="num" w:pos="0"/>
        </w:tabs>
        <w:autoSpaceDE/>
        <w:autoSpaceDN/>
        <w:spacing w:line="360" w:lineRule="auto"/>
        <w:ind w:left="0" w:firstLine="1440"/>
      </w:pPr>
      <w:r w:rsidRPr="00AD53D2">
        <w:t>That with respect to all Confidential Information, it is further Ordered that:</w:t>
      </w:r>
    </w:p>
    <w:p w:rsidR="009160D8" w:rsidRDefault="009160D8" w:rsidP="009160D8">
      <w:pPr>
        <w:pStyle w:val="ListParagraph"/>
        <w:spacing w:line="360" w:lineRule="auto"/>
      </w:pPr>
    </w:p>
    <w:p w:rsidR="009160D8" w:rsidRPr="005E5BFA" w:rsidRDefault="009160D8" w:rsidP="009160D8">
      <w:pPr>
        <w:pStyle w:val="NoSpacing"/>
        <w:ind w:left="720" w:right="720" w:firstLine="720"/>
        <w:rPr>
          <w:szCs w:val="24"/>
        </w:rPr>
      </w:pPr>
      <w:r w:rsidRPr="005E5BFA">
        <w:rPr>
          <w:szCs w:val="24"/>
        </w:rPr>
        <w:t>(a)</w:t>
      </w:r>
      <w:r w:rsidRPr="005E5BFA">
        <w:rPr>
          <w:szCs w:val="24"/>
        </w:rPr>
        <w:tab/>
        <w:t>Access to the documents designated as “Confidential Information,” and to the information contained therein, shall be limited to the parties and their identified attorneys, employees, and consultants whose examination of the Confidential Information is required for the conduct of this proceeding.</w:t>
      </w:r>
    </w:p>
    <w:p w:rsidR="009160D8" w:rsidRPr="005E5BFA" w:rsidRDefault="009160D8" w:rsidP="009160D8">
      <w:pPr>
        <w:pStyle w:val="NoSpacing"/>
        <w:ind w:left="720" w:right="720" w:firstLine="720"/>
        <w:rPr>
          <w:szCs w:val="24"/>
        </w:rPr>
      </w:pPr>
    </w:p>
    <w:p w:rsidR="009160D8" w:rsidRDefault="009160D8" w:rsidP="009160D8">
      <w:pPr>
        <w:pStyle w:val="NoSpacing"/>
        <w:ind w:left="720" w:right="720" w:firstLine="720"/>
        <w:rPr>
          <w:szCs w:val="24"/>
        </w:rPr>
      </w:pPr>
      <w:r w:rsidRPr="005E5BFA">
        <w:rPr>
          <w:szCs w:val="24"/>
        </w:rPr>
        <w:t>(b)</w:t>
      </w:r>
      <w:r w:rsidRPr="005E5BFA">
        <w:rPr>
          <w:szCs w:val="24"/>
        </w:rPr>
        <w:tab/>
        <w:t xml:space="preserve">Recipients of Confidential Information shall not disclose the contents of the documents produced pursuant to this Protective Order to any person(s) other than their identified employees and any identified witnesses/consultants whom they may retain in connection with this proceeding, irrespective of whether any such expert is retained specially and is not expected to testify, or is called to testify in this proceeding.  All </w:t>
      </w:r>
      <w:r>
        <w:rPr>
          <w:szCs w:val="24"/>
        </w:rPr>
        <w:t xml:space="preserve">attorneys, </w:t>
      </w:r>
      <w:r w:rsidRPr="005E5BFA">
        <w:rPr>
          <w:szCs w:val="24"/>
        </w:rPr>
        <w:t>employees, consultants or experts of any part</w:t>
      </w:r>
      <w:r>
        <w:rPr>
          <w:szCs w:val="24"/>
        </w:rPr>
        <w:t>y</w:t>
      </w:r>
      <w:r w:rsidRPr="005E5BFA">
        <w:rPr>
          <w:szCs w:val="24"/>
        </w:rPr>
        <w:t xml:space="preserve"> bound by this </w:t>
      </w:r>
      <w:r w:rsidRPr="005E5BFA">
        <w:rPr>
          <w:szCs w:val="24"/>
        </w:rPr>
        <w:lastRenderedPageBreak/>
        <w:t xml:space="preserve">Protective Order who </w:t>
      </w:r>
      <w:proofErr w:type="gramStart"/>
      <w:r w:rsidRPr="005E5BFA">
        <w:rPr>
          <w:szCs w:val="24"/>
        </w:rPr>
        <w:t>receive</w:t>
      </w:r>
      <w:proofErr w:type="gramEnd"/>
      <w:r w:rsidRPr="005E5BFA">
        <w:rPr>
          <w:szCs w:val="24"/>
        </w:rPr>
        <w:t xml:space="preserve"> copies of documents or information produced pursuant to this Protective Order shall execute a copy of the Certification attached hereto as Appendix A, which executed Certification shall be forthwith provided to counsel for the producing party with copies to counsel for other parties.  </w:t>
      </w:r>
    </w:p>
    <w:p w:rsidR="009160D8" w:rsidRPr="005E5BFA" w:rsidRDefault="009160D8" w:rsidP="009160D8">
      <w:pPr>
        <w:pStyle w:val="NoSpacing"/>
        <w:ind w:left="720" w:right="720" w:firstLine="720"/>
        <w:rPr>
          <w:szCs w:val="24"/>
        </w:rPr>
      </w:pPr>
    </w:p>
    <w:p w:rsidR="009160D8" w:rsidRPr="005E5BFA" w:rsidRDefault="009160D8" w:rsidP="009160D8">
      <w:pPr>
        <w:pStyle w:val="NoSpacing"/>
        <w:ind w:left="720" w:right="720" w:firstLine="720"/>
        <w:rPr>
          <w:szCs w:val="24"/>
        </w:rPr>
      </w:pPr>
      <w:r w:rsidRPr="005E5BFA">
        <w:rPr>
          <w:szCs w:val="24"/>
        </w:rPr>
        <w:t>(c)</w:t>
      </w:r>
      <w:r w:rsidRPr="005E5BFA">
        <w:rPr>
          <w:szCs w:val="24"/>
        </w:rPr>
        <w:tab/>
        <w:t>No other disclosure of Confidential Information shall be made to any person or entity except with the express written consent of the producing party or upon further order of the Commission or of any Court of competent jurisdiction which may review these matters.</w:t>
      </w:r>
    </w:p>
    <w:p w:rsidR="009160D8" w:rsidRDefault="009160D8" w:rsidP="009160D8">
      <w:pPr>
        <w:pStyle w:val="ListParagraph"/>
        <w:spacing w:line="360" w:lineRule="auto"/>
      </w:pPr>
    </w:p>
    <w:p w:rsidR="009160D8" w:rsidRPr="00AD53D2" w:rsidRDefault="009160D8" w:rsidP="009160D8">
      <w:pPr>
        <w:numPr>
          <w:ilvl w:val="0"/>
          <w:numId w:val="18"/>
        </w:numPr>
        <w:tabs>
          <w:tab w:val="clear" w:pos="720"/>
          <w:tab w:val="num" w:pos="0"/>
        </w:tabs>
        <w:autoSpaceDE/>
        <w:autoSpaceDN/>
        <w:spacing w:line="360" w:lineRule="auto"/>
        <w:ind w:left="0" w:firstLine="1440"/>
      </w:pPr>
      <w:r w:rsidRPr="00AD53D2">
        <w:t xml:space="preserve">That the acceptance by any party of documents or information which has been identified and marked as Confidential Information shall not create a presumption that the material is in fact entitled to any special status in these or any other proceedings.  Accordingly, as provided in 52 </w:t>
      </w:r>
      <w:proofErr w:type="spellStart"/>
      <w:r w:rsidRPr="00AD53D2">
        <w:t>Pa.Code</w:t>
      </w:r>
      <w:proofErr w:type="spellEnd"/>
      <w:r w:rsidRPr="00AD53D2">
        <w:t xml:space="preserve"> § 5.</w:t>
      </w:r>
      <w:r>
        <w:t>365</w:t>
      </w:r>
      <w:r w:rsidRPr="00AD53D2">
        <w:t xml:space="preserve">, a party receiving Confidential Information retains the right, either before or after receipt of such Confidential Information, to challenge the legitimacy of the claim that the information is proprietary.  Any party may initiate such a challenge by notifying the Commission, with reasonable notice to all other </w:t>
      </w:r>
      <w:proofErr w:type="gramStart"/>
      <w:r w:rsidRPr="00AD53D2">
        <w:t>parties, that</w:t>
      </w:r>
      <w:proofErr w:type="gramEnd"/>
      <w:r w:rsidRPr="00AD53D2">
        <w:t xml:space="preserve"> it wishes to challenge the designation of the material as Confidential Information.  In that event, the producing party, as the provider of the Confidential Information, shall have the burden of proving that the material is entitled to protected status.  However, notwithstanding such challenge, all parties shall continue to treat any document and information subject to challenge as Confidential Information in accordance with the terms of this Protective Order, pending resolution by the Commission of the dispute as to its status.</w:t>
      </w:r>
    </w:p>
    <w:p w:rsidR="009160D8" w:rsidRPr="00AD53D2" w:rsidRDefault="009160D8" w:rsidP="009160D8">
      <w:pPr>
        <w:spacing w:line="360" w:lineRule="auto"/>
      </w:pPr>
    </w:p>
    <w:p w:rsidR="009160D8" w:rsidRPr="00AD53D2" w:rsidRDefault="009160D8" w:rsidP="009160D8">
      <w:pPr>
        <w:numPr>
          <w:ilvl w:val="0"/>
          <w:numId w:val="18"/>
        </w:numPr>
        <w:tabs>
          <w:tab w:val="clear" w:pos="720"/>
          <w:tab w:val="num" w:pos="0"/>
        </w:tabs>
        <w:autoSpaceDE/>
        <w:autoSpaceDN/>
        <w:spacing w:line="360" w:lineRule="auto"/>
        <w:ind w:left="0" w:firstLine="1440"/>
      </w:pPr>
      <w:r w:rsidRPr="00AD53D2">
        <w:t>That the producing party retains the right to seek restrictions on the production, distribution and use by other parties of the Confidential Information beyond the protection expressly afforded such Confidential Information by this Protective Order.</w:t>
      </w:r>
    </w:p>
    <w:p w:rsidR="009160D8" w:rsidRDefault="009160D8" w:rsidP="009160D8">
      <w:pPr>
        <w:pStyle w:val="ListParagraph"/>
        <w:spacing w:line="360" w:lineRule="auto"/>
      </w:pPr>
    </w:p>
    <w:p w:rsidR="009160D8" w:rsidRPr="00AD53D2" w:rsidRDefault="009160D8" w:rsidP="009160D8">
      <w:pPr>
        <w:numPr>
          <w:ilvl w:val="0"/>
          <w:numId w:val="18"/>
        </w:numPr>
        <w:tabs>
          <w:tab w:val="clear" w:pos="720"/>
          <w:tab w:val="num" w:pos="0"/>
        </w:tabs>
        <w:autoSpaceDE/>
        <w:autoSpaceDN/>
        <w:spacing w:line="360" w:lineRule="auto"/>
        <w:ind w:left="0" w:firstLine="1440"/>
      </w:pPr>
      <w:r w:rsidRPr="00AD53D2">
        <w:t>That this Protective Order shall not operate as a determination, for any purposes, that any document or information produced pursuant to this Protective Order is either admissible or inadmissible in these or any other proceedings.</w:t>
      </w:r>
    </w:p>
    <w:p w:rsidR="009160D8" w:rsidRDefault="009160D8" w:rsidP="009160D8">
      <w:pPr>
        <w:pStyle w:val="ListParagraph"/>
        <w:spacing w:line="360" w:lineRule="auto"/>
      </w:pPr>
    </w:p>
    <w:p w:rsidR="009160D8" w:rsidRPr="00AD53D2" w:rsidRDefault="009160D8" w:rsidP="009160D8">
      <w:pPr>
        <w:numPr>
          <w:ilvl w:val="0"/>
          <w:numId w:val="18"/>
        </w:numPr>
        <w:tabs>
          <w:tab w:val="clear" w:pos="720"/>
          <w:tab w:val="num" w:pos="0"/>
        </w:tabs>
        <w:autoSpaceDE/>
        <w:autoSpaceDN/>
        <w:spacing w:line="360" w:lineRule="auto"/>
        <w:ind w:left="0" w:firstLine="1440"/>
      </w:pPr>
      <w:proofErr w:type="gramStart"/>
      <w:r w:rsidRPr="00AD53D2">
        <w:lastRenderedPageBreak/>
        <w:t>That</w:t>
      </w:r>
      <w:r>
        <w:t xml:space="preserve"> </w:t>
      </w:r>
      <w:r w:rsidRPr="00AD53D2">
        <w:t>documents</w:t>
      </w:r>
      <w:proofErr w:type="gramEnd"/>
      <w:r w:rsidRPr="00AD53D2">
        <w:t xml:space="preserve"> or other materials containing Confidential Information filed with the Commission in this proceeding, including but not limited to pre-filed testimony and pre-filed exhibits, shall be labeled “CONFIDENTIAL” and shall be deemed filed under seal.  During evidentiary hearings, if any, in this proceeding, all persons present for such hearings shall be subject to the terms of this Protective Order and may be required to so affirm for purposes of the record.  The portion of the record containing the Confidential Information, including the portions of transcripts of oral testimony discussing Confidential Information, shall be placed under seal.</w:t>
      </w:r>
    </w:p>
    <w:p w:rsidR="009160D8" w:rsidRDefault="009160D8" w:rsidP="009160D8">
      <w:pPr>
        <w:pStyle w:val="ListParagraph"/>
        <w:spacing w:line="360" w:lineRule="auto"/>
      </w:pPr>
    </w:p>
    <w:p w:rsidR="009160D8" w:rsidRPr="00AD53D2" w:rsidRDefault="009160D8" w:rsidP="009160D8">
      <w:pPr>
        <w:numPr>
          <w:ilvl w:val="0"/>
          <w:numId w:val="18"/>
        </w:numPr>
        <w:tabs>
          <w:tab w:val="clear" w:pos="720"/>
          <w:tab w:val="num" w:pos="0"/>
        </w:tabs>
        <w:autoSpaceDE/>
        <w:autoSpaceDN/>
        <w:spacing w:line="360" w:lineRule="auto"/>
        <w:ind w:left="0" w:firstLine="1440"/>
      </w:pPr>
      <w:r w:rsidRPr="00AD53D2">
        <w:t>That the Commission and any other state agency that may have access to, or receive copies of, the Confidential Information will deem and treat such information as within the exemption from disclosure provided in the Pennsylvania Right-to-Know Act set forth in 65 P.S. § 67.708(b) until such time as the information may be found to be non-proprietary by the Commission or by a court of competent jurisdiction.</w:t>
      </w:r>
    </w:p>
    <w:p w:rsidR="009160D8" w:rsidRDefault="009160D8" w:rsidP="009160D8">
      <w:pPr>
        <w:pStyle w:val="ListParagraph"/>
        <w:spacing w:line="360" w:lineRule="auto"/>
      </w:pPr>
    </w:p>
    <w:p w:rsidR="009160D8" w:rsidRDefault="009160D8" w:rsidP="009160D8">
      <w:pPr>
        <w:numPr>
          <w:ilvl w:val="0"/>
          <w:numId w:val="18"/>
        </w:numPr>
        <w:tabs>
          <w:tab w:val="clear" w:pos="720"/>
          <w:tab w:val="num" w:pos="0"/>
        </w:tabs>
        <w:autoSpaceDE/>
        <w:autoSpaceDN/>
        <w:spacing w:line="360" w:lineRule="auto"/>
        <w:ind w:left="0" w:firstLine="1440"/>
      </w:pPr>
      <w:r w:rsidRPr="00AD53D2">
        <w:t>That Confidential Information which is placed on the record of this proceeding under seal shall remain with the Commission under seal after the conclusion of the proceeding.  If such Confidential Information is provided to appellate courts for the purposes of appeal(s) from this proceeding, such information shall be provided, and shall remain, under seal.</w:t>
      </w:r>
    </w:p>
    <w:p w:rsidR="009160D8" w:rsidRDefault="009160D8" w:rsidP="009160D8">
      <w:pPr>
        <w:pStyle w:val="ListParagraph"/>
        <w:spacing w:line="360" w:lineRule="auto"/>
      </w:pPr>
    </w:p>
    <w:p w:rsidR="009160D8" w:rsidRDefault="009160D8" w:rsidP="009160D8">
      <w:pPr>
        <w:numPr>
          <w:ilvl w:val="0"/>
          <w:numId w:val="18"/>
        </w:numPr>
        <w:tabs>
          <w:tab w:val="clear" w:pos="720"/>
          <w:tab w:val="num" w:pos="0"/>
        </w:tabs>
        <w:autoSpaceDE/>
        <w:autoSpaceDN/>
        <w:spacing w:line="360" w:lineRule="auto"/>
        <w:ind w:left="0" w:firstLine="1440"/>
      </w:pPr>
      <w:r w:rsidRPr="00AD53D2">
        <w:t>That upon the final resolution of proceedings in which Confidential Information has been provided, which includes the exhaustion of appeals, if any, all documents and other materials containing Confidential Information shall, within 30 days of the producing party’s request, be either:  (1) returned to counsel for the producing party; or (2) destroyed.  If a receiving party chooses to destroy the Confiden</w:t>
      </w:r>
      <w:r>
        <w:t>tial Information, then it shall certify to the producing party</w:t>
      </w:r>
      <w:r w:rsidRPr="00AD53D2">
        <w:t xml:space="preserve"> that the Confidential Information has been destroyed by it and its employees, consultants, and other representatives, and that the terms of this Protective Order have been s</w:t>
      </w:r>
      <w:r>
        <w:t>atisfied; p</w:t>
      </w:r>
      <w:r w:rsidRPr="00AD53D2">
        <w:t>rovided, however, that all such pleadings, briefs, statements, exhibits and transcripts containing Confidential Information shall remain subject to the terms of this Protective Order.</w:t>
      </w:r>
    </w:p>
    <w:p w:rsidR="009160D8" w:rsidRDefault="009160D8" w:rsidP="009160D8">
      <w:pPr>
        <w:pStyle w:val="ListParagraph"/>
        <w:spacing w:line="360" w:lineRule="auto"/>
      </w:pPr>
    </w:p>
    <w:p w:rsidR="009160D8" w:rsidRPr="00AD53D2" w:rsidRDefault="009160D8" w:rsidP="009160D8">
      <w:pPr>
        <w:numPr>
          <w:ilvl w:val="0"/>
          <w:numId w:val="18"/>
        </w:numPr>
        <w:tabs>
          <w:tab w:val="clear" w:pos="720"/>
          <w:tab w:val="num" w:pos="0"/>
        </w:tabs>
        <w:autoSpaceDE/>
        <w:autoSpaceDN/>
        <w:spacing w:line="360" w:lineRule="auto"/>
        <w:ind w:left="0" w:firstLine="1440"/>
      </w:pPr>
      <w:r w:rsidRPr="007F1DE7">
        <w:t>That the issuance of this Protective Order shall not prejudice the producing party’s right to challenge the production of any documents or information sought in discovery by any party on the grounds that such documents or information are not properly discoverable.</w:t>
      </w:r>
    </w:p>
    <w:p w:rsidR="0013770C" w:rsidRPr="00143290" w:rsidRDefault="0013770C" w:rsidP="009160D8">
      <w:pPr>
        <w:spacing w:line="360" w:lineRule="auto"/>
        <w:ind w:firstLine="1440"/>
        <w:rPr>
          <w:bCs/>
        </w:rPr>
      </w:pPr>
    </w:p>
    <w:p w:rsidR="00444E27" w:rsidRPr="00550B34" w:rsidRDefault="00444E27" w:rsidP="00444E27"/>
    <w:p w:rsidR="00444E27" w:rsidRPr="00550B34" w:rsidRDefault="00444E27" w:rsidP="00444E27"/>
    <w:p w:rsidR="00444E27" w:rsidRPr="00550B34" w:rsidRDefault="00444E27" w:rsidP="00444E27">
      <w:pPr>
        <w:rPr>
          <w:u w:val="single"/>
        </w:rPr>
      </w:pPr>
      <w:r w:rsidRPr="00550B34">
        <w:t xml:space="preserve">Date: </w:t>
      </w:r>
      <w:r w:rsidR="002251CE">
        <w:rPr>
          <w:u w:val="single"/>
        </w:rPr>
        <w:t>June 1</w:t>
      </w:r>
      <w:r w:rsidR="00096D6A">
        <w:rPr>
          <w:u w:val="single"/>
        </w:rPr>
        <w:t>9</w:t>
      </w:r>
      <w:r w:rsidRPr="00550B34">
        <w:rPr>
          <w:u w:val="single"/>
        </w:rPr>
        <w:t>, 201</w:t>
      </w:r>
      <w:r w:rsidR="004417F1">
        <w:rPr>
          <w:u w:val="single"/>
        </w:rPr>
        <w:t>4</w:t>
      </w:r>
      <w:r w:rsidRPr="00550B34">
        <w:tab/>
      </w:r>
      <w:r w:rsidR="0062545F" w:rsidRPr="00550B34">
        <w:tab/>
      </w:r>
      <w:r w:rsidRPr="00550B34">
        <w:tab/>
      </w:r>
      <w:r w:rsidRPr="00550B34">
        <w:rPr>
          <w:u w:val="single"/>
        </w:rPr>
        <w:tab/>
      </w:r>
      <w:r w:rsidRPr="00550B34">
        <w:rPr>
          <w:u w:val="single"/>
        </w:rPr>
        <w:tab/>
      </w:r>
      <w:r w:rsidRPr="00550B34">
        <w:rPr>
          <w:u w:val="single"/>
        </w:rPr>
        <w:tab/>
      </w:r>
      <w:r w:rsidRPr="00550B34">
        <w:rPr>
          <w:u w:val="single"/>
        </w:rPr>
        <w:tab/>
      </w:r>
      <w:r w:rsidRPr="00550B34">
        <w:rPr>
          <w:u w:val="single"/>
        </w:rPr>
        <w:tab/>
      </w:r>
      <w:r w:rsidRPr="00550B34">
        <w:rPr>
          <w:u w:val="single"/>
        </w:rPr>
        <w:tab/>
      </w:r>
      <w:r w:rsidRPr="00550B34">
        <w:rPr>
          <w:u w:val="single"/>
        </w:rPr>
        <w:tab/>
      </w:r>
    </w:p>
    <w:p w:rsidR="00444E27" w:rsidRPr="00550B34" w:rsidRDefault="00444E27" w:rsidP="00444E27">
      <w:r w:rsidRPr="00550B34">
        <w:tab/>
      </w:r>
      <w:r w:rsidRPr="00550B34">
        <w:tab/>
      </w:r>
      <w:r w:rsidRPr="00550B34">
        <w:tab/>
      </w:r>
      <w:r w:rsidRPr="00550B34">
        <w:tab/>
      </w:r>
      <w:r w:rsidRPr="00550B34">
        <w:tab/>
      </w:r>
      <w:r w:rsidR="0062545F" w:rsidRPr="00550B34">
        <w:t xml:space="preserve">Joel H. Cheskis </w:t>
      </w:r>
    </w:p>
    <w:p w:rsidR="00444E27" w:rsidRDefault="00444E27" w:rsidP="00444E27">
      <w:r w:rsidRPr="00550B34">
        <w:tab/>
      </w:r>
      <w:r w:rsidRPr="00550B34">
        <w:tab/>
      </w:r>
      <w:r w:rsidRPr="00550B34">
        <w:tab/>
      </w:r>
      <w:r w:rsidRPr="00550B34">
        <w:tab/>
      </w:r>
      <w:r w:rsidRPr="00550B34">
        <w:tab/>
        <w:t>Administrative Law Judge</w:t>
      </w:r>
    </w:p>
    <w:p w:rsidR="009160D8" w:rsidRDefault="009160D8">
      <w:pPr>
        <w:autoSpaceDE/>
        <w:autoSpaceDN/>
      </w:pPr>
      <w:r>
        <w:br w:type="page"/>
      </w:r>
    </w:p>
    <w:p w:rsidR="009C1C01" w:rsidRPr="009C1C01" w:rsidRDefault="009C1C01" w:rsidP="009C1C01">
      <w:pPr>
        <w:rPr>
          <w:u w:val="single"/>
        </w:rPr>
      </w:pPr>
      <w:r w:rsidRPr="009C1C01">
        <w:lastRenderedPageBreak/>
        <w:tab/>
      </w:r>
      <w:r w:rsidRPr="009C1C01">
        <w:tab/>
      </w:r>
      <w:r w:rsidRPr="009C1C01">
        <w:tab/>
      </w:r>
      <w:r w:rsidRPr="009C1C01">
        <w:tab/>
      </w:r>
      <w:r w:rsidRPr="009C1C01">
        <w:tab/>
      </w:r>
      <w:r w:rsidRPr="009C1C01">
        <w:tab/>
      </w:r>
      <w:r w:rsidRPr="009C1C01">
        <w:tab/>
      </w:r>
      <w:r w:rsidRPr="009C1C01">
        <w:tab/>
      </w:r>
      <w:r w:rsidRPr="009C1C01">
        <w:tab/>
      </w:r>
      <w:r w:rsidRPr="009C1C01">
        <w:rPr>
          <w:b/>
          <w:u w:val="single"/>
        </w:rPr>
        <w:t>APPENDIX A</w:t>
      </w:r>
    </w:p>
    <w:p w:rsidR="009C1C01" w:rsidRPr="009C1C01" w:rsidRDefault="009C1C01" w:rsidP="009C1C01"/>
    <w:p w:rsidR="009C1C01" w:rsidRPr="009C1C01" w:rsidRDefault="009C1C01" w:rsidP="009C1C01">
      <w:pPr>
        <w:jc w:val="center"/>
        <w:rPr>
          <w:b/>
        </w:rPr>
      </w:pPr>
      <w:r w:rsidRPr="009C1C01">
        <w:rPr>
          <w:b/>
        </w:rPr>
        <w:t>BEFORE THE</w:t>
      </w:r>
    </w:p>
    <w:p w:rsidR="009C1C01" w:rsidRPr="009C1C01" w:rsidRDefault="009C1C01" w:rsidP="009C1C01">
      <w:pPr>
        <w:jc w:val="center"/>
        <w:rPr>
          <w:b/>
        </w:rPr>
      </w:pPr>
      <w:r w:rsidRPr="009C1C01">
        <w:rPr>
          <w:b/>
        </w:rPr>
        <w:t>PENNSYLVANIA PUBLIC UTILITY COMMISSION</w:t>
      </w:r>
    </w:p>
    <w:p w:rsidR="009C1C01" w:rsidRPr="009C1C01" w:rsidRDefault="009C1C01" w:rsidP="009C1C01"/>
    <w:p w:rsidR="009C1C01" w:rsidRPr="009C1C01" w:rsidRDefault="009C1C01" w:rsidP="009C1C01"/>
    <w:tbl>
      <w:tblPr>
        <w:tblW w:w="9263" w:type="dxa"/>
        <w:jc w:val="center"/>
        <w:tblInd w:w="-435" w:type="dxa"/>
        <w:tblLayout w:type="fixed"/>
        <w:tblCellMar>
          <w:left w:w="120" w:type="dxa"/>
          <w:right w:w="120" w:type="dxa"/>
        </w:tblCellMar>
        <w:tblLook w:val="0000" w:firstRow="0" w:lastRow="0" w:firstColumn="0" w:lastColumn="0" w:noHBand="0" w:noVBand="0"/>
      </w:tblPr>
      <w:tblGrid>
        <w:gridCol w:w="4512"/>
        <w:gridCol w:w="260"/>
        <w:gridCol w:w="4491"/>
      </w:tblGrid>
      <w:tr w:rsidR="009C1C01" w:rsidRPr="009C1C01" w:rsidTr="00BB5F8A">
        <w:trPr>
          <w:cantSplit/>
          <w:jc w:val="center"/>
        </w:trPr>
        <w:tc>
          <w:tcPr>
            <w:tcW w:w="4512" w:type="dxa"/>
            <w:tcMar>
              <w:top w:w="120" w:type="dxa"/>
              <w:left w:w="120" w:type="dxa"/>
              <w:bottom w:w="58" w:type="dxa"/>
              <w:right w:w="120" w:type="dxa"/>
            </w:tcMar>
          </w:tcPr>
          <w:p w:rsidR="009C1C01" w:rsidRPr="009C1C01" w:rsidRDefault="009C1C01" w:rsidP="009C1C01">
            <w:r w:rsidRPr="009C1C01">
              <w:t>Insurance Company of Greater New York a/s/o Quail Run Real Estate L.P. d/b/a Quail Run Apartments</w:t>
            </w:r>
          </w:p>
          <w:p w:rsidR="009C1C01" w:rsidRPr="009C1C01" w:rsidRDefault="009C1C01" w:rsidP="009C1C01"/>
          <w:p w:rsidR="009C1C01" w:rsidRPr="009C1C01" w:rsidRDefault="009C1C01" w:rsidP="009C1C01">
            <w:r w:rsidRPr="009C1C01">
              <w:tab/>
            </w:r>
            <w:r w:rsidRPr="009C1C01">
              <w:tab/>
            </w:r>
            <w:proofErr w:type="gramStart"/>
            <w:r w:rsidRPr="009C1C01">
              <w:t>v</w:t>
            </w:r>
            <w:proofErr w:type="gramEnd"/>
            <w:r w:rsidRPr="009C1C01">
              <w:t>.</w:t>
            </w:r>
          </w:p>
          <w:p w:rsidR="009C1C01" w:rsidRPr="009C1C01" w:rsidRDefault="009C1C01" w:rsidP="009C1C01"/>
          <w:p w:rsidR="009C1C01" w:rsidRPr="009C1C01" w:rsidRDefault="009C1C01" w:rsidP="009C1C01">
            <w:r w:rsidRPr="009C1C01">
              <w:t>United Water Pennsylvania Inc.</w:t>
            </w:r>
          </w:p>
        </w:tc>
        <w:tc>
          <w:tcPr>
            <w:tcW w:w="260" w:type="dxa"/>
            <w:tcMar>
              <w:top w:w="120" w:type="dxa"/>
              <w:left w:w="120" w:type="dxa"/>
              <w:bottom w:w="58" w:type="dxa"/>
              <w:right w:w="120" w:type="dxa"/>
            </w:tcMar>
          </w:tcPr>
          <w:p w:rsidR="009C1C01" w:rsidRPr="009C1C01" w:rsidRDefault="009C1C01" w:rsidP="009C1C01">
            <w:r w:rsidRPr="009C1C01">
              <w:t>:</w:t>
            </w:r>
          </w:p>
          <w:p w:rsidR="009C1C01" w:rsidRPr="009C1C01" w:rsidRDefault="009C1C01" w:rsidP="009C1C01">
            <w:r w:rsidRPr="009C1C01">
              <w:t>:</w:t>
            </w:r>
          </w:p>
          <w:p w:rsidR="009C1C01" w:rsidRPr="009C1C01" w:rsidRDefault="009C1C01" w:rsidP="009C1C01">
            <w:r w:rsidRPr="009C1C01">
              <w:t>:</w:t>
            </w:r>
          </w:p>
          <w:p w:rsidR="009C1C01" w:rsidRPr="009C1C01" w:rsidRDefault="009C1C01" w:rsidP="009C1C01">
            <w:r w:rsidRPr="009C1C01">
              <w:t>:</w:t>
            </w:r>
          </w:p>
          <w:p w:rsidR="009C1C01" w:rsidRPr="009C1C01" w:rsidRDefault="009C1C01" w:rsidP="009C1C01">
            <w:r w:rsidRPr="009C1C01">
              <w:t>:</w:t>
            </w:r>
          </w:p>
          <w:p w:rsidR="009C1C01" w:rsidRPr="009C1C01" w:rsidRDefault="009C1C01" w:rsidP="009C1C01">
            <w:r w:rsidRPr="009C1C01">
              <w:t>:</w:t>
            </w:r>
          </w:p>
          <w:p w:rsidR="009C1C01" w:rsidRPr="009C1C01" w:rsidRDefault="009C1C01" w:rsidP="009C1C01">
            <w:r w:rsidRPr="009C1C01">
              <w:t>:</w:t>
            </w:r>
          </w:p>
        </w:tc>
        <w:tc>
          <w:tcPr>
            <w:tcW w:w="4491" w:type="dxa"/>
            <w:tcMar>
              <w:top w:w="120" w:type="dxa"/>
              <w:left w:w="120" w:type="dxa"/>
              <w:bottom w:w="58" w:type="dxa"/>
              <w:right w:w="120" w:type="dxa"/>
            </w:tcMar>
          </w:tcPr>
          <w:p w:rsidR="009C1C01" w:rsidRPr="009C1C01" w:rsidRDefault="009C1C01" w:rsidP="009C1C01"/>
          <w:p w:rsidR="009C1C01" w:rsidRPr="009C1C01" w:rsidRDefault="009C1C01" w:rsidP="009C1C01">
            <w:r w:rsidRPr="009C1C01">
              <w:t xml:space="preserve">     </w:t>
            </w:r>
          </w:p>
          <w:p w:rsidR="009C1C01" w:rsidRPr="009C1C01" w:rsidRDefault="009C1C01" w:rsidP="009C1C01"/>
          <w:p w:rsidR="009C1C01" w:rsidRPr="009C1C01" w:rsidRDefault="009C1C01" w:rsidP="009C1C01"/>
          <w:p w:rsidR="009C1C01" w:rsidRPr="009C1C01" w:rsidRDefault="009C1C01" w:rsidP="009C1C01">
            <w:r w:rsidRPr="009C1C01">
              <w:tab/>
              <w:t>Docket No. C-2013-2393832</w:t>
            </w:r>
          </w:p>
        </w:tc>
      </w:tr>
    </w:tbl>
    <w:p w:rsidR="009C1C01" w:rsidRPr="009C1C01" w:rsidRDefault="009C1C01" w:rsidP="009C1C01">
      <w:pPr>
        <w:rPr>
          <w:u w:val="single"/>
        </w:rPr>
      </w:pPr>
    </w:p>
    <w:p w:rsidR="009C1C01" w:rsidRPr="009C1C01" w:rsidRDefault="009C1C01" w:rsidP="009C1C01">
      <w:pPr>
        <w:jc w:val="center"/>
        <w:rPr>
          <w:b/>
          <w:u w:val="single"/>
        </w:rPr>
      </w:pPr>
      <w:r w:rsidRPr="009C1C01">
        <w:rPr>
          <w:b/>
          <w:u w:val="single"/>
        </w:rPr>
        <w:t>CERTIFICATION</w:t>
      </w:r>
    </w:p>
    <w:p w:rsidR="009C1C01" w:rsidRPr="009C1C01" w:rsidRDefault="009C1C01" w:rsidP="009C1C01">
      <w:pPr>
        <w:rPr>
          <w:b/>
          <w:u w:val="single"/>
        </w:rPr>
      </w:pPr>
    </w:p>
    <w:p w:rsidR="009C1C01" w:rsidRPr="009C1C01" w:rsidRDefault="009C1C01" w:rsidP="00012EF5">
      <w:pPr>
        <w:spacing w:line="360" w:lineRule="auto"/>
      </w:pPr>
      <w:r w:rsidRPr="009C1C01">
        <w:t>TO WHOM IT MAY CONCERN:</w:t>
      </w:r>
    </w:p>
    <w:p w:rsidR="00012EF5" w:rsidRDefault="00012EF5" w:rsidP="00012EF5">
      <w:pPr>
        <w:spacing w:line="360" w:lineRule="auto"/>
      </w:pPr>
    </w:p>
    <w:p w:rsidR="009C1C01" w:rsidRPr="009C1C01" w:rsidRDefault="009C1C01" w:rsidP="00012EF5">
      <w:pPr>
        <w:spacing w:line="360" w:lineRule="auto"/>
      </w:pPr>
      <w:r w:rsidRPr="009C1C01">
        <w:tab/>
      </w:r>
      <w:r w:rsidRPr="009C1C01">
        <w:tab/>
        <w:t>The undersigned is the _________________________________________ of ___________________________________________________ (the receiving party).</w:t>
      </w:r>
    </w:p>
    <w:p w:rsidR="009C1C01" w:rsidRPr="009C1C01" w:rsidRDefault="009C1C01" w:rsidP="00012EF5">
      <w:pPr>
        <w:spacing w:line="360" w:lineRule="auto"/>
      </w:pPr>
      <w:r w:rsidRPr="009C1C01">
        <w:t>The undersigned has read, and understands that, the Protective Order deals with the treatment of Proprietary Information.  The undersigned agrees to be bound by, and comply with, the terms and conditions of said Order, which are incorporated herein by reference.</w:t>
      </w:r>
    </w:p>
    <w:p w:rsidR="009C1C01" w:rsidRPr="009C1C01" w:rsidRDefault="009C1C01" w:rsidP="00012EF5"/>
    <w:p w:rsidR="009C1C01" w:rsidRPr="009C1C01" w:rsidRDefault="000A5D97" w:rsidP="00012EF5">
      <w:r>
        <w:tab/>
      </w:r>
      <w:r>
        <w:tab/>
      </w:r>
      <w:r>
        <w:tab/>
      </w:r>
      <w:r>
        <w:tab/>
      </w:r>
      <w:r>
        <w:tab/>
      </w:r>
      <w:r>
        <w:tab/>
      </w:r>
      <w:r w:rsidR="009C1C01" w:rsidRPr="009C1C01">
        <w:t>__________________________________</w:t>
      </w:r>
    </w:p>
    <w:p w:rsidR="009C1C01" w:rsidRPr="009C1C01" w:rsidRDefault="009C1C01" w:rsidP="00012EF5">
      <w:r w:rsidRPr="009C1C01">
        <w:tab/>
      </w:r>
      <w:r w:rsidRPr="009C1C01">
        <w:tab/>
      </w:r>
      <w:r w:rsidRPr="009C1C01">
        <w:tab/>
      </w:r>
      <w:r w:rsidRPr="009C1C01">
        <w:tab/>
      </w:r>
      <w:r w:rsidRPr="009C1C01">
        <w:tab/>
      </w:r>
      <w:r w:rsidRPr="009C1C01">
        <w:tab/>
        <w:t>SIGNATURE</w:t>
      </w:r>
    </w:p>
    <w:p w:rsidR="000A5D97" w:rsidRPr="009C1C01" w:rsidRDefault="000A5D97" w:rsidP="00012EF5"/>
    <w:p w:rsidR="000A5D97" w:rsidRPr="009C1C01" w:rsidRDefault="009C1C01" w:rsidP="00012EF5">
      <w:r w:rsidRPr="009C1C01">
        <w:tab/>
      </w:r>
      <w:r w:rsidRPr="009C1C01">
        <w:tab/>
      </w:r>
      <w:r w:rsidRPr="009C1C01">
        <w:tab/>
      </w:r>
      <w:r w:rsidRPr="009C1C01">
        <w:tab/>
      </w:r>
      <w:r w:rsidRPr="009C1C01">
        <w:tab/>
      </w:r>
      <w:r w:rsidRPr="009C1C01">
        <w:tab/>
      </w:r>
      <w:r w:rsidR="000A5D97" w:rsidRPr="009C1C01">
        <w:t>__________________________________</w:t>
      </w:r>
    </w:p>
    <w:p w:rsidR="009C1C01" w:rsidRPr="009C1C01" w:rsidRDefault="000A5D97" w:rsidP="00012EF5">
      <w:r w:rsidRPr="009C1C01">
        <w:tab/>
      </w:r>
      <w:r w:rsidRPr="009C1C01">
        <w:tab/>
      </w:r>
      <w:r w:rsidRPr="009C1C01">
        <w:tab/>
      </w:r>
      <w:r w:rsidRPr="009C1C01">
        <w:tab/>
      </w:r>
      <w:r w:rsidRPr="009C1C01">
        <w:tab/>
      </w:r>
      <w:r w:rsidRPr="009C1C01">
        <w:tab/>
      </w:r>
      <w:r w:rsidR="009C1C01" w:rsidRPr="009C1C01">
        <w:t>PRINT NAME</w:t>
      </w:r>
    </w:p>
    <w:p w:rsidR="000A5D97" w:rsidRPr="009C1C01" w:rsidRDefault="000A5D97" w:rsidP="00012EF5"/>
    <w:p w:rsidR="000A5D97" w:rsidRPr="009C1C01" w:rsidRDefault="009C1C01" w:rsidP="00012EF5">
      <w:r w:rsidRPr="009C1C01">
        <w:tab/>
      </w:r>
      <w:r w:rsidRPr="009C1C01">
        <w:tab/>
      </w:r>
      <w:r w:rsidRPr="009C1C01">
        <w:tab/>
      </w:r>
      <w:r w:rsidRPr="009C1C01">
        <w:tab/>
      </w:r>
      <w:r w:rsidRPr="009C1C01">
        <w:tab/>
      </w:r>
      <w:r w:rsidRPr="009C1C01">
        <w:tab/>
      </w:r>
      <w:r w:rsidR="000A5D97" w:rsidRPr="009C1C01">
        <w:t>__________________________________</w:t>
      </w:r>
    </w:p>
    <w:p w:rsidR="009C1C01" w:rsidRPr="009C1C01" w:rsidRDefault="000A5D97" w:rsidP="00012EF5">
      <w:r w:rsidRPr="009C1C01">
        <w:tab/>
      </w:r>
      <w:r w:rsidRPr="009C1C01">
        <w:tab/>
      </w:r>
      <w:r w:rsidRPr="009C1C01">
        <w:tab/>
      </w:r>
      <w:r w:rsidRPr="009C1C01">
        <w:tab/>
      </w:r>
      <w:r w:rsidRPr="009C1C01">
        <w:tab/>
      </w:r>
      <w:r w:rsidRPr="009C1C01">
        <w:tab/>
      </w:r>
      <w:r w:rsidR="009C1C01" w:rsidRPr="009C1C01">
        <w:t>ADDRESS</w:t>
      </w:r>
    </w:p>
    <w:p w:rsidR="000A5D97" w:rsidRPr="009C1C01" w:rsidRDefault="000A5D97" w:rsidP="00012EF5"/>
    <w:p w:rsidR="000A5D97" w:rsidRPr="009C1C01" w:rsidRDefault="000A5D97" w:rsidP="00012EF5">
      <w:pPr>
        <w:ind w:left="3600" w:firstLine="720"/>
      </w:pPr>
      <w:r w:rsidRPr="009C1C01">
        <w:t>__________________________________</w:t>
      </w:r>
    </w:p>
    <w:p w:rsidR="009C1C01" w:rsidRPr="009C1C01" w:rsidRDefault="000A5D97" w:rsidP="00012EF5">
      <w:r>
        <w:tab/>
      </w:r>
      <w:r>
        <w:tab/>
      </w:r>
      <w:r>
        <w:tab/>
      </w:r>
      <w:r>
        <w:tab/>
      </w:r>
      <w:r>
        <w:tab/>
      </w:r>
      <w:r>
        <w:tab/>
      </w:r>
      <w:r w:rsidR="009C1C01" w:rsidRPr="009C1C01">
        <w:t>EMPLOYER</w:t>
      </w:r>
    </w:p>
    <w:p w:rsidR="009C1C01" w:rsidRPr="009C1C01" w:rsidRDefault="009C1C01" w:rsidP="00012EF5"/>
    <w:p w:rsidR="009C1C01" w:rsidRPr="009C1C01" w:rsidRDefault="009C1C01" w:rsidP="00012EF5"/>
    <w:p w:rsidR="009C1C01" w:rsidRPr="009C1C01" w:rsidRDefault="009C1C01" w:rsidP="00012EF5">
      <w:r w:rsidRPr="009C1C01">
        <w:tab/>
      </w:r>
      <w:r w:rsidRPr="009C1C01">
        <w:tab/>
      </w:r>
      <w:r w:rsidRPr="009C1C01">
        <w:tab/>
      </w:r>
      <w:r w:rsidRPr="009C1C01">
        <w:tab/>
      </w:r>
      <w:r w:rsidRPr="009C1C01">
        <w:tab/>
      </w:r>
      <w:r w:rsidRPr="009C1C01">
        <w:tab/>
        <w:t>DATE:   ___________________________</w:t>
      </w:r>
    </w:p>
    <w:p w:rsidR="002B1CF8" w:rsidRDefault="002B1CF8" w:rsidP="00012EF5">
      <w:pPr>
        <w:sectPr w:rsidR="002B1CF8" w:rsidSect="00713D64">
          <w:footerReference w:type="default" r:id="rId9"/>
          <w:pgSz w:w="12240" w:h="15840"/>
          <w:pgMar w:top="1440" w:right="1800" w:bottom="1440" w:left="1800" w:header="720" w:footer="720" w:gutter="0"/>
          <w:cols w:space="720"/>
          <w:titlePg/>
        </w:sectPr>
      </w:pPr>
    </w:p>
    <w:p w:rsidR="002B1CF8" w:rsidRDefault="002B1CF8" w:rsidP="002B1CF8">
      <w:pPr>
        <w:rPr>
          <w:rFonts w:ascii="Microsoft Sans Serif" w:hAnsi="Microsoft Sans Serif" w:cs="Microsoft Sans Serif"/>
          <w:b/>
          <w:u w:val="single"/>
        </w:rPr>
      </w:pPr>
      <w:r w:rsidRPr="00312E41">
        <w:rPr>
          <w:rFonts w:ascii="Microsoft Sans Serif"/>
          <w:b/>
          <w:u w:val="single"/>
        </w:rPr>
        <w:lastRenderedPageBreak/>
        <w:t>C-2013-2393832 - INSURANCE COMPANY OF GREATER NEW YORK v. UNITED WATER PENNSYLVANIA INC</w:t>
      </w:r>
      <w:r w:rsidRPr="00312E41">
        <w:rPr>
          <w:rFonts w:ascii="Microsoft Sans Serif"/>
          <w:b/>
          <w:u w:val="single"/>
        </w:rPr>
        <w:cr/>
      </w:r>
      <w:r w:rsidRPr="00312E41">
        <w:rPr>
          <w:rFonts w:ascii="Microsoft Sans Serif"/>
          <w:b/>
          <w:u w:val="single"/>
        </w:rPr>
        <w:cr/>
      </w:r>
      <w:r w:rsidRPr="00344E93">
        <w:rPr>
          <w:rFonts w:ascii="Microsoft Sans Serif" w:hAnsi="Microsoft Sans Serif" w:cs="Microsoft Sans Serif"/>
          <w:b/>
          <w:u w:val="single"/>
        </w:rPr>
        <w:t>C-2014-2416206 - STATE FARM FIRE AND CASUALTY COMPANY v.</w:t>
      </w:r>
      <w:r>
        <w:rPr>
          <w:rFonts w:ascii="Microsoft Sans Serif" w:hAnsi="Microsoft Sans Serif" w:cs="Microsoft Sans Serif"/>
          <w:b/>
          <w:u w:val="single"/>
        </w:rPr>
        <w:t xml:space="preserve"> UNITED WATER PENNSYLVANIA INC</w:t>
      </w:r>
      <w:r>
        <w:rPr>
          <w:rFonts w:ascii="Microsoft Sans Serif" w:hAnsi="Microsoft Sans Serif" w:cs="Microsoft Sans Serif"/>
          <w:b/>
          <w:u w:val="single"/>
        </w:rPr>
        <w:cr/>
      </w:r>
    </w:p>
    <w:p w:rsidR="002B1CF8" w:rsidRDefault="002B1CF8" w:rsidP="002B1CF8">
      <w:pPr>
        <w:contextualSpacing/>
        <w:rPr>
          <w:rFonts w:ascii="Microsoft Sans Serif"/>
        </w:rPr>
      </w:pPr>
    </w:p>
    <w:p w:rsidR="002B1CF8" w:rsidRDefault="002B1CF8" w:rsidP="002B1CF8">
      <w:pPr>
        <w:contextualSpacing/>
        <w:rPr>
          <w:rFonts w:ascii="Microsoft Sans Serif"/>
        </w:rPr>
      </w:pPr>
    </w:p>
    <w:p w:rsidR="002B1CF8" w:rsidRPr="00312E41" w:rsidRDefault="002B1CF8" w:rsidP="002B1CF8">
      <w:pPr>
        <w:contextualSpacing/>
        <w:rPr>
          <w:rFonts w:ascii="Microsoft Sans Serif"/>
        </w:rPr>
      </w:pPr>
      <w:bookmarkStart w:id="1" w:name="_GoBack"/>
      <w:r w:rsidRPr="00312E41">
        <w:rPr>
          <w:rFonts w:ascii="Microsoft Sans Serif"/>
        </w:rPr>
        <w:t>GARY L BAILEY ESQUIRE</w:t>
      </w:r>
    </w:p>
    <w:p w:rsidR="002B1CF8" w:rsidRDefault="002B1CF8" w:rsidP="002B1CF8">
      <w:pPr>
        <w:contextualSpacing/>
        <w:rPr>
          <w:rFonts w:ascii="Microsoft Sans Serif"/>
        </w:rPr>
      </w:pPr>
      <w:r w:rsidRPr="00312E41">
        <w:rPr>
          <w:rFonts w:ascii="Microsoft Sans Serif"/>
        </w:rPr>
        <w:t>MATTHEW D MATKOV ESQUIRE</w:t>
      </w:r>
      <w:r w:rsidRPr="00312E41">
        <w:rPr>
          <w:rFonts w:ascii="Microsoft Sans Serif"/>
        </w:rPr>
        <w:cr/>
        <w:t>SALTZ MATKOV PC</w:t>
      </w:r>
      <w:r w:rsidRPr="00312E41">
        <w:rPr>
          <w:rFonts w:ascii="Microsoft Sans Serif"/>
        </w:rPr>
        <w:cr/>
        <w:t>998 OLD EAGLE SCHOOL ROAD SUITE 1206</w:t>
      </w:r>
      <w:r w:rsidRPr="00312E41">
        <w:rPr>
          <w:rFonts w:ascii="Microsoft Sans Serif"/>
        </w:rPr>
        <w:cr/>
        <w:t>WAYNE PA  19087</w:t>
      </w:r>
      <w:r w:rsidRPr="00312E41">
        <w:rPr>
          <w:rFonts w:ascii="Microsoft Sans Serif"/>
        </w:rPr>
        <w:cr/>
      </w:r>
      <w:bookmarkEnd w:id="1"/>
      <w:r w:rsidRPr="00312E41">
        <w:rPr>
          <w:rFonts w:ascii="Microsoft Sans Serif"/>
          <w:b/>
        </w:rPr>
        <w:t>484.318.7225</w:t>
      </w:r>
      <w:r w:rsidRPr="00312E41">
        <w:rPr>
          <w:rFonts w:ascii="Microsoft Sans Serif"/>
          <w:b/>
        </w:rPr>
        <w:cr/>
      </w:r>
      <w:r w:rsidRPr="00312E41">
        <w:rPr>
          <w:rFonts w:ascii="Microsoft Sans Serif"/>
        </w:rPr>
        <w:cr/>
      </w:r>
      <w:r w:rsidRPr="00344E93">
        <w:rPr>
          <w:rFonts w:ascii="Microsoft Sans Serif" w:hAnsi="Microsoft Sans Serif" w:cs="Microsoft Sans Serif"/>
        </w:rPr>
        <w:t xml:space="preserve">CHARLES E THOMAS III </w:t>
      </w:r>
      <w:r>
        <w:rPr>
          <w:rFonts w:ascii="Microsoft Sans Serif" w:hAnsi="Microsoft Sans Serif" w:cs="Microsoft Sans Serif"/>
        </w:rPr>
        <w:t>ESQUIRE</w:t>
      </w:r>
    </w:p>
    <w:p w:rsidR="002B1CF8" w:rsidRPr="00312E41" w:rsidRDefault="002B1CF8" w:rsidP="002B1CF8">
      <w:pPr>
        <w:contextualSpacing/>
        <w:rPr>
          <w:rFonts w:ascii="Microsoft Sans Serif"/>
          <w:b/>
          <w:i/>
          <w:u w:val="single"/>
        </w:rPr>
      </w:pPr>
      <w:r w:rsidRPr="00312E41">
        <w:rPr>
          <w:rFonts w:ascii="Microsoft Sans Serif"/>
        </w:rPr>
        <w:t>THOMAS T NIESEN ESQUIRE</w:t>
      </w:r>
      <w:r w:rsidRPr="00312E41">
        <w:rPr>
          <w:rFonts w:ascii="Microsoft Sans Serif"/>
        </w:rPr>
        <w:cr/>
        <w:t>THOMAS LONG NIESEN &amp; KENNARD</w:t>
      </w:r>
      <w:r w:rsidRPr="00312E41">
        <w:rPr>
          <w:rFonts w:ascii="Microsoft Sans Serif"/>
        </w:rPr>
        <w:cr/>
        <w:t>PO BOX 9500</w:t>
      </w:r>
      <w:r w:rsidRPr="00312E41">
        <w:rPr>
          <w:rFonts w:ascii="Microsoft Sans Serif"/>
        </w:rPr>
        <w:cr/>
        <w:t>HARRISBURG PA  17108-9500</w:t>
      </w:r>
      <w:r w:rsidRPr="00312E41">
        <w:rPr>
          <w:rFonts w:ascii="Microsoft Sans Serif"/>
        </w:rPr>
        <w:cr/>
      </w:r>
      <w:r w:rsidRPr="00312E41">
        <w:rPr>
          <w:rFonts w:ascii="Microsoft Sans Serif"/>
          <w:b/>
        </w:rPr>
        <w:t>717.255.7600</w:t>
      </w:r>
      <w:r w:rsidRPr="00312E41">
        <w:rPr>
          <w:rFonts w:ascii="Microsoft Sans Serif"/>
        </w:rPr>
        <w:cr/>
      </w:r>
      <w:r w:rsidRPr="00376B8F">
        <w:rPr>
          <w:rFonts w:ascii="Microsoft Sans Serif"/>
          <w:b/>
          <w:i/>
          <w:u w:val="single"/>
        </w:rPr>
        <w:t>Accepts e-Service</w:t>
      </w:r>
    </w:p>
    <w:p w:rsidR="002B1CF8" w:rsidRDefault="002B1CF8" w:rsidP="002B1CF8">
      <w:pPr>
        <w:contextualSpacing/>
        <w:rPr>
          <w:rFonts w:ascii="Microsoft Sans Serif" w:hAnsi="Microsoft Sans Serif" w:cs="Microsoft Sans Serif"/>
          <w:i/>
        </w:rPr>
      </w:pPr>
      <w:r>
        <w:rPr>
          <w:rFonts w:ascii="Microsoft Sans Serif" w:hAnsi="Microsoft Sans Serif" w:cs="Microsoft Sans Serif"/>
          <w:i/>
        </w:rPr>
        <w:t xml:space="preserve">(For United Water Pennsylvania </w:t>
      </w:r>
      <w:proofErr w:type="spellStart"/>
      <w:r>
        <w:rPr>
          <w:rFonts w:ascii="Microsoft Sans Serif" w:hAnsi="Microsoft Sans Serif" w:cs="Microsoft Sans Serif"/>
          <w:i/>
        </w:rPr>
        <w:t>Inc</w:t>
      </w:r>
      <w:proofErr w:type="spellEnd"/>
      <w:r>
        <w:rPr>
          <w:rFonts w:ascii="Microsoft Sans Serif" w:hAnsi="Microsoft Sans Serif" w:cs="Microsoft Sans Serif"/>
          <w:i/>
        </w:rPr>
        <w:t>)</w:t>
      </w:r>
    </w:p>
    <w:p w:rsidR="002B1CF8" w:rsidRDefault="002B1CF8" w:rsidP="002B1CF8">
      <w:pPr>
        <w:rPr>
          <w:rFonts w:ascii="Microsoft Sans Serif" w:hAnsi="Microsoft Sans Serif" w:cs="Microsoft Sans Serif"/>
        </w:rPr>
      </w:pPr>
    </w:p>
    <w:p w:rsidR="002B1CF8" w:rsidRDefault="002B1CF8" w:rsidP="002B1CF8">
      <w:pPr>
        <w:rPr>
          <w:rFonts w:ascii="Microsoft Sans Serif" w:hAnsi="Microsoft Sans Serif" w:cs="Microsoft Sans Serif"/>
        </w:rPr>
      </w:pPr>
      <w:r w:rsidRPr="00344E93">
        <w:rPr>
          <w:rFonts w:ascii="Microsoft Sans Serif" w:hAnsi="Microsoft Sans Serif" w:cs="Microsoft Sans Serif"/>
        </w:rPr>
        <w:t xml:space="preserve">JASON A PLAZA </w:t>
      </w:r>
      <w:r>
        <w:rPr>
          <w:rFonts w:ascii="Microsoft Sans Serif" w:hAnsi="Microsoft Sans Serif" w:cs="Microsoft Sans Serif"/>
        </w:rPr>
        <w:t>ESQUIRE</w:t>
      </w:r>
    </w:p>
    <w:p w:rsidR="002B1CF8" w:rsidRDefault="002B1CF8" w:rsidP="002B1CF8">
      <w:pPr>
        <w:rPr>
          <w:rFonts w:ascii="Microsoft Sans Serif" w:hAnsi="Microsoft Sans Serif" w:cs="Microsoft Sans Serif"/>
          <w:b/>
          <w:i/>
        </w:rPr>
      </w:pPr>
      <w:r w:rsidRPr="00344E93">
        <w:rPr>
          <w:rFonts w:ascii="Microsoft Sans Serif" w:hAnsi="Microsoft Sans Serif" w:cs="Microsoft Sans Serif"/>
        </w:rPr>
        <w:t>WHITE AND WILLIAMS LLP</w:t>
      </w:r>
      <w:r w:rsidRPr="00344E93">
        <w:rPr>
          <w:rFonts w:ascii="Microsoft Sans Serif" w:hAnsi="Microsoft Sans Serif" w:cs="Microsoft Sans Serif"/>
        </w:rPr>
        <w:cr/>
        <w:t>1650 MARKET STREET</w:t>
      </w:r>
      <w:r w:rsidRPr="00344E93">
        <w:rPr>
          <w:rFonts w:ascii="Microsoft Sans Serif" w:hAnsi="Microsoft Sans Serif" w:cs="Microsoft Sans Serif"/>
        </w:rPr>
        <w:cr/>
        <w:t>SUITE 1800</w:t>
      </w:r>
      <w:r w:rsidRPr="00344E93">
        <w:rPr>
          <w:rFonts w:ascii="Microsoft Sans Serif" w:hAnsi="Microsoft Sans Serif" w:cs="Microsoft Sans Serif"/>
        </w:rPr>
        <w:cr/>
        <w:t>PHILADELPHIA PA  19103</w:t>
      </w:r>
      <w:r w:rsidRPr="00344E93">
        <w:rPr>
          <w:rFonts w:ascii="Microsoft Sans Serif" w:hAnsi="Microsoft Sans Serif" w:cs="Microsoft Sans Serif"/>
        </w:rPr>
        <w:cr/>
      </w:r>
      <w:r w:rsidRPr="00344E93">
        <w:rPr>
          <w:rFonts w:ascii="Microsoft Sans Serif" w:hAnsi="Microsoft Sans Serif" w:cs="Microsoft Sans Serif"/>
          <w:b/>
        </w:rPr>
        <w:t>215-864-6813</w:t>
      </w:r>
      <w:r w:rsidRPr="00344E93">
        <w:rPr>
          <w:rFonts w:ascii="Microsoft Sans Serif" w:hAnsi="Microsoft Sans Serif" w:cs="Microsoft Sans Serif"/>
          <w:b/>
        </w:rPr>
        <w:cr/>
      </w:r>
      <w:r w:rsidRPr="00344E93">
        <w:rPr>
          <w:rFonts w:ascii="Microsoft Sans Serif" w:hAnsi="Microsoft Sans Serif" w:cs="Microsoft Sans Serif"/>
          <w:i/>
        </w:rPr>
        <w:t>(For State Farm Fire &amp; Casualty Company)</w:t>
      </w:r>
    </w:p>
    <w:p w:rsidR="002B1CF8" w:rsidRDefault="002B1CF8" w:rsidP="002B1CF8">
      <w:pPr>
        <w:rPr>
          <w:rFonts w:ascii="Microsoft Sans Serif"/>
          <w:b/>
          <w:i/>
          <w:u w:val="single"/>
        </w:rPr>
      </w:pPr>
      <w:r w:rsidRPr="00376B8F">
        <w:rPr>
          <w:rFonts w:ascii="Microsoft Sans Serif"/>
          <w:b/>
          <w:i/>
          <w:u w:val="single"/>
        </w:rPr>
        <w:t>Accepts e-Service</w:t>
      </w:r>
    </w:p>
    <w:p w:rsidR="002B1CF8" w:rsidRPr="00344E93" w:rsidRDefault="002B1CF8" w:rsidP="002B1CF8">
      <w:pPr>
        <w:rPr>
          <w:rFonts w:ascii="Microsoft Sans Serif" w:hAnsi="Microsoft Sans Serif" w:cs="Microsoft Sans Serif"/>
          <w:i/>
        </w:rPr>
      </w:pPr>
    </w:p>
    <w:p w:rsidR="009160D8" w:rsidRPr="00550B34" w:rsidRDefault="009160D8" w:rsidP="00012EF5"/>
    <w:sectPr w:rsidR="009160D8" w:rsidRPr="00550B3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571" w:rsidRDefault="00530571">
      <w:r>
        <w:separator/>
      </w:r>
    </w:p>
  </w:endnote>
  <w:endnote w:type="continuationSeparator" w:id="0">
    <w:p w:rsidR="00530571" w:rsidRDefault="00530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AE34CA">
      <w:rPr>
        <w:rStyle w:val="PageNumber"/>
        <w:noProof/>
        <w:sz w:val="23"/>
        <w:szCs w:val="23"/>
      </w:rPr>
      <w:t>11</w:t>
    </w:r>
    <w:r w:rsidRPr="003C02CC">
      <w:rPr>
        <w:rStyle w:val="PageNumber"/>
        <w:sz w:val="23"/>
        <w:szCs w:val="23"/>
      </w:rPr>
      <w:fldChar w:fldCharType="end"/>
    </w:r>
  </w:p>
  <w:p w:rsidR="006D33B5" w:rsidRPr="003C02CC" w:rsidRDefault="006D33B5">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CF8" w:rsidRPr="003C02CC" w:rsidRDefault="002B1CF8">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571" w:rsidRDefault="00530571">
      <w:r>
        <w:separator/>
      </w:r>
    </w:p>
  </w:footnote>
  <w:footnote w:type="continuationSeparator" w:id="0">
    <w:p w:rsidR="00530571" w:rsidRDefault="005305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3C1CF1"/>
    <w:multiLevelType w:val="hybridMultilevel"/>
    <w:tmpl w:val="0E3ED41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7"/>
  </w:num>
  <w:num w:numId="3">
    <w:abstractNumId w:val="2"/>
  </w:num>
  <w:num w:numId="4">
    <w:abstractNumId w:val="15"/>
  </w:num>
  <w:num w:numId="5">
    <w:abstractNumId w:val="3"/>
  </w:num>
  <w:num w:numId="6">
    <w:abstractNumId w:val="17"/>
  </w:num>
  <w:num w:numId="7">
    <w:abstractNumId w:val="1"/>
  </w:num>
  <w:num w:numId="8">
    <w:abstractNumId w:val="11"/>
  </w:num>
  <w:num w:numId="9">
    <w:abstractNumId w:val="6"/>
  </w:num>
  <w:num w:numId="10">
    <w:abstractNumId w:val="16"/>
  </w:num>
  <w:num w:numId="11">
    <w:abstractNumId w:val="13"/>
  </w:num>
  <w:num w:numId="12">
    <w:abstractNumId w:val="5"/>
  </w:num>
  <w:num w:numId="13">
    <w:abstractNumId w:val="12"/>
  </w:num>
  <w:num w:numId="14">
    <w:abstractNumId w:val="0"/>
  </w:num>
  <w:num w:numId="15">
    <w:abstractNumId w:val="14"/>
  </w:num>
  <w:num w:numId="16">
    <w:abstractNumId w:val="9"/>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12EF5"/>
    <w:rsid w:val="00017C0F"/>
    <w:rsid w:val="000253F8"/>
    <w:rsid w:val="00031CED"/>
    <w:rsid w:val="00037E8B"/>
    <w:rsid w:val="00040542"/>
    <w:rsid w:val="000447F9"/>
    <w:rsid w:val="00050489"/>
    <w:rsid w:val="00050AF1"/>
    <w:rsid w:val="00054540"/>
    <w:rsid w:val="00054A10"/>
    <w:rsid w:val="00055FCB"/>
    <w:rsid w:val="00060BB1"/>
    <w:rsid w:val="00063F87"/>
    <w:rsid w:val="00073240"/>
    <w:rsid w:val="00080E54"/>
    <w:rsid w:val="00081A6A"/>
    <w:rsid w:val="000851FC"/>
    <w:rsid w:val="000878EC"/>
    <w:rsid w:val="00096D6A"/>
    <w:rsid w:val="000A5D97"/>
    <w:rsid w:val="000B6D6C"/>
    <w:rsid w:val="000C3A73"/>
    <w:rsid w:val="000C5271"/>
    <w:rsid w:val="000C541F"/>
    <w:rsid w:val="000C5888"/>
    <w:rsid w:val="000D2CCA"/>
    <w:rsid w:val="000D4032"/>
    <w:rsid w:val="000D67B4"/>
    <w:rsid w:val="000D6D75"/>
    <w:rsid w:val="000E6B3B"/>
    <w:rsid w:val="000F0A49"/>
    <w:rsid w:val="000F7691"/>
    <w:rsid w:val="00100249"/>
    <w:rsid w:val="001011A4"/>
    <w:rsid w:val="00104073"/>
    <w:rsid w:val="00104D08"/>
    <w:rsid w:val="001066C1"/>
    <w:rsid w:val="00107108"/>
    <w:rsid w:val="00111D05"/>
    <w:rsid w:val="00113C98"/>
    <w:rsid w:val="001143EE"/>
    <w:rsid w:val="00116479"/>
    <w:rsid w:val="00116C62"/>
    <w:rsid w:val="00122A9C"/>
    <w:rsid w:val="001270B6"/>
    <w:rsid w:val="00130568"/>
    <w:rsid w:val="00132928"/>
    <w:rsid w:val="0013770C"/>
    <w:rsid w:val="00140883"/>
    <w:rsid w:val="00141DCE"/>
    <w:rsid w:val="00142EE0"/>
    <w:rsid w:val="00143290"/>
    <w:rsid w:val="001441F9"/>
    <w:rsid w:val="00144EB5"/>
    <w:rsid w:val="00153529"/>
    <w:rsid w:val="001547B2"/>
    <w:rsid w:val="001714A2"/>
    <w:rsid w:val="001767DF"/>
    <w:rsid w:val="00181BAB"/>
    <w:rsid w:val="00182ECA"/>
    <w:rsid w:val="00187495"/>
    <w:rsid w:val="00187940"/>
    <w:rsid w:val="001900E6"/>
    <w:rsid w:val="00190843"/>
    <w:rsid w:val="00193F4C"/>
    <w:rsid w:val="0019509B"/>
    <w:rsid w:val="00197B84"/>
    <w:rsid w:val="001A1495"/>
    <w:rsid w:val="001C23B6"/>
    <w:rsid w:val="001C7376"/>
    <w:rsid w:val="001C7DC7"/>
    <w:rsid w:val="001C7E2F"/>
    <w:rsid w:val="001D0606"/>
    <w:rsid w:val="001D36BC"/>
    <w:rsid w:val="001D48D9"/>
    <w:rsid w:val="001E0583"/>
    <w:rsid w:val="001E1EC3"/>
    <w:rsid w:val="001E1EE6"/>
    <w:rsid w:val="001E3CC9"/>
    <w:rsid w:val="001E41F1"/>
    <w:rsid w:val="001E755C"/>
    <w:rsid w:val="001F3D60"/>
    <w:rsid w:val="001F59C0"/>
    <w:rsid w:val="0020025C"/>
    <w:rsid w:val="002026C5"/>
    <w:rsid w:val="002069A1"/>
    <w:rsid w:val="00212459"/>
    <w:rsid w:val="00215350"/>
    <w:rsid w:val="0022121D"/>
    <w:rsid w:val="00224765"/>
    <w:rsid w:val="002251CE"/>
    <w:rsid w:val="0023008A"/>
    <w:rsid w:val="002362D0"/>
    <w:rsid w:val="0024311B"/>
    <w:rsid w:val="00252F51"/>
    <w:rsid w:val="0025436A"/>
    <w:rsid w:val="0026329B"/>
    <w:rsid w:val="00266583"/>
    <w:rsid w:val="0027269F"/>
    <w:rsid w:val="00276158"/>
    <w:rsid w:val="002825EF"/>
    <w:rsid w:val="002860B7"/>
    <w:rsid w:val="002872AD"/>
    <w:rsid w:val="002967E5"/>
    <w:rsid w:val="002A5F90"/>
    <w:rsid w:val="002A6146"/>
    <w:rsid w:val="002B04F4"/>
    <w:rsid w:val="002B1CF8"/>
    <w:rsid w:val="002B1DB7"/>
    <w:rsid w:val="002B5A65"/>
    <w:rsid w:val="002C06C1"/>
    <w:rsid w:val="002C13F5"/>
    <w:rsid w:val="002C2C4E"/>
    <w:rsid w:val="002C32C8"/>
    <w:rsid w:val="002C370F"/>
    <w:rsid w:val="002C40FB"/>
    <w:rsid w:val="002C66E9"/>
    <w:rsid w:val="002E2B8A"/>
    <w:rsid w:val="002E4F5F"/>
    <w:rsid w:val="002E5F7E"/>
    <w:rsid w:val="002E76DB"/>
    <w:rsid w:val="002F61D3"/>
    <w:rsid w:val="003038D5"/>
    <w:rsid w:val="00312F22"/>
    <w:rsid w:val="00316851"/>
    <w:rsid w:val="00317051"/>
    <w:rsid w:val="00321207"/>
    <w:rsid w:val="003234C9"/>
    <w:rsid w:val="00326FA4"/>
    <w:rsid w:val="00330C99"/>
    <w:rsid w:val="00331314"/>
    <w:rsid w:val="00333A41"/>
    <w:rsid w:val="00334E63"/>
    <w:rsid w:val="00337DC7"/>
    <w:rsid w:val="00342A79"/>
    <w:rsid w:val="00345AF2"/>
    <w:rsid w:val="0036322E"/>
    <w:rsid w:val="00364A6D"/>
    <w:rsid w:val="00366708"/>
    <w:rsid w:val="003678E6"/>
    <w:rsid w:val="00367E2E"/>
    <w:rsid w:val="00371B8B"/>
    <w:rsid w:val="00374FE0"/>
    <w:rsid w:val="0037679C"/>
    <w:rsid w:val="00380135"/>
    <w:rsid w:val="003828F7"/>
    <w:rsid w:val="0039072F"/>
    <w:rsid w:val="0039566B"/>
    <w:rsid w:val="003A5D44"/>
    <w:rsid w:val="003B2B0E"/>
    <w:rsid w:val="003B4C91"/>
    <w:rsid w:val="003B4D8F"/>
    <w:rsid w:val="003C02CC"/>
    <w:rsid w:val="003C424C"/>
    <w:rsid w:val="003D419D"/>
    <w:rsid w:val="003E04E8"/>
    <w:rsid w:val="003E3839"/>
    <w:rsid w:val="003E44F8"/>
    <w:rsid w:val="003F49DD"/>
    <w:rsid w:val="003F68D9"/>
    <w:rsid w:val="00407622"/>
    <w:rsid w:val="00413065"/>
    <w:rsid w:val="00415EAE"/>
    <w:rsid w:val="00421C2E"/>
    <w:rsid w:val="00427BB1"/>
    <w:rsid w:val="004327EC"/>
    <w:rsid w:val="0044078D"/>
    <w:rsid w:val="004417F1"/>
    <w:rsid w:val="00444026"/>
    <w:rsid w:val="004441EB"/>
    <w:rsid w:val="00444E27"/>
    <w:rsid w:val="00446AEA"/>
    <w:rsid w:val="004509B5"/>
    <w:rsid w:val="004677A9"/>
    <w:rsid w:val="0046782D"/>
    <w:rsid w:val="00476814"/>
    <w:rsid w:val="0048022D"/>
    <w:rsid w:val="00484CA9"/>
    <w:rsid w:val="00487C67"/>
    <w:rsid w:val="0049010E"/>
    <w:rsid w:val="004907E0"/>
    <w:rsid w:val="00491200"/>
    <w:rsid w:val="004A44C7"/>
    <w:rsid w:val="004A6217"/>
    <w:rsid w:val="004B12AD"/>
    <w:rsid w:val="004B3128"/>
    <w:rsid w:val="004B73DA"/>
    <w:rsid w:val="004C0C8D"/>
    <w:rsid w:val="004C19EA"/>
    <w:rsid w:val="004C54A1"/>
    <w:rsid w:val="004C5959"/>
    <w:rsid w:val="004D5EDA"/>
    <w:rsid w:val="004E3BB5"/>
    <w:rsid w:val="004E5B21"/>
    <w:rsid w:val="004E6F0A"/>
    <w:rsid w:val="004F0FF9"/>
    <w:rsid w:val="0050525A"/>
    <w:rsid w:val="00506ED2"/>
    <w:rsid w:val="00506F36"/>
    <w:rsid w:val="0051332A"/>
    <w:rsid w:val="005173E3"/>
    <w:rsid w:val="0052063B"/>
    <w:rsid w:val="00522D71"/>
    <w:rsid w:val="00526B7E"/>
    <w:rsid w:val="00530571"/>
    <w:rsid w:val="00531C6A"/>
    <w:rsid w:val="0053303C"/>
    <w:rsid w:val="0053542E"/>
    <w:rsid w:val="00535728"/>
    <w:rsid w:val="00535B47"/>
    <w:rsid w:val="00541FA5"/>
    <w:rsid w:val="00550B34"/>
    <w:rsid w:val="005534AB"/>
    <w:rsid w:val="00555AB2"/>
    <w:rsid w:val="0056090B"/>
    <w:rsid w:val="00562740"/>
    <w:rsid w:val="0056328E"/>
    <w:rsid w:val="00564A1C"/>
    <w:rsid w:val="00566D50"/>
    <w:rsid w:val="00577041"/>
    <w:rsid w:val="00582CDA"/>
    <w:rsid w:val="0058333F"/>
    <w:rsid w:val="005877DE"/>
    <w:rsid w:val="00587965"/>
    <w:rsid w:val="00593CE6"/>
    <w:rsid w:val="005A0C2C"/>
    <w:rsid w:val="005A36C7"/>
    <w:rsid w:val="005A3B57"/>
    <w:rsid w:val="005B49D8"/>
    <w:rsid w:val="005B6C33"/>
    <w:rsid w:val="005C038C"/>
    <w:rsid w:val="005C7120"/>
    <w:rsid w:val="005D0602"/>
    <w:rsid w:val="005D092D"/>
    <w:rsid w:val="005D470C"/>
    <w:rsid w:val="005E5B28"/>
    <w:rsid w:val="005F179B"/>
    <w:rsid w:val="005F1FD3"/>
    <w:rsid w:val="005F2817"/>
    <w:rsid w:val="005F3E44"/>
    <w:rsid w:val="005F5D43"/>
    <w:rsid w:val="006031D8"/>
    <w:rsid w:val="006044E1"/>
    <w:rsid w:val="0060777D"/>
    <w:rsid w:val="006151E8"/>
    <w:rsid w:val="00617F66"/>
    <w:rsid w:val="0062545F"/>
    <w:rsid w:val="00626332"/>
    <w:rsid w:val="006273A0"/>
    <w:rsid w:val="00634D85"/>
    <w:rsid w:val="006373C8"/>
    <w:rsid w:val="00643063"/>
    <w:rsid w:val="00645312"/>
    <w:rsid w:val="00646D7E"/>
    <w:rsid w:val="0064719F"/>
    <w:rsid w:val="00657239"/>
    <w:rsid w:val="00661F7B"/>
    <w:rsid w:val="00664B91"/>
    <w:rsid w:val="00666CE7"/>
    <w:rsid w:val="00670EBA"/>
    <w:rsid w:val="0067293C"/>
    <w:rsid w:val="006747F7"/>
    <w:rsid w:val="006763F3"/>
    <w:rsid w:val="006803CC"/>
    <w:rsid w:val="006816B8"/>
    <w:rsid w:val="00684075"/>
    <w:rsid w:val="00694651"/>
    <w:rsid w:val="0069608E"/>
    <w:rsid w:val="0069608F"/>
    <w:rsid w:val="006A2304"/>
    <w:rsid w:val="006A7A0E"/>
    <w:rsid w:val="006B19FC"/>
    <w:rsid w:val="006C2C4C"/>
    <w:rsid w:val="006C393A"/>
    <w:rsid w:val="006C5A4D"/>
    <w:rsid w:val="006D1934"/>
    <w:rsid w:val="006D33B5"/>
    <w:rsid w:val="006D48B8"/>
    <w:rsid w:val="006D5523"/>
    <w:rsid w:val="006E3B8A"/>
    <w:rsid w:val="006E6FAE"/>
    <w:rsid w:val="006F0FF6"/>
    <w:rsid w:val="006F1BFA"/>
    <w:rsid w:val="006F3A0C"/>
    <w:rsid w:val="006F74A6"/>
    <w:rsid w:val="006F77FC"/>
    <w:rsid w:val="006F7FCB"/>
    <w:rsid w:val="00702A13"/>
    <w:rsid w:val="007041DB"/>
    <w:rsid w:val="007138CC"/>
    <w:rsid w:val="00713D64"/>
    <w:rsid w:val="00714476"/>
    <w:rsid w:val="007203E5"/>
    <w:rsid w:val="00724ABE"/>
    <w:rsid w:val="00725BFC"/>
    <w:rsid w:val="00726EC8"/>
    <w:rsid w:val="00735291"/>
    <w:rsid w:val="0074212A"/>
    <w:rsid w:val="00746EC7"/>
    <w:rsid w:val="00752614"/>
    <w:rsid w:val="0075751F"/>
    <w:rsid w:val="00761AAA"/>
    <w:rsid w:val="00763DA0"/>
    <w:rsid w:val="00771201"/>
    <w:rsid w:val="00774975"/>
    <w:rsid w:val="00783F05"/>
    <w:rsid w:val="00784AE9"/>
    <w:rsid w:val="007876C7"/>
    <w:rsid w:val="007945B3"/>
    <w:rsid w:val="007B135C"/>
    <w:rsid w:val="007B19DA"/>
    <w:rsid w:val="007B76C4"/>
    <w:rsid w:val="007C6559"/>
    <w:rsid w:val="007D527E"/>
    <w:rsid w:val="007F24B0"/>
    <w:rsid w:val="007F6F2B"/>
    <w:rsid w:val="007F7EA4"/>
    <w:rsid w:val="00801014"/>
    <w:rsid w:val="008027C4"/>
    <w:rsid w:val="00802923"/>
    <w:rsid w:val="00817C41"/>
    <w:rsid w:val="00820EA8"/>
    <w:rsid w:val="008253A9"/>
    <w:rsid w:val="00830CF6"/>
    <w:rsid w:val="008316F7"/>
    <w:rsid w:val="008413F8"/>
    <w:rsid w:val="008438CF"/>
    <w:rsid w:val="00843D58"/>
    <w:rsid w:val="008454B9"/>
    <w:rsid w:val="00845A5B"/>
    <w:rsid w:val="0084613F"/>
    <w:rsid w:val="008540FD"/>
    <w:rsid w:val="00854EC8"/>
    <w:rsid w:val="008733C7"/>
    <w:rsid w:val="00874F41"/>
    <w:rsid w:val="008773BF"/>
    <w:rsid w:val="0088262B"/>
    <w:rsid w:val="00883E39"/>
    <w:rsid w:val="00886427"/>
    <w:rsid w:val="008921ED"/>
    <w:rsid w:val="00894A7C"/>
    <w:rsid w:val="008A048B"/>
    <w:rsid w:val="008A28B8"/>
    <w:rsid w:val="008A7776"/>
    <w:rsid w:val="008C0504"/>
    <w:rsid w:val="008C17E3"/>
    <w:rsid w:val="008C2266"/>
    <w:rsid w:val="008C53F0"/>
    <w:rsid w:val="008C6629"/>
    <w:rsid w:val="008C6C08"/>
    <w:rsid w:val="008C7929"/>
    <w:rsid w:val="008D2A90"/>
    <w:rsid w:val="008D34B8"/>
    <w:rsid w:val="008D59A2"/>
    <w:rsid w:val="008E6D84"/>
    <w:rsid w:val="008F755E"/>
    <w:rsid w:val="009065DB"/>
    <w:rsid w:val="00907551"/>
    <w:rsid w:val="00907E93"/>
    <w:rsid w:val="00910C3F"/>
    <w:rsid w:val="0091132C"/>
    <w:rsid w:val="009160D8"/>
    <w:rsid w:val="00922597"/>
    <w:rsid w:val="009242C7"/>
    <w:rsid w:val="00926832"/>
    <w:rsid w:val="00933A0A"/>
    <w:rsid w:val="00935A17"/>
    <w:rsid w:val="009422A8"/>
    <w:rsid w:val="009435E2"/>
    <w:rsid w:val="0094648D"/>
    <w:rsid w:val="009479D5"/>
    <w:rsid w:val="00951B5E"/>
    <w:rsid w:val="00951BBB"/>
    <w:rsid w:val="00952807"/>
    <w:rsid w:val="00957662"/>
    <w:rsid w:val="009651D5"/>
    <w:rsid w:val="00967192"/>
    <w:rsid w:val="009701FB"/>
    <w:rsid w:val="00970AF3"/>
    <w:rsid w:val="009712E6"/>
    <w:rsid w:val="00973E46"/>
    <w:rsid w:val="0098199E"/>
    <w:rsid w:val="00985B9C"/>
    <w:rsid w:val="0099051F"/>
    <w:rsid w:val="00994060"/>
    <w:rsid w:val="009971D9"/>
    <w:rsid w:val="009A241C"/>
    <w:rsid w:val="009B0651"/>
    <w:rsid w:val="009C1C01"/>
    <w:rsid w:val="009C228F"/>
    <w:rsid w:val="009C2A10"/>
    <w:rsid w:val="009C416F"/>
    <w:rsid w:val="009C44F8"/>
    <w:rsid w:val="009C5580"/>
    <w:rsid w:val="009D2069"/>
    <w:rsid w:val="009D37EA"/>
    <w:rsid w:val="009D7DAC"/>
    <w:rsid w:val="009E1824"/>
    <w:rsid w:val="009E2517"/>
    <w:rsid w:val="009E69D3"/>
    <w:rsid w:val="009F01F6"/>
    <w:rsid w:val="009F421F"/>
    <w:rsid w:val="009F57DD"/>
    <w:rsid w:val="009F6BF1"/>
    <w:rsid w:val="00A050EC"/>
    <w:rsid w:val="00A06973"/>
    <w:rsid w:val="00A07A16"/>
    <w:rsid w:val="00A21C65"/>
    <w:rsid w:val="00A30723"/>
    <w:rsid w:val="00A319FB"/>
    <w:rsid w:val="00A33DC1"/>
    <w:rsid w:val="00A4123B"/>
    <w:rsid w:val="00A43247"/>
    <w:rsid w:val="00A442D1"/>
    <w:rsid w:val="00A452AA"/>
    <w:rsid w:val="00A543D6"/>
    <w:rsid w:val="00A54F8A"/>
    <w:rsid w:val="00A62BBE"/>
    <w:rsid w:val="00A74AF3"/>
    <w:rsid w:val="00A76336"/>
    <w:rsid w:val="00A76480"/>
    <w:rsid w:val="00A77426"/>
    <w:rsid w:val="00A8749E"/>
    <w:rsid w:val="00A92373"/>
    <w:rsid w:val="00A93FB7"/>
    <w:rsid w:val="00AA23BA"/>
    <w:rsid w:val="00AA3B44"/>
    <w:rsid w:val="00AA5A3B"/>
    <w:rsid w:val="00AB35A6"/>
    <w:rsid w:val="00AC425C"/>
    <w:rsid w:val="00AC56B3"/>
    <w:rsid w:val="00AC6D5D"/>
    <w:rsid w:val="00AD2E4C"/>
    <w:rsid w:val="00AD6AC6"/>
    <w:rsid w:val="00AE34CA"/>
    <w:rsid w:val="00AE7C1B"/>
    <w:rsid w:val="00AF43A3"/>
    <w:rsid w:val="00AF4DD8"/>
    <w:rsid w:val="00AF5EBD"/>
    <w:rsid w:val="00AF6655"/>
    <w:rsid w:val="00AF754F"/>
    <w:rsid w:val="00B01228"/>
    <w:rsid w:val="00B01460"/>
    <w:rsid w:val="00B04A94"/>
    <w:rsid w:val="00B105BD"/>
    <w:rsid w:val="00B10BE1"/>
    <w:rsid w:val="00B12632"/>
    <w:rsid w:val="00B13E2F"/>
    <w:rsid w:val="00B16B10"/>
    <w:rsid w:val="00B17D2D"/>
    <w:rsid w:val="00B17E29"/>
    <w:rsid w:val="00B22385"/>
    <w:rsid w:val="00B2251B"/>
    <w:rsid w:val="00B22579"/>
    <w:rsid w:val="00B34D51"/>
    <w:rsid w:val="00B42052"/>
    <w:rsid w:val="00B42143"/>
    <w:rsid w:val="00B4231E"/>
    <w:rsid w:val="00B428B5"/>
    <w:rsid w:val="00B44A3E"/>
    <w:rsid w:val="00B606E5"/>
    <w:rsid w:val="00B6233D"/>
    <w:rsid w:val="00B70E1E"/>
    <w:rsid w:val="00B715DC"/>
    <w:rsid w:val="00B73F8B"/>
    <w:rsid w:val="00B7459D"/>
    <w:rsid w:val="00B76E4E"/>
    <w:rsid w:val="00B77BC5"/>
    <w:rsid w:val="00B806F4"/>
    <w:rsid w:val="00B83324"/>
    <w:rsid w:val="00B8363B"/>
    <w:rsid w:val="00B852ED"/>
    <w:rsid w:val="00B85A59"/>
    <w:rsid w:val="00B87D27"/>
    <w:rsid w:val="00B87F4C"/>
    <w:rsid w:val="00B905A3"/>
    <w:rsid w:val="00B9621C"/>
    <w:rsid w:val="00B97AB5"/>
    <w:rsid w:val="00BA0600"/>
    <w:rsid w:val="00BA156B"/>
    <w:rsid w:val="00BA19C5"/>
    <w:rsid w:val="00BA5156"/>
    <w:rsid w:val="00BA5877"/>
    <w:rsid w:val="00BB0A31"/>
    <w:rsid w:val="00BB229F"/>
    <w:rsid w:val="00BB5DF1"/>
    <w:rsid w:val="00BB6570"/>
    <w:rsid w:val="00BC1B7C"/>
    <w:rsid w:val="00BC484E"/>
    <w:rsid w:val="00BC5CA3"/>
    <w:rsid w:val="00BC689D"/>
    <w:rsid w:val="00BD2783"/>
    <w:rsid w:val="00BE0854"/>
    <w:rsid w:val="00BE1ED2"/>
    <w:rsid w:val="00BF341D"/>
    <w:rsid w:val="00BF3473"/>
    <w:rsid w:val="00BF6876"/>
    <w:rsid w:val="00BF718F"/>
    <w:rsid w:val="00C0065E"/>
    <w:rsid w:val="00C12AD7"/>
    <w:rsid w:val="00C16397"/>
    <w:rsid w:val="00C201CA"/>
    <w:rsid w:val="00C23D73"/>
    <w:rsid w:val="00C241A1"/>
    <w:rsid w:val="00C27500"/>
    <w:rsid w:val="00C27ADF"/>
    <w:rsid w:val="00C306E8"/>
    <w:rsid w:val="00C35956"/>
    <w:rsid w:val="00C407D6"/>
    <w:rsid w:val="00C5657B"/>
    <w:rsid w:val="00C60A73"/>
    <w:rsid w:val="00C6203D"/>
    <w:rsid w:val="00C67551"/>
    <w:rsid w:val="00C72120"/>
    <w:rsid w:val="00C77DA0"/>
    <w:rsid w:val="00C843D7"/>
    <w:rsid w:val="00C90325"/>
    <w:rsid w:val="00CA3396"/>
    <w:rsid w:val="00CA3B90"/>
    <w:rsid w:val="00CA73E2"/>
    <w:rsid w:val="00CB18E0"/>
    <w:rsid w:val="00CB4DB1"/>
    <w:rsid w:val="00CB748F"/>
    <w:rsid w:val="00CC3542"/>
    <w:rsid w:val="00CD68CE"/>
    <w:rsid w:val="00CE08CE"/>
    <w:rsid w:val="00CE20E9"/>
    <w:rsid w:val="00CE3773"/>
    <w:rsid w:val="00CE6FC5"/>
    <w:rsid w:val="00CE701C"/>
    <w:rsid w:val="00CF0E33"/>
    <w:rsid w:val="00CF4490"/>
    <w:rsid w:val="00CF5A8F"/>
    <w:rsid w:val="00D00379"/>
    <w:rsid w:val="00D02279"/>
    <w:rsid w:val="00D10467"/>
    <w:rsid w:val="00D10652"/>
    <w:rsid w:val="00D13DB2"/>
    <w:rsid w:val="00D209B6"/>
    <w:rsid w:val="00D22294"/>
    <w:rsid w:val="00D22442"/>
    <w:rsid w:val="00D2255F"/>
    <w:rsid w:val="00D22EBC"/>
    <w:rsid w:val="00D24374"/>
    <w:rsid w:val="00D24620"/>
    <w:rsid w:val="00D3123C"/>
    <w:rsid w:val="00D44B05"/>
    <w:rsid w:val="00D51B5E"/>
    <w:rsid w:val="00D55377"/>
    <w:rsid w:val="00D557D5"/>
    <w:rsid w:val="00D57E4B"/>
    <w:rsid w:val="00D601F0"/>
    <w:rsid w:val="00D626EC"/>
    <w:rsid w:val="00D64F50"/>
    <w:rsid w:val="00D65D31"/>
    <w:rsid w:val="00D7167B"/>
    <w:rsid w:val="00D73519"/>
    <w:rsid w:val="00D73E83"/>
    <w:rsid w:val="00D80A3E"/>
    <w:rsid w:val="00D84B3D"/>
    <w:rsid w:val="00D92151"/>
    <w:rsid w:val="00D94D3A"/>
    <w:rsid w:val="00D95385"/>
    <w:rsid w:val="00DA0323"/>
    <w:rsid w:val="00DA3FF9"/>
    <w:rsid w:val="00DB13BD"/>
    <w:rsid w:val="00DB1971"/>
    <w:rsid w:val="00DC451E"/>
    <w:rsid w:val="00DC5FA1"/>
    <w:rsid w:val="00DC7C98"/>
    <w:rsid w:val="00DD0CE4"/>
    <w:rsid w:val="00DE3721"/>
    <w:rsid w:val="00DF1F31"/>
    <w:rsid w:val="00DF2742"/>
    <w:rsid w:val="00DF448C"/>
    <w:rsid w:val="00E061D8"/>
    <w:rsid w:val="00E07EE4"/>
    <w:rsid w:val="00E14245"/>
    <w:rsid w:val="00E21F02"/>
    <w:rsid w:val="00E22703"/>
    <w:rsid w:val="00E24228"/>
    <w:rsid w:val="00E27B5F"/>
    <w:rsid w:val="00E445D8"/>
    <w:rsid w:val="00E46ACA"/>
    <w:rsid w:val="00E50FFA"/>
    <w:rsid w:val="00E526F5"/>
    <w:rsid w:val="00E5528B"/>
    <w:rsid w:val="00E5593B"/>
    <w:rsid w:val="00E63F24"/>
    <w:rsid w:val="00E70A61"/>
    <w:rsid w:val="00E77251"/>
    <w:rsid w:val="00E817EE"/>
    <w:rsid w:val="00E818B6"/>
    <w:rsid w:val="00E83487"/>
    <w:rsid w:val="00E87CF0"/>
    <w:rsid w:val="00E9187B"/>
    <w:rsid w:val="00E91EAA"/>
    <w:rsid w:val="00E92FD0"/>
    <w:rsid w:val="00E93B0A"/>
    <w:rsid w:val="00E93D93"/>
    <w:rsid w:val="00EB045D"/>
    <w:rsid w:val="00EB41C4"/>
    <w:rsid w:val="00EC1909"/>
    <w:rsid w:val="00EC2835"/>
    <w:rsid w:val="00EC4455"/>
    <w:rsid w:val="00EC77BB"/>
    <w:rsid w:val="00ED1828"/>
    <w:rsid w:val="00ED4EEA"/>
    <w:rsid w:val="00F00D62"/>
    <w:rsid w:val="00F0305C"/>
    <w:rsid w:val="00F1692D"/>
    <w:rsid w:val="00F23018"/>
    <w:rsid w:val="00F320B4"/>
    <w:rsid w:val="00F33096"/>
    <w:rsid w:val="00F40D25"/>
    <w:rsid w:val="00F441B2"/>
    <w:rsid w:val="00F46A84"/>
    <w:rsid w:val="00F5660C"/>
    <w:rsid w:val="00F63836"/>
    <w:rsid w:val="00F76819"/>
    <w:rsid w:val="00F9081A"/>
    <w:rsid w:val="00F90A9D"/>
    <w:rsid w:val="00FA0DC0"/>
    <w:rsid w:val="00FA0E84"/>
    <w:rsid w:val="00FA5B52"/>
    <w:rsid w:val="00FA73C3"/>
    <w:rsid w:val="00FA7A69"/>
    <w:rsid w:val="00FA7F14"/>
    <w:rsid w:val="00FD25D2"/>
    <w:rsid w:val="00FD342D"/>
    <w:rsid w:val="00FD4C02"/>
    <w:rsid w:val="00FD795C"/>
    <w:rsid w:val="00FE1C67"/>
    <w:rsid w:val="00FE1CDD"/>
    <w:rsid w:val="00FF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styleId="BalloonText">
    <w:name w:val="Balloon Text"/>
    <w:basedOn w:val="Normal"/>
    <w:link w:val="BalloonTextChar"/>
    <w:rsid w:val="00910C3F"/>
    <w:rPr>
      <w:rFonts w:ascii="Tahoma" w:hAnsi="Tahoma" w:cs="Tahoma"/>
      <w:sz w:val="16"/>
      <w:szCs w:val="16"/>
    </w:rPr>
  </w:style>
  <w:style w:type="character" w:customStyle="1" w:styleId="BalloonTextChar">
    <w:name w:val="Balloon Text Char"/>
    <w:basedOn w:val="DefaultParagraphFont"/>
    <w:link w:val="BalloonText"/>
    <w:rsid w:val="00910C3F"/>
    <w:rPr>
      <w:rFonts w:ascii="Tahoma" w:hAnsi="Tahoma" w:cs="Tahoma"/>
      <w:sz w:val="16"/>
      <w:szCs w:val="16"/>
    </w:rPr>
  </w:style>
  <w:style w:type="paragraph" w:styleId="NoSpacing">
    <w:name w:val="No Spacing"/>
    <w:uiPriority w:val="1"/>
    <w:qFormat/>
    <w:rsid w:val="009160D8"/>
    <w:rPr>
      <w:rFonts w:eastAsia="Calibr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styleId="BalloonText">
    <w:name w:val="Balloon Text"/>
    <w:basedOn w:val="Normal"/>
    <w:link w:val="BalloonTextChar"/>
    <w:rsid w:val="00910C3F"/>
    <w:rPr>
      <w:rFonts w:ascii="Tahoma" w:hAnsi="Tahoma" w:cs="Tahoma"/>
      <w:sz w:val="16"/>
      <w:szCs w:val="16"/>
    </w:rPr>
  </w:style>
  <w:style w:type="character" w:customStyle="1" w:styleId="BalloonTextChar">
    <w:name w:val="Balloon Text Char"/>
    <w:basedOn w:val="DefaultParagraphFont"/>
    <w:link w:val="BalloonText"/>
    <w:rsid w:val="00910C3F"/>
    <w:rPr>
      <w:rFonts w:ascii="Tahoma" w:hAnsi="Tahoma" w:cs="Tahoma"/>
      <w:sz w:val="16"/>
      <w:szCs w:val="16"/>
    </w:rPr>
  </w:style>
  <w:style w:type="paragraph" w:styleId="NoSpacing">
    <w:name w:val="No Spacing"/>
    <w:uiPriority w:val="1"/>
    <w:qFormat/>
    <w:rsid w:val="009160D8"/>
    <w:rPr>
      <w:rFonts w:eastAsia="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7107A-6C3C-47F1-AEBF-F61D8F70E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2994</Words>
  <Characters>17069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20023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Leonard, Allyson</cp:lastModifiedBy>
  <cp:revision>3</cp:revision>
  <cp:lastPrinted>2014-06-19T15:04:00Z</cp:lastPrinted>
  <dcterms:created xsi:type="dcterms:W3CDTF">2014-06-19T14:58:00Z</dcterms:created>
  <dcterms:modified xsi:type="dcterms:W3CDTF">2014-06-19T15:14:00Z</dcterms:modified>
</cp:coreProperties>
</file>