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78" w:type="dxa"/>
        <w:tblLayout w:type="fixed"/>
        <w:tblLook w:val="0000" w:firstRow="0" w:lastRow="0" w:firstColumn="0" w:lastColumn="0" w:noHBand="0" w:noVBand="0"/>
      </w:tblPr>
      <w:tblGrid>
        <w:gridCol w:w="2448"/>
        <w:gridCol w:w="5130"/>
        <w:gridCol w:w="2700"/>
      </w:tblGrid>
      <w:tr w:rsidR="00D850D4" w:rsidRPr="00C0451E">
        <w:tc>
          <w:tcPr>
            <w:tcW w:w="2448" w:type="dxa"/>
          </w:tcPr>
          <w:p w:rsidR="00D850D4" w:rsidRPr="00C0451E" w:rsidRDefault="00D850D4" w:rsidP="00092C0A">
            <w:pPr>
              <w:pStyle w:val="Heading3"/>
              <w:rPr>
                <w:rFonts w:ascii="Times New Roman" w:hAnsi="Times New Roman" w:cs="Times New Roman"/>
              </w:rPr>
            </w:pPr>
          </w:p>
        </w:tc>
        <w:tc>
          <w:tcPr>
            <w:tcW w:w="5130" w:type="dxa"/>
          </w:tcPr>
          <w:p w:rsidR="00D850D4" w:rsidRPr="00C0451E" w:rsidRDefault="00D850D4">
            <w:pPr>
              <w:jc w:val="center"/>
              <w:rPr>
                <w:b/>
                <w:sz w:val="26"/>
                <w:szCs w:val="26"/>
              </w:rPr>
            </w:pPr>
            <w:r w:rsidRPr="00C0451E">
              <w:rPr>
                <w:b/>
                <w:sz w:val="26"/>
                <w:szCs w:val="26"/>
              </w:rPr>
              <w:t>PENNSYLVANIA</w:t>
            </w:r>
          </w:p>
          <w:p w:rsidR="00D850D4" w:rsidRPr="00C0451E" w:rsidRDefault="00D850D4">
            <w:pPr>
              <w:jc w:val="center"/>
              <w:rPr>
                <w:b/>
                <w:sz w:val="26"/>
                <w:szCs w:val="26"/>
              </w:rPr>
            </w:pPr>
            <w:r w:rsidRPr="00C0451E">
              <w:rPr>
                <w:b/>
                <w:sz w:val="26"/>
                <w:szCs w:val="26"/>
              </w:rPr>
              <w:t>PUBLIC UTILITY COMMISSION</w:t>
            </w:r>
          </w:p>
          <w:p w:rsidR="00D850D4" w:rsidRPr="00C0451E" w:rsidRDefault="00D850D4" w:rsidP="00092C0A">
            <w:pPr>
              <w:pStyle w:val="StyleCentered"/>
              <w:rPr>
                <w:b/>
                <w:sz w:val="26"/>
                <w:szCs w:val="26"/>
              </w:rPr>
            </w:pPr>
            <w:r w:rsidRPr="00C0451E">
              <w:rPr>
                <w:b/>
                <w:sz w:val="26"/>
                <w:szCs w:val="26"/>
              </w:rPr>
              <w:t>Harrisburg</w:t>
            </w:r>
            <w:r w:rsidR="006048E2" w:rsidRPr="00C0451E">
              <w:rPr>
                <w:b/>
                <w:sz w:val="26"/>
                <w:szCs w:val="26"/>
              </w:rPr>
              <w:t>, PA</w:t>
            </w:r>
            <w:r w:rsidRPr="00C0451E">
              <w:rPr>
                <w:b/>
                <w:sz w:val="26"/>
                <w:szCs w:val="26"/>
              </w:rPr>
              <w:t xml:space="preserve">  17105-3265</w:t>
            </w:r>
          </w:p>
        </w:tc>
        <w:tc>
          <w:tcPr>
            <w:tcW w:w="2700" w:type="dxa"/>
          </w:tcPr>
          <w:p w:rsidR="00D850D4" w:rsidRPr="00C0451E" w:rsidRDefault="00D850D4">
            <w:pPr>
              <w:rPr>
                <w:sz w:val="26"/>
                <w:szCs w:val="26"/>
              </w:rPr>
            </w:pPr>
          </w:p>
        </w:tc>
      </w:tr>
    </w:tbl>
    <w:p w:rsidR="00D850D4" w:rsidRPr="00C0451E" w:rsidRDefault="00D850D4">
      <w:pPr>
        <w:rPr>
          <w:sz w:val="26"/>
          <w:szCs w:val="26"/>
        </w:rPr>
      </w:pPr>
    </w:p>
    <w:tbl>
      <w:tblPr>
        <w:tblW w:w="0" w:type="auto"/>
        <w:tblLayout w:type="fixed"/>
        <w:tblLook w:val="0000" w:firstRow="0" w:lastRow="0" w:firstColumn="0" w:lastColumn="0" w:noHBand="0" w:noVBand="0"/>
      </w:tblPr>
      <w:tblGrid>
        <w:gridCol w:w="5148"/>
        <w:gridCol w:w="5148"/>
      </w:tblGrid>
      <w:tr w:rsidR="00D850D4" w:rsidRPr="00C0451E">
        <w:tc>
          <w:tcPr>
            <w:tcW w:w="5148" w:type="dxa"/>
          </w:tcPr>
          <w:p w:rsidR="00D850D4" w:rsidRPr="00C0451E" w:rsidRDefault="00D850D4">
            <w:pPr>
              <w:rPr>
                <w:sz w:val="26"/>
                <w:szCs w:val="26"/>
              </w:rPr>
            </w:pPr>
          </w:p>
        </w:tc>
        <w:tc>
          <w:tcPr>
            <w:tcW w:w="5148" w:type="dxa"/>
          </w:tcPr>
          <w:p w:rsidR="00D850D4" w:rsidRPr="00C0451E" w:rsidRDefault="00D850D4" w:rsidP="00416168">
            <w:pPr>
              <w:ind w:firstLine="612"/>
              <w:rPr>
                <w:sz w:val="26"/>
                <w:szCs w:val="26"/>
              </w:rPr>
            </w:pPr>
            <w:r w:rsidRPr="00C0451E">
              <w:rPr>
                <w:sz w:val="26"/>
                <w:szCs w:val="26"/>
              </w:rPr>
              <w:t xml:space="preserve">Public Meeting held </w:t>
            </w:r>
            <w:r w:rsidR="00416168">
              <w:rPr>
                <w:sz w:val="26"/>
                <w:szCs w:val="26"/>
              </w:rPr>
              <w:t>June 19</w:t>
            </w:r>
            <w:r w:rsidR="000A1F94">
              <w:rPr>
                <w:sz w:val="26"/>
                <w:szCs w:val="26"/>
              </w:rPr>
              <w:t>, 201</w:t>
            </w:r>
            <w:r w:rsidR="00A83105">
              <w:rPr>
                <w:sz w:val="26"/>
                <w:szCs w:val="26"/>
              </w:rPr>
              <w:t>4</w:t>
            </w:r>
          </w:p>
        </w:tc>
      </w:tr>
      <w:tr w:rsidR="00D850D4" w:rsidRPr="00C0451E">
        <w:tc>
          <w:tcPr>
            <w:tcW w:w="5148" w:type="dxa"/>
          </w:tcPr>
          <w:p w:rsidR="00D850D4" w:rsidRPr="00C0451E" w:rsidRDefault="00D850D4">
            <w:pPr>
              <w:rPr>
                <w:sz w:val="26"/>
                <w:szCs w:val="26"/>
              </w:rPr>
            </w:pPr>
            <w:r w:rsidRPr="00C0451E">
              <w:rPr>
                <w:sz w:val="26"/>
                <w:szCs w:val="26"/>
              </w:rPr>
              <w:t>Commissioners Present:</w:t>
            </w:r>
          </w:p>
        </w:tc>
        <w:tc>
          <w:tcPr>
            <w:tcW w:w="5148" w:type="dxa"/>
          </w:tcPr>
          <w:p w:rsidR="00D850D4" w:rsidRPr="00C0451E" w:rsidRDefault="00D850D4">
            <w:pPr>
              <w:rPr>
                <w:sz w:val="26"/>
                <w:szCs w:val="26"/>
              </w:rPr>
            </w:pPr>
          </w:p>
        </w:tc>
      </w:tr>
    </w:tbl>
    <w:p w:rsidR="00D850D4" w:rsidRPr="00C0451E" w:rsidRDefault="00D850D4">
      <w:pPr>
        <w:rPr>
          <w:sz w:val="26"/>
          <w:szCs w:val="26"/>
        </w:rPr>
      </w:pPr>
    </w:p>
    <w:tbl>
      <w:tblPr>
        <w:tblW w:w="10296" w:type="dxa"/>
        <w:tblLayout w:type="fixed"/>
        <w:tblLook w:val="0000" w:firstRow="0" w:lastRow="0" w:firstColumn="0" w:lastColumn="0" w:noHBand="0" w:noVBand="0"/>
      </w:tblPr>
      <w:tblGrid>
        <w:gridCol w:w="5958"/>
        <w:gridCol w:w="2898"/>
        <w:gridCol w:w="522"/>
        <w:gridCol w:w="918"/>
      </w:tblGrid>
      <w:tr w:rsidR="004E58A5" w:rsidRPr="00C0451E" w:rsidTr="00107AB8">
        <w:tc>
          <w:tcPr>
            <w:tcW w:w="9378" w:type="dxa"/>
            <w:gridSpan w:val="3"/>
          </w:tcPr>
          <w:p w:rsidR="004E58A5" w:rsidRPr="00C0451E" w:rsidRDefault="00E15458" w:rsidP="00AB738E">
            <w:pPr>
              <w:overflowPunct/>
              <w:ind w:left="720"/>
              <w:textAlignment w:val="auto"/>
              <w:rPr>
                <w:sz w:val="26"/>
                <w:szCs w:val="26"/>
              </w:rPr>
            </w:pPr>
            <w:r>
              <w:rPr>
                <w:sz w:val="26"/>
                <w:szCs w:val="26"/>
              </w:rPr>
              <w:t>Robert F. Powelson, Chairman</w:t>
            </w:r>
          </w:p>
        </w:tc>
        <w:tc>
          <w:tcPr>
            <w:tcW w:w="918" w:type="dxa"/>
          </w:tcPr>
          <w:p w:rsidR="004E58A5" w:rsidRPr="00C0451E" w:rsidRDefault="004E58A5">
            <w:pPr>
              <w:rPr>
                <w:sz w:val="26"/>
                <w:szCs w:val="26"/>
              </w:rPr>
            </w:pPr>
          </w:p>
        </w:tc>
      </w:tr>
      <w:tr w:rsidR="004E58A5" w:rsidRPr="00C0451E" w:rsidTr="00107AB8">
        <w:tc>
          <w:tcPr>
            <w:tcW w:w="9378" w:type="dxa"/>
            <w:gridSpan w:val="3"/>
          </w:tcPr>
          <w:p w:rsidR="004E58A5" w:rsidRPr="00C0451E" w:rsidRDefault="00AB2CF1" w:rsidP="00AB738E">
            <w:pPr>
              <w:overflowPunct/>
              <w:ind w:left="720"/>
              <w:textAlignment w:val="auto"/>
              <w:rPr>
                <w:sz w:val="26"/>
                <w:szCs w:val="26"/>
              </w:rPr>
            </w:pPr>
            <w:r>
              <w:rPr>
                <w:sz w:val="26"/>
                <w:szCs w:val="26"/>
              </w:rPr>
              <w:t>John F. Coleman</w:t>
            </w:r>
            <w:r w:rsidR="004E58A5" w:rsidRPr="00C0451E">
              <w:rPr>
                <w:sz w:val="26"/>
                <w:szCs w:val="26"/>
              </w:rPr>
              <w:t xml:space="preserve">, </w:t>
            </w:r>
            <w:r>
              <w:rPr>
                <w:sz w:val="26"/>
                <w:szCs w:val="26"/>
              </w:rPr>
              <w:t xml:space="preserve">Jr., </w:t>
            </w:r>
            <w:r w:rsidR="004E58A5" w:rsidRPr="00C0451E">
              <w:rPr>
                <w:sz w:val="26"/>
                <w:szCs w:val="26"/>
              </w:rPr>
              <w:t>Vice Chairman</w:t>
            </w:r>
          </w:p>
        </w:tc>
        <w:tc>
          <w:tcPr>
            <w:tcW w:w="918" w:type="dxa"/>
          </w:tcPr>
          <w:p w:rsidR="004E58A5" w:rsidRPr="00C0451E" w:rsidRDefault="004E58A5">
            <w:pPr>
              <w:rPr>
                <w:sz w:val="26"/>
                <w:szCs w:val="26"/>
              </w:rPr>
            </w:pPr>
          </w:p>
        </w:tc>
      </w:tr>
      <w:tr w:rsidR="004E58A5" w:rsidRPr="00C0451E" w:rsidTr="00107AB8">
        <w:tc>
          <w:tcPr>
            <w:tcW w:w="9378" w:type="dxa"/>
            <w:gridSpan w:val="3"/>
          </w:tcPr>
          <w:p w:rsidR="004E58A5" w:rsidRPr="00C0451E" w:rsidRDefault="00A83105" w:rsidP="00AB738E">
            <w:pPr>
              <w:overflowPunct/>
              <w:ind w:left="720"/>
              <w:textAlignment w:val="auto"/>
              <w:rPr>
                <w:sz w:val="26"/>
                <w:szCs w:val="26"/>
              </w:rPr>
            </w:pPr>
            <w:r w:rsidRPr="00A83105">
              <w:rPr>
                <w:sz w:val="26"/>
                <w:szCs w:val="26"/>
              </w:rPr>
              <w:t>James H. Cawley</w:t>
            </w:r>
          </w:p>
        </w:tc>
        <w:tc>
          <w:tcPr>
            <w:tcW w:w="918" w:type="dxa"/>
          </w:tcPr>
          <w:p w:rsidR="004E58A5" w:rsidRPr="00C0451E" w:rsidRDefault="004E58A5">
            <w:pPr>
              <w:rPr>
                <w:sz w:val="26"/>
                <w:szCs w:val="26"/>
              </w:rPr>
            </w:pPr>
          </w:p>
        </w:tc>
      </w:tr>
      <w:tr w:rsidR="004E58A5" w:rsidRPr="00C0451E" w:rsidTr="00107AB8">
        <w:tc>
          <w:tcPr>
            <w:tcW w:w="9378" w:type="dxa"/>
            <w:gridSpan w:val="3"/>
          </w:tcPr>
          <w:p w:rsidR="004E58A5" w:rsidRPr="00C0451E" w:rsidRDefault="00A83105" w:rsidP="00AB738E">
            <w:pPr>
              <w:overflowPunct/>
              <w:ind w:left="720"/>
              <w:textAlignment w:val="auto"/>
              <w:rPr>
                <w:sz w:val="26"/>
                <w:szCs w:val="26"/>
              </w:rPr>
            </w:pPr>
            <w:r w:rsidRPr="00A83105">
              <w:rPr>
                <w:sz w:val="26"/>
                <w:szCs w:val="26"/>
              </w:rPr>
              <w:t>Pamela A. Witmer</w:t>
            </w:r>
          </w:p>
        </w:tc>
        <w:tc>
          <w:tcPr>
            <w:tcW w:w="918" w:type="dxa"/>
          </w:tcPr>
          <w:p w:rsidR="004E58A5" w:rsidRPr="00C0451E" w:rsidRDefault="004E58A5">
            <w:pPr>
              <w:rPr>
                <w:sz w:val="26"/>
                <w:szCs w:val="26"/>
              </w:rPr>
            </w:pPr>
          </w:p>
        </w:tc>
      </w:tr>
      <w:tr w:rsidR="00572CCC" w:rsidRPr="00C0451E" w:rsidTr="00571027">
        <w:trPr>
          <w:gridAfter w:val="2"/>
          <w:wAfter w:w="1440" w:type="dxa"/>
        </w:trPr>
        <w:tc>
          <w:tcPr>
            <w:tcW w:w="5958" w:type="dxa"/>
          </w:tcPr>
          <w:p w:rsidR="00572CCC" w:rsidRPr="00C0451E" w:rsidRDefault="00A83105" w:rsidP="00AB738E">
            <w:pPr>
              <w:ind w:left="720"/>
              <w:rPr>
                <w:sz w:val="26"/>
                <w:szCs w:val="26"/>
              </w:rPr>
            </w:pPr>
            <w:r>
              <w:rPr>
                <w:sz w:val="26"/>
                <w:szCs w:val="26"/>
              </w:rPr>
              <w:t>Gladys M. Brown</w:t>
            </w:r>
          </w:p>
        </w:tc>
        <w:tc>
          <w:tcPr>
            <w:tcW w:w="2898" w:type="dxa"/>
          </w:tcPr>
          <w:p w:rsidR="00572CCC" w:rsidRPr="00C0451E" w:rsidRDefault="00572CCC" w:rsidP="00A82FC9">
            <w:pPr>
              <w:rPr>
                <w:sz w:val="26"/>
                <w:szCs w:val="26"/>
              </w:rPr>
            </w:pPr>
          </w:p>
        </w:tc>
      </w:tr>
      <w:tr w:rsidR="00E441EC" w:rsidRPr="00C0451E" w:rsidTr="00571027">
        <w:trPr>
          <w:gridAfter w:val="2"/>
          <w:wAfter w:w="1440" w:type="dxa"/>
        </w:trPr>
        <w:tc>
          <w:tcPr>
            <w:tcW w:w="5958" w:type="dxa"/>
          </w:tcPr>
          <w:p w:rsidR="00E441EC" w:rsidRPr="00C0451E" w:rsidRDefault="00E441EC" w:rsidP="00F649E4">
            <w:pPr>
              <w:rPr>
                <w:sz w:val="26"/>
                <w:szCs w:val="26"/>
              </w:rPr>
            </w:pPr>
          </w:p>
        </w:tc>
        <w:tc>
          <w:tcPr>
            <w:tcW w:w="2898" w:type="dxa"/>
          </w:tcPr>
          <w:p w:rsidR="00E441EC" w:rsidRPr="00C0451E" w:rsidRDefault="00E441EC" w:rsidP="00A82FC9">
            <w:pPr>
              <w:rPr>
                <w:sz w:val="26"/>
                <w:szCs w:val="26"/>
              </w:rPr>
            </w:pPr>
          </w:p>
        </w:tc>
      </w:tr>
      <w:tr w:rsidR="00107AB8" w:rsidRPr="00C0451E" w:rsidTr="00571027">
        <w:trPr>
          <w:gridAfter w:val="2"/>
          <w:wAfter w:w="1440" w:type="dxa"/>
        </w:trPr>
        <w:tc>
          <w:tcPr>
            <w:tcW w:w="5958" w:type="dxa"/>
          </w:tcPr>
          <w:p w:rsidR="00AF69C9" w:rsidRDefault="00AF69C9" w:rsidP="00F649E4">
            <w:pPr>
              <w:rPr>
                <w:sz w:val="26"/>
                <w:szCs w:val="26"/>
              </w:rPr>
            </w:pPr>
            <w:r>
              <w:rPr>
                <w:sz w:val="26"/>
                <w:szCs w:val="26"/>
              </w:rPr>
              <w:t>Petiti</w:t>
            </w:r>
            <w:r w:rsidR="0013786E">
              <w:rPr>
                <w:sz w:val="26"/>
                <w:szCs w:val="26"/>
              </w:rPr>
              <w:t>on of</w:t>
            </w:r>
            <w:r w:rsidR="00883F37">
              <w:rPr>
                <w:sz w:val="26"/>
                <w:szCs w:val="26"/>
              </w:rPr>
              <w:t xml:space="preserve"> PPL Electric</w:t>
            </w:r>
            <w:r w:rsidR="00C916DF">
              <w:rPr>
                <w:sz w:val="26"/>
                <w:szCs w:val="26"/>
              </w:rPr>
              <w:t xml:space="preserve"> Utilities Corporation</w:t>
            </w:r>
            <w:r>
              <w:rPr>
                <w:sz w:val="26"/>
                <w:szCs w:val="26"/>
              </w:rPr>
              <w:t xml:space="preserve">                   </w:t>
            </w:r>
          </w:p>
          <w:p w:rsidR="00AF69C9" w:rsidRDefault="00AF69C9" w:rsidP="00F649E4">
            <w:pPr>
              <w:rPr>
                <w:sz w:val="26"/>
                <w:szCs w:val="26"/>
              </w:rPr>
            </w:pPr>
            <w:r>
              <w:rPr>
                <w:sz w:val="26"/>
                <w:szCs w:val="26"/>
              </w:rPr>
              <w:t xml:space="preserve">For Authorization to Defer, for </w:t>
            </w:r>
          </w:p>
          <w:p w:rsidR="00AF69C9" w:rsidRDefault="00AF69C9" w:rsidP="00F649E4">
            <w:pPr>
              <w:rPr>
                <w:sz w:val="26"/>
                <w:szCs w:val="26"/>
              </w:rPr>
            </w:pPr>
            <w:r>
              <w:rPr>
                <w:sz w:val="26"/>
                <w:szCs w:val="26"/>
              </w:rPr>
              <w:t>Accounting Purposes, Certain</w:t>
            </w:r>
            <w:r w:rsidR="00A83105">
              <w:rPr>
                <w:sz w:val="26"/>
                <w:szCs w:val="26"/>
              </w:rPr>
              <w:t xml:space="preserve"> Substantial,</w:t>
            </w:r>
            <w:r>
              <w:rPr>
                <w:sz w:val="26"/>
                <w:szCs w:val="26"/>
              </w:rPr>
              <w:t xml:space="preserve"> </w:t>
            </w:r>
          </w:p>
          <w:p w:rsidR="00AF69C9" w:rsidRPr="00C0451E" w:rsidRDefault="00AF69C9" w:rsidP="00A83105">
            <w:pPr>
              <w:rPr>
                <w:sz w:val="26"/>
                <w:szCs w:val="26"/>
              </w:rPr>
            </w:pPr>
            <w:r>
              <w:rPr>
                <w:sz w:val="26"/>
                <w:szCs w:val="26"/>
              </w:rPr>
              <w:t>Unanticipated</w:t>
            </w:r>
            <w:r w:rsidR="00A83105">
              <w:rPr>
                <w:sz w:val="26"/>
                <w:szCs w:val="26"/>
              </w:rPr>
              <w:t>, Non-Recurring, and Extraordinary</w:t>
            </w:r>
            <w:r>
              <w:rPr>
                <w:sz w:val="26"/>
                <w:szCs w:val="26"/>
              </w:rPr>
              <w:t xml:space="preserve"> </w:t>
            </w:r>
            <w:r w:rsidR="00A83105">
              <w:rPr>
                <w:sz w:val="26"/>
                <w:szCs w:val="26"/>
              </w:rPr>
              <w:t xml:space="preserve">Meter Inspection and Replacement </w:t>
            </w:r>
            <w:r>
              <w:rPr>
                <w:sz w:val="26"/>
                <w:szCs w:val="26"/>
              </w:rPr>
              <w:t>Expenses</w:t>
            </w:r>
          </w:p>
        </w:tc>
        <w:tc>
          <w:tcPr>
            <w:tcW w:w="2898" w:type="dxa"/>
          </w:tcPr>
          <w:p w:rsidR="00AF69C9" w:rsidRPr="00C0451E" w:rsidRDefault="00AF69C9" w:rsidP="00A83105">
            <w:pPr>
              <w:jc w:val="center"/>
              <w:rPr>
                <w:sz w:val="26"/>
                <w:szCs w:val="26"/>
              </w:rPr>
            </w:pPr>
            <w:r>
              <w:rPr>
                <w:sz w:val="26"/>
                <w:szCs w:val="26"/>
              </w:rPr>
              <w:t>P-201</w:t>
            </w:r>
            <w:r w:rsidR="00A83105">
              <w:rPr>
                <w:sz w:val="26"/>
                <w:szCs w:val="26"/>
              </w:rPr>
              <w:t>4</w:t>
            </w:r>
            <w:r w:rsidR="00883F37">
              <w:rPr>
                <w:sz w:val="26"/>
                <w:szCs w:val="26"/>
              </w:rPr>
              <w:t>-2</w:t>
            </w:r>
            <w:r w:rsidR="00A83105">
              <w:rPr>
                <w:sz w:val="26"/>
                <w:szCs w:val="26"/>
              </w:rPr>
              <w:t>410164</w:t>
            </w:r>
          </w:p>
        </w:tc>
      </w:tr>
      <w:tr w:rsidR="00AF69C9" w:rsidRPr="00C0451E" w:rsidTr="00571027">
        <w:trPr>
          <w:gridAfter w:val="2"/>
          <w:wAfter w:w="1440" w:type="dxa"/>
        </w:trPr>
        <w:tc>
          <w:tcPr>
            <w:tcW w:w="5958" w:type="dxa"/>
          </w:tcPr>
          <w:p w:rsidR="00AF69C9" w:rsidRDefault="00AF69C9" w:rsidP="00F649E4">
            <w:pPr>
              <w:rPr>
                <w:sz w:val="26"/>
                <w:szCs w:val="26"/>
              </w:rPr>
            </w:pPr>
          </w:p>
        </w:tc>
        <w:tc>
          <w:tcPr>
            <w:tcW w:w="2898" w:type="dxa"/>
          </w:tcPr>
          <w:p w:rsidR="00AF69C9" w:rsidRPr="00C0451E" w:rsidRDefault="00AF69C9" w:rsidP="00A82FC9">
            <w:pPr>
              <w:rPr>
                <w:sz w:val="26"/>
                <w:szCs w:val="26"/>
              </w:rPr>
            </w:pPr>
          </w:p>
        </w:tc>
      </w:tr>
    </w:tbl>
    <w:p w:rsidR="00E96680" w:rsidRDefault="00AF69C9" w:rsidP="00AF69C9">
      <w:pPr>
        <w:spacing w:line="360" w:lineRule="auto"/>
        <w:jc w:val="center"/>
        <w:rPr>
          <w:b/>
          <w:sz w:val="26"/>
          <w:szCs w:val="26"/>
        </w:rPr>
      </w:pPr>
      <w:r>
        <w:rPr>
          <w:b/>
          <w:sz w:val="26"/>
          <w:szCs w:val="26"/>
        </w:rPr>
        <w:t>ORDER</w:t>
      </w:r>
    </w:p>
    <w:p w:rsidR="00AF69C9" w:rsidRPr="00B132F4" w:rsidRDefault="00B132F4" w:rsidP="00AF69C9">
      <w:pPr>
        <w:spacing w:line="360" w:lineRule="auto"/>
        <w:rPr>
          <w:sz w:val="26"/>
          <w:szCs w:val="26"/>
        </w:rPr>
      </w:pPr>
      <w:r>
        <w:rPr>
          <w:b/>
          <w:sz w:val="26"/>
          <w:szCs w:val="26"/>
        </w:rPr>
        <w:tab/>
      </w:r>
    </w:p>
    <w:p w:rsidR="00DF0470" w:rsidRDefault="00DF0470" w:rsidP="00DF0470">
      <w:pPr>
        <w:pStyle w:val="p3"/>
        <w:spacing w:line="360" w:lineRule="auto"/>
        <w:rPr>
          <w:b/>
          <w:sz w:val="26"/>
          <w:szCs w:val="26"/>
        </w:rPr>
      </w:pPr>
      <w:r w:rsidRPr="00C0451E">
        <w:rPr>
          <w:b/>
          <w:sz w:val="26"/>
          <w:szCs w:val="26"/>
        </w:rPr>
        <w:t>BY THE COMMISSION:</w:t>
      </w:r>
    </w:p>
    <w:p w:rsidR="00A60F28" w:rsidRPr="00C0451E" w:rsidRDefault="00A60F28" w:rsidP="00DF0470">
      <w:pPr>
        <w:pStyle w:val="p3"/>
        <w:spacing w:line="360" w:lineRule="auto"/>
        <w:rPr>
          <w:b/>
          <w:sz w:val="26"/>
          <w:szCs w:val="26"/>
        </w:rPr>
      </w:pPr>
    </w:p>
    <w:p w:rsidR="00DC381A" w:rsidRDefault="00A333F9" w:rsidP="00C96FCA">
      <w:pPr>
        <w:pStyle w:val="p3"/>
        <w:spacing w:line="360" w:lineRule="auto"/>
        <w:ind w:firstLine="1440"/>
        <w:rPr>
          <w:sz w:val="26"/>
          <w:szCs w:val="26"/>
        </w:rPr>
      </w:pPr>
      <w:r>
        <w:rPr>
          <w:sz w:val="26"/>
          <w:szCs w:val="26"/>
        </w:rPr>
        <w:t xml:space="preserve">On </w:t>
      </w:r>
      <w:r w:rsidR="00C96FCA">
        <w:rPr>
          <w:sz w:val="26"/>
          <w:szCs w:val="26"/>
        </w:rPr>
        <w:t>March</w:t>
      </w:r>
      <w:r>
        <w:rPr>
          <w:sz w:val="26"/>
          <w:szCs w:val="26"/>
        </w:rPr>
        <w:t xml:space="preserve"> 13</w:t>
      </w:r>
      <w:r w:rsidR="0013786E">
        <w:rPr>
          <w:sz w:val="26"/>
          <w:szCs w:val="26"/>
        </w:rPr>
        <w:t>, 201</w:t>
      </w:r>
      <w:r w:rsidR="00C96FCA">
        <w:rPr>
          <w:sz w:val="26"/>
          <w:szCs w:val="26"/>
        </w:rPr>
        <w:t>4</w:t>
      </w:r>
      <w:r w:rsidR="00B132F4">
        <w:rPr>
          <w:sz w:val="26"/>
          <w:szCs w:val="26"/>
        </w:rPr>
        <w:t>,</w:t>
      </w:r>
      <w:r w:rsidR="00883F37">
        <w:rPr>
          <w:sz w:val="26"/>
          <w:szCs w:val="26"/>
        </w:rPr>
        <w:t xml:space="preserve"> PPL Electric</w:t>
      </w:r>
      <w:r w:rsidR="00C916DF">
        <w:rPr>
          <w:sz w:val="26"/>
          <w:szCs w:val="26"/>
        </w:rPr>
        <w:t xml:space="preserve"> Utilities Corporation </w:t>
      </w:r>
      <w:r w:rsidR="00883F37">
        <w:rPr>
          <w:sz w:val="26"/>
          <w:szCs w:val="26"/>
        </w:rPr>
        <w:t>(PPL</w:t>
      </w:r>
      <w:r w:rsidR="00B25C7B">
        <w:rPr>
          <w:sz w:val="26"/>
          <w:szCs w:val="26"/>
        </w:rPr>
        <w:t xml:space="preserve"> or Company</w:t>
      </w:r>
      <w:r w:rsidR="00883F37">
        <w:rPr>
          <w:sz w:val="26"/>
          <w:szCs w:val="26"/>
        </w:rPr>
        <w:t xml:space="preserve">) </w:t>
      </w:r>
      <w:r w:rsidR="00B132F4">
        <w:rPr>
          <w:sz w:val="26"/>
          <w:szCs w:val="26"/>
        </w:rPr>
        <w:t xml:space="preserve">filed a Petition for Authorization to Defer, for Accounting Purposes, </w:t>
      </w:r>
      <w:r w:rsidR="00C96FCA" w:rsidRPr="00C96FCA">
        <w:rPr>
          <w:sz w:val="26"/>
          <w:szCs w:val="26"/>
        </w:rPr>
        <w:t>Certain Substantial,</w:t>
      </w:r>
      <w:r w:rsidR="00C96FCA">
        <w:rPr>
          <w:sz w:val="26"/>
          <w:szCs w:val="26"/>
        </w:rPr>
        <w:t xml:space="preserve"> </w:t>
      </w:r>
      <w:r w:rsidR="00C96FCA" w:rsidRPr="00C96FCA">
        <w:rPr>
          <w:sz w:val="26"/>
          <w:szCs w:val="26"/>
        </w:rPr>
        <w:t>Unanticipated, Non-Recurring, and Extraordinary Meter Inspection and Replacement Expenses</w:t>
      </w:r>
      <w:r>
        <w:rPr>
          <w:sz w:val="26"/>
          <w:szCs w:val="26"/>
        </w:rPr>
        <w:t xml:space="preserve"> </w:t>
      </w:r>
      <w:r w:rsidR="00883F37">
        <w:rPr>
          <w:sz w:val="26"/>
          <w:szCs w:val="26"/>
        </w:rPr>
        <w:t xml:space="preserve">(Petition).  PPL </w:t>
      </w:r>
      <w:r w:rsidR="00B132F4">
        <w:rPr>
          <w:sz w:val="26"/>
          <w:szCs w:val="26"/>
        </w:rPr>
        <w:t xml:space="preserve">is requesting that we issue an order under </w:t>
      </w:r>
      <w:r w:rsidR="00033D57">
        <w:rPr>
          <w:sz w:val="26"/>
          <w:szCs w:val="26"/>
        </w:rPr>
        <w:t>s</w:t>
      </w:r>
      <w:r w:rsidR="00B132F4">
        <w:rPr>
          <w:sz w:val="26"/>
          <w:szCs w:val="26"/>
        </w:rPr>
        <w:t>ection 1701</w:t>
      </w:r>
      <w:r w:rsidR="00FE0180">
        <w:rPr>
          <w:sz w:val="26"/>
          <w:szCs w:val="26"/>
        </w:rPr>
        <w:t xml:space="preserve">of the Public Utility Code </w:t>
      </w:r>
      <w:r w:rsidR="00033D57">
        <w:rPr>
          <w:sz w:val="26"/>
          <w:szCs w:val="26"/>
        </w:rPr>
        <w:t>(</w:t>
      </w:r>
      <w:r w:rsidR="00FE0180">
        <w:rPr>
          <w:sz w:val="26"/>
          <w:szCs w:val="26"/>
        </w:rPr>
        <w:t>66 Pa. C.S. § 1701</w:t>
      </w:r>
      <w:r w:rsidR="00033D57">
        <w:rPr>
          <w:sz w:val="26"/>
          <w:szCs w:val="26"/>
        </w:rPr>
        <w:t>,</w:t>
      </w:r>
      <w:r w:rsidR="00FE0180">
        <w:rPr>
          <w:sz w:val="26"/>
          <w:szCs w:val="26"/>
        </w:rPr>
        <w:t xml:space="preserve"> </w:t>
      </w:r>
      <w:r w:rsidR="00A60F28">
        <w:rPr>
          <w:sz w:val="26"/>
          <w:szCs w:val="26"/>
        </w:rPr>
        <w:t>(m</w:t>
      </w:r>
      <w:r w:rsidR="00FE0180">
        <w:rPr>
          <w:sz w:val="26"/>
          <w:szCs w:val="26"/>
        </w:rPr>
        <w:t xml:space="preserve">andatory system of accounts), granting it the authority to defer, for accounting purposes, unanticipated </w:t>
      </w:r>
      <w:r w:rsidR="00C96FCA">
        <w:rPr>
          <w:sz w:val="26"/>
          <w:szCs w:val="26"/>
        </w:rPr>
        <w:t xml:space="preserve">operation and maintenance (O&amp;M) </w:t>
      </w:r>
      <w:r w:rsidR="00FE0180">
        <w:rPr>
          <w:sz w:val="26"/>
          <w:szCs w:val="26"/>
        </w:rPr>
        <w:t>expenses associa</w:t>
      </w:r>
      <w:r w:rsidR="00883F37">
        <w:rPr>
          <w:sz w:val="26"/>
          <w:szCs w:val="26"/>
        </w:rPr>
        <w:t xml:space="preserve">ted with </w:t>
      </w:r>
      <w:r w:rsidR="00C96FCA">
        <w:rPr>
          <w:sz w:val="26"/>
          <w:szCs w:val="26"/>
        </w:rPr>
        <w:t>the inspection and replacement</w:t>
      </w:r>
      <w:r w:rsidR="00B25C7B">
        <w:rPr>
          <w:sz w:val="26"/>
          <w:szCs w:val="26"/>
        </w:rPr>
        <w:t>, if necessary, certain of the C</w:t>
      </w:r>
      <w:r w:rsidR="00063C04">
        <w:rPr>
          <w:sz w:val="26"/>
          <w:szCs w:val="26"/>
        </w:rPr>
        <w:t>ompany’s meters that have poly</w:t>
      </w:r>
      <w:r w:rsidR="00B25C7B">
        <w:rPr>
          <w:sz w:val="26"/>
          <w:szCs w:val="26"/>
        </w:rPr>
        <w:t>carbonate resin backed plates (PRBP Meters) and associated deteriorated customer meter bases.</w:t>
      </w:r>
      <w:r w:rsidR="00883F37">
        <w:rPr>
          <w:sz w:val="26"/>
          <w:szCs w:val="26"/>
        </w:rPr>
        <w:t xml:space="preserve"> </w:t>
      </w:r>
      <w:r>
        <w:rPr>
          <w:sz w:val="26"/>
          <w:szCs w:val="26"/>
        </w:rPr>
        <w:t xml:space="preserve">At this time PPL </w:t>
      </w:r>
      <w:r w:rsidR="008D0879">
        <w:rPr>
          <w:sz w:val="26"/>
          <w:szCs w:val="26"/>
        </w:rPr>
        <w:t>is</w:t>
      </w:r>
      <w:r w:rsidR="005C740D">
        <w:rPr>
          <w:sz w:val="26"/>
          <w:szCs w:val="26"/>
        </w:rPr>
        <w:t xml:space="preserve"> not </w:t>
      </w:r>
      <w:r w:rsidR="008D0879">
        <w:rPr>
          <w:sz w:val="26"/>
          <w:szCs w:val="26"/>
        </w:rPr>
        <w:t xml:space="preserve">requesting that the Commission </w:t>
      </w:r>
      <w:r w:rsidR="005C740D">
        <w:rPr>
          <w:sz w:val="26"/>
          <w:szCs w:val="26"/>
        </w:rPr>
        <w:t>decide ratemaking treatment for these e</w:t>
      </w:r>
      <w:r w:rsidR="00F34F36">
        <w:rPr>
          <w:sz w:val="26"/>
          <w:szCs w:val="26"/>
        </w:rPr>
        <w:t>xpenses but only that it has the Commission’s</w:t>
      </w:r>
      <w:r w:rsidR="005C740D">
        <w:rPr>
          <w:sz w:val="26"/>
          <w:szCs w:val="26"/>
        </w:rPr>
        <w:t xml:space="preserve"> permission to defer the costs so tha</w:t>
      </w:r>
      <w:r w:rsidR="00F34F36">
        <w:rPr>
          <w:sz w:val="26"/>
          <w:szCs w:val="26"/>
        </w:rPr>
        <w:t xml:space="preserve">t it may seek recovery </w:t>
      </w:r>
      <w:r w:rsidR="005C740D">
        <w:rPr>
          <w:sz w:val="26"/>
          <w:szCs w:val="26"/>
        </w:rPr>
        <w:t xml:space="preserve">of these expenses in the next base rate case filed by the Company pursuant to section </w:t>
      </w:r>
      <w:r w:rsidR="00DC381A">
        <w:rPr>
          <w:sz w:val="26"/>
          <w:szCs w:val="26"/>
        </w:rPr>
        <w:t xml:space="preserve">1308(d) of </w:t>
      </w:r>
      <w:r w:rsidR="00DC381A">
        <w:rPr>
          <w:sz w:val="26"/>
          <w:szCs w:val="26"/>
        </w:rPr>
        <w:lastRenderedPageBreak/>
        <w:t>the Public Utility Code, 66 Pa. C.S. § 1308(d).</w:t>
      </w:r>
      <w:r w:rsidR="0050131D">
        <w:rPr>
          <w:sz w:val="26"/>
          <w:szCs w:val="26"/>
        </w:rPr>
        <w:t xml:space="preserve"> </w:t>
      </w:r>
      <w:r w:rsidR="0050131D" w:rsidRPr="0050131D">
        <w:rPr>
          <w:color w:val="000000"/>
          <w:sz w:val="26"/>
          <w:szCs w:val="26"/>
        </w:rPr>
        <w:t xml:space="preserve"> </w:t>
      </w:r>
      <w:r w:rsidR="0050131D" w:rsidRPr="00C20F64">
        <w:rPr>
          <w:color w:val="000000"/>
          <w:sz w:val="26"/>
          <w:szCs w:val="26"/>
        </w:rPr>
        <w:t>General Instruction No. 7 of the NARUC</w:t>
      </w:r>
      <w:r w:rsidR="0050131D">
        <w:rPr>
          <w:color w:val="000000"/>
          <w:sz w:val="26"/>
          <w:szCs w:val="26"/>
        </w:rPr>
        <w:t xml:space="preserve"> </w:t>
      </w:r>
      <w:r w:rsidR="0050131D" w:rsidRPr="00C20F64">
        <w:rPr>
          <w:color w:val="000000"/>
          <w:sz w:val="26"/>
          <w:szCs w:val="26"/>
        </w:rPr>
        <w:t>System of Accounts permits, upon Commission approval, the debiting of extraordinary items in</w:t>
      </w:r>
      <w:r w:rsidR="0050131D">
        <w:rPr>
          <w:color w:val="000000"/>
          <w:sz w:val="26"/>
          <w:szCs w:val="26"/>
        </w:rPr>
        <w:t xml:space="preserve"> a</w:t>
      </w:r>
      <w:r w:rsidR="0050131D" w:rsidRPr="00C20F64">
        <w:rPr>
          <w:color w:val="000000"/>
          <w:sz w:val="26"/>
          <w:szCs w:val="26"/>
        </w:rPr>
        <w:t>ccount No. 434 if they relate to the effects of events and transactions that are not typical or</w:t>
      </w:r>
      <w:r w:rsidR="0050131D">
        <w:rPr>
          <w:color w:val="000000"/>
          <w:sz w:val="26"/>
          <w:szCs w:val="26"/>
        </w:rPr>
        <w:t xml:space="preserve"> customary business activities of a company.  </w:t>
      </w:r>
    </w:p>
    <w:p w:rsidR="00B25C7B" w:rsidRDefault="00B25C7B" w:rsidP="00C96FCA">
      <w:pPr>
        <w:pStyle w:val="p3"/>
        <w:spacing w:line="360" w:lineRule="auto"/>
        <w:ind w:firstLine="1440"/>
        <w:rPr>
          <w:sz w:val="26"/>
          <w:szCs w:val="26"/>
        </w:rPr>
      </w:pPr>
    </w:p>
    <w:p w:rsidR="005C740D" w:rsidRDefault="004B34D3" w:rsidP="00882DD5">
      <w:pPr>
        <w:spacing w:line="360" w:lineRule="auto"/>
        <w:ind w:firstLine="1440"/>
        <w:rPr>
          <w:color w:val="000000"/>
          <w:sz w:val="26"/>
          <w:szCs w:val="26"/>
        </w:rPr>
      </w:pPr>
      <w:r>
        <w:rPr>
          <w:color w:val="000000"/>
          <w:sz w:val="26"/>
          <w:szCs w:val="26"/>
        </w:rPr>
        <w:t>The petition was served on the Bureau of Investigation and Enforcement</w:t>
      </w:r>
      <w:r w:rsidR="000F3E9D">
        <w:rPr>
          <w:color w:val="000000"/>
          <w:sz w:val="26"/>
          <w:szCs w:val="26"/>
        </w:rPr>
        <w:t xml:space="preserve"> (BIE)</w:t>
      </w:r>
      <w:r>
        <w:rPr>
          <w:color w:val="000000"/>
          <w:sz w:val="26"/>
          <w:szCs w:val="26"/>
        </w:rPr>
        <w:t>, Office of Consumer Advocate</w:t>
      </w:r>
      <w:r w:rsidR="000F3E9D">
        <w:rPr>
          <w:color w:val="000000"/>
          <w:sz w:val="26"/>
          <w:szCs w:val="26"/>
        </w:rPr>
        <w:t xml:space="preserve"> (OCA)</w:t>
      </w:r>
      <w:r>
        <w:rPr>
          <w:color w:val="000000"/>
          <w:sz w:val="26"/>
          <w:szCs w:val="26"/>
        </w:rPr>
        <w:t>, and the Office of Small Business Advocate.</w:t>
      </w:r>
      <w:r w:rsidR="000F3E9D">
        <w:rPr>
          <w:color w:val="000000"/>
          <w:sz w:val="26"/>
          <w:szCs w:val="26"/>
        </w:rPr>
        <w:t xml:space="preserve">  </w:t>
      </w:r>
      <w:r w:rsidR="000F3E9D" w:rsidRPr="000F3E9D">
        <w:rPr>
          <w:color w:val="000000"/>
          <w:sz w:val="26"/>
          <w:szCs w:val="26"/>
        </w:rPr>
        <w:t>On April 2, 2014</w:t>
      </w:r>
      <w:r w:rsidR="00594C2A">
        <w:rPr>
          <w:color w:val="000000"/>
          <w:sz w:val="26"/>
          <w:szCs w:val="26"/>
        </w:rPr>
        <w:t>,</w:t>
      </w:r>
      <w:r w:rsidR="000F3E9D" w:rsidRPr="000F3E9D">
        <w:rPr>
          <w:color w:val="000000"/>
          <w:sz w:val="26"/>
          <w:szCs w:val="26"/>
        </w:rPr>
        <w:t xml:space="preserve"> the </w:t>
      </w:r>
      <w:r w:rsidR="000F3E9D">
        <w:rPr>
          <w:color w:val="000000"/>
          <w:sz w:val="26"/>
          <w:szCs w:val="26"/>
        </w:rPr>
        <w:t>BIE</w:t>
      </w:r>
      <w:r w:rsidR="000F3E9D" w:rsidRPr="000F3E9D">
        <w:rPr>
          <w:color w:val="000000"/>
          <w:sz w:val="26"/>
          <w:szCs w:val="26"/>
        </w:rPr>
        <w:t xml:space="preserve"> filed an answer to the petition</w:t>
      </w:r>
      <w:r>
        <w:rPr>
          <w:color w:val="000000"/>
          <w:sz w:val="26"/>
          <w:szCs w:val="26"/>
        </w:rPr>
        <w:t xml:space="preserve"> </w:t>
      </w:r>
      <w:r w:rsidR="000F3E9D">
        <w:rPr>
          <w:color w:val="000000"/>
          <w:sz w:val="26"/>
          <w:szCs w:val="26"/>
        </w:rPr>
        <w:t>in opposition of the Petition.</w:t>
      </w:r>
      <w:r>
        <w:rPr>
          <w:color w:val="000000"/>
          <w:sz w:val="26"/>
          <w:szCs w:val="26"/>
        </w:rPr>
        <w:t xml:space="preserve"> </w:t>
      </w:r>
      <w:r w:rsidR="000F3E9D">
        <w:rPr>
          <w:color w:val="000000"/>
          <w:sz w:val="26"/>
          <w:szCs w:val="26"/>
        </w:rPr>
        <w:t xml:space="preserve"> </w:t>
      </w:r>
      <w:r w:rsidR="00F3783C" w:rsidRPr="000F3E9D">
        <w:rPr>
          <w:color w:val="000000"/>
          <w:sz w:val="26"/>
          <w:szCs w:val="26"/>
        </w:rPr>
        <w:t xml:space="preserve">On </w:t>
      </w:r>
      <w:r w:rsidR="000F3E9D">
        <w:rPr>
          <w:color w:val="000000"/>
          <w:sz w:val="26"/>
          <w:szCs w:val="26"/>
        </w:rPr>
        <w:t>April</w:t>
      </w:r>
      <w:r w:rsidR="00F3783C" w:rsidRPr="000F3E9D">
        <w:rPr>
          <w:color w:val="000000"/>
          <w:sz w:val="26"/>
          <w:szCs w:val="26"/>
        </w:rPr>
        <w:t xml:space="preserve"> </w:t>
      </w:r>
      <w:r w:rsidR="000F3E9D">
        <w:rPr>
          <w:color w:val="000000"/>
          <w:sz w:val="26"/>
          <w:szCs w:val="26"/>
        </w:rPr>
        <w:t>2, 2014</w:t>
      </w:r>
      <w:r w:rsidR="00594C2A">
        <w:rPr>
          <w:color w:val="000000"/>
          <w:sz w:val="26"/>
          <w:szCs w:val="26"/>
        </w:rPr>
        <w:t>,</w:t>
      </w:r>
      <w:r w:rsidR="00F3783C" w:rsidRPr="000F3E9D">
        <w:rPr>
          <w:color w:val="000000"/>
          <w:sz w:val="26"/>
          <w:szCs w:val="26"/>
        </w:rPr>
        <w:t xml:space="preserve"> </w:t>
      </w:r>
      <w:r w:rsidR="00391707">
        <w:rPr>
          <w:color w:val="000000"/>
          <w:sz w:val="26"/>
          <w:szCs w:val="26"/>
        </w:rPr>
        <w:t>the OCA filed an answer in opposition to the P</w:t>
      </w:r>
      <w:r w:rsidR="00F3783C" w:rsidRPr="000F3E9D">
        <w:rPr>
          <w:color w:val="000000"/>
          <w:sz w:val="26"/>
          <w:szCs w:val="26"/>
        </w:rPr>
        <w:t xml:space="preserve">etition </w:t>
      </w:r>
      <w:r w:rsidR="00391707">
        <w:rPr>
          <w:color w:val="000000"/>
          <w:sz w:val="26"/>
          <w:szCs w:val="26"/>
        </w:rPr>
        <w:t>as well as stipulated approval conditions.</w:t>
      </w:r>
      <w:r w:rsidR="00882DD5">
        <w:rPr>
          <w:color w:val="000000"/>
          <w:sz w:val="26"/>
          <w:szCs w:val="26"/>
        </w:rPr>
        <w:t xml:space="preserve">  </w:t>
      </w:r>
      <w:r w:rsidR="00594C2A">
        <w:rPr>
          <w:color w:val="000000"/>
          <w:sz w:val="26"/>
          <w:szCs w:val="26"/>
        </w:rPr>
        <w:t>On April 2, 2014, the Bureau of Technical Utility Services sent a date request to PPL.  PPL filed responses to the data request on April 23, 2</w:t>
      </w:r>
      <w:r w:rsidR="0064023C">
        <w:rPr>
          <w:color w:val="000000"/>
          <w:sz w:val="26"/>
          <w:szCs w:val="26"/>
        </w:rPr>
        <w:t>01</w:t>
      </w:r>
      <w:r w:rsidR="00594C2A">
        <w:rPr>
          <w:color w:val="000000"/>
          <w:sz w:val="26"/>
          <w:szCs w:val="26"/>
        </w:rPr>
        <w:t>4.</w:t>
      </w:r>
    </w:p>
    <w:p w:rsidR="00594C2A" w:rsidRDefault="00594C2A" w:rsidP="00882DD5">
      <w:pPr>
        <w:spacing w:line="360" w:lineRule="auto"/>
        <w:ind w:firstLine="1440"/>
        <w:rPr>
          <w:color w:val="000000"/>
          <w:sz w:val="26"/>
          <w:szCs w:val="26"/>
        </w:rPr>
      </w:pPr>
    </w:p>
    <w:p w:rsidR="00594C2A" w:rsidRPr="00594C2A" w:rsidRDefault="00594C2A" w:rsidP="00594C2A">
      <w:pPr>
        <w:spacing w:line="360" w:lineRule="auto"/>
        <w:rPr>
          <w:b/>
          <w:color w:val="000000"/>
          <w:sz w:val="26"/>
          <w:szCs w:val="26"/>
        </w:rPr>
      </w:pPr>
      <w:r w:rsidRPr="00594C2A">
        <w:rPr>
          <w:b/>
          <w:color w:val="000000"/>
          <w:sz w:val="26"/>
          <w:szCs w:val="26"/>
        </w:rPr>
        <w:t>The Petition</w:t>
      </w:r>
    </w:p>
    <w:p w:rsidR="00594C2A" w:rsidRPr="00882DD5" w:rsidRDefault="00594C2A" w:rsidP="00594C2A">
      <w:pPr>
        <w:spacing w:line="360" w:lineRule="auto"/>
        <w:rPr>
          <w:color w:val="000000"/>
          <w:sz w:val="26"/>
          <w:szCs w:val="26"/>
        </w:rPr>
      </w:pPr>
    </w:p>
    <w:p w:rsidR="00924254" w:rsidRPr="00857376" w:rsidRDefault="00010B7A" w:rsidP="00DA39AF">
      <w:pPr>
        <w:pStyle w:val="p3"/>
        <w:tabs>
          <w:tab w:val="clear" w:pos="204"/>
        </w:tabs>
        <w:spacing w:line="360" w:lineRule="auto"/>
        <w:ind w:firstLine="1440"/>
        <w:rPr>
          <w:sz w:val="26"/>
          <w:szCs w:val="26"/>
        </w:rPr>
      </w:pPr>
      <w:r>
        <w:rPr>
          <w:sz w:val="26"/>
          <w:szCs w:val="26"/>
        </w:rPr>
        <w:t>PPL</w:t>
      </w:r>
      <w:r w:rsidR="00D80AFE" w:rsidRPr="00C20F64">
        <w:rPr>
          <w:sz w:val="26"/>
          <w:szCs w:val="26"/>
        </w:rPr>
        <w:t xml:space="preserve"> is a</w:t>
      </w:r>
      <w:r w:rsidR="00857376">
        <w:rPr>
          <w:sz w:val="26"/>
          <w:szCs w:val="26"/>
        </w:rPr>
        <w:t xml:space="preserve"> public utility </w:t>
      </w:r>
      <w:r w:rsidR="00D80AFE" w:rsidRPr="00C20F64">
        <w:rPr>
          <w:sz w:val="26"/>
          <w:szCs w:val="26"/>
        </w:rPr>
        <w:t>corporation</w:t>
      </w:r>
      <w:r>
        <w:rPr>
          <w:sz w:val="26"/>
          <w:szCs w:val="26"/>
        </w:rPr>
        <w:t xml:space="preserve"> that furnishes electric service to approximately 1.4 million customers throughout its service territory, which includes all or portions of 29 counties and encompasses approximately 10,000 square miles in eastern and central Pennsylvania.  PPL </w:t>
      </w:r>
      <w:r w:rsidR="00924254" w:rsidRPr="00C20F64">
        <w:rPr>
          <w:color w:val="000000"/>
          <w:sz w:val="26"/>
          <w:szCs w:val="26"/>
        </w:rPr>
        <w:t>is</w:t>
      </w:r>
      <w:r w:rsidR="00110975">
        <w:rPr>
          <w:color w:val="000000"/>
          <w:sz w:val="26"/>
          <w:szCs w:val="26"/>
        </w:rPr>
        <w:t xml:space="preserve"> a “public utility” as defined in Sections 102 and 2803 of the Pennsylvania Public Utility Code, 66 Pa. C.S. </w:t>
      </w:r>
      <w:r w:rsidR="00110975" w:rsidRPr="00C20F64">
        <w:rPr>
          <w:color w:val="000000"/>
          <w:sz w:val="26"/>
          <w:szCs w:val="26"/>
        </w:rPr>
        <w:t>§§</w:t>
      </w:r>
      <w:r w:rsidR="00110975">
        <w:rPr>
          <w:color w:val="000000"/>
          <w:sz w:val="26"/>
          <w:szCs w:val="26"/>
        </w:rPr>
        <w:t xml:space="preserve"> 102, 2803. </w:t>
      </w:r>
      <w:r w:rsidR="00DA39AF">
        <w:rPr>
          <w:color w:val="000000"/>
          <w:sz w:val="26"/>
          <w:szCs w:val="26"/>
        </w:rPr>
        <w:t xml:space="preserve"> </w:t>
      </w:r>
    </w:p>
    <w:p w:rsidR="00D607F8" w:rsidRDefault="00D607F8" w:rsidP="00DA39AF">
      <w:pPr>
        <w:pStyle w:val="p3"/>
        <w:tabs>
          <w:tab w:val="clear" w:pos="204"/>
        </w:tabs>
        <w:spacing w:line="360" w:lineRule="auto"/>
        <w:ind w:firstLine="1440"/>
        <w:rPr>
          <w:sz w:val="26"/>
          <w:szCs w:val="26"/>
        </w:rPr>
      </w:pPr>
    </w:p>
    <w:p w:rsidR="006779EB" w:rsidRDefault="006779EB" w:rsidP="00DA39AF">
      <w:pPr>
        <w:pStyle w:val="p3"/>
        <w:tabs>
          <w:tab w:val="clear" w:pos="204"/>
        </w:tabs>
        <w:spacing w:line="360" w:lineRule="auto"/>
        <w:ind w:firstLine="1440"/>
        <w:rPr>
          <w:color w:val="000000"/>
          <w:sz w:val="26"/>
          <w:szCs w:val="26"/>
        </w:rPr>
      </w:pPr>
      <w:r>
        <w:rPr>
          <w:color w:val="000000"/>
          <w:sz w:val="26"/>
          <w:szCs w:val="26"/>
        </w:rPr>
        <w:t>In 2008, PPL began installing new digital PRBP Meters and has installed approximately 130,000 of these meters since that time.  PPL has become aware of a potential issue associated with the combination of aging customer meter bases</w:t>
      </w:r>
      <w:r>
        <w:rPr>
          <w:rStyle w:val="FootnoteReference"/>
          <w:color w:val="000000"/>
          <w:sz w:val="26"/>
          <w:szCs w:val="26"/>
        </w:rPr>
        <w:footnoteReference w:id="1"/>
      </w:r>
      <w:r>
        <w:rPr>
          <w:color w:val="000000"/>
          <w:sz w:val="26"/>
          <w:szCs w:val="26"/>
        </w:rPr>
        <w:t xml:space="preserve"> that have deteriorated over time and certain PRBP Meters.</w:t>
      </w:r>
      <w:r w:rsidR="00D40747">
        <w:rPr>
          <w:color w:val="000000"/>
          <w:sz w:val="26"/>
          <w:szCs w:val="26"/>
        </w:rPr>
        <w:t xml:space="preserve">  As customer meter bases wear out over time, the jaws in the base can lose their strength and the ability to firmly clamp the meter blades.  Over time, this can lead to gaps in the connection between the meter and the </w:t>
      </w:r>
      <w:r w:rsidR="00D40747">
        <w:rPr>
          <w:color w:val="000000"/>
          <w:sz w:val="26"/>
          <w:szCs w:val="26"/>
        </w:rPr>
        <w:lastRenderedPageBreak/>
        <w:t>meter base, and in certain circumstances, can result in electrical arcing across this gap.  This has been a common issue observed by electrical utility personnel.</w:t>
      </w:r>
    </w:p>
    <w:p w:rsidR="00882DD5" w:rsidRDefault="00882DD5" w:rsidP="00DA39AF">
      <w:pPr>
        <w:pStyle w:val="p3"/>
        <w:tabs>
          <w:tab w:val="clear" w:pos="204"/>
        </w:tabs>
        <w:spacing w:line="360" w:lineRule="auto"/>
        <w:ind w:firstLine="1440"/>
        <w:rPr>
          <w:color w:val="000000"/>
          <w:sz w:val="26"/>
          <w:szCs w:val="26"/>
        </w:rPr>
      </w:pPr>
    </w:p>
    <w:p w:rsidR="00CC7BFC" w:rsidRDefault="000A1F94" w:rsidP="002C1A11">
      <w:pPr>
        <w:pStyle w:val="p3"/>
        <w:tabs>
          <w:tab w:val="clear" w:pos="204"/>
        </w:tabs>
        <w:spacing w:line="360" w:lineRule="auto"/>
        <w:rPr>
          <w:color w:val="000000"/>
          <w:sz w:val="26"/>
          <w:szCs w:val="26"/>
        </w:rPr>
      </w:pPr>
      <w:r>
        <w:rPr>
          <w:color w:val="000000"/>
          <w:sz w:val="26"/>
          <w:szCs w:val="26"/>
        </w:rPr>
        <w:t xml:space="preserve">                     </w:t>
      </w:r>
      <w:r w:rsidR="0029405C">
        <w:rPr>
          <w:color w:val="000000"/>
          <w:sz w:val="26"/>
          <w:szCs w:val="26"/>
        </w:rPr>
        <w:t xml:space="preserve">PPL anticipates that the total </w:t>
      </w:r>
      <w:r w:rsidR="00DA5C86">
        <w:rPr>
          <w:color w:val="000000"/>
          <w:sz w:val="26"/>
          <w:szCs w:val="26"/>
        </w:rPr>
        <w:t xml:space="preserve">incremental </w:t>
      </w:r>
      <w:r w:rsidR="00182A8C">
        <w:rPr>
          <w:color w:val="000000"/>
          <w:sz w:val="26"/>
          <w:szCs w:val="26"/>
        </w:rPr>
        <w:t>O&amp;M</w:t>
      </w:r>
      <w:r w:rsidR="00DA5C86">
        <w:rPr>
          <w:color w:val="000000"/>
          <w:sz w:val="26"/>
          <w:szCs w:val="26"/>
        </w:rPr>
        <w:t xml:space="preserve"> </w:t>
      </w:r>
      <w:r w:rsidR="0029405C">
        <w:rPr>
          <w:color w:val="000000"/>
          <w:sz w:val="26"/>
          <w:szCs w:val="26"/>
        </w:rPr>
        <w:t xml:space="preserve">expenses incurred will </w:t>
      </w:r>
      <w:r w:rsidR="00882DD5">
        <w:rPr>
          <w:color w:val="000000"/>
          <w:sz w:val="26"/>
          <w:szCs w:val="26"/>
        </w:rPr>
        <w:t>be approximately $25 to</w:t>
      </w:r>
      <w:r w:rsidR="0029405C">
        <w:rPr>
          <w:color w:val="000000"/>
          <w:sz w:val="26"/>
          <w:szCs w:val="26"/>
        </w:rPr>
        <w:t xml:space="preserve"> $</w:t>
      </w:r>
      <w:r w:rsidR="00882DD5">
        <w:rPr>
          <w:color w:val="000000"/>
          <w:sz w:val="26"/>
          <w:szCs w:val="26"/>
        </w:rPr>
        <w:t>3</w:t>
      </w:r>
      <w:r w:rsidR="0029405C">
        <w:rPr>
          <w:color w:val="000000"/>
          <w:sz w:val="26"/>
          <w:szCs w:val="26"/>
        </w:rPr>
        <w:t xml:space="preserve">0 million </w:t>
      </w:r>
      <w:r w:rsidR="00C132FD">
        <w:rPr>
          <w:color w:val="000000"/>
          <w:sz w:val="26"/>
          <w:szCs w:val="26"/>
        </w:rPr>
        <w:t>dollars</w:t>
      </w:r>
      <w:r w:rsidR="0054051C">
        <w:rPr>
          <w:color w:val="000000"/>
          <w:sz w:val="26"/>
          <w:szCs w:val="26"/>
        </w:rPr>
        <w:t xml:space="preserve"> (Expenses)</w:t>
      </w:r>
      <w:r w:rsidR="00C132FD">
        <w:rPr>
          <w:color w:val="000000"/>
          <w:sz w:val="26"/>
          <w:szCs w:val="26"/>
        </w:rPr>
        <w:t>.</w:t>
      </w:r>
      <w:r w:rsidR="00E46899">
        <w:rPr>
          <w:color w:val="000000"/>
          <w:sz w:val="26"/>
          <w:szCs w:val="26"/>
        </w:rPr>
        <w:t xml:space="preserve">  These expenses include the cost of meter inspection and replacement as well as customer equipment inspection and replacement.</w:t>
      </w:r>
      <w:r w:rsidR="00C132FD">
        <w:rPr>
          <w:color w:val="000000"/>
          <w:sz w:val="26"/>
          <w:szCs w:val="26"/>
        </w:rPr>
        <w:t xml:space="preserve">  </w:t>
      </w:r>
      <w:r w:rsidR="0029405C">
        <w:rPr>
          <w:color w:val="000000"/>
          <w:sz w:val="26"/>
          <w:szCs w:val="26"/>
        </w:rPr>
        <w:t xml:space="preserve">PPL </w:t>
      </w:r>
      <w:r w:rsidR="00882DD5">
        <w:rPr>
          <w:color w:val="000000"/>
          <w:sz w:val="26"/>
          <w:szCs w:val="26"/>
        </w:rPr>
        <w:t xml:space="preserve">intends to defer its </w:t>
      </w:r>
      <w:r w:rsidR="00DA5C86">
        <w:rPr>
          <w:color w:val="000000"/>
          <w:sz w:val="26"/>
          <w:szCs w:val="26"/>
        </w:rPr>
        <w:t xml:space="preserve">actual </w:t>
      </w:r>
      <w:r w:rsidR="00882DD5">
        <w:rPr>
          <w:color w:val="000000"/>
          <w:sz w:val="26"/>
          <w:szCs w:val="26"/>
        </w:rPr>
        <w:t xml:space="preserve">incremental </w:t>
      </w:r>
      <w:r w:rsidR="00DA5C86">
        <w:rPr>
          <w:color w:val="000000"/>
          <w:sz w:val="26"/>
          <w:szCs w:val="26"/>
        </w:rPr>
        <w:t>O&amp;M</w:t>
      </w:r>
      <w:r w:rsidR="00882DD5">
        <w:rPr>
          <w:color w:val="000000"/>
          <w:sz w:val="26"/>
          <w:szCs w:val="26"/>
        </w:rPr>
        <w:t xml:space="preserve"> costs.  In addit</w:t>
      </w:r>
      <w:r w:rsidR="00DA5C86">
        <w:rPr>
          <w:color w:val="000000"/>
          <w:sz w:val="26"/>
          <w:szCs w:val="26"/>
        </w:rPr>
        <w:t>ion, PPL will in</w:t>
      </w:r>
      <w:r w:rsidR="00882DD5">
        <w:rPr>
          <w:color w:val="000000"/>
          <w:sz w:val="26"/>
          <w:szCs w:val="26"/>
        </w:rPr>
        <w:t>cur capital costs associated with the replacement of the damaged PRBP Meters and will capitalize these costs for recovery in future base rate proceedings.</w:t>
      </w:r>
    </w:p>
    <w:p w:rsidR="005B3BF2" w:rsidRDefault="005B3BF2" w:rsidP="002C1A11">
      <w:pPr>
        <w:pStyle w:val="p3"/>
        <w:tabs>
          <w:tab w:val="clear" w:pos="204"/>
        </w:tabs>
        <w:spacing w:line="360" w:lineRule="auto"/>
        <w:rPr>
          <w:color w:val="000000"/>
          <w:sz w:val="26"/>
          <w:szCs w:val="26"/>
        </w:rPr>
      </w:pPr>
    </w:p>
    <w:p w:rsidR="00944D62" w:rsidRDefault="00EA2FE0" w:rsidP="002C1A11">
      <w:pPr>
        <w:pStyle w:val="p3"/>
        <w:tabs>
          <w:tab w:val="clear" w:pos="204"/>
        </w:tabs>
        <w:spacing w:line="360" w:lineRule="auto"/>
        <w:rPr>
          <w:color w:val="000000"/>
          <w:sz w:val="26"/>
          <w:szCs w:val="26"/>
        </w:rPr>
      </w:pPr>
      <w:r>
        <w:rPr>
          <w:color w:val="000000"/>
          <w:sz w:val="26"/>
          <w:szCs w:val="26"/>
        </w:rPr>
        <w:tab/>
      </w:r>
      <w:r>
        <w:rPr>
          <w:color w:val="000000"/>
          <w:sz w:val="26"/>
          <w:szCs w:val="26"/>
        </w:rPr>
        <w:tab/>
      </w:r>
      <w:r w:rsidR="00CD775A">
        <w:rPr>
          <w:color w:val="000000"/>
          <w:sz w:val="26"/>
          <w:szCs w:val="26"/>
        </w:rPr>
        <w:t xml:space="preserve">PPL claims </w:t>
      </w:r>
      <w:r w:rsidR="00944D62">
        <w:rPr>
          <w:color w:val="000000"/>
          <w:sz w:val="26"/>
          <w:szCs w:val="26"/>
        </w:rPr>
        <w:t xml:space="preserve">the Expenses are substantial, unanticipated, non-re-recurring, and extraordinary and, therefore, are within the scope of the type of items the Commission has previously allowed to be deferred for accounting purposes.  First, the Company notes that the level of expense is clearly substantial as it is greater </w:t>
      </w:r>
      <w:r w:rsidR="00182A8C">
        <w:rPr>
          <w:color w:val="000000"/>
          <w:sz w:val="26"/>
          <w:szCs w:val="26"/>
        </w:rPr>
        <w:t xml:space="preserve">in </w:t>
      </w:r>
      <w:r w:rsidR="00944D62">
        <w:rPr>
          <w:color w:val="000000"/>
          <w:sz w:val="26"/>
          <w:szCs w:val="26"/>
        </w:rPr>
        <w:t>dollar amount than several of PPL’s prior petitions to defer storm damage expenses.</w:t>
      </w:r>
      <w:r w:rsidR="00E46899">
        <w:rPr>
          <w:rStyle w:val="FootnoteReference"/>
          <w:color w:val="000000"/>
          <w:sz w:val="26"/>
          <w:szCs w:val="26"/>
        </w:rPr>
        <w:footnoteReference w:id="2"/>
      </w:r>
      <w:r w:rsidR="00944D62">
        <w:rPr>
          <w:color w:val="000000"/>
          <w:sz w:val="26"/>
          <w:szCs w:val="26"/>
        </w:rPr>
        <w:t xml:space="preserve">  Second, the costs were unanticipated as PPL couldn’t have reasonably known that the electrical arcing associated with customer’s aging meter bases could damage the PRBP meter which is still widely used in the electrical utility industry.  </w:t>
      </w:r>
      <w:r w:rsidR="00CD775A">
        <w:rPr>
          <w:color w:val="000000"/>
          <w:sz w:val="26"/>
          <w:szCs w:val="26"/>
        </w:rPr>
        <w:t xml:space="preserve">Third, </w:t>
      </w:r>
      <w:r w:rsidR="00D54107">
        <w:rPr>
          <w:color w:val="000000"/>
          <w:sz w:val="26"/>
          <w:szCs w:val="26"/>
        </w:rPr>
        <w:t xml:space="preserve">the problem is non-recurring because PPL will replace, if necessary, the PRBP meters with ones that will resist electrical arcing; therefore the problems associated with these meters will not arise again in the future.  Finally, the Expenses are extraordinary and are not routine business expenses.  Although PPL inspects and replaces meters in its service territory on a routine basis, the level of inspection and replacement at one time to address the extraordinary circumstances associated with the combination of </w:t>
      </w:r>
      <w:r w:rsidR="00E21423">
        <w:rPr>
          <w:color w:val="000000"/>
          <w:sz w:val="26"/>
          <w:szCs w:val="26"/>
        </w:rPr>
        <w:t>deteriorated customer</w:t>
      </w:r>
      <w:r w:rsidR="00D54107">
        <w:rPr>
          <w:color w:val="000000"/>
          <w:sz w:val="26"/>
          <w:szCs w:val="26"/>
        </w:rPr>
        <w:t xml:space="preserve"> meter bases with PRBP meters</w:t>
      </w:r>
      <w:r w:rsidR="00E21423">
        <w:rPr>
          <w:color w:val="000000"/>
          <w:sz w:val="26"/>
          <w:szCs w:val="26"/>
        </w:rPr>
        <w:t xml:space="preserve"> is unprecedented and certainly not routine.</w:t>
      </w:r>
    </w:p>
    <w:p w:rsidR="00944D62" w:rsidRDefault="00944D62" w:rsidP="002C1A11">
      <w:pPr>
        <w:pStyle w:val="p3"/>
        <w:tabs>
          <w:tab w:val="clear" w:pos="204"/>
        </w:tabs>
        <w:spacing w:line="360" w:lineRule="auto"/>
        <w:rPr>
          <w:color w:val="000000"/>
          <w:sz w:val="26"/>
          <w:szCs w:val="26"/>
        </w:rPr>
      </w:pPr>
    </w:p>
    <w:p w:rsidR="005B3BF2" w:rsidRDefault="005B3BF2" w:rsidP="00E21423">
      <w:pPr>
        <w:pStyle w:val="p3"/>
        <w:tabs>
          <w:tab w:val="clear" w:pos="204"/>
        </w:tabs>
        <w:spacing w:line="360" w:lineRule="auto"/>
        <w:ind w:firstLine="1440"/>
        <w:rPr>
          <w:color w:val="000000"/>
          <w:sz w:val="26"/>
          <w:szCs w:val="26"/>
        </w:rPr>
      </w:pPr>
      <w:r>
        <w:rPr>
          <w:color w:val="000000"/>
          <w:sz w:val="26"/>
          <w:szCs w:val="26"/>
        </w:rPr>
        <w:t>The OCA opposes the deferral of PPL’s meter inspection and</w:t>
      </w:r>
      <w:r w:rsidR="0054051C">
        <w:rPr>
          <w:color w:val="000000"/>
          <w:sz w:val="26"/>
          <w:szCs w:val="26"/>
        </w:rPr>
        <w:t xml:space="preserve"> replacement expenses</w:t>
      </w:r>
      <w:r>
        <w:rPr>
          <w:color w:val="000000"/>
          <w:sz w:val="26"/>
          <w:szCs w:val="26"/>
        </w:rPr>
        <w:t xml:space="preserve">.  The OCA notes that the Expenses are not the type of costs that the Commission has allowed for deferral which are extraordinary, substantial, unanticipated, and non-recurring.  Examples </w:t>
      </w:r>
      <w:r w:rsidR="00FE5AAC">
        <w:rPr>
          <w:color w:val="000000"/>
          <w:sz w:val="26"/>
          <w:szCs w:val="26"/>
        </w:rPr>
        <w:t xml:space="preserve">of Commission approved deferrals </w:t>
      </w:r>
      <w:r>
        <w:rPr>
          <w:color w:val="000000"/>
          <w:sz w:val="26"/>
          <w:szCs w:val="26"/>
        </w:rPr>
        <w:t>include hurricane damages, across-the-board accounting changes that have substantial financial impact, and repairs to avoid an imminent threat to public health and safety.  Meter replacement cost and deteriorated meter bases are largely within control of the company, may have been reasonably anticipated, and do not meet the Commission’s standard for deferral accounting.  While PPL has alluded to a public safety risk, the OCA contends meter repair and replacement is a cost in PPL’s normal course of business.  Furthermore the OCA notes that PPL made no mention of attempting to recover these costs from the meter manufacturer.</w:t>
      </w:r>
      <w:r w:rsidR="00FE5AAC">
        <w:rPr>
          <w:color w:val="000000"/>
          <w:sz w:val="26"/>
          <w:szCs w:val="26"/>
        </w:rPr>
        <w:t xml:space="preserve">  If the Commission would afford PPL deferred accounting treatment of the Expenses, the OCA would submit that at a minimum the following conditions should apply:</w:t>
      </w:r>
    </w:p>
    <w:p w:rsidR="00FE5AAC" w:rsidRDefault="00FE5AAC" w:rsidP="00FE5AAC">
      <w:pPr>
        <w:pStyle w:val="p3"/>
        <w:numPr>
          <w:ilvl w:val="0"/>
          <w:numId w:val="5"/>
        </w:numPr>
        <w:tabs>
          <w:tab w:val="clear" w:pos="204"/>
        </w:tabs>
        <w:spacing w:line="360" w:lineRule="auto"/>
        <w:rPr>
          <w:color w:val="000000"/>
          <w:sz w:val="26"/>
          <w:szCs w:val="26"/>
        </w:rPr>
      </w:pPr>
      <w:r>
        <w:rPr>
          <w:color w:val="000000"/>
          <w:sz w:val="26"/>
          <w:szCs w:val="26"/>
        </w:rPr>
        <w:t>That the authorization granted to PPL here for deferred accounting treatment carries no assurance of future rate recovery;</w:t>
      </w:r>
    </w:p>
    <w:p w:rsidR="00FE5AAC" w:rsidRDefault="00FE5AAC" w:rsidP="00FE5AAC">
      <w:pPr>
        <w:pStyle w:val="p3"/>
        <w:numPr>
          <w:ilvl w:val="0"/>
          <w:numId w:val="5"/>
        </w:numPr>
        <w:tabs>
          <w:tab w:val="clear" w:pos="204"/>
        </w:tabs>
        <w:spacing w:line="360" w:lineRule="auto"/>
        <w:rPr>
          <w:color w:val="000000"/>
          <w:sz w:val="26"/>
          <w:szCs w:val="26"/>
        </w:rPr>
      </w:pPr>
      <w:r>
        <w:rPr>
          <w:color w:val="000000"/>
          <w:sz w:val="26"/>
          <w:szCs w:val="26"/>
        </w:rPr>
        <w:t>That PPL be directed to claim its deferred losses at the first available opportunity;</w:t>
      </w:r>
    </w:p>
    <w:p w:rsidR="00FE5AAC" w:rsidRDefault="00FE5AAC" w:rsidP="00FE5AAC">
      <w:pPr>
        <w:pStyle w:val="p3"/>
        <w:numPr>
          <w:ilvl w:val="0"/>
          <w:numId w:val="5"/>
        </w:numPr>
        <w:tabs>
          <w:tab w:val="clear" w:pos="204"/>
        </w:tabs>
        <w:spacing w:line="360" w:lineRule="auto"/>
        <w:rPr>
          <w:color w:val="000000"/>
          <w:sz w:val="26"/>
          <w:szCs w:val="26"/>
        </w:rPr>
      </w:pPr>
      <w:r>
        <w:rPr>
          <w:color w:val="000000"/>
          <w:sz w:val="26"/>
          <w:szCs w:val="26"/>
        </w:rPr>
        <w:t>That any authorization for deferred accounting treatment be limited to actual operations and maintenance costs</w:t>
      </w:r>
      <w:r w:rsidR="00996FCA">
        <w:rPr>
          <w:color w:val="000000"/>
          <w:sz w:val="26"/>
          <w:szCs w:val="26"/>
        </w:rPr>
        <w:t>, net of any insurance recovery or recovery from the meter manufacturer, and not to extend to straight time and capitalized costs; and,</w:t>
      </w:r>
    </w:p>
    <w:p w:rsidR="00996FCA" w:rsidRDefault="00996FCA" w:rsidP="00FE5AAC">
      <w:pPr>
        <w:pStyle w:val="p3"/>
        <w:numPr>
          <w:ilvl w:val="0"/>
          <w:numId w:val="5"/>
        </w:numPr>
        <w:tabs>
          <w:tab w:val="clear" w:pos="204"/>
        </w:tabs>
        <w:spacing w:line="360" w:lineRule="auto"/>
        <w:rPr>
          <w:color w:val="000000"/>
          <w:sz w:val="26"/>
          <w:szCs w:val="26"/>
        </w:rPr>
      </w:pPr>
      <w:r>
        <w:rPr>
          <w:color w:val="000000"/>
          <w:sz w:val="26"/>
          <w:szCs w:val="26"/>
        </w:rPr>
        <w:t>That any opinion or order in this matter will in no way limit the ability of any party to a future rate case to oppose rate recovery of any of the deferred cost pursuant to the limited authorization granted herein.</w:t>
      </w:r>
    </w:p>
    <w:p w:rsidR="00996FCA" w:rsidRDefault="00996FCA" w:rsidP="00996FCA">
      <w:pPr>
        <w:pStyle w:val="p3"/>
        <w:tabs>
          <w:tab w:val="clear" w:pos="204"/>
        </w:tabs>
        <w:spacing w:line="360" w:lineRule="auto"/>
        <w:rPr>
          <w:color w:val="000000"/>
          <w:sz w:val="26"/>
          <w:szCs w:val="26"/>
        </w:rPr>
      </w:pPr>
    </w:p>
    <w:p w:rsidR="005B3BF2" w:rsidRDefault="005B3BF2" w:rsidP="00E21423">
      <w:pPr>
        <w:pStyle w:val="p3"/>
        <w:tabs>
          <w:tab w:val="clear" w:pos="204"/>
        </w:tabs>
        <w:spacing w:line="360" w:lineRule="auto"/>
        <w:ind w:firstLine="1440"/>
        <w:rPr>
          <w:color w:val="000000"/>
          <w:sz w:val="26"/>
          <w:szCs w:val="26"/>
        </w:rPr>
      </w:pPr>
    </w:p>
    <w:p w:rsidR="00EA2FE0" w:rsidRDefault="00EA2FE0" w:rsidP="00E21423">
      <w:pPr>
        <w:pStyle w:val="p3"/>
        <w:tabs>
          <w:tab w:val="clear" w:pos="204"/>
        </w:tabs>
        <w:spacing w:line="360" w:lineRule="auto"/>
        <w:ind w:firstLine="1440"/>
        <w:rPr>
          <w:color w:val="000000"/>
          <w:sz w:val="26"/>
          <w:szCs w:val="26"/>
        </w:rPr>
      </w:pPr>
      <w:r>
        <w:rPr>
          <w:color w:val="000000"/>
          <w:sz w:val="26"/>
          <w:szCs w:val="26"/>
        </w:rPr>
        <w:t>BIE also opposes the deferral of the Expenses.</w:t>
      </w:r>
      <w:r w:rsidR="005B3BF2">
        <w:rPr>
          <w:color w:val="000000"/>
          <w:sz w:val="26"/>
          <w:szCs w:val="26"/>
        </w:rPr>
        <w:t xml:space="preserve">  In a broad argument BIE </w:t>
      </w:r>
      <w:r w:rsidR="005B3BF2">
        <w:rPr>
          <w:color w:val="000000"/>
          <w:sz w:val="26"/>
          <w:szCs w:val="26"/>
        </w:rPr>
        <w:lastRenderedPageBreak/>
        <w:t xml:space="preserve">contends that the Expenses are not extraordinary, substantial, </w:t>
      </w:r>
      <w:r w:rsidR="0054051C">
        <w:rPr>
          <w:color w:val="000000"/>
          <w:sz w:val="26"/>
          <w:szCs w:val="26"/>
        </w:rPr>
        <w:t>un</w:t>
      </w:r>
      <w:r w:rsidR="005B3BF2">
        <w:rPr>
          <w:color w:val="000000"/>
          <w:sz w:val="26"/>
          <w:szCs w:val="26"/>
        </w:rPr>
        <w:t xml:space="preserve">anticipated, or non-recurring.  </w:t>
      </w:r>
      <w:r w:rsidR="00996FCA">
        <w:rPr>
          <w:color w:val="000000"/>
          <w:sz w:val="26"/>
          <w:szCs w:val="26"/>
        </w:rPr>
        <w:t xml:space="preserve">BIE states that the Expenses are not extraordinary </w:t>
      </w:r>
      <w:r w:rsidR="00385123">
        <w:rPr>
          <w:color w:val="000000"/>
          <w:sz w:val="26"/>
          <w:szCs w:val="26"/>
        </w:rPr>
        <w:t>as meter inspection and replacement</w:t>
      </w:r>
      <w:r w:rsidR="00996FCA">
        <w:rPr>
          <w:color w:val="000000"/>
          <w:sz w:val="26"/>
          <w:szCs w:val="26"/>
        </w:rPr>
        <w:t xml:space="preserve"> falls well </w:t>
      </w:r>
      <w:r w:rsidR="00385123">
        <w:rPr>
          <w:color w:val="000000"/>
          <w:sz w:val="26"/>
          <w:szCs w:val="26"/>
        </w:rPr>
        <w:t>within the</w:t>
      </w:r>
      <w:r w:rsidR="00182A8C">
        <w:rPr>
          <w:color w:val="000000"/>
          <w:sz w:val="26"/>
          <w:szCs w:val="26"/>
        </w:rPr>
        <w:t xml:space="preserve"> realm of normal and routine</w:t>
      </w:r>
      <w:r w:rsidR="00996FCA">
        <w:rPr>
          <w:color w:val="000000"/>
          <w:sz w:val="26"/>
          <w:szCs w:val="26"/>
        </w:rPr>
        <w:t xml:space="preserve"> business operation </w:t>
      </w:r>
      <w:r w:rsidR="00385123">
        <w:rPr>
          <w:color w:val="000000"/>
          <w:sz w:val="26"/>
          <w:szCs w:val="26"/>
        </w:rPr>
        <w:t>expense for a jurisdiction</w:t>
      </w:r>
      <w:r w:rsidR="00182A8C">
        <w:rPr>
          <w:color w:val="000000"/>
          <w:sz w:val="26"/>
          <w:szCs w:val="26"/>
        </w:rPr>
        <w:t>al</w:t>
      </w:r>
      <w:r w:rsidR="00385123">
        <w:rPr>
          <w:color w:val="000000"/>
          <w:sz w:val="26"/>
          <w:szCs w:val="26"/>
        </w:rPr>
        <w:t xml:space="preserve"> electric distribution company.  The Expenses are not unanticipated as BIE notes that meter inspection and replacement is anticipated by definition, as it represent a business decision made by PPL and not a response to a catastrophic storm causing damage beyond a utilities control.  The Expenses fail to meet the non-recurring standard as the notion that future meter inspection and replacement costs will be flawless or not require the utility to make appropriate adjustments to the program or associ</w:t>
      </w:r>
      <w:r w:rsidR="00E35AD2">
        <w:rPr>
          <w:color w:val="000000"/>
          <w:sz w:val="26"/>
          <w:szCs w:val="26"/>
        </w:rPr>
        <w:t>ated expenses.  T</w:t>
      </w:r>
      <w:r w:rsidR="00385123">
        <w:rPr>
          <w:color w:val="000000"/>
          <w:sz w:val="26"/>
          <w:szCs w:val="26"/>
        </w:rPr>
        <w:t>he</w:t>
      </w:r>
      <w:r w:rsidR="00E35AD2">
        <w:rPr>
          <w:color w:val="000000"/>
          <w:sz w:val="26"/>
          <w:szCs w:val="26"/>
        </w:rPr>
        <w:t>re</w:t>
      </w:r>
      <w:r w:rsidR="00385123">
        <w:rPr>
          <w:color w:val="000000"/>
          <w:sz w:val="26"/>
          <w:szCs w:val="26"/>
        </w:rPr>
        <w:t xml:space="preserve"> is ambiguity regarding the determination of whether the Expenses are substantial</w:t>
      </w:r>
      <w:r w:rsidR="00E35AD2">
        <w:rPr>
          <w:color w:val="000000"/>
          <w:sz w:val="26"/>
          <w:szCs w:val="26"/>
        </w:rPr>
        <w:t xml:space="preserve"> as BIE notes that the Company has some control over costs as they will likely largely consist of incremental labor expense.  </w:t>
      </w:r>
      <w:r w:rsidR="005B3BF2">
        <w:rPr>
          <w:color w:val="000000"/>
          <w:sz w:val="26"/>
          <w:szCs w:val="26"/>
        </w:rPr>
        <w:t xml:space="preserve">BIE further states that </w:t>
      </w:r>
      <w:r w:rsidR="00D80156">
        <w:rPr>
          <w:color w:val="000000"/>
          <w:sz w:val="26"/>
          <w:szCs w:val="26"/>
        </w:rPr>
        <w:t>the Petition cites Commission Orders where deferred accounting was approved that are not analogous and readily distinguishable from the Expenses of this Petition.</w:t>
      </w:r>
    </w:p>
    <w:p w:rsidR="0054051C" w:rsidRDefault="0054051C" w:rsidP="00E21423">
      <w:pPr>
        <w:pStyle w:val="p3"/>
        <w:tabs>
          <w:tab w:val="clear" w:pos="204"/>
        </w:tabs>
        <w:spacing w:line="360" w:lineRule="auto"/>
        <w:ind w:firstLine="1440"/>
        <w:rPr>
          <w:color w:val="000000"/>
          <w:sz w:val="26"/>
          <w:szCs w:val="26"/>
        </w:rPr>
      </w:pPr>
    </w:p>
    <w:p w:rsidR="0054051C" w:rsidRDefault="0054051C" w:rsidP="0054051C">
      <w:pPr>
        <w:spacing w:line="360" w:lineRule="auto"/>
        <w:rPr>
          <w:b/>
          <w:sz w:val="26"/>
          <w:szCs w:val="26"/>
        </w:rPr>
      </w:pPr>
      <w:r w:rsidRPr="00521EF8">
        <w:rPr>
          <w:b/>
          <w:sz w:val="26"/>
          <w:szCs w:val="26"/>
        </w:rPr>
        <w:t>Discussion</w:t>
      </w:r>
    </w:p>
    <w:p w:rsidR="0054051C" w:rsidRPr="00521EF8" w:rsidRDefault="0054051C" w:rsidP="0054051C">
      <w:pPr>
        <w:spacing w:line="360" w:lineRule="auto"/>
        <w:rPr>
          <w:b/>
          <w:sz w:val="26"/>
          <w:szCs w:val="26"/>
        </w:rPr>
      </w:pPr>
    </w:p>
    <w:p w:rsidR="0054051C" w:rsidRPr="00DB5E91" w:rsidRDefault="0054051C" w:rsidP="0054051C">
      <w:pPr>
        <w:spacing w:line="360" w:lineRule="auto"/>
        <w:ind w:firstLine="1440"/>
        <w:rPr>
          <w:sz w:val="26"/>
          <w:szCs w:val="26"/>
        </w:rPr>
      </w:pPr>
      <w:r>
        <w:rPr>
          <w:sz w:val="26"/>
          <w:szCs w:val="26"/>
        </w:rPr>
        <w:tab/>
        <w:t>PPL</w:t>
      </w:r>
      <w:r w:rsidRPr="00DB5E91">
        <w:rPr>
          <w:sz w:val="26"/>
          <w:szCs w:val="26"/>
        </w:rPr>
        <w:t xml:space="preserve"> is requesting that we issue an order granting it the authority to defer, for accounting purposes, </w:t>
      </w:r>
      <w:r>
        <w:rPr>
          <w:sz w:val="26"/>
          <w:szCs w:val="26"/>
        </w:rPr>
        <w:t>$25-$30 million</w:t>
      </w:r>
      <w:r w:rsidRPr="00DB5E91">
        <w:rPr>
          <w:sz w:val="26"/>
          <w:szCs w:val="26"/>
        </w:rPr>
        <w:t xml:space="preserve"> </w:t>
      </w:r>
      <w:r>
        <w:rPr>
          <w:sz w:val="26"/>
          <w:szCs w:val="26"/>
        </w:rPr>
        <w:t>for the repair and replacement of P</w:t>
      </w:r>
      <w:r w:rsidR="00182A8C">
        <w:rPr>
          <w:sz w:val="26"/>
          <w:szCs w:val="26"/>
        </w:rPr>
        <w:t>RBP</w:t>
      </w:r>
      <w:r>
        <w:rPr>
          <w:sz w:val="26"/>
          <w:szCs w:val="26"/>
        </w:rPr>
        <w:t xml:space="preserve"> meters and meter bases</w:t>
      </w:r>
      <w:r w:rsidRPr="00DB5E91">
        <w:rPr>
          <w:sz w:val="26"/>
          <w:szCs w:val="26"/>
        </w:rPr>
        <w:t xml:space="preserve">.  At this time, </w:t>
      </w:r>
      <w:r>
        <w:rPr>
          <w:sz w:val="26"/>
          <w:szCs w:val="26"/>
        </w:rPr>
        <w:t>PPL</w:t>
      </w:r>
      <w:r w:rsidRPr="00DB5E91">
        <w:rPr>
          <w:sz w:val="26"/>
          <w:szCs w:val="26"/>
        </w:rPr>
        <w:t xml:space="preserve"> does not ask us to decide ratemaking treatment for these expenses but only whether it has permission to defer the costs so that it may seek recovery of these expenses in its next base rate case pursuant to section 1308(d) of the Public Utility Code, 66 Pa. C.S. § 1308(d).  A grant of deferred accounting is required to overcome the general rule against retroactive recovery of past expenses.</w:t>
      </w:r>
    </w:p>
    <w:p w:rsidR="0054051C" w:rsidRPr="00DB5E91" w:rsidRDefault="0054051C" w:rsidP="0054051C">
      <w:pPr>
        <w:spacing w:line="360" w:lineRule="auto"/>
        <w:rPr>
          <w:sz w:val="26"/>
          <w:szCs w:val="26"/>
        </w:rPr>
      </w:pPr>
    </w:p>
    <w:p w:rsidR="0054051C" w:rsidRPr="00DB5E91" w:rsidRDefault="0054051C" w:rsidP="0054051C">
      <w:pPr>
        <w:spacing w:line="360" w:lineRule="auto"/>
        <w:ind w:firstLine="1440"/>
        <w:rPr>
          <w:sz w:val="26"/>
          <w:szCs w:val="26"/>
        </w:rPr>
      </w:pPr>
      <w:r w:rsidRPr="00DB5E91">
        <w:rPr>
          <w:sz w:val="26"/>
          <w:szCs w:val="26"/>
        </w:rPr>
        <w:t xml:space="preserve">The standard which a utility must meet when seeking Commission authorization for deferral accounting is whether, based on Commission precedent, the expense item appears to be within the scope of the type of items that the Commission has allowed as an exception to the general rule against recovery of past expenses.  </w:t>
      </w:r>
      <w:r w:rsidR="005C1FD3">
        <w:rPr>
          <w:sz w:val="26"/>
          <w:szCs w:val="26"/>
        </w:rPr>
        <w:t xml:space="preserve">In general, </w:t>
      </w:r>
      <w:r w:rsidR="005C1FD3">
        <w:rPr>
          <w:sz w:val="26"/>
          <w:szCs w:val="26"/>
        </w:rPr>
        <w:lastRenderedPageBreak/>
        <w:t xml:space="preserve">substantial, unanticipated, non-recurring, and extraordinary expenses are within the scope of the type of items that the Commission has previously allowed to be deferred for accounting purposes.  </w:t>
      </w:r>
      <w:r w:rsidRPr="00DB5E91">
        <w:rPr>
          <w:sz w:val="26"/>
          <w:szCs w:val="26"/>
        </w:rPr>
        <w:t>Deferred accounting treatment is most often granted for expenses incurred as a result of storm damage, but the Commission has approved other types of expense items which are substantial and/or extraordinary.</w:t>
      </w:r>
      <w:r w:rsidRPr="00DB5E91">
        <w:rPr>
          <w:rStyle w:val="FootnoteReference"/>
          <w:sz w:val="26"/>
          <w:szCs w:val="26"/>
        </w:rPr>
        <w:footnoteReference w:id="3"/>
      </w:r>
      <w:r w:rsidRPr="00DB5E91">
        <w:rPr>
          <w:sz w:val="26"/>
          <w:szCs w:val="26"/>
        </w:rPr>
        <w:t xml:space="preserve">  This standard does not encompass foreseeable costs incurred for routine business operations.</w:t>
      </w:r>
      <w:r w:rsidRPr="00DB5E91">
        <w:rPr>
          <w:rStyle w:val="FootnoteReference"/>
          <w:sz w:val="26"/>
          <w:szCs w:val="26"/>
        </w:rPr>
        <w:footnoteReference w:id="4"/>
      </w:r>
      <w:r w:rsidR="005C1FD3">
        <w:rPr>
          <w:sz w:val="26"/>
          <w:szCs w:val="26"/>
        </w:rPr>
        <w:t xml:space="preserve">  </w:t>
      </w:r>
    </w:p>
    <w:p w:rsidR="00944D62" w:rsidRPr="00C20F64" w:rsidRDefault="00944D62" w:rsidP="002C1A11">
      <w:pPr>
        <w:pStyle w:val="p3"/>
        <w:tabs>
          <w:tab w:val="clear" w:pos="204"/>
        </w:tabs>
        <w:spacing w:line="360" w:lineRule="auto"/>
        <w:rPr>
          <w:color w:val="000000"/>
          <w:sz w:val="26"/>
          <w:szCs w:val="26"/>
        </w:rPr>
      </w:pPr>
    </w:p>
    <w:p w:rsidR="00284B26" w:rsidRDefault="000A1F94" w:rsidP="000A1F94">
      <w:pPr>
        <w:spacing w:line="360" w:lineRule="auto"/>
        <w:rPr>
          <w:color w:val="000000"/>
          <w:sz w:val="26"/>
          <w:szCs w:val="26"/>
        </w:rPr>
      </w:pPr>
      <w:r>
        <w:rPr>
          <w:color w:val="000000"/>
          <w:sz w:val="26"/>
          <w:szCs w:val="26"/>
        </w:rPr>
        <w:t xml:space="preserve">                     </w:t>
      </w:r>
      <w:r w:rsidR="00D607F8">
        <w:rPr>
          <w:color w:val="000000"/>
          <w:sz w:val="26"/>
          <w:szCs w:val="26"/>
        </w:rPr>
        <w:t xml:space="preserve">The Commission has approved </w:t>
      </w:r>
      <w:r w:rsidR="00B8745C">
        <w:rPr>
          <w:color w:val="000000"/>
          <w:sz w:val="26"/>
          <w:szCs w:val="26"/>
        </w:rPr>
        <w:t xml:space="preserve">prior </w:t>
      </w:r>
      <w:r w:rsidR="00D607F8">
        <w:rPr>
          <w:color w:val="000000"/>
          <w:sz w:val="26"/>
          <w:szCs w:val="26"/>
        </w:rPr>
        <w:t>petitions seeking approval of deferred accounting treatment for extraordinary expenses</w:t>
      </w:r>
      <w:r w:rsidR="00E21423">
        <w:rPr>
          <w:color w:val="000000"/>
          <w:sz w:val="26"/>
          <w:szCs w:val="26"/>
        </w:rPr>
        <w:t xml:space="preserve">.  </w:t>
      </w:r>
      <w:r w:rsidR="00D607F8" w:rsidRPr="00210680">
        <w:rPr>
          <w:i/>
          <w:color w:val="000000"/>
          <w:sz w:val="26"/>
          <w:szCs w:val="26"/>
        </w:rPr>
        <w:t>See e.g. Petition of PPL Electric Utilities Corporation for Authorization to Defer, for Accounting Purposes, Certain Unanticipated Expenses Relating to S</w:t>
      </w:r>
      <w:r w:rsidR="00210680" w:rsidRPr="00210680">
        <w:rPr>
          <w:i/>
          <w:color w:val="000000"/>
          <w:sz w:val="26"/>
          <w:szCs w:val="26"/>
        </w:rPr>
        <w:t>t</w:t>
      </w:r>
      <w:r w:rsidR="00D607F8" w:rsidRPr="00210680">
        <w:rPr>
          <w:i/>
          <w:color w:val="000000"/>
          <w:sz w:val="26"/>
          <w:szCs w:val="26"/>
        </w:rPr>
        <w:t>orm Dam</w:t>
      </w:r>
      <w:r w:rsidR="00210680">
        <w:rPr>
          <w:i/>
          <w:color w:val="000000"/>
          <w:sz w:val="26"/>
          <w:szCs w:val="26"/>
        </w:rPr>
        <w:t xml:space="preserve">age, </w:t>
      </w:r>
      <w:r w:rsidR="00210680">
        <w:rPr>
          <w:color w:val="000000"/>
          <w:sz w:val="26"/>
          <w:szCs w:val="26"/>
        </w:rPr>
        <w:t>Docket No. P-2011-2270396 (Opinion and Order Entered December 15, 2011).</w:t>
      </w:r>
      <w:r w:rsidR="00BF6CDE">
        <w:rPr>
          <w:color w:val="000000"/>
          <w:sz w:val="26"/>
          <w:szCs w:val="26"/>
        </w:rPr>
        <w:t xml:space="preserve">  Likew</w:t>
      </w:r>
      <w:r w:rsidR="00E35AD2">
        <w:rPr>
          <w:color w:val="000000"/>
          <w:sz w:val="26"/>
          <w:szCs w:val="26"/>
        </w:rPr>
        <w:t xml:space="preserve">ise the Commission has denied </w:t>
      </w:r>
      <w:r w:rsidR="00BF6CDE">
        <w:rPr>
          <w:color w:val="000000"/>
          <w:sz w:val="26"/>
          <w:szCs w:val="26"/>
        </w:rPr>
        <w:t>deferred accounting petition</w:t>
      </w:r>
      <w:r w:rsidR="00E35AD2">
        <w:rPr>
          <w:color w:val="000000"/>
          <w:sz w:val="26"/>
          <w:szCs w:val="26"/>
        </w:rPr>
        <w:t>s</w:t>
      </w:r>
      <w:r w:rsidR="00BF6CDE">
        <w:rPr>
          <w:color w:val="000000"/>
          <w:sz w:val="26"/>
          <w:szCs w:val="26"/>
        </w:rPr>
        <w:t xml:space="preserve"> for extraordinary expenses.  </w:t>
      </w:r>
      <w:r w:rsidR="00BF6CDE" w:rsidRPr="00BF6CDE">
        <w:rPr>
          <w:i/>
          <w:color w:val="000000"/>
          <w:sz w:val="26"/>
          <w:szCs w:val="26"/>
        </w:rPr>
        <w:t>See e.g. Petition of Duquesne Light Company for Authorization to Defer Expenses for Accounting Purposes Only</w:t>
      </w:r>
      <w:r w:rsidR="00BF6CDE">
        <w:rPr>
          <w:color w:val="000000"/>
          <w:sz w:val="26"/>
          <w:szCs w:val="26"/>
        </w:rPr>
        <w:t>, Docket No. P-2012-2333760 (Opinion and Order Entered on April 17, 2013).</w:t>
      </w:r>
    </w:p>
    <w:p w:rsidR="00B11F12" w:rsidRDefault="00173459" w:rsidP="00DA39AF">
      <w:pPr>
        <w:spacing w:line="360" w:lineRule="auto"/>
        <w:ind w:firstLine="1440"/>
        <w:rPr>
          <w:color w:val="000000"/>
          <w:sz w:val="26"/>
          <w:szCs w:val="26"/>
        </w:rPr>
      </w:pPr>
      <w:r>
        <w:rPr>
          <w:color w:val="000000"/>
          <w:sz w:val="26"/>
          <w:szCs w:val="26"/>
        </w:rPr>
        <w:t xml:space="preserve"> </w:t>
      </w:r>
    </w:p>
    <w:p w:rsidR="00944205" w:rsidRDefault="00947573" w:rsidP="00DA39AF">
      <w:pPr>
        <w:spacing w:line="360" w:lineRule="auto"/>
        <w:ind w:firstLine="1440"/>
        <w:rPr>
          <w:color w:val="000000"/>
          <w:sz w:val="26"/>
          <w:szCs w:val="26"/>
        </w:rPr>
      </w:pPr>
      <w:r>
        <w:rPr>
          <w:color w:val="000000"/>
          <w:sz w:val="26"/>
          <w:szCs w:val="26"/>
        </w:rPr>
        <w:t>The Commission must determine if the Expenses meet the standard for approval of deferred accounting.  While the meter replacement is typically an ordinary cost in the normal course of business, PPL notes that the combination of aging meter bases and PRBP meters</w:t>
      </w:r>
      <w:r w:rsidR="005C1FD3">
        <w:rPr>
          <w:color w:val="000000"/>
          <w:sz w:val="26"/>
          <w:szCs w:val="26"/>
        </w:rPr>
        <w:t xml:space="preserve"> has created a sit</w:t>
      </w:r>
      <w:r>
        <w:rPr>
          <w:color w:val="000000"/>
          <w:sz w:val="26"/>
          <w:szCs w:val="26"/>
        </w:rPr>
        <w:t>uation</w:t>
      </w:r>
      <w:r w:rsidR="005C1FD3">
        <w:rPr>
          <w:color w:val="000000"/>
          <w:sz w:val="26"/>
          <w:szCs w:val="26"/>
        </w:rPr>
        <w:t xml:space="preserve"> that meets</w:t>
      </w:r>
      <w:r>
        <w:rPr>
          <w:color w:val="000000"/>
          <w:sz w:val="26"/>
          <w:szCs w:val="26"/>
        </w:rPr>
        <w:t xml:space="preserve"> </w:t>
      </w:r>
      <w:r w:rsidR="005C1FD3">
        <w:rPr>
          <w:color w:val="000000"/>
          <w:sz w:val="26"/>
          <w:szCs w:val="26"/>
        </w:rPr>
        <w:t>the Commission’s standard for deferred accounting treatment.  The OCA and BIE do not agree with PPL’s conclusion.</w:t>
      </w:r>
    </w:p>
    <w:p w:rsidR="005C1FD3" w:rsidRDefault="005C1FD3" w:rsidP="00DA39AF">
      <w:pPr>
        <w:spacing w:line="360" w:lineRule="auto"/>
        <w:ind w:firstLine="1440"/>
        <w:rPr>
          <w:color w:val="000000"/>
          <w:sz w:val="26"/>
          <w:szCs w:val="26"/>
        </w:rPr>
      </w:pPr>
    </w:p>
    <w:p w:rsidR="005C1FD3" w:rsidRDefault="001E7795" w:rsidP="00DA39AF">
      <w:pPr>
        <w:spacing w:line="360" w:lineRule="auto"/>
        <w:ind w:firstLine="1440"/>
        <w:rPr>
          <w:color w:val="000000"/>
          <w:sz w:val="26"/>
          <w:szCs w:val="26"/>
        </w:rPr>
      </w:pPr>
      <w:r>
        <w:rPr>
          <w:color w:val="000000"/>
          <w:sz w:val="26"/>
          <w:szCs w:val="26"/>
        </w:rPr>
        <w:t>The</w:t>
      </w:r>
      <w:r w:rsidR="009D048B">
        <w:rPr>
          <w:color w:val="000000"/>
          <w:sz w:val="26"/>
          <w:szCs w:val="26"/>
        </w:rPr>
        <w:t xml:space="preserve"> Commission believes the</w:t>
      </w:r>
      <w:r>
        <w:rPr>
          <w:color w:val="000000"/>
          <w:sz w:val="26"/>
          <w:szCs w:val="26"/>
        </w:rPr>
        <w:t xml:space="preserve"> </w:t>
      </w:r>
      <w:proofErr w:type="gramStart"/>
      <w:r>
        <w:rPr>
          <w:color w:val="000000"/>
          <w:sz w:val="26"/>
          <w:szCs w:val="26"/>
        </w:rPr>
        <w:t>degree</w:t>
      </w:r>
      <w:proofErr w:type="gramEnd"/>
      <w:r w:rsidR="009D048B">
        <w:rPr>
          <w:color w:val="000000"/>
          <w:sz w:val="26"/>
          <w:szCs w:val="26"/>
        </w:rPr>
        <w:t xml:space="preserve"> to which the Expenses are substantial, non-recurring, and extraordinary are debatable.  PPL, OCA, and BIE have laid out their arguments in their filings and we do not </w:t>
      </w:r>
      <w:r w:rsidR="00DC0AA8">
        <w:rPr>
          <w:color w:val="000000"/>
          <w:sz w:val="26"/>
          <w:szCs w:val="26"/>
        </w:rPr>
        <w:t>feel</w:t>
      </w:r>
      <w:r w:rsidR="009D048B">
        <w:rPr>
          <w:color w:val="000000"/>
          <w:sz w:val="26"/>
          <w:szCs w:val="26"/>
        </w:rPr>
        <w:t xml:space="preserve"> the need to</w:t>
      </w:r>
      <w:r w:rsidR="00DC0AA8">
        <w:rPr>
          <w:color w:val="000000"/>
          <w:sz w:val="26"/>
          <w:szCs w:val="26"/>
        </w:rPr>
        <w:t xml:space="preserve"> address these arguments now.</w:t>
      </w:r>
    </w:p>
    <w:p w:rsidR="00DC0AA8" w:rsidRDefault="00DC0AA8" w:rsidP="00DA39AF">
      <w:pPr>
        <w:spacing w:line="360" w:lineRule="auto"/>
        <w:ind w:firstLine="1440"/>
        <w:rPr>
          <w:color w:val="000000"/>
          <w:sz w:val="26"/>
          <w:szCs w:val="26"/>
        </w:rPr>
      </w:pPr>
    </w:p>
    <w:p w:rsidR="00DC0AA8" w:rsidRDefault="00DC0AA8" w:rsidP="00E42A3B">
      <w:pPr>
        <w:spacing w:line="360" w:lineRule="auto"/>
        <w:ind w:firstLine="1440"/>
        <w:rPr>
          <w:color w:val="000000"/>
          <w:sz w:val="26"/>
          <w:szCs w:val="26"/>
        </w:rPr>
      </w:pPr>
      <w:r>
        <w:rPr>
          <w:color w:val="000000"/>
          <w:sz w:val="26"/>
          <w:szCs w:val="26"/>
        </w:rPr>
        <w:t xml:space="preserve">Instead, we </w:t>
      </w:r>
      <w:r w:rsidR="000754C3">
        <w:rPr>
          <w:color w:val="000000"/>
          <w:sz w:val="26"/>
          <w:szCs w:val="26"/>
        </w:rPr>
        <w:t>choose</w:t>
      </w:r>
      <w:r>
        <w:rPr>
          <w:color w:val="000000"/>
          <w:sz w:val="26"/>
          <w:szCs w:val="26"/>
        </w:rPr>
        <w:t xml:space="preserve"> to focus on the standard of anticipation and </w:t>
      </w:r>
      <w:r w:rsidR="000754C3">
        <w:rPr>
          <w:color w:val="000000"/>
          <w:sz w:val="26"/>
          <w:szCs w:val="26"/>
        </w:rPr>
        <w:t>whether</w:t>
      </w:r>
      <w:r>
        <w:rPr>
          <w:color w:val="000000"/>
          <w:sz w:val="26"/>
          <w:szCs w:val="26"/>
        </w:rPr>
        <w:t xml:space="preserve"> or not the Expenses are unanticipated.  </w:t>
      </w:r>
      <w:r w:rsidR="000754C3">
        <w:rPr>
          <w:color w:val="000000"/>
          <w:sz w:val="26"/>
          <w:szCs w:val="26"/>
        </w:rPr>
        <w:t>Clearly</w:t>
      </w:r>
      <w:r>
        <w:rPr>
          <w:color w:val="000000"/>
          <w:sz w:val="26"/>
          <w:szCs w:val="26"/>
        </w:rPr>
        <w:t xml:space="preserve"> PPL</w:t>
      </w:r>
      <w:r w:rsidR="00E35AD2">
        <w:rPr>
          <w:color w:val="000000"/>
          <w:sz w:val="26"/>
          <w:szCs w:val="26"/>
        </w:rPr>
        <w:t>’s position is that the</w:t>
      </w:r>
      <w:r>
        <w:rPr>
          <w:color w:val="000000"/>
          <w:sz w:val="26"/>
          <w:szCs w:val="26"/>
        </w:rPr>
        <w:t xml:space="preserve"> expenses were </w:t>
      </w:r>
      <w:r w:rsidR="00E35AD2">
        <w:rPr>
          <w:color w:val="000000"/>
          <w:sz w:val="26"/>
          <w:szCs w:val="26"/>
        </w:rPr>
        <w:t>un</w:t>
      </w:r>
      <w:r>
        <w:rPr>
          <w:color w:val="000000"/>
          <w:sz w:val="26"/>
          <w:szCs w:val="26"/>
        </w:rPr>
        <w:t>anticipated</w:t>
      </w:r>
      <w:r w:rsidR="00E35AD2">
        <w:rPr>
          <w:color w:val="000000"/>
          <w:sz w:val="26"/>
          <w:szCs w:val="26"/>
        </w:rPr>
        <w:t>.</w:t>
      </w:r>
      <w:r>
        <w:rPr>
          <w:color w:val="000000"/>
          <w:sz w:val="26"/>
          <w:szCs w:val="26"/>
        </w:rPr>
        <w:t xml:space="preserve"> </w:t>
      </w:r>
      <w:r w:rsidR="00E35AD2">
        <w:rPr>
          <w:color w:val="000000"/>
          <w:sz w:val="26"/>
          <w:szCs w:val="26"/>
        </w:rPr>
        <w:t xml:space="preserve"> While </w:t>
      </w:r>
      <w:r>
        <w:rPr>
          <w:color w:val="000000"/>
          <w:sz w:val="26"/>
          <w:szCs w:val="26"/>
        </w:rPr>
        <w:t xml:space="preserve">the Commission believes that PPL did not anticipate that they would need to replace such a </w:t>
      </w:r>
      <w:r w:rsidR="00D570C0">
        <w:rPr>
          <w:color w:val="000000"/>
          <w:sz w:val="26"/>
          <w:szCs w:val="26"/>
        </w:rPr>
        <w:t xml:space="preserve">large portion of the meters, </w:t>
      </w:r>
      <w:r w:rsidR="009D02B9">
        <w:rPr>
          <w:color w:val="000000"/>
          <w:sz w:val="26"/>
          <w:szCs w:val="26"/>
        </w:rPr>
        <w:t>there was no singular event or incident that suddenly caused these meters to malfunction.</w:t>
      </w:r>
      <w:r w:rsidR="00D570C0">
        <w:rPr>
          <w:color w:val="000000"/>
          <w:sz w:val="26"/>
          <w:szCs w:val="26"/>
        </w:rPr>
        <w:t xml:space="preserve"> </w:t>
      </w:r>
      <w:r w:rsidR="009D02B9">
        <w:rPr>
          <w:color w:val="000000"/>
          <w:sz w:val="26"/>
          <w:szCs w:val="26"/>
        </w:rPr>
        <w:t xml:space="preserve"> </w:t>
      </w:r>
      <w:r w:rsidR="00D570C0">
        <w:rPr>
          <w:color w:val="000000"/>
          <w:sz w:val="26"/>
          <w:szCs w:val="26"/>
        </w:rPr>
        <w:t>Meter replacement</w:t>
      </w:r>
      <w:r>
        <w:rPr>
          <w:color w:val="000000"/>
          <w:sz w:val="26"/>
          <w:szCs w:val="26"/>
        </w:rPr>
        <w:t xml:space="preserve">, unlike a typical deferred accounting expense such as storm damage, is </w:t>
      </w:r>
      <w:r w:rsidR="00D570C0">
        <w:rPr>
          <w:color w:val="000000"/>
          <w:sz w:val="26"/>
          <w:szCs w:val="26"/>
        </w:rPr>
        <w:t>large</w:t>
      </w:r>
      <w:r>
        <w:rPr>
          <w:color w:val="000000"/>
          <w:sz w:val="26"/>
          <w:szCs w:val="26"/>
        </w:rPr>
        <w:t>ly within the utility’s control.</w:t>
      </w:r>
      <w:r w:rsidR="00E42A3B">
        <w:rPr>
          <w:color w:val="000000"/>
          <w:sz w:val="26"/>
          <w:szCs w:val="26"/>
        </w:rPr>
        <w:t xml:space="preserve">  The meters were replaced under PPL’s control, with PPL choosing to install the meter of their choice onto a meter base they deemed sufficient</w:t>
      </w:r>
      <w:r w:rsidR="00E42A3B">
        <w:rPr>
          <w:rStyle w:val="FootnoteReference"/>
          <w:color w:val="000000"/>
          <w:sz w:val="26"/>
          <w:szCs w:val="26"/>
        </w:rPr>
        <w:footnoteReference w:id="5"/>
      </w:r>
      <w:r w:rsidR="00E42A3B">
        <w:rPr>
          <w:color w:val="000000"/>
          <w:sz w:val="26"/>
          <w:szCs w:val="26"/>
        </w:rPr>
        <w:t>.</w:t>
      </w:r>
    </w:p>
    <w:p w:rsidR="00E42A3B" w:rsidRDefault="00E42A3B" w:rsidP="00E42A3B">
      <w:pPr>
        <w:spacing w:line="360" w:lineRule="auto"/>
        <w:ind w:firstLine="1440"/>
        <w:rPr>
          <w:color w:val="000000"/>
          <w:sz w:val="26"/>
          <w:szCs w:val="26"/>
        </w:rPr>
      </w:pPr>
    </w:p>
    <w:p w:rsidR="00E42A3B" w:rsidRDefault="000754C3" w:rsidP="00E42A3B">
      <w:pPr>
        <w:spacing w:line="360" w:lineRule="auto"/>
        <w:ind w:firstLine="1440"/>
        <w:rPr>
          <w:color w:val="000000"/>
          <w:sz w:val="26"/>
          <w:szCs w:val="26"/>
        </w:rPr>
      </w:pPr>
      <w:r>
        <w:rPr>
          <w:color w:val="000000"/>
          <w:sz w:val="26"/>
          <w:szCs w:val="26"/>
        </w:rPr>
        <w:t xml:space="preserve">As the meter replacement was ultimately a PPL decision, it is improper to divert financial responsibility from the shareholders to ratepayers.  While the Commission acknowledges PPL’s response to replace meters that may pose a danger to customers, it also must note that it is also PPL’s responsibility to provide safe and reliable power.  </w:t>
      </w:r>
      <w:r w:rsidR="00B532BC">
        <w:rPr>
          <w:color w:val="000000"/>
          <w:sz w:val="26"/>
          <w:szCs w:val="26"/>
        </w:rPr>
        <w:t>Other companies have experienced similar problems such as overheating to newly installed meters causing them to be replaced.</w:t>
      </w:r>
      <w:r w:rsidR="0064023C">
        <w:rPr>
          <w:color w:val="000000"/>
          <w:sz w:val="26"/>
          <w:szCs w:val="26"/>
        </w:rPr>
        <w:t xml:space="preserve">  This is not the type of extra</w:t>
      </w:r>
      <w:r w:rsidR="00B532BC">
        <w:rPr>
          <w:color w:val="000000"/>
          <w:sz w:val="26"/>
          <w:szCs w:val="26"/>
        </w:rPr>
        <w:t>ordinary expense that the Commission has allowed in the past and it is the Commission’s belief that PPL should be seeking to recover costs from venders rather than ratepayers</w:t>
      </w:r>
      <w:r w:rsidR="00B532BC">
        <w:rPr>
          <w:rStyle w:val="FootnoteReference"/>
          <w:color w:val="000000"/>
          <w:sz w:val="26"/>
          <w:szCs w:val="26"/>
        </w:rPr>
        <w:footnoteReference w:id="6"/>
      </w:r>
      <w:r w:rsidR="00B532BC">
        <w:rPr>
          <w:color w:val="000000"/>
          <w:sz w:val="26"/>
          <w:szCs w:val="26"/>
        </w:rPr>
        <w:t>.</w:t>
      </w:r>
      <w:r>
        <w:rPr>
          <w:color w:val="000000"/>
          <w:sz w:val="26"/>
          <w:szCs w:val="26"/>
        </w:rPr>
        <w:t xml:space="preserve"> </w:t>
      </w:r>
    </w:p>
    <w:p w:rsidR="0019666F" w:rsidRDefault="0019666F" w:rsidP="00944205">
      <w:pPr>
        <w:spacing w:line="360" w:lineRule="auto"/>
        <w:ind w:firstLine="1440"/>
        <w:rPr>
          <w:color w:val="000000"/>
          <w:sz w:val="26"/>
          <w:szCs w:val="26"/>
        </w:rPr>
      </w:pPr>
    </w:p>
    <w:p w:rsidR="0019666F" w:rsidRDefault="0019666F" w:rsidP="00944205">
      <w:pPr>
        <w:spacing w:line="360" w:lineRule="auto"/>
        <w:ind w:firstLine="1440"/>
        <w:rPr>
          <w:color w:val="000000"/>
          <w:sz w:val="26"/>
          <w:szCs w:val="26"/>
        </w:rPr>
      </w:pPr>
      <w:r w:rsidRPr="0019666F">
        <w:rPr>
          <w:color w:val="000000"/>
          <w:sz w:val="26"/>
          <w:szCs w:val="26"/>
        </w:rPr>
        <w:t xml:space="preserve">Because </w:t>
      </w:r>
      <w:r w:rsidR="00E21423">
        <w:rPr>
          <w:color w:val="000000"/>
          <w:sz w:val="26"/>
          <w:szCs w:val="26"/>
        </w:rPr>
        <w:t>PPL</w:t>
      </w:r>
      <w:r w:rsidRPr="0019666F">
        <w:rPr>
          <w:color w:val="000000"/>
          <w:sz w:val="26"/>
          <w:szCs w:val="26"/>
        </w:rPr>
        <w:t xml:space="preserve"> has not demonstrated that the costs at issue are: extraordinary, unanticipated, non-recurring, and substantial, the Petition must be denied;  </w:t>
      </w:r>
    </w:p>
    <w:p w:rsidR="00944205" w:rsidRDefault="00944205" w:rsidP="00944205">
      <w:pPr>
        <w:spacing w:line="360" w:lineRule="auto"/>
        <w:ind w:firstLine="1440"/>
        <w:rPr>
          <w:color w:val="000000"/>
          <w:sz w:val="26"/>
          <w:szCs w:val="26"/>
        </w:rPr>
      </w:pPr>
    </w:p>
    <w:p w:rsidR="00C266DE" w:rsidRPr="00FD34F5" w:rsidRDefault="00C266DE" w:rsidP="0019666F">
      <w:pPr>
        <w:pStyle w:val="p3"/>
        <w:tabs>
          <w:tab w:val="clear" w:pos="204"/>
        </w:tabs>
        <w:spacing w:line="360" w:lineRule="auto"/>
        <w:rPr>
          <w:sz w:val="26"/>
          <w:szCs w:val="26"/>
        </w:rPr>
      </w:pPr>
      <w:r w:rsidRPr="00C0451E">
        <w:rPr>
          <w:b/>
          <w:sz w:val="26"/>
          <w:szCs w:val="26"/>
        </w:rPr>
        <w:lastRenderedPageBreak/>
        <w:t>THEREFORE,</w:t>
      </w:r>
    </w:p>
    <w:p w:rsidR="00C266DE" w:rsidRPr="00C0451E" w:rsidRDefault="00C266DE" w:rsidP="00C266DE">
      <w:pPr>
        <w:tabs>
          <w:tab w:val="left" w:pos="742"/>
        </w:tabs>
        <w:spacing w:line="360" w:lineRule="auto"/>
        <w:rPr>
          <w:sz w:val="26"/>
          <w:szCs w:val="26"/>
        </w:rPr>
      </w:pPr>
    </w:p>
    <w:p w:rsidR="00C266DE" w:rsidRDefault="00C266DE" w:rsidP="00C266DE">
      <w:pPr>
        <w:spacing w:line="360" w:lineRule="auto"/>
        <w:rPr>
          <w:b/>
          <w:bCs/>
          <w:sz w:val="26"/>
          <w:szCs w:val="26"/>
        </w:rPr>
      </w:pPr>
      <w:r w:rsidRPr="00C0451E">
        <w:rPr>
          <w:b/>
          <w:bCs/>
          <w:sz w:val="26"/>
          <w:szCs w:val="26"/>
        </w:rPr>
        <w:tab/>
        <w:t>IT IS ORDERED:</w:t>
      </w:r>
    </w:p>
    <w:p w:rsidR="00C266DE" w:rsidRDefault="00C266DE" w:rsidP="00C266DE">
      <w:pPr>
        <w:spacing w:line="360" w:lineRule="auto"/>
        <w:rPr>
          <w:b/>
          <w:bCs/>
          <w:sz w:val="26"/>
          <w:szCs w:val="26"/>
        </w:rPr>
      </w:pPr>
    </w:p>
    <w:p w:rsidR="0064023C" w:rsidRDefault="00C266DE" w:rsidP="00F46065">
      <w:pPr>
        <w:spacing w:line="360" w:lineRule="auto"/>
        <w:rPr>
          <w:bCs/>
          <w:sz w:val="26"/>
          <w:szCs w:val="26"/>
        </w:rPr>
      </w:pPr>
      <w:r w:rsidRPr="00FD34F5">
        <w:rPr>
          <w:bCs/>
          <w:sz w:val="26"/>
          <w:szCs w:val="26"/>
        </w:rPr>
        <w:tab/>
      </w:r>
      <w:r w:rsidR="0019666F" w:rsidRPr="0019666F">
        <w:rPr>
          <w:b/>
          <w:bCs/>
          <w:sz w:val="26"/>
          <w:szCs w:val="26"/>
        </w:rPr>
        <w:tab/>
      </w:r>
      <w:r w:rsidR="0019666F" w:rsidRPr="0019666F">
        <w:rPr>
          <w:bCs/>
          <w:sz w:val="26"/>
          <w:szCs w:val="26"/>
        </w:rPr>
        <w:t>1.</w:t>
      </w:r>
      <w:r w:rsidR="0019666F" w:rsidRPr="0019666F">
        <w:rPr>
          <w:bCs/>
          <w:sz w:val="26"/>
          <w:szCs w:val="26"/>
        </w:rPr>
        <w:tab/>
        <w:t xml:space="preserve">That </w:t>
      </w:r>
      <w:r w:rsidR="00F46065">
        <w:rPr>
          <w:bCs/>
          <w:sz w:val="26"/>
          <w:szCs w:val="26"/>
        </w:rPr>
        <w:t xml:space="preserve">PPL </w:t>
      </w:r>
      <w:r w:rsidR="00F46065" w:rsidRPr="00F46065">
        <w:rPr>
          <w:bCs/>
          <w:sz w:val="26"/>
          <w:szCs w:val="26"/>
        </w:rPr>
        <w:t>Electric Utilities Corporation</w:t>
      </w:r>
      <w:r w:rsidR="00F46065">
        <w:rPr>
          <w:bCs/>
          <w:sz w:val="26"/>
          <w:szCs w:val="26"/>
        </w:rPr>
        <w:t xml:space="preserve"> </w:t>
      </w:r>
      <w:proofErr w:type="gramStart"/>
      <w:r w:rsidR="00F46065">
        <w:rPr>
          <w:bCs/>
          <w:sz w:val="26"/>
          <w:szCs w:val="26"/>
        </w:rPr>
        <w:t>For</w:t>
      </w:r>
      <w:proofErr w:type="gramEnd"/>
      <w:r w:rsidR="00F46065">
        <w:rPr>
          <w:bCs/>
          <w:sz w:val="26"/>
          <w:szCs w:val="26"/>
        </w:rPr>
        <w:t xml:space="preserve"> Authorization to Defer, for </w:t>
      </w:r>
      <w:r w:rsidR="00F46065" w:rsidRPr="00F46065">
        <w:rPr>
          <w:bCs/>
          <w:sz w:val="26"/>
          <w:szCs w:val="26"/>
        </w:rPr>
        <w:t>Accounting Purposes, Certain Substantial, Unanticipated, Non-Recurring, and Extraordinary Meter Inspection and Replacement Expenses</w:t>
      </w:r>
      <w:r w:rsidR="00F46065">
        <w:rPr>
          <w:bCs/>
          <w:sz w:val="26"/>
          <w:szCs w:val="26"/>
        </w:rPr>
        <w:t xml:space="preserve"> </w:t>
      </w:r>
      <w:r w:rsidR="0019666F" w:rsidRPr="0019666F">
        <w:rPr>
          <w:bCs/>
          <w:sz w:val="26"/>
          <w:szCs w:val="26"/>
        </w:rPr>
        <w:t>is denied.</w:t>
      </w:r>
    </w:p>
    <w:p w:rsidR="0019666F" w:rsidRPr="0019666F" w:rsidRDefault="0019666F" w:rsidP="00F46065">
      <w:pPr>
        <w:spacing w:line="360" w:lineRule="auto"/>
        <w:rPr>
          <w:bCs/>
          <w:sz w:val="26"/>
          <w:szCs w:val="26"/>
        </w:rPr>
      </w:pPr>
      <w:r w:rsidRPr="0019666F">
        <w:rPr>
          <w:bCs/>
          <w:sz w:val="26"/>
          <w:szCs w:val="26"/>
        </w:rPr>
        <w:t xml:space="preserve"> </w:t>
      </w:r>
    </w:p>
    <w:p w:rsidR="0019666F" w:rsidRDefault="0064023C" w:rsidP="0019666F">
      <w:pPr>
        <w:spacing w:line="360" w:lineRule="auto"/>
        <w:rPr>
          <w:bCs/>
          <w:sz w:val="26"/>
          <w:szCs w:val="26"/>
        </w:rPr>
      </w:pPr>
      <w:r>
        <w:rPr>
          <w:bCs/>
          <w:sz w:val="26"/>
          <w:szCs w:val="26"/>
        </w:rPr>
        <w:tab/>
      </w:r>
      <w:r>
        <w:rPr>
          <w:bCs/>
          <w:sz w:val="26"/>
          <w:szCs w:val="26"/>
        </w:rPr>
        <w:tab/>
        <w:t>2.</w:t>
      </w:r>
      <w:r>
        <w:rPr>
          <w:bCs/>
          <w:sz w:val="26"/>
          <w:szCs w:val="26"/>
        </w:rPr>
        <w:tab/>
        <w:t xml:space="preserve">That nothing in this opinion and order limits the ability of any party to a future rate case to seek or oppose rate recovery of all or any part of the costs denied deferred treatment by this order. </w:t>
      </w:r>
    </w:p>
    <w:p w:rsidR="0064023C" w:rsidRPr="0019666F" w:rsidRDefault="0064023C" w:rsidP="0019666F">
      <w:pPr>
        <w:spacing w:line="360" w:lineRule="auto"/>
        <w:rPr>
          <w:bCs/>
          <w:sz w:val="26"/>
          <w:szCs w:val="26"/>
        </w:rPr>
      </w:pPr>
    </w:p>
    <w:p w:rsidR="0019666F" w:rsidRPr="0019666F" w:rsidRDefault="0064023C" w:rsidP="0019666F">
      <w:pPr>
        <w:spacing w:line="360" w:lineRule="auto"/>
        <w:ind w:firstLine="1440"/>
        <w:rPr>
          <w:bCs/>
          <w:sz w:val="26"/>
          <w:szCs w:val="26"/>
        </w:rPr>
      </w:pPr>
      <w:r>
        <w:rPr>
          <w:bCs/>
          <w:sz w:val="26"/>
          <w:szCs w:val="26"/>
        </w:rPr>
        <w:t>3</w:t>
      </w:r>
      <w:r w:rsidR="0019666F" w:rsidRPr="0019666F">
        <w:rPr>
          <w:bCs/>
          <w:sz w:val="26"/>
          <w:szCs w:val="26"/>
        </w:rPr>
        <w:t xml:space="preserve">. </w:t>
      </w:r>
      <w:r w:rsidR="0019666F" w:rsidRPr="0019666F">
        <w:rPr>
          <w:bCs/>
          <w:sz w:val="26"/>
          <w:szCs w:val="26"/>
        </w:rPr>
        <w:tab/>
        <w:t xml:space="preserve">That a copy of this Order be served on all parties included in the service list </w:t>
      </w:r>
      <w:r w:rsidR="00F46065" w:rsidRPr="00F46065">
        <w:rPr>
          <w:bCs/>
          <w:sz w:val="26"/>
          <w:szCs w:val="26"/>
        </w:rPr>
        <w:t xml:space="preserve">PPL Electric Utilities Corporation </w:t>
      </w:r>
      <w:r w:rsidR="0019666F" w:rsidRPr="0019666F">
        <w:rPr>
          <w:bCs/>
          <w:sz w:val="26"/>
          <w:szCs w:val="26"/>
        </w:rPr>
        <w:t xml:space="preserve">used for serving its petition. </w:t>
      </w:r>
    </w:p>
    <w:p w:rsidR="0019666F" w:rsidRDefault="0019666F" w:rsidP="0019666F">
      <w:pPr>
        <w:spacing w:line="360" w:lineRule="auto"/>
        <w:rPr>
          <w:bCs/>
          <w:sz w:val="26"/>
          <w:szCs w:val="26"/>
        </w:rPr>
      </w:pPr>
    </w:p>
    <w:p w:rsidR="0019666F" w:rsidRPr="0019666F" w:rsidRDefault="0064023C" w:rsidP="0019666F">
      <w:pPr>
        <w:spacing w:line="360" w:lineRule="auto"/>
        <w:ind w:firstLine="1440"/>
        <w:rPr>
          <w:bCs/>
          <w:sz w:val="26"/>
          <w:szCs w:val="26"/>
        </w:rPr>
      </w:pPr>
      <w:r>
        <w:rPr>
          <w:bCs/>
          <w:sz w:val="26"/>
          <w:szCs w:val="26"/>
        </w:rPr>
        <w:t>4</w:t>
      </w:r>
      <w:r w:rsidR="0019666F" w:rsidRPr="0019666F">
        <w:rPr>
          <w:bCs/>
          <w:sz w:val="26"/>
          <w:szCs w:val="26"/>
        </w:rPr>
        <w:t xml:space="preserve">. </w:t>
      </w:r>
      <w:r w:rsidR="0019666F" w:rsidRPr="0019666F">
        <w:rPr>
          <w:bCs/>
          <w:sz w:val="26"/>
          <w:szCs w:val="26"/>
        </w:rPr>
        <w:tab/>
        <w:t xml:space="preserve">That this docket be marked closed. </w:t>
      </w:r>
    </w:p>
    <w:p w:rsidR="00C266DE" w:rsidRPr="00C0451E" w:rsidRDefault="00C266DE" w:rsidP="00C266DE">
      <w:pPr>
        <w:tabs>
          <w:tab w:val="left" w:pos="4320"/>
        </w:tabs>
        <w:rPr>
          <w:sz w:val="26"/>
          <w:szCs w:val="26"/>
        </w:rPr>
      </w:pPr>
      <w:r w:rsidRPr="00C0451E">
        <w:rPr>
          <w:sz w:val="26"/>
          <w:szCs w:val="26"/>
        </w:rPr>
        <w:tab/>
      </w:r>
      <w:r w:rsidRPr="00C0451E">
        <w:rPr>
          <w:sz w:val="26"/>
          <w:szCs w:val="26"/>
        </w:rPr>
        <w:tab/>
      </w:r>
      <w:r w:rsidRPr="00C0451E">
        <w:rPr>
          <w:sz w:val="26"/>
          <w:szCs w:val="26"/>
        </w:rPr>
        <w:tab/>
      </w:r>
    </w:p>
    <w:p w:rsidR="00C266DE" w:rsidRPr="00C0451E" w:rsidRDefault="00C266DE" w:rsidP="00C266DE">
      <w:pPr>
        <w:tabs>
          <w:tab w:val="left" w:pos="742"/>
        </w:tabs>
        <w:rPr>
          <w:sz w:val="26"/>
          <w:szCs w:val="26"/>
        </w:rPr>
      </w:pPr>
    </w:p>
    <w:p w:rsidR="00C266DE" w:rsidRPr="00C0451E" w:rsidRDefault="00E865DC" w:rsidP="00C266DE">
      <w:pPr>
        <w:pStyle w:val="p17"/>
        <w:ind w:left="5057"/>
        <w:rPr>
          <w:b/>
          <w:bCs/>
          <w:sz w:val="26"/>
          <w:szCs w:val="26"/>
        </w:rPr>
      </w:pPr>
      <w:r>
        <w:rPr>
          <w:noProof/>
        </w:rPr>
        <w:drawing>
          <wp:anchor distT="0" distB="0" distL="114300" distR="114300" simplePos="0" relativeHeight="251658240" behindDoc="1" locked="0" layoutInCell="1" allowOverlap="1" wp14:anchorId="39FB6E9C" wp14:editId="7DCF330E">
            <wp:simplePos x="0" y="0"/>
            <wp:positionH relativeFrom="column">
              <wp:posOffset>2552700</wp:posOffset>
            </wp:positionH>
            <wp:positionV relativeFrom="paragraph">
              <wp:posOffset>17145</wp:posOffset>
            </wp:positionV>
            <wp:extent cx="2200275" cy="838200"/>
            <wp:effectExtent l="0" t="0" r="9525"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C266DE" w:rsidRPr="00C0451E">
        <w:rPr>
          <w:b/>
          <w:bCs/>
          <w:sz w:val="26"/>
          <w:szCs w:val="26"/>
        </w:rPr>
        <w:t>BY THE COMMISSION</w:t>
      </w:r>
    </w:p>
    <w:p w:rsidR="00C266DE" w:rsidRPr="00C0451E" w:rsidRDefault="00C266DE" w:rsidP="00C266DE">
      <w:pPr>
        <w:tabs>
          <w:tab w:val="left" w:pos="5057"/>
        </w:tabs>
        <w:rPr>
          <w:bCs/>
          <w:sz w:val="26"/>
          <w:szCs w:val="26"/>
        </w:rPr>
      </w:pPr>
    </w:p>
    <w:p w:rsidR="00C266DE" w:rsidRDefault="00C266DE" w:rsidP="00C266DE">
      <w:pPr>
        <w:tabs>
          <w:tab w:val="left" w:pos="5057"/>
        </w:tabs>
        <w:rPr>
          <w:b/>
          <w:bCs/>
          <w:sz w:val="26"/>
          <w:szCs w:val="26"/>
        </w:rPr>
      </w:pPr>
    </w:p>
    <w:p w:rsidR="00182A8C" w:rsidRDefault="00182A8C" w:rsidP="00C266DE">
      <w:pPr>
        <w:tabs>
          <w:tab w:val="left" w:pos="5057"/>
        </w:tabs>
        <w:rPr>
          <w:b/>
          <w:bCs/>
          <w:sz w:val="26"/>
          <w:szCs w:val="26"/>
        </w:rPr>
      </w:pPr>
    </w:p>
    <w:p w:rsidR="00C266DE" w:rsidRPr="00C0451E" w:rsidRDefault="00C266DE" w:rsidP="00C266DE">
      <w:pPr>
        <w:tabs>
          <w:tab w:val="left" w:pos="5057"/>
        </w:tabs>
        <w:rPr>
          <w:b/>
          <w:bCs/>
          <w:sz w:val="26"/>
          <w:szCs w:val="26"/>
        </w:rPr>
      </w:pPr>
    </w:p>
    <w:p w:rsidR="00C266DE" w:rsidRPr="00C0451E" w:rsidRDefault="00C266DE" w:rsidP="00C266DE">
      <w:pPr>
        <w:pStyle w:val="p18"/>
        <w:ind w:left="5062"/>
        <w:rPr>
          <w:sz w:val="26"/>
          <w:szCs w:val="26"/>
        </w:rPr>
      </w:pPr>
      <w:r w:rsidRPr="00C0451E">
        <w:rPr>
          <w:sz w:val="26"/>
          <w:szCs w:val="26"/>
        </w:rPr>
        <w:t>Rosemary Chiavetta</w:t>
      </w:r>
    </w:p>
    <w:p w:rsidR="00C266DE" w:rsidRPr="00C0451E" w:rsidRDefault="00C266DE" w:rsidP="0064023C">
      <w:pPr>
        <w:pStyle w:val="p18"/>
        <w:ind w:left="5062"/>
        <w:rPr>
          <w:sz w:val="26"/>
          <w:szCs w:val="26"/>
        </w:rPr>
      </w:pPr>
      <w:r w:rsidRPr="00C0451E">
        <w:rPr>
          <w:sz w:val="26"/>
          <w:szCs w:val="26"/>
        </w:rPr>
        <w:t>Secretary</w:t>
      </w:r>
    </w:p>
    <w:p w:rsidR="00182A8C" w:rsidRDefault="00182A8C" w:rsidP="00C266DE">
      <w:pPr>
        <w:pStyle w:val="p14"/>
        <w:rPr>
          <w:sz w:val="26"/>
          <w:szCs w:val="26"/>
        </w:rPr>
      </w:pPr>
    </w:p>
    <w:p w:rsidR="00C266DE" w:rsidRPr="00C0451E" w:rsidRDefault="00C266DE" w:rsidP="00C266DE">
      <w:pPr>
        <w:pStyle w:val="p14"/>
        <w:rPr>
          <w:sz w:val="26"/>
          <w:szCs w:val="26"/>
        </w:rPr>
      </w:pPr>
      <w:r w:rsidRPr="00C0451E">
        <w:rPr>
          <w:sz w:val="26"/>
          <w:szCs w:val="26"/>
        </w:rPr>
        <w:t>(SEAL)</w:t>
      </w:r>
    </w:p>
    <w:p w:rsidR="00C266DE" w:rsidRPr="00C0451E" w:rsidRDefault="00C266DE" w:rsidP="00C266DE">
      <w:pPr>
        <w:tabs>
          <w:tab w:val="left" w:pos="204"/>
        </w:tabs>
        <w:rPr>
          <w:sz w:val="26"/>
          <w:szCs w:val="26"/>
        </w:rPr>
      </w:pPr>
    </w:p>
    <w:p w:rsidR="00C266DE" w:rsidRPr="00C0451E" w:rsidRDefault="00C266DE" w:rsidP="00C266DE">
      <w:pPr>
        <w:pStyle w:val="p14"/>
        <w:rPr>
          <w:sz w:val="26"/>
          <w:szCs w:val="26"/>
        </w:rPr>
      </w:pPr>
      <w:r w:rsidRPr="00C0451E">
        <w:rPr>
          <w:sz w:val="26"/>
          <w:szCs w:val="26"/>
        </w:rPr>
        <w:t xml:space="preserve">ORDER ADOPTED:  </w:t>
      </w:r>
      <w:r w:rsidR="00416168">
        <w:rPr>
          <w:sz w:val="26"/>
          <w:szCs w:val="26"/>
        </w:rPr>
        <w:t>June 19</w:t>
      </w:r>
      <w:r w:rsidR="00C132FD">
        <w:rPr>
          <w:sz w:val="26"/>
          <w:szCs w:val="26"/>
        </w:rPr>
        <w:t>, 201</w:t>
      </w:r>
      <w:r w:rsidR="0019666F">
        <w:rPr>
          <w:sz w:val="26"/>
          <w:szCs w:val="26"/>
        </w:rPr>
        <w:t>4</w:t>
      </w:r>
    </w:p>
    <w:p w:rsidR="00C266DE" w:rsidRPr="00C0451E" w:rsidRDefault="00C266DE" w:rsidP="00C266DE">
      <w:pPr>
        <w:pStyle w:val="p14"/>
        <w:rPr>
          <w:sz w:val="26"/>
          <w:szCs w:val="26"/>
        </w:rPr>
      </w:pPr>
    </w:p>
    <w:p w:rsidR="00D376F5" w:rsidRPr="0064023C" w:rsidRDefault="00C266DE" w:rsidP="0064023C">
      <w:pPr>
        <w:pStyle w:val="p14"/>
        <w:rPr>
          <w:sz w:val="26"/>
          <w:szCs w:val="26"/>
        </w:rPr>
      </w:pPr>
      <w:r w:rsidRPr="00C0451E">
        <w:rPr>
          <w:sz w:val="26"/>
          <w:szCs w:val="26"/>
        </w:rPr>
        <w:t xml:space="preserve">ORDER ENTERED:  </w:t>
      </w:r>
      <w:r w:rsidR="00E865DC">
        <w:rPr>
          <w:sz w:val="26"/>
          <w:szCs w:val="26"/>
        </w:rPr>
        <w:t>June 19, 2014</w:t>
      </w:r>
      <w:bookmarkStart w:id="0" w:name="_GoBack"/>
      <w:bookmarkEnd w:id="0"/>
    </w:p>
    <w:sectPr w:rsidR="00D376F5" w:rsidRPr="0064023C" w:rsidSect="00D83182">
      <w:footerReference w:type="even" r:id="rId10"/>
      <w:footerReference w:type="default" r:id="rId11"/>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17F5" w:rsidRDefault="006917F5">
      <w:r>
        <w:separator/>
      </w:r>
    </w:p>
  </w:endnote>
  <w:endnote w:type="continuationSeparator" w:id="0">
    <w:p w:rsidR="006917F5" w:rsidRDefault="00691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9EB" w:rsidRDefault="006779E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779EB" w:rsidRDefault="006779E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9EB" w:rsidRDefault="006779E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865DC">
      <w:rPr>
        <w:rStyle w:val="PageNumber"/>
        <w:noProof/>
      </w:rPr>
      <w:t>8</w:t>
    </w:r>
    <w:r>
      <w:rPr>
        <w:rStyle w:val="PageNumber"/>
      </w:rPr>
      <w:fldChar w:fldCharType="end"/>
    </w:r>
  </w:p>
  <w:p w:rsidR="006779EB" w:rsidRDefault="006779EB" w:rsidP="00FA58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17F5" w:rsidRDefault="006917F5">
      <w:r>
        <w:separator/>
      </w:r>
    </w:p>
  </w:footnote>
  <w:footnote w:type="continuationSeparator" w:id="0">
    <w:p w:rsidR="006917F5" w:rsidRDefault="006917F5">
      <w:r>
        <w:continuationSeparator/>
      </w:r>
    </w:p>
  </w:footnote>
  <w:footnote w:id="1">
    <w:p w:rsidR="006779EB" w:rsidRDefault="006779EB">
      <w:pPr>
        <w:pStyle w:val="FootnoteText"/>
      </w:pPr>
      <w:r>
        <w:rPr>
          <w:rStyle w:val="FootnoteReference"/>
        </w:rPr>
        <w:footnoteRef/>
      </w:r>
      <w:r>
        <w:t xml:space="preserve"> PPL notes that meter bases are customer owned equipment and are not owned by PPL. </w:t>
      </w:r>
      <w:r w:rsidR="00D40747">
        <w:t xml:space="preserve">See: </w:t>
      </w:r>
      <w:r>
        <w:t>Rules for Electric Meter &amp; Service Installations (REMSI) Rule 12 (c) Customer Installs Meter Mounting</w:t>
      </w:r>
      <w:r w:rsidR="00D40747">
        <w:t xml:space="preserve">. </w:t>
      </w:r>
      <w:hyperlink r:id="rId1" w:anchor="rule12c" w:history="1">
        <w:r w:rsidRPr="0054074D">
          <w:rPr>
            <w:rStyle w:val="Hyperlink"/>
          </w:rPr>
          <w:t>https://www.pplelectric.com/at-your-service/electric-rates-and-rules/remsi/list-of-rules/rule-12.aspx#rule12c</w:t>
        </w:r>
      </w:hyperlink>
    </w:p>
    <w:p w:rsidR="006779EB" w:rsidRDefault="006779EB">
      <w:pPr>
        <w:pStyle w:val="FootnoteText"/>
      </w:pPr>
    </w:p>
  </w:footnote>
  <w:footnote w:id="2">
    <w:p w:rsidR="00E46899" w:rsidRDefault="00E46899">
      <w:pPr>
        <w:pStyle w:val="FootnoteText"/>
      </w:pPr>
      <w:r>
        <w:rPr>
          <w:rStyle w:val="FootnoteReference"/>
        </w:rPr>
        <w:footnoteRef/>
      </w:r>
      <w:r>
        <w:t xml:space="preserve"> </w:t>
      </w:r>
      <w:proofErr w:type="spellStart"/>
      <w:r>
        <w:t>PPl</w:t>
      </w:r>
      <w:proofErr w:type="spellEnd"/>
      <w:r>
        <w:t xml:space="preserve"> notes that  an estimate $17 million was approved for deferral in </w:t>
      </w:r>
      <w:r w:rsidRPr="00FE5AAC">
        <w:rPr>
          <w:i/>
        </w:rPr>
        <w:t>Petition of PPL Electric Utilities Corp. for Authority to Defer for Accounting and Financial Reporting Purposes Certain Losses from Extraordinary Storm Damage and to Amortize Such Losses</w:t>
      </w:r>
      <w:r>
        <w:t xml:space="preserve">, Docket No. </w:t>
      </w:r>
      <w:proofErr w:type="gramStart"/>
      <w:r>
        <w:t>P-00052148 (Aug. 26, 2005)</w:t>
      </w:r>
      <w:r w:rsidR="00FE5AAC">
        <w:t xml:space="preserve"> and an</w:t>
      </w:r>
      <w:r>
        <w:t xml:space="preserve"> estimate $13-$18 million</w:t>
      </w:r>
      <w:r w:rsidR="00FE5AAC">
        <w:t xml:space="preserve"> in </w:t>
      </w:r>
      <w:r w:rsidR="00FE5AAC" w:rsidRPr="00FE5AAC">
        <w:rPr>
          <w:i/>
        </w:rPr>
        <w:t xml:space="preserve">Accord Petition of PPL Electric </w:t>
      </w:r>
      <w:proofErr w:type="spellStart"/>
      <w:r w:rsidR="00FE5AAC" w:rsidRPr="00FE5AAC">
        <w:rPr>
          <w:i/>
        </w:rPr>
        <w:t>Utils</w:t>
      </w:r>
      <w:proofErr w:type="spellEnd"/>
      <w:r w:rsidR="00FE5AAC" w:rsidRPr="00FE5AAC">
        <w:rPr>
          <w:i/>
        </w:rPr>
        <w:t>.</w:t>
      </w:r>
      <w:proofErr w:type="gramEnd"/>
      <w:r w:rsidR="00FE5AAC" w:rsidRPr="00FE5AAC">
        <w:rPr>
          <w:i/>
        </w:rPr>
        <w:t xml:space="preserve"> Corp. for Authorization to Defer, for Accounting Purposes, Certain Unanticipated Expenses Relating to Storm Damage from the Late October 2011 Snowstorm</w:t>
      </w:r>
      <w:r w:rsidR="00FE5AAC">
        <w:t>, Docket No. P</w:t>
      </w:r>
      <w:r w:rsidR="00FE5AAC">
        <w:noBreakHyphen/>
        <w:t>2011</w:t>
      </w:r>
      <w:r w:rsidR="00FE5AAC">
        <w:noBreakHyphen/>
        <w:t>2274298 (Dec. 15, 2011)</w:t>
      </w:r>
    </w:p>
  </w:footnote>
  <w:footnote w:id="3">
    <w:p w:rsidR="0054051C" w:rsidRPr="00952BBF" w:rsidRDefault="0054051C" w:rsidP="0054051C">
      <w:pPr>
        <w:pStyle w:val="FootnoteText"/>
        <w:rPr>
          <w:sz w:val="22"/>
          <w:szCs w:val="22"/>
        </w:rPr>
      </w:pPr>
      <w:r w:rsidRPr="00952BBF">
        <w:rPr>
          <w:rStyle w:val="FootnoteReference"/>
          <w:sz w:val="22"/>
          <w:szCs w:val="22"/>
        </w:rPr>
        <w:footnoteRef/>
      </w:r>
      <w:r w:rsidRPr="00952BBF">
        <w:rPr>
          <w:sz w:val="22"/>
          <w:szCs w:val="22"/>
        </w:rPr>
        <w:t xml:space="preserve"> </w:t>
      </w:r>
      <w:r w:rsidRPr="00952BBF">
        <w:rPr>
          <w:i/>
          <w:sz w:val="22"/>
          <w:szCs w:val="22"/>
        </w:rPr>
        <w:t>See, e.g.</w:t>
      </w:r>
      <w:r w:rsidRPr="00952BBF">
        <w:rPr>
          <w:sz w:val="22"/>
          <w:szCs w:val="22"/>
        </w:rPr>
        <w:t xml:space="preserve">, </w:t>
      </w:r>
      <w:r w:rsidRPr="00952BBF">
        <w:rPr>
          <w:i/>
          <w:sz w:val="22"/>
          <w:szCs w:val="22"/>
        </w:rPr>
        <w:t>Petition of Metropolitan Edison Company for Permission to Use Deferred Cost Accounting and Financial Reporting Purposes, Certain Incremental Electric Transmission Charges</w:t>
      </w:r>
      <w:r w:rsidRPr="00952BBF">
        <w:rPr>
          <w:sz w:val="22"/>
          <w:szCs w:val="22"/>
        </w:rPr>
        <w:t>, Docket No. P</w:t>
      </w:r>
      <w:r>
        <w:rPr>
          <w:sz w:val="22"/>
          <w:szCs w:val="22"/>
        </w:rPr>
        <w:noBreakHyphen/>
      </w:r>
      <w:r w:rsidRPr="00952BBF">
        <w:rPr>
          <w:sz w:val="22"/>
          <w:szCs w:val="22"/>
        </w:rPr>
        <w:t xml:space="preserve">00052143, at 8-9 (Order entered May 5, 2006) (approving deferred accounting for $186 million in costs related to transmission charges because costs were potentially significant, unprecedented, and thus extraordinary); </w:t>
      </w:r>
      <w:proofErr w:type="spellStart"/>
      <w:r w:rsidRPr="00952BBF">
        <w:rPr>
          <w:i/>
          <w:sz w:val="22"/>
          <w:szCs w:val="22"/>
        </w:rPr>
        <w:t>Popowsky</w:t>
      </w:r>
      <w:proofErr w:type="spellEnd"/>
      <w:r w:rsidRPr="00952BBF">
        <w:rPr>
          <w:i/>
          <w:sz w:val="22"/>
          <w:szCs w:val="22"/>
        </w:rPr>
        <w:t xml:space="preserve"> v. Pa. PUC</w:t>
      </w:r>
      <w:r w:rsidRPr="00952BBF">
        <w:rPr>
          <w:sz w:val="22"/>
          <w:szCs w:val="22"/>
        </w:rPr>
        <w:t xml:space="preserve">, 868 A.2d 606 (Pa. </w:t>
      </w:r>
      <w:proofErr w:type="spellStart"/>
      <w:r w:rsidRPr="00952BBF">
        <w:rPr>
          <w:sz w:val="22"/>
          <w:szCs w:val="22"/>
        </w:rPr>
        <w:t>Cmwlth</w:t>
      </w:r>
      <w:proofErr w:type="spellEnd"/>
      <w:r w:rsidRPr="00952BBF">
        <w:rPr>
          <w:sz w:val="22"/>
          <w:szCs w:val="22"/>
        </w:rPr>
        <w:t xml:space="preserve">. 2004), (affirming the PUC’s determination that a water utility was entitled to recover increased security costs incurred after the 9/11 terrorist attacks but before the proposed effective date of the utility’s new tariff).  </w:t>
      </w:r>
    </w:p>
  </w:footnote>
  <w:footnote w:id="4">
    <w:p w:rsidR="0054051C" w:rsidRPr="00794720" w:rsidRDefault="0054051C" w:rsidP="0054051C">
      <w:pPr>
        <w:pStyle w:val="FootnoteText"/>
        <w:rPr>
          <w:sz w:val="22"/>
          <w:szCs w:val="22"/>
        </w:rPr>
      </w:pPr>
      <w:r w:rsidRPr="00952BBF">
        <w:rPr>
          <w:rStyle w:val="FootnoteReference"/>
          <w:sz w:val="22"/>
          <w:szCs w:val="22"/>
        </w:rPr>
        <w:footnoteRef/>
      </w:r>
      <w:r w:rsidRPr="00952BBF">
        <w:rPr>
          <w:sz w:val="22"/>
          <w:szCs w:val="22"/>
        </w:rPr>
        <w:t xml:space="preserve"> </w:t>
      </w:r>
      <w:r w:rsidRPr="00952BBF">
        <w:rPr>
          <w:i/>
          <w:sz w:val="22"/>
          <w:szCs w:val="22"/>
        </w:rPr>
        <w:t>See, e.g.,</w:t>
      </w:r>
      <w:r w:rsidRPr="00952BBF">
        <w:rPr>
          <w:sz w:val="22"/>
          <w:szCs w:val="22"/>
        </w:rPr>
        <w:t xml:space="preserve"> </w:t>
      </w:r>
      <w:r w:rsidRPr="00952BBF">
        <w:rPr>
          <w:i/>
          <w:sz w:val="22"/>
          <w:szCs w:val="22"/>
        </w:rPr>
        <w:t>Petition of Columbia Gas of Pennsylvania, Inc. for Authority to Defer for Accounting and Financial Reporting Purposes Certain Start Up Expenses Associated with the Redesign and Upgrade of Financial Processes and Information Systems</w:t>
      </w:r>
      <w:r w:rsidRPr="00952BBF">
        <w:rPr>
          <w:sz w:val="22"/>
          <w:szCs w:val="22"/>
        </w:rPr>
        <w:t xml:space="preserve">, Docket No. P-2012-2319920 (Order entered December 5, 2012) (denying deferred accounting for costs incurred for start-up expenses attributable to installation of new computer software because it was a routine business expense). </w:t>
      </w:r>
    </w:p>
  </w:footnote>
  <w:footnote w:id="5">
    <w:p w:rsidR="00E42A3B" w:rsidRDefault="00E42A3B">
      <w:pPr>
        <w:pStyle w:val="FootnoteText"/>
      </w:pPr>
      <w:r>
        <w:rPr>
          <w:rStyle w:val="FootnoteReference"/>
        </w:rPr>
        <w:footnoteRef/>
      </w:r>
      <w:r>
        <w:t xml:space="preserve"> The Commission</w:t>
      </w:r>
      <w:r w:rsidRPr="00E42A3B">
        <w:t xml:space="preserve"> notes that meter</w:t>
      </w:r>
      <w:r>
        <w:t xml:space="preserve"> type is determined by PPL</w:t>
      </w:r>
      <w:r w:rsidRPr="00E42A3B">
        <w:t>. See: Rules for Electric Meter &amp; Service Installations (REMSI) Rule 12 (</w:t>
      </w:r>
      <w:r>
        <w:t>b</w:t>
      </w:r>
      <w:r w:rsidRPr="00E42A3B">
        <w:t xml:space="preserve">) </w:t>
      </w:r>
      <w:r w:rsidRPr="00E42A3B">
        <w:rPr>
          <w:bCs/>
          <w:lang w:val="en"/>
        </w:rPr>
        <w:t>Capacity Determined by PPL EU</w:t>
      </w:r>
      <w:proofErr w:type="gramStart"/>
      <w:r w:rsidRPr="00E42A3B">
        <w:rPr>
          <w:b/>
          <w:bCs/>
          <w:lang w:val="en"/>
        </w:rPr>
        <w:t>:</w:t>
      </w:r>
      <w:r w:rsidRPr="00E42A3B">
        <w:t>.</w:t>
      </w:r>
      <w:proofErr w:type="gramEnd"/>
      <w:r w:rsidRPr="00E42A3B">
        <w:t xml:space="preserve"> </w:t>
      </w:r>
      <w:hyperlink r:id="rId2" w:anchor="rule12c" w:history="1">
        <w:r w:rsidRPr="00E42A3B">
          <w:rPr>
            <w:rStyle w:val="Hyperlink"/>
          </w:rPr>
          <w:t>https://www.pplelectric.com/at-your-service/electric-rates-and-rules/remsi/list-of-rules/rule-12.aspx#rule12c</w:t>
        </w:r>
      </w:hyperlink>
    </w:p>
  </w:footnote>
  <w:footnote w:id="6">
    <w:p w:rsidR="00B532BC" w:rsidRDefault="00B532BC">
      <w:pPr>
        <w:pStyle w:val="FootnoteText"/>
      </w:pPr>
      <w:r>
        <w:rPr>
          <w:rStyle w:val="FootnoteReference"/>
        </w:rPr>
        <w:footnoteRef/>
      </w:r>
      <w:r>
        <w:t xml:space="preserve"> See petition of</w:t>
      </w:r>
      <w:r w:rsidR="008501A4">
        <w:t xml:space="preserve"> PECO</w:t>
      </w:r>
      <w:r>
        <w:t xml:space="preserve"> Energy Company at  Docket M-2009</w:t>
      </w:r>
      <w:r w:rsidR="0064023C">
        <w:t>-</w:t>
      </w:r>
      <w:r>
        <w:t>02123944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34E0F48"/>
    <w:lvl w:ilvl="0">
      <w:numFmt w:val="bullet"/>
      <w:lvlText w:val="*"/>
      <w:lvlJc w:val="left"/>
      <w:pPr>
        <w:ind w:left="0" w:firstLine="0"/>
      </w:pPr>
    </w:lvl>
  </w:abstractNum>
  <w:abstractNum w:abstractNumId="1">
    <w:nsid w:val="308A6481"/>
    <w:multiLevelType w:val="hybridMultilevel"/>
    <w:tmpl w:val="C8AC1A08"/>
    <w:lvl w:ilvl="0" w:tplc="629424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583146E"/>
    <w:multiLevelType w:val="hybridMultilevel"/>
    <w:tmpl w:val="32DEC29A"/>
    <w:lvl w:ilvl="0" w:tplc="CEF8A0F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37CB2122"/>
    <w:multiLevelType w:val="hybridMultilevel"/>
    <w:tmpl w:val="A508D8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BFF00DB"/>
    <w:multiLevelType w:val="hybridMultilevel"/>
    <w:tmpl w:val="F928357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0"/>
        <w:lvlJc w:val="left"/>
        <w:pPr>
          <w:ind w:left="0" w:firstLine="0"/>
        </w:pPr>
        <w:rPr>
          <w:rFonts w:ascii="Symbol" w:hAnsi="Symbol" w:hint="default"/>
        </w:rPr>
      </w:lvl>
    </w:lvlOverride>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0D4"/>
    <w:rsid w:val="0000186B"/>
    <w:rsid w:val="00004B2C"/>
    <w:rsid w:val="00010B7A"/>
    <w:rsid w:val="000319EC"/>
    <w:rsid w:val="00033D57"/>
    <w:rsid w:val="00046AA5"/>
    <w:rsid w:val="000514E1"/>
    <w:rsid w:val="00063C04"/>
    <w:rsid w:val="000675A4"/>
    <w:rsid w:val="000754C3"/>
    <w:rsid w:val="000811B9"/>
    <w:rsid w:val="00092C0A"/>
    <w:rsid w:val="000A1D0C"/>
    <w:rsid w:val="000A1F94"/>
    <w:rsid w:val="000A6AC7"/>
    <w:rsid w:val="000E196A"/>
    <w:rsid w:val="000E2502"/>
    <w:rsid w:val="000E3ECD"/>
    <w:rsid w:val="000F3E9D"/>
    <w:rsid w:val="00107AB8"/>
    <w:rsid w:val="00110975"/>
    <w:rsid w:val="001119EF"/>
    <w:rsid w:val="001125A7"/>
    <w:rsid w:val="00120782"/>
    <w:rsid w:val="0013786E"/>
    <w:rsid w:val="00142828"/>
    <w:rsid w:val="001475A7"/>
    <w:rsid w:val="0015549B"/>
    <w:rsid w:val="00173459"/>
    <w:rsid w:val="00182A8C"/>
    <w:rsid w:val="0019666F"/>
    <w:rsid w:val="001A4F91"/>
    <w:rsid w:val="001A4FF9"/>
    <w:rsid w:val="001A6AF7"/>
    <w:rsid w:val="001B6D1F"/>
    <w:rsid w:val="001B6DC1"/>
    <w:rsid w:val="001B7588"/>
    <w:rsid w:val="001E3846"/>
    <w:rsid w:val="001E7795"/>
    <w:rsid w:val="00210680"/>
    <w:rsid w:val="0021291E"/>
    <w:rsid w:val="00214C36"/>
    <w:rsid w:val="00217EF7"/>
    <w:rsid w:val="00220B0A"/>
    <w:rsid w:val="0022503C"/>
    <w:rsid w:val="00240AAA"/>
    <w:rsid w:val="00250087"/>
    <w:rsid w:val="00251C6E"/>
    <w:rsid w:val="00284B26"/>
    <w:rsid w:val="00290A3D"/>
    <w:rsid w:val="0029405C"/>
    <w:rsid w:val="002A23AC"/>
    <w:rsid w:val="002B0DED"/>
    <w:rsid w:val="002B18E0"/>
    <w:rsid w:val="002B1EFB"/>
    <w:rsid w:val="002B49E8"/>
    <w:rsid w:val="002C1A11"/>
    <w:rsid w:val="002C30F7"/>
    <w:rsid w:val="002C7630"/>
    <w:rsid w:val="002C7921"/>
    <w:rsid w:val="002D415B"/>
    <w:rsid w:val="002E2B14"/>
    <w:rsid w:val="002F7691"/>
    <w:rsid w:val="00304809"/>
    <w:rsid w:val="00331134"/>
    <w:rsid w:val="0035040B"/>
    <w:rsid w:val="00353A13"/>
    <w:rsid w:val="00355458"/>
    <w:rsid w:val="00385123"/>
    <w:rsid w:val="00391707"/>
    <w:rsid w:val="003A4E64"/>
    <w:rsid w:val="003C3A02"/>
    <w:rsid w:val="003E2A29"/>
    <w:rsid w:val="003F34B0"/>
    <w:rsid w:val="00416168"/>
    <w:rsid w:val="004768B5"/>
    <w:rsid w:val="00476D6B"/>
    <w:rsid w:val="00496D77"/>
    <w:rsid w:val="004B34D3"/>
    <w:rsid w:val="004C759C"/>
    <w:rsid w:val="004D0C73"/>
    <w:rsid w:val="004E58A5"/>
    <w:rsid w:val="004F370A"/>
    <w:rsid w:val="004F6A5A"/>
    <w:rsid w:val="0050131D"/>
    <w:rsid w:val="0050622A"/>
    <w:rsid w:val="0052030E"/>
    <w:rsid w:val="00520427"/>
    <w:rsid w:val="00523A8C"/>
    <w:rsid w:val="00524B6D"/>
    <w:rsid w:val="00535466"/>
    <w:rsid w:val="00536C0C"/>
    <w:rsid w:val="0054051C"/>
    <w:rsid w:val="005529E9"/>
    <w:rsid w:val="00566258"/>
    <w:rsid w:val="00571027"/>
    <w:rsid w:val="00572CCC"/>
    <w:rsid w:val="00594C2A"/>
    <w:rsid w:val="005A6FCE"/>
    <w:rsid w:val="005A7356"/>
    <w:rsid w:val="005B3BF2"/>
    <w:rsid w:val="005B4438"/>
    <w:rsid w:val="005B743A"/>
    <w:rsid w:val="005C1FD3"/>
    <w:rsid w:val="005C740D"/>
    <w:rsid w:val="005D03E0"/>
    <w:rsid w:val="005D7A07"/>
    <w:rsid w:val="005F1C61"/>
    <w:rsid w:val="005F3889"/>
    <w:rsid w:val="005F4FCF"/>
    <w:rsid w:val="00600A17"/>
    <w:rsid w:val="006027A7"/>
    <w:rsid w:val="006048E2"/>
    <w:rsid w:val="00613CD5"/>
    <w:rsid w:val="00621EEE"/>
    <w:rsid w:val="00622AFA"/>
    <w:rsid w:val="00632E50"/>
    <w:rsid w:val="0064023C"/>
    <w:rsid w:val="00664271"/>
    <w:rsid w:val="006779EB"/>
    <w:rsid w:val="00677BA9"/>
    <w:rsid w:val="006917F5"/>
    <w:rsid w:val="00697266"/>
    <w:rsid w:val="006A01F9"/>
    <w:rsid w:val="006B1962"/>
    <w:rsid w:val="006B2984"/>
    <w:rsid w:val="006B77BE"/>
    <w:rsid w:val="006D031C"/>
    <w:rsid w:val="006D3A74"/>
    <w:rsid w:val="006E2789"/>
    <w:rsid w:val="006F73CF"/>
    <w:rsid w:val="0073099F"/>
    <w:rsid w:val="00746876"/>
    <w:rsid w:val="00747283"/>
    <w:rsid w:val="00754321"/>
    <w:rsid w:val="007567AC"/>
    <w:rsid w:val="007632B0"/>
    <w:rsid w:val="00776732"/>
    <w:rsid w:val="00776F80"/>
    <w:rsid w:val="007A2F74"/>
    <w:rsid w:val="007B2569"/>
    <w:rsid w:val="007B744C"/>
    <w:rsid w:val="007D0205"/>
    <w:rsid w:val="007D368E"/>
    <w:rsid w:val="007E6598"/>
    <w:rsid w:val="007F20F0"/>
    <w:rsid w:val="007F37C1"/>
    <w:rsid w:val="007F4E48"/>
    <w:rsid w:val="00804B77"/>
    <w:rsid w:val="00806E34"/>
    <w:rsid w:val="00816287"/>
    <w:rsid w:val="00820FA9"/>
    <w:rsid w:val="00835BE7"/>
    <w:rsid w:val="008501A4"/>
    <w:rsid w:val="00857310"/>
    <w:rsid w:val="00857376"/>
    <w:rsid w:val="00860F48"/>
    <w:rsid w:val="008743C1"/>
    <w:rsid w:val="00882DD5"/>
    <w:rsid w:val="00883F37"/>
    <w:rsid w:val="008A4F5D"/>
    <w:rsid w:val="008A5C24"/>
    <w:rsid w:val="008B055C"/>
    <w:rsid w:val="008B1477"/>
    <w:rsid w:val="008B5653"/>
    <w:rsid w:val="008C7ABF"/>
    <w:rsid w:val="008D0879"/>
    <w:rsid w:val="008D2522"/>
    <w:rsid w:val="008D3BB8"/>
    <w:rsid w:val="008F2E81"/>
    <w:rsid w:val="009205C7"/>
    <w:rsid w:val="00924254"/>
    <w:rsid w:val="009248F5"/>
    <w:rsid w:val="00941451"/>
    <w:rsid w:val="00944205"/>
    <w:rsid w:val="00944D62"/>
    <w:rsid w:val="00947573"/>
    <w:rsid w:val="00963258"/>
    <w:rsid w:val="00972365"/>
    <w:rsid w:val="00973BE4"/>
    <w:rsid w:val="00981EE0"/>
    <w:rsid w:val="00985472"/>
    <w:rsid w:val="00996FCA"/>
    <w:rsid w:val="009A31AE"/>
    <w:rsid w:val="009C5478"/>
    <w:rsid w:val="009D02B9"/>
    <w:rsid w:val="009D048B"/>
    <w:rsid w:val="009D5F04"/>
    <w:rsid w:val="00A20BE8"/>
    <w:rsid w:val="00A333F9"/>
    <w:rsid w:val="00A508B3"/>
    <w:rsid w:val="00A60F28"/>
    <w:rsid w:val="00A82B74"/>
    <w:rsid w:val="00A82FC9"/>
    <w:rsid w:val="00A83105"/>
    <w:rsid w:val="00A9040A"/>
    <w:rsid w:val="00AB2CF1"/>
    <w:rsid w:val="00AB738E"/>
    <w:rsid w:val="00AD5F40"/>
    <w:rsid w:val="00AE3E24"/>
    <w:rsid w:val="00AF69C9"/>
    <w:rsid w:val="00B10F16"/>
    <w:rsid w:val="00B11F12"/>
    <w:rsid w:val="00B132F4"/>
    <w:rsid w:val="00B15F58"/>
    <w:rsid w:val="00B1623F"/>
    <w:rsid w:val="00B25C7B"/>
    <w:rsid w:val="00B3246D"/>
    <w:rsid w:val="00B35183"/>
    <w:rsid w:val="00B363B0"/>
    <w:rsid w:val="00B532BC"/>
    <w:rsid w:val="00B57B62"/>
    <w:rsid w:val="00B82863"/>
    <w:rsid w:val="00B8745C"/>
    <w:rsid w:val="00B9643A"/>
    <w:rsid w:val="00BB02BC"/>
    <w:rsid w:val="00BC2800"/>
    <w:rsid w:val="00BC6048"/>
    <w:rsid w:val="00BD7C30"/>
    <w:rsid w:val="00BE2339"/>
    <w:rsid w:val="00BE499A"/>
    <w:rsid w:val="00BF4BFC"/>
    <w:rsid w:val="00BF6062"/>
    <w:rsid w:val="00BF6CDE"/>
    <w:rsid w:val="00C01D96"/>
    <w:rsid w:val="00C0451E"/>
    <w:rsid w:val="00C1039C"/>
    <w:rsid w:val="00C132FD"/>
    <w:rsid w:val="00C14305"/>
    <w:rsid w:val="00C14B6E"/>
    <w:rsid w:val="00C20F64"/>
    <w:rsid w:val="00C266DE"/>
    <w:rsid w:val="00C31EC1"/>
    <w:rsid w:val="00C410FE"/>
    <w:rsid w:val="00C46BDE"/>
    <w:rsid w:val="00C5353F"/>
    <w:rsid w:val="00C65242"/>
    <w:rsid w:val="00C8021A"/>
    <w:rsid w:val="00C916DF"/>
    <w:rsid w:val="00C96FCA"/>
    <w:rsid w:val="00CB7B05"/>
    <w:rsid w:val="00CC7BFC"/>
    <w:rsid w:val="00CD6C97"/>
    <w:rsid w:val="00CD775A"/>
    <w:rsid w:val="00CE3E4A"/>
    <w:rsid w:val="00D00C18"/>
    <w:rsid w:val="00D01581"/>
    <w:rsid w:val="00D376F5"/>
    <w:rsid w:val="00D40747"/>
    <w:rsid w:val="00D53CF7"/>
    <w:rsid w:val="00D54107"/>
    <w:rsid w:val="00D570C0"/>
    <w:rsid w:val="00D607F8"/>
    <w:rsid w:val="00D61F9F"/>
    <w:rsid w:val="00D638D3"/>
    <w:rsid w:val="00D74DC3"/>
    <w:rsid w:val="00D80156"/>
    <w:rsid w:val="00D80AFE"/>
    <w:rsid w:val="00D83182"/>
    <w:rsid w:val="00D850D4"/>
    <w:rsid w:val="00D87056"/>
    <w:rsid w:val="00DA39AF"/>
    <w:rsid w:val="00DA4F7F"/>
    <w:rsid w:val="00DA54B8"/>
    <w:rsid w:val="00DA5985"/>
    <w:rsid w:val="00DA5C86"/>
    <w:rsid w:val="00DA6850"/>
    <w:rsid w:val="00DB58F6"/>
    <w:rsid w:val="00DB623A"/>
    <w:rsid w:val="00DB7CCC"/>
    <w:rsid w:val="00DC0AA8"/>
    <w:rsid w:val="00DC381A"/>
    <w:rsid w:val="00DC7F2D"/>
    <w:rsid w:val="00DD7E32"/>
    <w:rsid w:val="00DE520F"/>
    <w:rsid w:val="00DF0470"/>
    <w:rsid w:val="00DF50A1"/>
    <w:rsid w:val="00E140C9"/>
    <w:rsid w:val="00E15458"/>
    <w:rsid w:val="00E20E18"/>
    <w:rsid w:val="00E21423"/>
    <w:rsid w:val="00E35AD2"/>
    <w:rsid w:val="00E36544"/>
    <w:rsid w:val="00E42A3B"/>
    <w:rsid w:val="00E441EC"/>
    <w:rsid w:val="00E45161"/>
    <w:rsid w:val="00E46899"/>
    <w:rsid w:val="00E5153A"/>
    <w:rsid w:val="00E52E18"/>
    <w:rsid w:val="00E56AB8"/>
    <w:rsid w:val="00E61570"/>
    <w:rsid w:val="00E70F79"/>
    <w:rsid w:val="00E76049"/>
    <w:rsid w:val="00E865DC"/>
    <w:rsid w:val="00E96680"/>
    <w:rsid w:val="00EA2FE0"/>
    <w:rsid w:val="00EA446B"/>
    <w:rsid w:val="00EA5B39"/>
    <w:rsid w:val="00EA78E6"/>
    <w:rsid w:val="00EC6044"/>
    <w:rsid w:val="00EF600E"/>
    <w:rsid w:val="00F15A31"/>
    <w:rsid w:val="00F27679"/>
    <w:rsid w:val="00F34F36"/>
    <w:rsid w:val="00F36401"/>
    <w:rsid w:val="00F3783C"/>
    <w:rsid w:val="00F43A1C"/>
    <w:rsid w:val="00F46065"/>
    <w:rsid w:val="00F51BF4"/>
    <w:rsid w:val="00F55B91"/>
    <w:rsid w:val="00F600B8"/>
    <w:rsid w:val="00F649E4"/>
    <w:rsid w:val="00F748D9"/>
    <w:rsid w:val="00F80429"/>
    <w:rsid w:val="00F9255F"/>
    <w:rsid w:val="00F965FB"/>
    <w:rsid w:val="00FA29A2"/>
    <w:rsid w:val="00FA40BB"/>
    <w:rsid w:val="00FA58EC"/>
    <w:rsid w:val="00FA5C58"/>
    <w:rsid w:val="00FB0EE1"/>
    <w:rsid w:val="00FC5916"/>
    <w:rsid w:val="00FD34F5"/>
    <w:rsid w:val="00FE0180"/>
    <w:rsid w:val="00FE5AAC"/>
    <w:rsid w:val="00FF7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2C0A"/>
    <w:pPr>
      <w:overflowPunct w:val="0"/>
      <w:autoSpaceDE w:val="0"/>
      <w:autoSpaceDN w:val="0"/>
      <w:adjustRightInd w:val="0"/>
      <w:textAlignment w:val="baseline"/>
    </w:pPr>
    <w:rPr>
      <w:sz w:val="24"/>
    </w:rPr>
  </w:style>
  <w:style w:type="paragraph" w:styleId="Heading1">
    <w:name w:val="heading 1"/>
    <w:basedOn w:val="Normal"/>
    <w:next w:val="Normal"/>
    <w:qFormat/>
    <w:rsid w:val="00092C0A"/>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092C0A"/>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092C0A"/>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92C0A"/>
    <w:pPr>
      <w:tabs>
        <w:tab w:val="center" w:pos="4320"/>
        <w:tab w:val="right" w:pos="8640"/>
      </w:tabs>
    </w:pPr>
  </w:style>
  <w:style w:type="paragraph" w:styleId="Footer">
    <w:name w:val="footer"/>
    <w:basedOn w:val="Normal"/>
    <w:rsid w:val="00092C0A"/>
    <w:pPr>
      <w:tabs>
        <w:tab w:val="center" w:pos="4320"/>
        <w:tab w:val="right" w:pos="8640"/>
      </w:tabs>
    </w:pPr>
  </w:style>
  <w:style w:type="character" w:styleId="PageNumber">
    <w:name w:val="page number"/>
    <w:basedOn w:val="DefaultParagraphFont"/>
  </w:style>
  <w:style w:type="paragraph" w:styleId="FootnoteText">
    <w:name w:val="footnote text"/>
    <w:basedOn w:val="Normal"/>
    <w:link w:val="FootnoteTextChar"/>
    <w:rsid w:val="009248F5"/>
    <w:rPr>
      <w:sz w:val="20"/>
    </w:rPr>
  </w:style>
  <w:style w:type="character" w:styleId="FootnoteReference">
    <w:name w:val="footnote reference"/>
    <w:semiHidden/>
    <w:rsid w:val="009248F5"/>
    <w:rPr>
      <w:vertAlign w:val="superscript"/>
    </w:rPr>
  </w:style>
  <w:style w:type="paragraph" w:customStyle="1" w:styleId="c1">
    <w:name w:val="c1"/>
    <w:basedOn w:val="Normal"/>
    <w:rsid w:val="00DF0470"/>
    <w:pPr>
      <w:widowControl w:val="0"/>
      <w:overflowPunct/>
      <w:jc w:val="center"/>
      <w:textAlignment w:val="auto"/>
    </w:pPr>
    <w:rPr>
      <w:szCs w:val="24"/>
    </w:rPr>
  </w:style>
  <w:style w:type="paragraph" w:customStyle="1" w:styleId="p3">
    <w:name w:val="p3"/>
    <w:basedOn w:val="Normal"/>
    <w:rsid w:val="00DF0470"/>
    <w:pPr>
      <w:widowControl w:val="0"/>
      <w:tabs>
        <w:tab w:val="left" w:pos="204"/>
      </w:tabs>
      <w:overflowPunct/>
      <w:textAlignment w:val="auto"/>
    </w:pPr>
    <w:rPr>
      <w:szCs w:val="24"/>
    </w:rPr>
  </w:style>
  <w:style w:type="paragraph" w:customStyle="1" w:styleId="p6">
    <w:name w:val="p6"/>
    <w:basedOn w:val="Normal"/>
    <w:rsid w:val="00DF0470"/>
    <w:pPr>
      <w:widowControl w:val="0"/>
      <w:overflowPunct/>
      <w:ind w:firstLine="742"/>
      <w:textAlignment w:val="auto"/>
    </w:pPr>
    <w:rPr>
      <w:szCs w:val="24"/>
    </w:rPr>
  </w:style>
  <w:style w:type="paragraph" w:customStyle="1" w:styleId="p8">
    <w:name w:val="p8"/>
    <w:basedOn w:val="Normal"/>
    <w:rsid w:val="00DF0470"/>
    <w:pPr>
      <w:widowControl w:val="0"/>
      <w:tabs>
        <w:tab w:val="left" w:pos="204"/>
      </w:tabs>
      <w:overflowPunct/>
      <w:textAlignment w:val="auto"/>
    </w:pPr>
    <w:rPr>
      <w:szCs w:val="24"/>
    </w:rPr>
  </w:style>
  <w:style w:type="paragraph" w:customStyle="1" w:styleId="c9">
    <w:name w:val="c9"/>
    <w:basedOn w:val="Normal"/>
    <w:rsid w:val="00DF0470"/>
    <w:pPr>
      <w:widowControl w:val="0"/>
      <w:overflowPunct/>
      <w:jc w:val="center"/>
      <w:textAlignment w:val="auto"/>
    </w:pPr>
    <w:rPr>
      <w:szCs w:val="24"/>
    </w:rPr>
  </w:style>
  <w:style w:type="paragraph" w:customStyle="1" w:styleId="c10">
    <w:name w:val="c10"/>
    <w:basedOn w:val="Normal"/>
    <w:rsid w:val="00DF0470"/>
    <w:pPr>
      <w:widowControl w:val="0"/>
      <w:overflowPunct/>
      <w:jc w:val="center"/>
      <w:textAlignment w:val="auto"/>
    </w:pPr>
    <w:rPr>
      <w:szCs w:val="24"/>
    </w:rPr>
  </w:style>
  <w:style w:type="paragraph" w:customStyle="1" w:styleId="p13">
    <w:name w:val="p13"/>
    <w:basedOn w:val="Normal"/>
    <w:rsid w:val="00DF0470"/>
    <w:pPr>
      <w:widowControl w:val="0"/>
      <w:tabs>
        <w:tab w:val="left" w:pos="742"/>
        <w:tab w:val="left" w:pos="1451"/>
      </w:tabs>
      <w:overflowPunct/>
      <w:ind w:left="742" w:firstLine="709"/>
      <w:textAlignment w:val="auto"/>
    </w:pPr>
    <w:rPr>
      <w:szCs w:val="24"/>
    </w:rPr>
  </w:style>
  <w:style w:type="paragraph" w:customStyle="1" w:styleId="p14">
    <w:name w:val="p14"/>
    <w:basedOn w:val="Normal"/>
    <w:rsid w:val="00DF0470"/>
    <w:pPr>
      <w:widowControl w:val="0"/>
      <w:tabs>
        <w:tab w:val="left" w:pos="204"/>
      </w:tabs>
      <w:overflowPunct/>
      <w:textAlignment w:val="auto"/>
    </w:pPr>
    <w:rPr>
      <w:szCs w:val="24"/>
    </w:rPr>
  </w:style>
  <w:style w:type="paragraph" w:customStyle="1" w:styleId="p15">
    <w:name w:val="p15"/>
    <w:basedOn w:val="Normal"/>
    <w:rsid w:val="00DF0470"/>
    <w:pPr>
      <w:widowControl w:val="0"/>
      <w:tabs>
        <w:tab w:val="left" w:pos="204"/>
      </w:tabs>
      <w:overflowPunct/>
      <w:textAlignment w:val="auto"/>
    </w:pPr>
    <w:rPr>
      <w:szCs w:val="24"/>
    </w:rPr>
  </w:style>
  <w:style w:type="paragraph" w:customStyle="1" w:styleId="p17">
    <w:name w:val="p17"/>
    <w:basedOn w:val="Normal"/>
    <w:rsid w:val="00DF0470"/>
    <w:pPr>
      <w:widowControl w:val="0"/>
      <w:tabs>
        <w:tab w:val="left" w:pos="5057"/>
      </w:tabs>
      <w:overflowPunct/>
      <w:ind w:left="3617"/>
      <w:textAlignment w:val="auto"/>
    </w:pPr>
    <w:rPr>
      <w:szCs w:val="24"/>
    </w:rPr>
  </w:style>
  <w:style w:type="paragraph" w:customStyle="1" w:styleId="p18">
    <w:name w:val="p18"/>
    <w:basedOn w:val="Normal"/>
    <w:rsid w:val="00DF0470"/>
    <w:pPr>
      <w:widowControl w:val="0"/>
      <w:tabs>
        <w:tab w:val="left" w:pos="5062"/>
      </w:tabs>
      <w:overflowPunct/>
      <w:ind w:left="3622"/>
      <w:textAlignment w:val="auto"/>
    </w:pPr>
    <w:rPr>
      <w:szCs w:val="24"/>
    </w:rPr>
  </w:style>
  <w:style w:type="paragraph" w:styleId="BalloonText">
    <w:name w:val="Balloon Text"/>
    <w:basedOn w:val="Normal"/>
    <w:semiHidden/>
    <w:rsid w:val="00214C36"/>
    <w:rPr>
      <w:rFonts w:ascii="Tahoma" w:hAnsi="Tahoma" w:cs="Tahoma"/>
      <w:sz w:val="16"/>
      <w:szCs w:val="16"/>
    </w:rPr>
  </w:style>
  <w:style w:type="paragraph" w:customStyle="1" w:styleId="StyleCentered">
    <w:name w:val="Style Centered"/>
    <w:basedOn w:val="Normal"/>
    <w:rsid w:val="00092C0A"/>
    <w:pPr>
      <w:jc w:val="center"/>
    </w:pPr>
  </w:style>
  <w:style w:type="character" w:styleId="Hyperlink">
    <w:name w:val="Hyperlink"/>
    <w:basedOn w:val="DefaultParagraphFont"/>
    <w:rsid w:val="006779EB"/>
    <w:rPr>
      <w:color w:val="0000FF" w:themeColor="hyperlink"/>
      <w:u w:val="single"/>
    </w:rPr>
  </w:style>
  <w:style w:type="character" w:customStyle="1" w:styleId="FootnoteTextChar">
    <w:name w:val="Footnote Text Char"/>
    <w:link w:val="FootnoteText"/>
    <w:rsid w:val="0054051C"/>
  </w:style>
  <w:style w:type="character" w:styleId="FollowedHyperlink">
    <w:name w:val="FollowedHyperlink"/>
    <w:basedOn w:val="DefaultParagraphFont"/>
    <w:rsid w:val="00E42A3B"/>
    <w:rPr>
      <w:color w:val="800080" w:themeColor="followedHyperlink"/>
      <w:u w:val="single"/>
    </w:rPr>
  </w:style>
  <w:style w:type="paragraph" w:styleId="ListParagraph">
    <w:name w:val="List Paragraph"/>
    <w:basedOn w:val="Normal"/>
    <w:uiPriority w:val="34"/>
    <w:qFormat/>
    <w:rsid w:val="0064023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2C0A"/>
    <w:pPr>
      <w:overflowPunct w:val="0"/>
      <w:autoSpaceDE w:val="0"/>
      <w:autoSpaceDN w:val="0"/>
      <w:adjustRightInd w:val="0"/>
      <w:textAlignment w:val="baseline"/>
    </w:pPr>
    <w:rPr>
      <w:sz w:val="24"/>
    </w:rPr>
  </w:style>
  <w:style w:type="paragraph" w:styleId="Heading1">
    <w:name w:val="heading 1"/>
    <w:basedOn w:val="Normal"/>
    <w:next w:val="Normal"/>
    <w:qFormat/>
    <w:rsid w:val="00092C0A"/>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092C0A"/>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092C0A"/>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92C0A"/>
    <w:pPr>
      <w:tabs>
        <w:tab w:val="center" w:pos="4320"/>
        <w:tab w:val="right" w:pos="8640"/>
      </w:tabs>
    </w:pPr>
  </w:style>
  <w:style w:type="paragraph" w:styleId="Footer">
    <w:name w:val="footer"/>
    <w:basedOn w:val="Normal"/>
    <w:rsid w:val="00092C0A"/>
    <w:pPr>
      <w:tabs>
        <w:tab w:val="center" w:pos="4320"/>
        <w:tab w:val="right" w:pos="8640"/>
      </w:tabs>
    </w:pPr>
  </w:style>
  <w:style w:type="character" w:styleId="PageNumber">
    <w:name w:val="page number"/>
    <w:basedOn w:val="DefaultParagraphFont"/>
  </w:style>
  <w:style w:type="paragraph" w:styleId="FootnoteText">
    <w:name w:val="footnote text"/>
    <w:basedOn w:val="Normal"/>
    <w:link w:val="FootnoteTextChar"/>
    <w:rsid w:val="009248F5"/>
    <w:rPr>
      <w:sz w:val="20"/>
    </w:rPr>
  </w:style>
  <w:style w:type="character" w:styleId="FootnoteReference">
    <w:name w:val="footnote reference"/>
    <w:semiHidden/>
    <w:rsid w:val="009248F5"/>
    <w:rPr>
      <w:vertAlign w:val="superscript"/>
    </w:rPr>
  </w:style>
  <w:style w:type="paragraph" w:customStyle="1" w:styleId="c1">
    <w:name w:val="c1"/>
    <w:basedOn w:val="Normal"/>
    <w:rsid w:val="00DF0470"/>
    <w:pPr>
      <w:widowControl w:val="0"/>
      <w:overflowPunct/>
      <w:jc w:val="center"/>
      <w:textAlignment w:val="auto"/>
    </w:pPr>
    <w:rPr>
      <w:szCs w:val="24"/>
    </w:rPr>
  </w:style>
  <w:style w:type="paragraph" w:customStyle="1" w:styleId="p3">
    <w:name w:val="p3"/>
    <w:basedOn w:val="Normal"/>
    <w:rsid w:val="00DF0470"/>
    <w:pPr>
      <w:widowControl w:val="0"/>
      <w:tabs>
        <w:tab w:val="left" w:pos="204"/>
      </w:tabs>
      <w:overflowPunct/>
      <w:textAlignment w:val="auto"/>
    </w:pPr>
    <w:rPr>
      <w:szCs w:val="24"/>
    </w:rPr>
  </w:style>
  <w:style w:type="paragraph" w:customStyle="1" w:styleId="p6">
    <w:name w:val="p6"/>
    <w:basedOn w:val="Normal"/>
    <w:rsid w:val="00DF0470"/>
    <w:pPr>
      <w:widowControl w:val="0"/>
      <w:overflowPunct/>
      <w:ind w:firstLine="742"/>
      <w:textAlignment w:val="auto"/>
    </w:pPr>
    <w:rPr>
      <w:szCs w:val="24"/>
    </w:rPr>
  </w:style>
  <w:style w:type="paragraph" w:customStyle="1" w:styleId="p8">
    <w:name w:val="p8"/>
    <w:basedOn w:val="Normal"/>
    <w:rsid w:val="00DF0470"/>
    <w:pPr>
      <w:widowControl w:val="0"/>
      <w:tabs>
        <w:tab w:val="left" w:pos="204"/>
      </w:tabs>
      <w:overflowPunct/>
      <w:textAlignment w:val="auto"/>
    </w:pPr>
    <w:rPr>
      <w:szCs w:val="24"/>
    </w:rPr>
  </w:style>
  <w:style w:type="paragraph" w:customStyle="1" w:styleId="c9">
    <w:name w:val="c9"/>
    <w:basedOn w:val="Normal"/>
    <w:rsid w:val="00DF0470"/>
    <w:pPr>
      <w:widowControl w:val="0"/>
      <w:overflowPunct/>
      <w:jc w:val="center"/>
      <w:textAlignment w:val="auto"/>
    </w:pPr>
    <w:rPr>
      <w:szCs w:val="24"/>
    </w:rPr>
  </w:style>
  <w:style w:type="paragraph" w:customStyle="1" w:styleId="c10">
    <w:name w:val="c10"/>
    <w:basedOn w:val="Normal"/>
    <w:rsid w:val="00DF0470"/>
    <w:pPr>
      <w:widowControl w:val="0"/>
      <w:overflowPunct/>
      <w:jc w:val="center"/>
      <w:textAlignment w:val="auto"/>
    </w:pPr>
    <w:rPr>
      <w:szCs w:val="24"/>
    </w:rPr>
  </w:style>
  <w:style w:type="paragraph" w:customStyle="1" w:styleId="p13">
    <w:name w:val="p13"/>
    <w:basedOn w:val="Normal"/>
    <w:rsid w:val="00DF0470"/>
    <w:pPr>
      <w:widowControl w:val="0"/>
      <w:tabs>
        <w:tab w:val="left" w:pos="742"/>
        <w:tab w:val="left" w:pos="1451"/>
      </w:tabs>
      <w:overflowPunct/>
      <w:ind w:left="742" w:firstLine="709"/>
      <w:textAlignment w:val="auto"/>
    </w:pPr>
    <w:rPr>
      <w:szCs w:val="24"/>
    </w:rPr>
  </w:style>
  <w:style w:type="paragraph" w:customStyle="1" w:styleId="p14">
    <w:name w:val="p14"/>
    <w:basedOn w:val="Normal"/>
    <w:rsid w:val="00DF0470"/>
    <w:pPr>
      <w:widowControl w:val="0"/>
      <w:tabs>
        <w:tab w:val="left" w:pos="204"/>
      </w:tabs>
      <w:overflowPunct/>
      <w:textAlignment w:val="auto"/>
    </w:pPr>
    <w:rPr>
      <w:szCs w:val="24"/>
    </w:rPr>
  </w:style>
  <w:style w:type="paragraph" w:customStyle="1" w:styleId="p15">
    <w:name w:val="p15"/>
    <w:basedOn w:val="Normal"/>
    <w:rsid w:val="00DF0470"/>
    <w:pPr>
      <w:widowControl w:val="0"/>
      <w:tabs>
        <w:tab w:val="left" w:pos="204"/>
      </w:tabs>
      <w:overflowPunct/>
      <w:textAlignment w:val="auto"/>
    </w:pPr>
    <w:rPr>
      <w:szCs w:val="24"/>
    </w:rPr>
  </w:style>
  <w:style w:type="paragraph" w:customStyle="1" w:styleId="p17">
    <w:name w:val="p17"/>
    <w:basedOn w:val="Normal"/>
    <w:rsid w:val="00DF0470"/>
    <w:pPr>
      <w:widowControl w:val="0"/>
      <w:tabs>
        <w:tab w:val="left" w:pos="5057"/>
      </w:tabs>
      <w:overflowPunct/>
      <w:ind w:left="3617"/>
      <w:textAlignment w:val="auto"/>
    </w:pPr>
    <w:rPr>
      <w:szCs w:val="24"/>
    </w:rPr>
  </w:style>
  <w:style w:type="paragraph" w:customStyle="1" w:styleId="p18">
    <w:name w:val="p18"/>
    <w:basedOn w:val="Normal"/>
    <w:rsid w:val="00DF0470"/>
    <w:pPr>
      <w:widowControl w:val="0"/>
      <w:tabs>
        <w:tab w:val="left" w:pos="5062"/>
      </w:tabs>
      <w:overflowPunct/>
      <w:ind w:left="3622"/>
      <w:textAlignment w:val="auto"/>
    </w:pPr>
    <w:rPr>
      <w:szCs w:val="24"/>
    </w:rPr>
  </w:style>
  <w:style w:type="paragraph" w:styleId="BalloonText">
    <w:name w:val="Balloon Text"/>
    <w:basedOn w:val="Normal"/>
    <w:semiHidden/>
    <w:rsid w:val="00214C36"/>
    <w:rPr>
      <w:rFonts w:ascii="Tahoma" w:hAnsi="Tahoma" w:cs="Tahoma"/>
      <w:sz w:val="16"/>
      <w:szCs w:val="16"/>
    </w:rPr>
  </w:style>
  <w:style w:type="paragraph" w:customStyle="1" w:styleId="StyleCentered">
    <w:name w:val="Style Centered"/>
    <w:basedOn w:val="Normal"/>
    <w:rsid w:val="00092C0A"/>
    <w:pPr>
      <w:jc w:val="center"/>
    </w:pPr>
  </w:style>
  <w:style w:type="character" w:styleId="Hyperlink">
    <w:name w:val="Hyperlink"/>
    <w:basedOn w:val="DefaultParagraphFont"/>
    <w:rsid w:val="006779EB"/>
    <w:rPr>
      <w:color w:val="0000FF" w:themeColor="hyperlink"/>
      <w:u w:val="single"/>
    </w:rPr>
  </w:style>
  <w:style w:type="character" w:customStyle="1" w:styleId="FootnoteTextChar">
    <w:name w:val="Footnote Text Char"/>
    <w:link w:val="FootnoteText"/>
    <w:rsid w:val="0054051C"/>
  </w:style>
  <w:style w:type="character" w:styleId="FollowedHyperlink">
    <w:name w:val="FollowedHyperlink"/>
    <w:basedOn w:val="DefaultParagraphFont"/>
    <w:rsid w:val="00E42A3B"/>
    <w:rPr>
      <w:color w:val="800080" w:themeColor="followedHyperlink"/>
      <w:u w:val="single"/>
    </w:rPr>
  </w:style>
  <w:style w:type="paragraph" w:styleId="ListParagraph">
    <w:name w:val="List Paragraph"/>
    <w:basedOn w:val="Normal"/>
    <w:uiPriority w:val="34"/>
    <w:qFormat/>
    <w:rsid w:val="006402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7720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_rels/footnotes.xml.rels><?xml version="1.0" encoding="UTF-8" standalone="yes"?>
<Relationships xmlns="http://schemas.openxmlformats.org/package/2006/relationships"><Relationship Id="rId2" Type="http://schemas.openxmlformats.org/officeDocument/2006/relationships/hyperlink" Target="https://www.pplelectric.com/at-your-service/electric-rates-and-rules/remsi/list-of-rules/rule-12.aspx" TargetMode="External"/><Relationship Id="rId1" Type="http://schemas.openxmlformats.org/officeDocument/2006/relationships/hyperlink" Target="https://www.pplelectric.com/at-your-service/electric-rates-and-rules/remsi/list-of-rules/rule-12.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3EA42B-0ED9-497D-BA95-FD68900F9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1356</TotalTime>
  <Pages>8</Pages>
  <Words>1990</Words>
  <Characters>11347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FUS-0435*; P-00981628.O; Citizens Tel. Co. of New York</vt:lpstr>
    </vt:vector>
  </TitlesOfParts>
  <Company>Pa Public Utility Commission</Company>
  <LinksUpToDate>false</LinksUpToDate>
  <CharactersWithSpaces>13311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FUS-0435*; P-00981628.O; Citizens Tel. Co. of New York</dc:title>
  <dc:creator>REYNOLDS</dc:creator>
  <cp:lastModifiedBy>Hinds, Margaret</cp:lastModifiedBy>
  <cp:revision>25</cp:revision>
  <cp:lastPrinted>2014-06-19T11:59:00Z</cp:lastPrinted>
  <dcterms:created xsi:type="dcterms:W3CDTF">2014-03-27T13:29:00Z</dcterms:created>
  <dcterms:modified xsi:type="dcterms:W3CDTF">2014-06-19T11:59:00Z</dcterms:modified>
</cp:coreProperties>
</file>