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F08EC">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871F2">
            <w:pPr>
              <w:rPr>
                <w:sz w:val="26"/>
                <w:szCs w:val="26"/>
              </w:rPr>
            </w:pPr>
          </w:p>
        </w:tc>
        <w:tc>
          <w:tcPr>
            <w:tcW w:w="4428" w:type="dxa"/>
          </w:tcPr>
          <w:p w:rsidR="00F514FB" w:rsidRPr="00F514FB" w:rsidRDefault="00C248FE" w:rsidP="00E871F2">
            <w:pPr>
              <w:jc w:val="right"/>
              <w:rPr>
                <w:sz w:val="26"/>
                <w:szCs w:val="26"/>
              </w:rPr>
            </w:pPr>
            <w:r>
              <w:rPr>
                <w:sz w:val="26"/>
                <w:szCs w:val="26"/>
              </w:rPr>
              <w:t xml:space="preserve">Public Meeting held June </w:t>
            </w:r>
            <w:r w:rsidR="001E1688">
              <w:rPr>
                <w:sz w:val="26"/>
                <w:szCs w:val="26"/>
              </w:rPr>
              <w:t>19</w:t>
            </w:r>
            <w:r>
              <w:rPr>
                <w:sz w:val="26"/>
                <w:szCs w:val="26"/>
              </w:rPr>
              <w:t>, 2014</w:t>
            </w:r>
          </w:p>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E871F2">
        <w:tc>
          <w:tcPr>
            <w:tcW w:w="5058" w:type="dxa"/>
          </w:tcPr>
          <w:p w:rsidR="00F514FB" w:rsidRPr="00F514FB" w:rsidRDefault="00F514FB" w:rsidP="00E871F2">
            <w:pPr>
              <w:rPr>
                <w:sz w:val="26"/>
                <w:szCs w:val="26"/>
              </w:rPr>
            </w:pPr>
            <w:r w:rsidRPr="00F514FB">
              <w:rPr>
                <w:sz w:val="26"/>
                <w:szCs w:val="26"/>
              </w:rPr>
              <w:t>Commissioners Present:</w:t>
            </w:r>
          </w:p>
          <w:p w:rsidR="00F514FB" w:rsidRPr="00F514FB" w:rsidRDefault="00F514FB" w:rsidP="00E871F2">
            <w:pPr>
              <w:rPr>
                <w:sz w:val="26"/>
                <w:szCs w:val="26"/>
              </w:rPr>
            </w:pPr>
          </w:p>
          <w:p w:rsidR="00731444" w:rsidRPr="008516FF" w:rsidRDefault="00731444" w:rsidP="00731444">
            <w:pPr>
              <w:tabs>
                <w:tab w:val="left" w:pos="705"/>
              </w:tabs>
              <w:ind w:firstLine="720"/>
              <w:contextualSpacing/>
              <w:rPr>
                <w:sz w:val="26"/>
                <w:szCs w:val="26"/>
              </w:rPr>
            </w:pPr>
            <w:r w:rsidRPr="008516FF">
              <w:rPr>
                <w:sz w:val="26"/>
                <w:szCs w:val="26"/>
              </w:rPr>
              <w:t>Robert F. Powelson, Chairman</w:t>
            </w:r>
          </w:p>
          <w:p w:rsidR="00731444" w:rsidRPr="008516FF" w:rsidRDefault="00731444" w:rsidP="00731444">
            <w:pPr>
              <w:tabs>
                <w:tab w:val="left" w:pos="705"/>
              </w:tabs>
              <w:ind w:firstLine="720"/>
              <w:contextualSpacing/>
              <w:rPr>
                <w:sz w:val="26"/>
                <w:szCs w:val="26"/>
              </w:rPr>
            </w:pPr>
            <w:r w:rsidRPr="008516FF">
              <w:rPr>
                <w:sz w:val="26"/>
                <w:szCs w:val="26"/>
              </w:rPr>
              <w:t>John F. Coleman, Jr., Vice Chairman</w:t>
            </w:r>
          </w:p>
          <w:p w:rsidR="00731444" w:rsidRPr="008516FF" w:rsidRDefault="00731444" w:rsidP="00731444">
            <w:pPr>
              <w:tabs>
                <w:tab w:val="left" w:pos="705"/>
              </w:tabs>
              <w:ind w:firstLine="720"/>
              <w:contextualSpacing/>
              <w:rPr>
                <w:sz w:val="26"/>
                <w:szCs w:val="26"/>
              </w:rPr>
            </w:pPr>
            <w:r w:rsidRPr="008516FF">
              <w:rPr>
                <w:sz w:val="26"/>
                <w:szCs w:val="26"/>
              </w:rPr>
              <w:t>James H. Cawley</w:t>
            </w:r>
          </w:p>
          <w:p w:rsidR="00731444" w:rsidRDefault="00731444" w:rsidP="00731444">
            <w:pPr>
              <w:tabs>
                <w:tab w:val="left" w:pos="705"/>
              </w:tabs>
              <w:ind w:firstLine="720"/>
              <w:contextualSpacing/>
              <w:rPr>
                <w:sz w:val="26"/>
                <w:szCs w:val="26"/>
              </w:rPr>
            </w:pPr>
            <w:r w:rsidRPr="008516FF">
              <w:rPr>
                <w:sz w:val="26"/>
                <w:szCs w:val="26"/>
              </w:rPr>
              <w:t>Pamela A. Witmer</w:t>
            </w:r>
          </w:p>
          <w:p w:rsidR="00731444" w:rsidRPr="008516FF" w:rsidRDefault="00731444" w:rsidP="00731444">
            <w:pPr>
              <w:tabs>
                <w:tab w:val="left" w:pos="705"/>
              </w:tabs>
              <w:ind w:firstLine="720"/>
              <w:contextualSpacing/>
              <w:rPr>
                <w:sz w:val="26"/>
                <w:szCs w:val="26"/>
              </w:rPr>
            </w:pPr>
            <w:r>
              <w:rPr>
                <w:sz w:val="26"/>
                <w:szCs w:val="26"/>
              </w:rPr>
              <w:t>Gladys M. Brown</w:t>
            </w:r>
          </w:p>
          <w:p w:rsidR="00F514FB" w:rsidRPr="00F514FB" w:rsidRDefault="00F514FB" w:rsidP="00E871F2">
            <w:pPr>
              <w:rPr>
                <w:sz w:val="26"/>
                <w:szCs w:val="26"/>
              </w:rPr>
            </w:pPr>
          </w:p>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DE25AC">
        <w:tc>
          <w:tcPr>
            <w:tcW w:w="5058" w:type="dxa"/>
          </w:tcPr>
          <w:p w:rsidR="00F514FB" w:rsidRPr="00F514FB" w:rsidRDefault="00C248FE" w:rsidP="00E871F2">
            <w:pPr>
              <w:rPr>
                <w:sz w:val="26"/>
                <w:szCs w:val="26"/>
              </w:rPr>
            </w:pPr>
            <w:r>
              <w:rPr>
                <w:sz w:val="26"/>
                <w:szCs w:val="26"/>
              </w:rPr>
              <w:t>Joy Turner</w:t>
            </w:r>
          </w:p>
          <w:p w:rsidR="00F514FB" w:rsidRPr="00F514FB" w:rsidRDefault="00F514FB" w:rsidP="00E871F2">
            <w:pPr>
              <w:rPr>
                <w:sz w:val="26"/>
                <w:szCs w:val="26"/>
              </w:rPr>
            </w:pPr>
          </w:p>
        </w:tc>
        <w:tc>
          <w:tcPr>
            <w:tcW w:w="4428" w:type="dxa"/>
          </w:tcPr>
          <w:p w:rsidR="00F514FB" w:rsidRPr="00F514FB" w:rsidRDefault="00C248FE" w:rsidP="00E871F2">
            <w:pPr>
              <w:jc w:val="right"/>
              <w:rPr>
                <w:sz w:val="26"/>
                <w:szCs w:val="26"/>
              </w:rPr>
            </w:pPr>
            <w:r>
              <w:rPr>
                <w:sz w:val="26"/>
                <w:szCs w:val="26"/>
              </w:rPr>
              <w:t>C-2013-2388319</w:t>
            </w:r>
          </w:p>
        </w:tc>
      </w:tr>
      <w:tr w:rsidR="00F514FB" w:rsidRPr="00F514FB" w:rsidTr="00DE25AC">
        <w:tc>
          <w:tcPr>
            <w:tcW w:w="5058" w:type="dxa"/>
          </w:tcPr>
          <w:p w:rsidR="00F514FB" w:rsidRPr="00F514FB" w:rsidRDefault="00F514FB" w:rsidP="00E871F2">
            <w:pPr>
              <w:ind w:firstLine="1440"/>
              <w:rPr>
                <w:sz w:val="26"/>
                <w:szCs w:val="26"/>
              </w:rPr>
            </w:pPr>
            <w:r w:rsidRPr="00F514FB">
              <w:rPr>
                <w:sz w:val="26"/>
                <w:szCs w:val="26"/>
              </w:rPr>
              <w:t>v.</w:t>
            </w:r>
          </w:p>
          <w:p w:rsidR="00F514FB" w:rsidRPr="00F514FB" w:rsidRDefault="00F514FB" w:rsidP="00E871F2">
            <w:pPr>
              <w:ind w:firstLine="1440"/>
              <w:rPr>
                <w:sz w:val="26"/>
                <w:szCs w:val="26"/>
              </w:rPr>
            </w:pPr>
          </w:p>
        </w:tc>
        <w:tc>
          <w:tcPr>
            <w:tcW w:w="4428" w:type="dxa"/>
          </w:tcPr>
          <w:p w:rsidR="00F514FB" w:rsidRPr="00F514FB" w:rsidRDefault="00F514FB" w:rsidP="00E871F2">
            <w:pPr>
              <w:rPr>
                <w:sz w:val="26"/>
                <w:szCs w:val="26"/>
              </w:rPr>
            </w:pPr>
          </w:p>
        </w:tc>
      </w:tr>
      <w:tr w:rsidR="00F514FB" w:rsidRPr="00F514FB" w:rsidTr="00E871F2">
        <w:tc>
          <w:tcPr>
            <w:tcW w:w="5058" w:type="dxa"/>
          </w:tcPr>
          <w:p w:rsidR="00F514FB" w:rsidRPr="00F514FB" w:rsidRDefault="00C248FE" w:rsidP="00E871F2">
            <w:pPr>
              <w:rPr>
                <w:sz w:val="26"/>
                <w:szCs w:val="26"/>
              </w:rPr>
            </w:pPr>
            <w:r>
              <w:rPr>
                <w:sz w:val="26"/>
                <w:szCs w:val="26"/>
              </w:rPr>
              <w:t>Philadelphia Gas Works</w:t>
            </w:r>
          </w:p>
        </w:tc>
        <w:tc>
          <w:tcPr>
            <w:tcW w:w="4428" w:type="dxa"/>
          </w:tcPr>
          <w:p w:rsidR="00F514FB" w:rsidRPr="00F514FB" w:rsidRDefault="00F514FB" w:rsidP="00E871F2">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DE5A4E">
        <w:rPr>
          <w:color w:val="000000"/>
          <w:sz w:val="26"/>
        </w:rPr>
        <w:t xml:space="preserve"> (Exceptions) of Philadelphia Gas Works</w:t>
      </w:r>
      <w:r w:rsidR="00671E4C">
        <w:rPr>
          <w:color w:val="000000"/>
          <w:sz w:val="26"/>
        </w:rPr>
        <w:t xml:space="preserve"> </w:t>
      </w:r>
      <w:r w:rsidR="00DE5A4E">
        <w:rPr>
          <w:color w:val="000000"/>
          <w:sz w:val="26"/>
        </w:rPr>
        <w:t>(PGW</w:t>
      </w:r>
      <w:r w:rsidR="00F012AD">
        <w:rPr>
          <w:color w:val="000000"/>
          <w:sz w:val="26"/>
        </w:rPr>
        <w:t xml:space="preserve"> or Respondent</w:t>
      </w:r>
      <w:r w:rsidR="00DE5A4E">
        <w:rPr>
          <w:color w:val="000000"/>
          <w:sz w:val="26"/>
        </w:rPr>
        <w:t>) filed on April 29, 2014</w:t>
      </w:r>
      <w:r w:rsidR="00671E4C">
        <w:rPr>
          <w:color w:val="000000"/>
          <w:sz w:val="26"/>
        </w:rPr>
        <w:t xml:space="preserve">, to the Initial Decision (I.D.) of Administrative </w:t>
      </w:r>
      <w:r w:rsidR="00DE5A4E">
        <w:rPr>
          <w:color w:val="000000"/>
          <w:sz w:val="26"/>
        </w:rPr>
        <w:t>Law Judge (ALJ) Darlene R. Davis Heep</w:t>
      </w:r>
      <w:r w:rsidR="00671E4C">
        <w:rPr>
          <w:color w:val="000000"/>
          <w:sz w:val="26"/>
        </w:rPr>
        <w:t>, w</w:t>
      </w:r>
      <w:r w:rsidR="00DE5A4E">
        <w:rPr>
          <w:color w:val="000000"/>
          <w:sz w:val="26"/>
        </w:rPr>
        <w:t>hich was issued on April 9, 2014</w:t>
      </w:r>
      <w:r w:rsidR="00671E4C">
        <w:rPr>
          <w:color w:val="000000"/>
          <w:sz w:val="26"/>
        </w:rPr>
        <w:t>, in</w:t>
      </w:r>
      <w:r w:rsidR="0030295D">
        <w:rPr>
          <w:color w:val="000000"/>
          <w:sz w:val="26"/>
        </w:rPr>
        <w:t xml:space="preserve"> the above-captioned proceeding</w:t>
      </w:r>
      <w:r w:rsidR="00671E4C">
        <w:rPr>
          <w:color w:val="000000"/>
          <w:sz w:val="26"/>
        </w:rPr>
        <w:t xml:space="preserve">.  </w:t>
      </w:r>
      <w:r w:rsidR="00DE5A4E">
        <w:rPr>
          <w:color w:val="000000"/>
          <w:sz w:val="26"/>
        </w:rPr>
        <w:t xml:space="preserve">No </w:t>
      </w:r>
      <w:r w:rsidR="00671E4C">
        <w:rPr>
          <w:color w:val="000000"/>
          <w:sz w:val="26"/>
        </w:rPr>
        <w:t>Replies to</w:t>
      </w:r>
      <w:r w:rsidR="00DE5A4E">
        <w:rPr>
          <w:color w:val="000000"/>
          <w:sz w:val="26"/>
        </w:rPr>
        <w:t xml:space="preserve"> Exceptions were filed</w:t>
      </w:r>
      <w:r w:rsidR="00671E4C">
        <w:rPr>
          <w:color w:val="000000"/>
          <w:sz w:val="26"/>
        </w:rPr>
        <w:t xml:space="preserve">.  </w:t>
      </w:r>
      <w:r w:rsidRPr="00CA43A5">
        <w:rPr>
          <w:sz w:val="26"/>
          <w:szCs w:val="26"/>
        </w:rPr>
        <w:t>For the reason</w:t>
      </w:r>
      <w:r w:rsidR="00C169D8">
        <w:rPr>
          <w:sz w:val="26"/>
          <w:szCs w:val="26"/>
        </w:rPr>
        <w:t xml:space="preserve">s stated below, we will </w:t>
      </w:r>
      <w:r w:rsidR="00C2472D">
        <w:rPr>
          <w:sz w:val="26"/>
          <w:szCs w:val="26"/>
        </w:rPr>
        <w:t>modify</w:t>
      </w:r>
      <w:r w:rsidR="00406BE0">
        <w:rPr>
          <w:sz w:val="26"/>
          <w:szCs w:val="26"/>
        </w:rPr>
        <w:t xml:space="preserve"> the Initial Decision and find </w:t>
      </w:r>
      <w:r w:rsidR="00C169D8">
        <w:rPr>
          <w:sz w:val="26"/>
          <w:szCs w:val="26"/>
        </w:rPr>
        <w:t>PGW’s Exceptions</w:t>
      </w:r>
      <w:r w:rsidR="00406BE0">
        <w:rPr>
          <w:sz w:val="26"/>
          <w:szCs w:val="26"/>
        </w:rPr>
        <w:t xml:space="preserve"> moot</w:t>
      </w:r>
      <w:r w:rsidRPr="00CA43A5">
        <w:rPr>
          <w:sz w:val="26"/>
          <w:szCs w:val="26"/>
        </w:rPr>
        <w:t>.</w:t>
      </w:r>
    </w:p>
    <w:p w:rsidR="0086529F" w:rsidRDefault="0086529F" w:rsidP="00CA43A5">
      <w:pPr>
        <w:spacing w:line="360" w:lineRule="auto"/>
        <w:rPr>
          <w:sz w:val="26"/>
          <w:szCs w:val="26"/>
        </w:rPr>
      </w:pPr>
    </w:p>
    <w:p w:rsidR="001B7B8C" w:rsidRPr="00CA43A5" w:rsidRDefault="001B7B8C" w:rsidP="00CA43A5">
      <w:pPr>
        <w:spacing w:line="360" w:lineRule="auto"/>
        <w:rPr>
          <w:sz w:val="26"/>
          <w:szCs w:val="26"/>
        </w:rPr>
      </w:pPr>
    </w:p>
    <w:p w:rsidR="00CA43A5" w:rsidRPr="00CA43A5" w:rsidRDefault="00CA43A5" w:rsidP="00CA43A5">
      <w:pPr>
        <w:spacing w:line="360" w:lineRule="auto"/>
        <w:jc w:val="center"/>
        <w:rPr>
          <w:b/>
          <w:sz w:val="26"/>
          <w:szCs w:val="26"/>
        </w:rPr>
      </w:pPr>
      <w:bookmarkStart w:id="0" w:name="OLE_LINK1"/>
      <w:bookmarkStart w:id="1" w:name="OLE_LINK2"/>
      <w:r w:rsidRPr="00CA43A5">
        <w:rPr>
          <w:b/>
          <w:sz w:val="26"/>
          <w:szCs w:val="26"/>
        </w:rPr>
        <w:lastRenderedPageBreak/>
        <w:t>History of the Proceeding</w:t>
      </w:r>
    </w:p>
    <w:bookmarkEnd w:id="0"/>
    <w:bookmarkEnd w:id="1"/>
    <w:p w:rsidR="00CA43A5" w:rsidRDefault="00CA43A5" w:rsidP="00CA43A5">
      <w:pPr>
        <w:spacing w:line="360" w:lineRule="auto"/>
        <w:jc w:val="center"/>
        <w:rPr>
          <w:b/>
          <w:sz w:val="26"/>
          <w:szCs w:val="26"/>
          <w:u w:val="single"/>
        </w:rPr>
      </w:pPr>
    </w:p>
    <w:p w:rsidR="00B62CF2" w:rsidRDefault="00B434A3" w:rsidP="0086529F">
      <w:pPr>
        <w:spacing w:line="360" w:lineRule="auto"/>
        <w:rPr>
          <w:sz w:val="26"/>
          <w:szCs w:val="26"/>
        </w:rPr>
      </w:pPr>
      <w:r>
        <w:rPr>
          <w:sz w:val="26"/>
          <w:szCs w:val="26"/>
        </w:rPr>
        <w:tab/>
      </w:r>
      <w:r>
        <w:rPr>
          <w:sz w:val="26"/>
          <w:szCs w:val="26"/>
        </w:rPr>
        <w:tab/>
      </w:r>
      <w:r w:rsidR="0086529F">
        <w:rPr>
          <w:sz w:val="26"/>
          <w:szCs w:val="26"/>
        </w:rPr>
        <w:t xml:space="preserve">On </w:t>
      </w:r>
      <w:r w:rsidR="00E262DF" w:rsidRPr="00E262DF">
        <w:rPr>
          <w:sz w:val="26"/>
          <w:szCs w:val="26"/>
        </w:rPr>
        <w:t xml:space="preserve">October 15, 2013, </w:t>
      </w:r>
      <w:r w:rsidR="0086529F">
        <w:rPr>
          <w:sz w:val="26"/>
          <w:szCs w:val="26"/>
        </w:rPr>
        <w:t>Joy Turner (Complainant) filed a F</w:t>
      </w:r>
      <w:r w:rsidR="00E262DF" w:rsidRPr="00E262DF">
        <w:rPr>
          <w:sz w:val="26"/>
          <w:szCs w:val="26"/>
        </w:rPr>
        <w:t xml:space="preserve">ormal Complaint against </w:t>
      </w:r>
      <w:r w:rsidR="0086529F">
        <w:rPr>
          <w:bCs/>
          <w:sz w:val="26"/>
          <w:szCs w:val="26"/>
        </w:rPr>
        <w:t>PGW</w:t>
      </w:r>
      <w:r w:rsidR="0018419B">
        <w:rPr>
          <w:sz w:val="26"/>
          <w:szCs w:val="26"/>
        </w:rPr>
        <w:t xml:space="preserve"> alleging that the Company</w:t>
      </w:r>
      <w:r w:rsidR="00E5388E">
        <w:rPr>
          <w:sz w:val="26"/>
          <w:szCs w:val="26"/>
        </w:rPr>
        <w:t xml:space="preserve"> was</w:t>
      </w:r>
      <w:r w:rsidR="000B4D3E">
        <w:rPr>
          <w:sz w:val="26"/>
          <w:szCs w:val="26"/>
        </w:rPr>
        <w:t xml:space="preserve"> threatening to terminate</w:t>
      </w:r>
      <w:r w:rsidR="00E262DF" w:rsidRPr="00E262DF">
        <w:rPr>
          <w:sz w:val="26"/>
          <w:szCs w:val="26"/>
        </w:rPr>
        <w:t xml:space="preserve"> her service</w:t>
      </w:r>
      <w:r w:rsidR="00E5388E">
        <w:rPr>
          <w:sz w:val="26"/>
          <w:szCs w:val="26"/>
        </w:rPr>
        <w:t xml:space="preserve"> and that she could not afford the payment demanded by PGW.  </w:t>
      </w:r>
      <w:r w:rsidR="003313D6">
        <w:rPr>
          <w:sz w:val="26"/>
          <w:szCs w:val="26"/>
        </w:rPr>
        <w:t xml:space="preserve">She </w:t>
      </w:r>
      <w:r w:rsidR="000B4D3E">
        <w:rPr>
          <w:sz w:val="26"/>
          <w:szCs w:val="26"/>
        </w:rPr>
        <w:t xml:space="preserve">further </w:t>
      </w:r>
      <w:r w:rsidR="003313D6">
        <w:rPr>
          <w:sz w:val="26"/>
          <w:szCs w:val="26"/>
        </w:rPr>
        <w:t xml:space="preserve">averred that PGW was requesting $6,800 in order to place </w:t>
      </w:r>
      <w:r w:rsidR="00FE4C4F">
        <w:rPr>
          <w:sz w:val="26"/>
          <w:szCs w:val="26"/>
        </w:rPr>
        <w:t xml:space="preserve">her </w:t>
      </w:r>
      <w:r w:rsidR="003313D6">
        <w:rPr>
          <w:sz w:val="26"/>
          <w:szCs w:val="26"/>
        </w:rPr>
        <w:t>bac</w:t>
      </w:r>
      <w:r w:rsidR="00707233">
        <w:rPr>
          <w:sz w:val="26"/>
          <w:szCs w:val="26"/>
        </w:rPr>
        <w:t>k in its customer assistance p</w:t>
      </w:r>
      <w:r w:rsidR="003313D6">
        <w:rPr>
          <w:sz w:val="26"/>
          <w:szCs w:val="26"/>
        </w:rPr>
        <w:t>rogram (</w:t>
      </w:r>
      <w:r w:rsidR="00EF34B0">
        <w:rPr>
          <w:sz w:val="26"/>
          <w:szCs w:val="26"/>
        </w:rPr>
        <w:t>CAP</w:t>
      </w:r>
      <w:r w:rsidR="003313D6">
        <w:rPr>
          <w:sz w:val="26"/>
          <w:szCs w:val="26"/>
        </w:rPr>
        <w:t>).</w:t>
      </w:r>
      <w:r w:rsidR="003563BE">
        <w:rPr>
          <w:rStyle w:val="FootnoteReference"/>
          <w:sz w:val="26"/>
          <w:szCs w:val="26"/>
        </w:rPr>
        <w:footnoteReference w:id="1"/>
      </w:r>
      <w:r w:rsidR="003313D6">
        <w:rPr>
          <w:sz w:val="26"/>
          <w:szCs w:val="26"/>
        </w:rPr>
        <w:t xml:space="preserve">  As relief, she requested a reasonable payment arrangement.  </w:t>
      </w:r>
      <w:r w:rsidR="00E5388E">
        <w:rPr>
          <w:sz w:val="26"/>
          <w:szCs w:val="26"/>
        </w:rPr>
        <w:t xml:space="preserve">PGW filed an Answer </w:t>
      </w:r>
      <w:r w:rsidR="000507F9">
        <w:rPr>
          <w:sz w:val="26"/>
          <w:szCs w:val="26"/>
        </w:rPr>
        <w:t xml:space="preserve">on November 6, 2013, </w:t>
      </w:r>
      <w:r w:rsidR="00E5388E">
        <w:rPr>
          <w:sz w:val="26"/>
          <w:szCs w:val="26"/>
        </w:rPr>
        <w:t>contending</w:t>
      </w:r>
      <w:r w:rsidR="00E262DF" w:rsidRPr="00E262DF">
        <w:rPr>
          <w:sz w:val="26"/>
          <w:szCs w:val="26"/>
        </w:rPr>
        <w:t xml:space="preserve"> that</w:t>
      </w:r>
      <w:r w:rsidR="00E5388E">
        <w:rPr>
          <w:sz w:val="26"/>
          <w:szCs w:val="26"/>
        </w:rPr>
        <w:t xml:space="preserve"> the Complainant had</w:t>
      </w:r>
      <w:r w:rsidR="00E262DF" w:rsidRPr="00E262DF">
        <w:rPr>
          <w:sz w:val="26"/>
          <w:szCs w:val="26"/>
        </w:rPr>
        <w:t xml:space="preserve"> a</w:t>
      </w:r>
      <w:r w:rsidR="00FE4C4F">
        <w:rPr>
          <w:sz w:val="26"/>
          <w:szCs w:val="26"/>
        </w:rPr>
        <w:t>n overdue</w:t>
      </w:r>
      <w:r w:rsidR="00E262DF" w:rsidRPr="00E262DF">
        <w:rPr>
          <w:sz w:val="26"/>
          <w:szCs w:val="26"/>
        </w:rPr>
        <w:t xml:space="preserve"> balance of approximately $13,00</w:t>
      </w:r>
      <w:r w:rsidR="003563BE">
        <w:rPr>
          <w:sz w:val="26"/>
          <w:szCs w:val="26"/>
        </w:rPr>
        <w:t>0</w:t>
      </w:r>
      <w:r w:rsidR="00207283">
        <w:rPr>
          <w:sz w:val="26"/>
          <w:szCs w:val="26"/>
        </w:rPr>
        <w:t>, had</w:t>
      </w:r>
      <w:r w:rsidR="003563BE">
        <w:rPr>
          <w:sz w:val="26"/>
          <w:szCs w:val="26"/>
        </w:rPr>
        <w:t xml:space="preserve"> broken two </w:t>
      </w:r>
      <w:r w:rsidR="00EF34B0">
        <w:rPr>
          <w:sz w:val="26"/>
          <w:szCs w:val="26"/>
        </w:rPr>
        <w:t>CAP</w:t>
      </w:r>
      <w:r w:rsidR="00E262DF" w:rsidRPr="00E262DF">
        <w:rPr>
          <w:sz w:val="26"/>
          <w:szCs w:val="26"/>
        </w:rPr>
        <w:t xml:space="preserve"> payment agreements</w:t>
      </w:r>
      <w:r w:rsidR="00FE4C4F">
        <w:rPr>
          <w:sz w:val="26"/>
          <w:szCs w:val="26"/>
        </w:rPr>
        <w:t xml:space="preserve"> due to lack of </w:t>
      </w:r>
      <w:r w:rsidR="00A044A1">
        <w:rPr>
          <w:sz w:val="26"/>
          <w:szCs w:val="26"/>
        </w:rPr>
        <w:t>payment</w:t>
      </w:r>
      <w:r w:rsidR="00FE4C4F">
        <w:rPr>
          <w:sz w:val="26"/>
          <w:szCs w:val="26"/>
        </w:rPr>
        <w:t xml:space="preserve"> and failure to recertify her</w:t>
      </w:r>
      <w:r w:rsidR="003563BE">
        <w:rPr>
          <w:sz w:val="26"/>
          <w:szCs w:val="26"/>
        </w:rPr>
        <w:t xml:space="preserve"> income eligibility</w:t>
      </w:r>
      <w:r w:rsidR="00207283">
        <w:rPr>
          <w:sz w:val="26"/>
          <w:szCs w:val="26"/>
        </w:rPr>
        <w:t>, and had</w:t>
      </w:r>
      <w:r w:rsidR="00FE4C4F">
        <w:rPr>
          <w:sz w:val="26"/>
          <w:szCs w:val="26"/>
        </w:rPr>
        <w:t xml:space="preserve"> already</w:t>
      </w:r>
      <w:r w:rsidR="00207283">
        <w:rPr>
          <w:sz w:val="26"/>
          <w:szCs w:val="26"/>
        </w:rPr>
        <w:t xml:space="preserve"> used three medical certificates </w:t>
      </w:r>
      <w:r w:rsidR="00FE4C4F">
        <w:rPr>
          <w:sz w:val="26"/>
          <w:szCs w:val="26"/>
        </w:rPr>
        <w:t>in order to retain gas service</w:t>
      </w:r>
      <w:r w:rsidR="00207283">
        <w:rPr>
          <w:sz w:val="26"/>
          <w:szCs w:val="26"/>
        </w:rPr>
        <w:t xml:space="preserve">.  The Company asked that the Complaint be dismissed. </w:t>
      </w:r>
    </w:p>
    <w:p w:rsidR="00B62CF2" w:rsidRDefault="00B62CF2" w:rsidP="0086529F">
      <w:pPr>
        <w:spacing w:line="360" w:lineRule="auto"/>
        <w:rPr>
          <w:sz w:val="26"/>
          <w:szCs w:val="26"/>
        </w:rPr>
      </w:pPr>
    </w:p>
    <w:p w:rsidR="0007599E" w:rsidRDefault="00B62CF2" w:rsidP="00330CFB">
      <w:pPr>
        <w:spacing w:line="360" w:lineRule="auto"/>
        <w:rPr>
          <w:sz w:val="26"/>
          <w:szCs w:val="26"/>
        </w:rPr>
      </w:pPr>
      <w:r>
        <w:rPr>
          <w:sz w:val="26"/>
          <w:szCs w:val="26"/>
        </w:rPr>
        <w:tab/>
      </w:r>
      <w:r>
        <w:rPr>
          <w:sz w:val="26"/>
          <w:szCs w:val="26"/>
        </w:rPr>
        <w:tab/>
      </w:r>
      <w:r w:rsidRPr="00B62CF2">
        <w:rPr>
          <w:sz w:val="26"/>
          <w:szCs w:val="26"/>
        </w:rPr>
        <w:t xml:space="preserve">The ALJ convened the initial hearing on </w:t>
      </w:r>
      <w:r>
        <w:rPr>
          <w:sz w:val="26"/>
          <w:szCs w:val="26"/>
        </w:rPr>
        <w:t>January 30, 2014</w:t>
      </w:r>
      <w:r w:rsidR="000E78BF">
        <w:rPr>
          <w:sz w:val="26"/>
          <w:szCs w:val="26"/>
        </w:rPr>
        <w:t>,</w:t>
      </w:r>
      <w:r>
        <w:rPr>
          <w:sz w:val="26"/>
          <w:szCs w:val="26"/>
        </w:rPr>
        <w:t xml:space="preserve"> as scheduled</w:t>
      </w:r>
      <w:r w:rsidRPr="00B62CF2">
        <w:rPr>
          <w:sz w:val="26"/>
          <w:szCs w:val="26"/>
        </w:rPr>
        <w:t>.  The Complainant</w:t>
      </w:r>
      <w:r>
        <w:rPr>
          <w:sz w:val="26"/>
          <w:szCs w:val="26"/>
        </w:rPr>
        <w:t xml:space="preserve"> appeared</w:t>
      </w:r>
      <w:r w:rsidRPr="00B62CF2">
        <w:rPr>
          <w:sz w:val="26"/>
          <w:szCs w:val="26"/>
        </w:rPr>
        <w:t xml:space="preserve"> </w:t>
      </w:r>
      <w:r w:rsidR="00801C56">
        <w:rPr>
          <w:sz w:val="26"/>
          <w:szCs w:val="26"/>
        </w:rPr>
        <w:t xml:space="preserve">unrepresented </w:t>
      </w:r>
      <w:r w:rsidRPr="00B62CF2">
        <w:rPr>
          <w:sz w:val="26"/>
          <w:szCs w:val="26"/>
        </w:rPr>
        <w:t xml:space="preserve">and presented testimony.  </w:t>
      </w:r>
      <w:r>
        <w:rPr>
          <w:sz w:val="26"/>
          <w:szCs w:val="26"/>
        </w:rPr>
        <w:t>PGW</w:t>
      </w:r>
      <w:r w:rsidRPr="00B62CF2">
        <w:rPr>
          <w:sz w:val="26"/>
          <w:szCs w:val="26"/>
        </w:rPr>
        <w:t xml:space="preserve"> was represented by counsel and presented</w:t>
      </w:r>
      <w:r>
        <w:rPr>
          <w:sz w:val="26"/>
          <w:szCs w:val="26"/>
        </w:rPr>
        <w:t xml:space="preserve"> one witness who sponsored five</w:t>
      </w:r>
      <w:r w:rsidRPr="00B62CF2">
        <w:rPr>
          <w:sz w:val="26"/>
          <w:szCs w:val="26"/>
        </w:rPr>
        <w:t xml:space="preserve"> exhibits, which were admitted into the record.  Th</w:t>
      </w:r>
      <w:r w:rsidR="001F261A">
        <w:rPr>
          <w:sz w:val="26"/>
          <w:szCs w:val="26"/>
        </w:rPr>
        <w:t>e record closed on February 12, 2014</w:t>
      </w:r>
      <w:r w:rsidRPr="00B62CF2">
        <w:rPr>
          <w:sz w:val="26"/>
          <w:szCs w:val="26"/>
        </w:rPr>
        <w:t>.</w:t>
      </w:r>
      <w:r w:rsidR="00207DA4">
        <w:rPr>
          <w:sz w:val="26"/>
          <w:szCs w:val="26"/>
        </w:rPr>
        <w:t xml:space="preserve">  </w:t>
      </w:r>
      <w:r w:rsidR="001F261A">
        <w:rPr>
          <w:sz w:val="26"/>
          <w:szCs w:val="26"/>
        </w:rPr>
        <w:t>In an</w:t>
      </w:r>
      <w:r w:rsidRPr="00B62CF2">
        <w:rPr>
          <w:sz w:val="26"/>
          <w:szCs w:val="26"/>
        </w:rPr>
        <w:t xml:space="preserve"> Initial Decision,</w:t>
      </w:r>
      <w:r w:rsidR="001F261A">
        <w:rPr>
          <w:sz w:val="26"/>
          <w:szCs w:val="26"/>
        </w:rPr>
        <w:t xml:space="preserve"> issued April 9, 2014, ALJ Davis Heep sustained in part, and dismissed in part,</w:t>
      </w:r>
      <w:r w:rsidRPr="00B62CF2">
        <w:rPr>
          <w:sz w:val="26"/>
          <w:szCs w:val="26"/>
        </w:rPr>
        <w:t xml:space="preserve"> the Complaint.  As previ</w:t>
      </w:r>
      <w:r w:rsidR="001F261A">
        <w:rPr>
          <w:sz w:val="26"/>
          <w:szCs w:val="26"/>
        </w:rPr>
        <w:t>ously indicated, PGW</w:t>
      </w:r>
      <w:r w:rsidRPr="00B62CF2">
        <w:rPr>
          <w:sz w:val="26"/>
          <w:szCs w:val="26"/>
        </w:rPr>
        <w:t xml:space="preserve"> filed Exceptions</w:t>
      </w:r>
      <w:r w:rsidR="001F261A">
        <w:rPr>
          <w:sz w:val="26"/>
          <w:szCs w:val="26"/>
        </w:rPr>
        <w:t xml:space="preserve">.  No </w:t>
      </w:r>
      <w:r w:rsidRPr="00B62CF2">
        <w:rPr>
          <w:sz w:val="26"/>
          <w:szCs w:val="26"/>
        </w:rPr>
        <w:t>Replies to</w:t>
      </w:r>
      <w:r w:rsidR="001F261A">
        <w:rPr>
          <w:sz w:val="26"/>
          <w:szCs w:val="26"/>
        </w:rPr>
        <w:t xml:space="preserve"> Exceptions were filed by the Complainant</w:t>
      </w:r>
      <w:r w:rsidRPr="00B62CF2">
        <w:rPr>
          <w:sz w:val="26"/>
          <w:szCs w:val="26"/>
        </w:rPr>
        <w:t>.</w:t>
      </w:r>
    </w:p>
    <w:p w:rsidR="00330CFB" w:rsidRPr="00330CFB" w:rsidRDefault="00330CFB" w:rsidP="00330CFB">
      <w:pPr>
        <w:spacing w:line="360" w:lineRule="auto"/>
        <w:rPr>
          <w:sz w:val="26"/>
          <w:szCs w:val="26"/>
        </w:rPr>
      </w:pPr>
    </w:p>
    <w:p w:rsidR="00CA43A5" w:rsidRDefault="00CA43A5" w:rsidP="00CA43A5">
      <w:pPr>
        <w:spacing w:line="360" w:lineRule="auto"/>
        <w:jc w:val="center"/>
        <w:rPr>
          <w:b/>
          <w:sz w:val="26"/>
          <w:szCs w:val="26"/>
        </w:rPr>
      </w:pPr>
      <w:r w:rsidRPr="00CA43A5">
        <w:rPr>
          <w:b/>
          <w:sz w:val="26"/>
          <w:szCs w:val="26"/>
        </w:rPr>
        <w:t>Discussion</w:t>
      </w:r>
    </w:p>
    <w:p w:rsidR="00C169D8" w:rsidRPr="00CA43A5" w:rsidRDefault="00C169D8" w:rsidP="00CA43A5">
      <w:pPr>
        <w:spacing w:line="360" w:lineRule="auto"/>
        <w:jc w:val="center"/>
        <w:rPr>
          <w:sz w:val="26"/>
          <w:szCs w:val="26"/>
        </w:rPr>
      </w:pPr>
    </w:p>
    <w:p w:rsidR="007F7270" w:rsidRPr="00D36748" w:rsidRDefault="007F7270" w:rsidP="007F7270">
      <w:pPr>
        <w:spacing w:line="360" w:lineRule="auto"/>
        <w:contextualSpacing/>
        <w:rPr>
          <w:b/>
          <w:sz w:val="26"/>
          <w:szCs w:val="26"/>
        </w:rPr>
      </w:pPr>
      <w:r w:rsidRPr="00D36748">
        <w:rPr>
          <w:b/>
          <w:sz w:val="26"/>
          <w:szCs w:val="26"/>
        </w:rPr>
        <w:t>Legal Standards</w:t>
      </w:r>
    </w:p>
    <w:p w:rsidR="0043592C" w:rsidRDefault="0043592C" w:rsidP="007F7270">
      <w:pPr>
        <w:spacing w:line="360" w:lineRule="auto"/>
        <w:rPr>
          <w:sz w:val="26"/>
          <w:szCs w:val="26"/>
        </w:rPr>
      </w:pPr>
    </w:p>
    <w:p w:rsidR="004A0DDA" w:rsidRPr="004A0DDA" w:rsidRDefault="004A0DDA" w:rsidP="004A0DDA">
      <w:pPr>
        <w:widowControl/>
        <w:spacing w:line="360" w:lineRule="auto"/>
        <w:ind w:firstLine="1440"/>
        <w:rPr>
          <w:sz w:val="26"/>
          <w:szCs w:val="26"/>
        </w:rPr>
      </w:pPr>
      <w:r w:rsidRPr="004A0DDA">
        <w:rPr>
          <w:sz w:val="26"/>
          <w:szCs w:val="26"/>
        </w:rPr>
        <w:t xml:space="preserve">As the proponent of a rule or order, the Complainant in this proceeding bears the burden of proof pursuant to Section 332(a) of the Public Utility Code (Code).  </w:t>
      </w:r>
      <w:r w:rsidRPr="004A0DDA">
        <w:rPr>
          <w:sz w:val="26"/>
          <w:szCs w:val="26"/>
        </w:rPr>
        <w:lastRenderedPageBreak/>
        <w:t xml:space="preserve">66 Pa. C.S. § 332(a).  To establish a sufficient case and satisfy the burden of proof, the Complainant must show that the Respondent is responsible or accountable for the problem described in the Complaint.  </w:t>
      </w:r>
      <w:r w:rsidRPr="004A0DDA">
        <w:rPr>
          <w:i/>
          <w:sz w:val="26"/>
          <w:szCs w:val="26"/>
        </w:rPr>
        <w:t>Patterson v. The Bell Telephone Company of Pennsylvania</w:t>
      </w:r>
      <w:r w:rsidRPr="004A0DDA">
        <w:rPr>
          <w:sz w:val="26"/>
          <w:szCs w:val="26"/>
        </w:rPr>
        <w:t xml:space="preserve">, 72 Pa. P.U.C. 196 (1990).  Such a showing must be by a preponderance of the evidence.  </w:t>
      </w:r>
      <w:r w:rsidRPr="004A0DDA">
        <w:rPr>
          <w:i/>
          <w:iCs/>
          <w:sz w:val="26"/>
          <w:szCs w:val="26"/>
        </w:rPr>
        <w:t>Samuel J. Lansberry, Inc. v. Pa. PUC</w:t>
      </w:r>
      <w:r w:rsidRPr="004A0DDA">
        <w:rPr>
          <w:sz w:val="26"/>
          <w:szCs w:val="26"/>
        </w:rPr>
        <w:t xml:space="preserve">, 578 A.2d 600 (Pa. Cmwlth. 1990), </w:t>
      </w:r>
      <w:r w:rsidRPr="004A0DDA">
        <w:rPr>
          <w:i/>
          <w:sz w:val="26"/>
          <w:szCs w:val="26"/>
        </w:rPr>
        <w:t>alloc. denied,</w:t>
      </w:r>
      <w:r w:rsidRPr="004A0DDA">
        <w:rPr>
          <w:sz w:val="26"/>
          <w:szCs w:val="26"/>
        </w:rPr>
        <w:t xml:space="preserve"> 529 Pa. 654, 602 A.2d 863 (1992).  That is, the Complainant’s evidence must be more convincing, by even the smallest amount, than that presented by the Respondent.  </w:t>
      </w:r>
      <w:r w:rsidRPr="004A0DDA">
        <w:rPr>
          <w:i/>
          <w:sz w:val="26"/>
          <w:szCs w:val="26"/>
        </w:rPr>
        <w:t>Se-Ling Hosiery, Inc. v. Margulies</w:t>
      </w:r>
      <w:r w:rsidRPr="004A0DDA">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A0DDA">
        <w:rPr>
          <w:i/>
          <w:sz w:val="26"/>
          <w:szCs w:val="26"/>
        </w:rPr>
        <w:t xml:space="preserve">Norfolk &amp; Western Ry. Co. v. Pa. PUC, </w:t>
      </w:r>
      <w:r w:rsidRPr="004A0DDA">
        <w:rPr>
          <w:sz w:val="26"/>
          <w:szCs w:val="26"/>
        </w:rPr>
        <w:t>489 Pa. 109, 413 A.2d 1037 (1980).</w:t>
      </w:r>
    </w:p>
    <w:p w:rsidR="004A0DDA" w:rsidRPr="004A0DDA" w:rsidRDefault="004A0DDA" w:rsidP="004A0DDA">
      <w:pPr>
        <w:widowControl/>
        <w:spacing w:line="360" w:lineRule="auto"/>
        <w:ind w:firstLine="1440"/>
        <w:rPr>
          <w:sz w:val="26"/>
          <w:szCs w:val="26"/>
        </w:rPr>
      </w:pPr>
    </w:p>
    <w:p w:rsidR="004A0DDA" w:rsidRPr="004A0DDA" w:rsidRDefault="004A0DDA" w:rsidP="004A0DDA">
      <w:pPr>
        <w:widowControl/>
        <w:spacing w:line="360" w:lineRule="auto"/>
        <w:ind w:firstLine="1440"/>
        <w:rPr>
          <w:i/>
          <w:sz w:val="26"/>
          <w:szCs w:val="26"/>
        </w:rPr>
      </w:pPr>
      <w:r w:rsidRPr="004A0DDA">
        <w:rPr>
          <w:sz w:val="26"/>
          <w:szCs w:val="26"/>
        </w:rPr>
        <w:t>Upon the presentation by the Complainant of evidence sufficient to initially satisfy the burden of proof, the burden of going forward with the evidence to reb</w:t>
      </w:r>
      <w:r w:rsidR="00925D9E">
        <w:rPr>
          <w:sz w:val="26"/>
          <w:szCs w:val="26"/>
        </w:rPr>
        <w:t>ut the evidence of the C</w:t>
      </w:r>
      <w:r w:rsidRPr="004A0DDA">
        <w:rPr>
          <w:sz w:val="26"/>
          <w:szCs w:val="26"/>
        </w:rPr>
        <w:t xml:space="preserve">omplainant shifts to the Respondent.  If the evidence presented by the Respondent is of co-equal value or “weight,” the burden of proof has not been satisfied. </w:t>
      </w:r>
      <w:r w:rsidR="009B621F">
        <w:rPr>
          <w:sz w:val="26"/>
          <w:szCs w:val="26"/>
        </w:rPr>
        <w:t xml:space="preserve"> </w:t>
      </w:r>
      <w:r w:rsidRPr="004A0DDA">
        <w:rPr>
          <w:sz w:val="26"/>
          <w:szCs w:val="26"/>
        </w:rPr>
        <w:t xml:space="preserve">The Complainant now has to provide some additional evidence to rebut that of the Respondent. </w:t>
      </w:r>
      <w:r w:rsidRPr="004A0DDA">
        <w:rPr>
          <w:iCs/>
          <w:sz w:val="26"/>
          <w:szCs w:val="26"/>
        </w:rPr>
        <w:t xml:space="preserve"> </w:t>
      </w:r>
      <w:r w:rsidRPr="00CF692A">
        <w:rPr>
          <w:i/>
          <w:iCs/>
          <w:sz w:val="26"/>
          <w:szCs w:val="26"/>
        </w:rPr>
        <w:t>Burleson v. Pa. PUC,</w:t>
      </w:r>
      <w:r w:rsidRPr="00CF692A">
        <w:rPr>
          <w:iCs/>
          <w:sz w:val="26"/>
          <w:szCs w:val="26"/>
        </w:rPr>
        <w:t xml:space="preserve"> 443 A.2d 1373 (Pa. Cmwlth. 1982), </w:t>
      </w:r>
      <w:r w:rsidRPr="00CF692A">
        <w:rPr>
          <w:i/>
          <w:iCs/>
          <w:sz w:val="26"/>
          <w:szCs w:val="26"/>
        </w:rPr>
        <w:t>aff’d,</w:t>
      </w:r>
      <w:r w:rsidRPr="00CF692A">
        <w:rPr>
          <w:iCs/>
          <w:sz w:val="26"/>
          <w:szCs w:val="26"/>
        </w:rPr>
        <w:t xml:space="preserve"> 501 Pa. 433, 461 A.2d 1234 (1983).</w:t>
      </w:r>
    </w:p>
    <w:p w:rsidR="004A0DDA" w:rsidRPr="004A0DDA" w:rsidRDefault="004A0DDA" w:rsidP="004A0DDA">
      <w:pPr>
        <w:widowControl/>
        <w:spacing w:line="360" w:lineRule="auto"/>
        <w:ind w:firstLine="1440"/>
        <w:rPr>
          <w:sz w:val="26"/>
          <w:szCs w:val="26"/>
        </w:rPr>
      </w:pPr>
    </w:p>
    <w:p w:rsidR="004A0DDA" w:rsidRPr="004A0DDA" w:rsidRDefault="004A0DDA" w:rsidP="004A0DDA">
      <w:pPr>
        <w:widowControl/>
        <w:spacing w:line="360" w:lineRule="auto"/>
        <w:ind w:firstLine="1440"/>
        <w:rPr>
          <w:i/>
          <w:sz w:val="26"/>
          <w:szCs w:val="26"/>
        </w:rPr>
      </w:pPr>
      <w:r w:rsidRPr="004A0DDA">
        <w:rPr>
          <w:sz w:val="26"/>
          <w:szCs w:val="26"/>
        </w:rPr>
        <w:t xml:space="preserve">While the burden of going forward with the evidence may shift back and forth during a proceeding, the burden of proof never shifts. </w:t>
      </w:r>
      <w:r w:rsidR="009B621F">
        <w:rPr>
          <w:sz w:val="26"/>
          <w:szCs w:val="26"/>
        </w:rPr>
        <w:t xml:space="preserve"> </w:t>
      </w:r>
      <w:r w:rsidRPr="004A0DDA">
        <w:rPr>
          <w:sz w:val="26"/>
          <w:szCs w:val="26"/>
        </w:rPr>
        <w:t xml:space="preserve">The burden of proof always remains on the party seeking affirmative relief from the Commission.  </w:t>
      </w:r>
      <w:r w:rsidRPr="004A0DDA">
        <w:rPr>
          <w:i/>
          <w:sz w:val="26"/>
          <w:szCs w:val="26"/>
        </w:rPr>
        <w:t xml:space="preserve">Milkie v. Pa. PUC, </w:t>
      </w:r>
      <w:r w:rsidRPr="004A0DDA">
        <w:rPr>
          <w:sz w:val="26"/>
          <w:szCs w:val="26"/>
        </w:rPr>
        <w:t>768 A.2d 1217 (Pa. Cmwlth. 2001).</w:t>
      </w:r>
    </w:p>
    <w:p w:rsidR="004A0DDA" w:rsidRPr="004A0DDA" w:rsidRDefault="004A0DDA" w:rsidP="004A0DDA">
      <w:pPr>
        <w:widowControl/>
        <w:spacing w:line="360" w:lineRule="auto"/>
        <w:ind w:firstLine="1440"/>
        <w:rPr>
          <w:sz w:val="26"/>
          <w:szCs w:val="26"/>
        </w:rPr>
      </w:pPr>
    </w:p>
    <w:p w:rsidR="004A0DDA" w:rsidRPr="004A0DDA" w:rsidRDefault="004A0DDA" w:rsidP="004A0DDA">
      <w:pPr>
        <w:widowControl/>
        <w:spacing w:line="360" w:lineRule="auto"/>
        <w:ind w:firstLine="1440"/>
        <w:rPr>
          <w:sz w:val="26"/>
          <w:szCs w:val="26"/>
        </w:rPr>
      </w:pPr>
      <w:r w:rsidRPr="004A0DDA">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w:t>
      </w:r>
      <w:r w:rsidRPr="004A0DDA">
        <w:rPr>
          <w:sz w:val="26"/>
          <w:szCs w:val="26"/>
        </w:rPr>
        <w:lastRenderedPageBreak/>
        <w:t xml:space="preserve">length each contention or argument raised by the parties.  </w:t>
      </w:r>
      <w:r w:rsidRPr="00CF692A">
        <w:rPr>
          <w:i/>
          <w:iCs/>
          <w:sz w:val="26"/>
          <w:szCs w:val="26"/>
        </w:rPr>
        <w:t xml:space="preserve">Consolidated Rail Corp. v. Pa. PUC, </w:t>
      </w:r>
      <w:r w:rsidRPr="00CF692A">
        <w:rPr>
          <w:sz w:val="26"/>
          <w:szCs w:val="26"/>
        </w:rPr>
        <w:t>625 A.2d 741 (Pa. Cmwlth. 1993);</w:t>
      </w:r>
      <w:r w:rsidRPr="004A0DDA">
        <w:rPr>
          <w:sz w:val="26"/>
          <w:szCs w:val="26"/>
        </w:rPr>
        <w:t xml:space="preserve"> </w:t>
      </w:r>
      <w:r w:rsidRPr="004A0DDA">
        <w:rPr>
          <w:i/>
          <w:sz w:val="26"/>
          <w:szCs w:val="26"/>
        </w:rPr>
        <w:t xml:space="preserve">also </w:t>
      </w:r>
      <w:r w:rsidRPr="004A0DDA">
        <w:rPr>
          <w:i/>
          <w:iCs/>
          <w:sz w:val="26"/>
          <w:szCs w:val="26"/>
        </w:rPr>
        <w:t xml:space="preserve">see, generally, </w:t>
      </w:r>
      <w:r w:rsidRPr="00CF692A">
        <w:rPr>
          <w:i/>
          <w:iCs/>
          <w:sz w:val="26"/>
          <w:szCs w:val="26"/>
        </w:rPr>
        <w:t>University of Pennsylvania v. Pa. PUC</w:t>
      </w:r>
      <w:r w:rsidRPr="00CF692A">
        <w:rPr>
          <w:sz w:val="26"/>
          <w:szCs w:val="26"/>
        </w:rPr>
        <w:t>, 485 A.2d 1217 (Pa. Cmwlth. 1984).</w:t>
      </w:r>
      <w:r w:rsidRPr="004A0DDA">
        <w:rPr>
          <w:sz w:val="26"/>
          <w:szCs w:val="26"/>
        </w:rPr>
        <w:t xml:space="preserve"> </w:t>
      </w:r>
    </w:p>
    <w:p w:rsidR="00006F35" w:rsidRDefault="001F6FFF" w:rsidP="00F172E1">
      <w:pPr>
        <w:widowControl/>
        <w:spacing w:line="360" w:lineRule="auto"/>
        <w:ind w:firstLine="1440"/>
        <w:rPr>
          <w:sz w:val="26"/>
          <w:szCs w:val="26"/>
        </w:rPr>
      </w:pPr>
      <w:r w:rsidRPr="002A6750">
        <w:rPr>
          <w:sz w:val="26"/>
          <w:szCs w:val="26"/>
        </w:rPr>
        <w:t xml:space="preserve"> </w:t>
      </w:r>
    </w:p>
    <w:p w:rsidR="00006F35" w:rsidRDefault="00802E4F" w:rsidP="00802E4F">
      <w:pPr>
        <w:spacing w:line="360" w:lineRule="auto"/>
        <w:rPr>
          <w:b/>
          <w:sz w:val="26"/>
          <w:szCs w:val="26"/>
        </w:rPr>
      </w:pPr>
      <w:r>
        <w:rPr>
          <w:b/>
          <w:sz w:val="26"/>
          <w:szCs w:val="26"/>
        </w:rPr>
        <w:t>ALJ’s Initial Decision</w:t>
      </w:r>
    </w:p>
    <w:p w:rsidR="00802E4F" w:rsidRDefault="00802E4F" w:rsidP="00006F35">
      <w:pPr>
        <w:spacing w:line="360" w:lineRule="auto"/>
        <w:ind w:firstLine="1440"/>
        <w:rPr>
          <w:b/>
          <w:sz w:val="26"/>
          <w:szCs w:val="26"/>
        </w:rPr>
      </w:pPr>
    </w:p>
    <w:p w:rsidR="00802E4F" w:rsidRDefault="00F172E1" w:rsidP="00802E4F">
      <w:pPr>
        <w:spacing w:line="360" w:lineRule="auto"/>
        <w:ind w:firstLine="1440"/>
        <w:rPr>
          <w:sz w:val="26"/>
          <w:szCs w:val="26"/>
        </w:rPr>
      </w:pPr>
      <w:r>
        <w:rPr>
          <w:sz w:val="26"/>
          <w:szCs w:val="26"/>
        </w:rPr>
        <w:t>ALJ Davis Heep</w:t>
      </w:r>
      <w:r w:rsidR="00802E4F" w:rsidRPr="00CA43A5">
        <w:rPr>
          <w:sz w:val="26"/>
          <w:szCs w:val="26"/>
        </w:rPr>
        <w:t xml:space="preserve"> </w:t>
      </w:r>
      <w:r>
        <w:rPr>
          <w:sz w:val="26"/>
          <w:szCs w:val="26"/>
        </w:rPr>
        <w:t>made nine</w:t>
      </w:r>
      <w:r w:rsidR="00802E4F" w:rsidRPr="00CA43A5">
        <w:rPr>
          <w:sz w:val="26"/>
          <w:szCs w:val="26"/>
        </w:rPr>
        <w:t xml:space="preserve"> Find</w:t>
      </w:r>
      <w:r>
        <w:rPr>
          <w:sz w:val="26"/>
          <w:szCs w:val="26"/>
        </w:rPr>
        <w:t>ings of Fact and reached three</w:t>
      </w:r>
      <w:r w:rsidR="00802E4F" w:rsidRPr="00CA43A5">
        <w:rPr>
          <w:sz w:val="26"/>
          <w:szCs w:val="26"/>
        </w:rPr>
        <w:t xml:space="preserve"> Conclusions of Law.  </w:t>
      </w:r>
      <w:r>
        <w:rPr>
          <w:sz w:val="26"/>
          <w:szCs w:val="26"/>
        </w:rPr>
        <w:t xml:space="preserve">I.D. at 2-3 and 7-8.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71DD9" w:rsidRDefault="00C71DD9" w:rsidP="00802E4F">
      <w:pPr>
        <w:spacing w:line="360" w:lineRule="auto"/>
        <w:ind w:firstLine="1440"/>
        <w:rPr>
          <w:sz w:val="26"/>
          <w:szCs w:val="26"/>
        </w:rPr>
      </w:pPr>
    </w:p>
    <w:p w:rsidR="00C71DD9" w:rsidRDefault="00C71DD9" w:rsidP="00802E4F">
      <w:pPr>
        <w:spacing w:line="360" w:lineRule="auto"/>
        <w:ind w:firstLine="1440"/>
        <w:rPr>
          <w:sz w:val="26"/>
          <w:szCs w:val="26"/>
        </w:rPr>
      </w:pPr>
      <w:r>
        <w:rPr>
          <w:sz w:val="26"/>
          <w:szCs w:val="26"/>
        </w:rPr>
        <w:t xml:space="preserve">The ALJ first concluded that, although the Complainant had complained that PGW had threatened to terminate her service, she did not present evidence </w:t>
      </w:r>
      <w:r w:rsidR="00A80A21">
        <w:rPr>
          <w:sz w:val="26"/>
          <w:szCs w:val="26"/>
        </w:rPr>
        <w:t>that PGW violated</w:t>
      </w:r>
      <w:r>
        <w:rPr>
          <w:sz w:val="26"/>
          <w:szCs w:val="26"/>
        </w:rPr>
        <w:t xml:space="preserve"> termination procedures</w:t>
      </w:r>
      <w:r w:rsidR="00C86110">
        <w:rPr>
          <w:sz w:val="26"/>
          <w:szCs w:val="26"/>
        </w:rPr>
        <w:t xml:space="preserve">. </w:t>
      </w:r>
      <w:r w:rsidR="009B621F">
        <w:rPr>
          <w:sz w:val="26"/>
          <w:szCs w:val="26"/>
        </w:rPr>
        <w:t xml:space="preserve"> </w:t>
      </w:r>
      <w:r w:rsidR="00C86110">
        <w:rPr>
          <w:sz w:val="26"/>
          <w:szCs w:val="26"/>
        </w:rPr>
        <w:t xml:space="preserve">The ALJ </w:t>
      </w:r>
      <w:r w:rsidR="00E2738C">
        <w:rPr>
          <w:sz w:val="26"/>
          <w:szCs w:val="26"/>
        </w:rPr>
        <w:t>dismissed the allegation</w:t>
      </w:r>
      <w:r w:rsidR="009539AA">
        <w:rPr>
          <w:sz w:val="26"/>
          <w:szCs w:val="26"/>
        </w:rPr>
        <w:t>.  I.D. at 4.</w:t>
      </w:r>
    </w:p>
    <w:p w:rsidR="00FE4A24" w:rsidRDefault="00FE4A24" w:rsidP="00802E4F">
      <w:pPr>
        <w:spacing w:line="360" w:lineRule="auto"/>
        <w:ind w:firstLine="1440"/>
        <w:rPr>
          <w:sz w:val="26"/>
          <w:szCs w:val="26"/>
        </w:rPr>
      </w:pPr>
    </w:p>
    <w:p w:rsidR="00FE4A24" w:rsidRDefault="00FE4A24" w:rsidP="00802E4F">
      <w:pPr>
        <w:spacing w:line="360" w:lineRule="auto"/>
        <w:ind w:firstLine="1440"/>
        <w:rPr>
          <w:sz w:val="26"/>
          <w:szCs w:val="26"/>
        </w:rPr>
      </w:pPr>
      <w:r>
        <w:rPr>
          <w:sz w:val="26"/>
          <w:szCs w:val="26"/>
        </w:rPr>
        <w:t xml:space="preserve">Turning to the Complainant’s request for a payment arrangement, the ALJ found that </w:t>
      </w:r>
      <w:r w:rsidR="00892714">
        <w:rPr>
          <w:sz w:val="26"/>
          <w:szCs w:val="26"/>
        </w:rPr>
        <w:t xml:space="preserve">the Complainant was eligible for a payment arrangement on a portion of her arrearage.  She noted that </w:t>
      </w:r>
      <w:r>
        <w:rPr>
          <w:sz w:val="26"/>
          <w:szCs w:val="26"/>
        </w:rPr>
        <w:t xml:space="preserve">the </w:t>
      </w:r>
      <w:r w:rsidR="00892714">
        <w:rPr>
          <w:sz w:val="26"/>
          <w:szCs w:val="26"/>
        </w:rPr>
        <w:t xml:space="preserve">Complainant’s total </w:t>
      </w:r>
      <w:r>
        <w:rPr>
          <w:sz w:val="26"/>
          <w:szCs w:val="26"/>
        </w:rPr>
        <w:t>account balance</w:t>
      </w:r>
      <w:r w:rsidR="00892714">
        <w:rPr>
          <w:sz w:val="26"/>
          <w:szCs w:val="26"/>
        </w:rPr>
        <w:t>,</w:t>
      </w:r>
      <w:r>
        <w:rPr>
          <w:sz w:val="26"/>
          <w:szCs w:val="26"/>
        </w:rPr>
        <w:t xml:space="preserve"> as of the date of the</w:t>
      </w:r>
      <w:r w:rsidR="00892714">
        <w:rPr>
          <w:sz w:val="26"/>
          <w:szCs w:val="26"/>
        </w:rPr>
        <w:t xml:space="preserve"> hearing, was $13,882.10 and that $7,312.79 </w:t>
      </w:r>
      <w:r w:rsidR="00D220B7">
        <w:rPr>
          <w:sz w:val="26"/>
          <w:szCs w:val="26"/>
        </w:rPr>
        <w:t>o</w:t>
      </w:r>
      <w:r w:rsidR="00892714">
        <w:rPr>
          <w:sz w:val="26"/>
          <w:szCs w:val="26"/>
        </w:rPr>
        <w:t xml:space="preserve">f that amount </w:t>
      </w:r>
      <w:r w:rsidR="00113CFD">
        <w:rPr>
          <w:sz w:val="26"/>
          <w:szCs w:val="26"/>
        </w:rPr>
        <w:t>had been</w:t>
      </w:r>
      <w:r>
        <w:rPr>
          <w:sz w:val="26"/>
          <w:szCs w:val="26"/>
        </w:rPr>
        <w:t xml:space="preserve"> accrued </w:t>
      </w:r>
      <w:r w:rsidR="00892714">
        <w:rPr>
          <w:sz w:val="26"/>
          <w:szCs w:val="26"/>
        </w:rPr>
        <w:t xml:space="preserve">at a time when </w:t>
      </w:r>
      <w:r>
        <w:rPr>
          <w:sz w:val="26"/>
          <w:szCs w:val="26"/>
        </w:rPr>
        <w:t>the Complain</w:t>
      </w:r>
      <w:r w:rsidR="00E92ABF">
        <w:rPr>
          <w:sz w:val="26"/>
          <w:szCs w:val="26"/>
        </w:rPr>
        <w:t>an</w:t>
      </w:r>
      <w:r>
        <w:rPr>
          <w:sz w:val="26"/>
          <w:szCs w:val="26"/>
        </w:rPr>
        <w:t>t</w:t>
      </w:r>
      <w:r w:rsidR="00892714">
        <w:rPr>
          <w:sz w:val="26"/>
          <w:szCs w:val="26"/>
        </w:rPr>
        <w:t xml:space="preserve"> participated</w:t>
      </w:r>
      <w:r w:rsidR="00EB535A">
        <w:rPr>
          <w:sz w:val="26"/>
          <w:szCs w:val="26"/>
        </w:rPr>
        <w:t xml:space="preserve"> in PGW’s </w:t>
      </w:r>
      <w:r w:rsidR="00EF34B0">
        <w:rPr>
          <w:sz w:val="26"/>
          <w:szCs w:val="26"/>
        </w:rPr>
        <w:t>CAP</w:t>
      </w:r>
      <w:r>
        <w:rPr>
          <w:sz w:val="26"/>
          <w:szCs w:val="26"/>
        </w:rPr>
        <w:t xml:space="preserve">.  </w:t>
      </w:r>
      <w:r w:rsidR="009539AA" w:rsidRPr="009539AA">
        <w:rPr>
          <w:i/>
          <w:sz w:val="26"/>
          <w:szCs w:val="26"/>
        </w:rPr>
        <w:t>Id</w:t>
      </w:r>
      <w:r w:rsidR="009539AA">
        <w:rPr>
          <w:sz w:val="26"/>
          <w:szCs w:val="26"/>
        </w:rPr>
        <w:t xml:space="preserve">. at 2-3.  </w:t>
      </w:r>
      <w:r w:rsidR="00714776">
        <w:rPr>
          <w:sz w:val="26"/>
          <w:szCs w:val="26"/>
        </w:rPr>
        <w:t xml:space="preserve">Citing to 66 Pa. C.S. </w:t>
      </w:r>
      <w:r w:rsidR="009B621F">
        <w:rPr>
          <w:sz w:val="26"/>
          <w:szCs w:val="26"/>
        </w:rPr>
        <w:t>§ </w:t>
      </w:r>
      <w:r w:rsidR="00714776">
        <w:rPr>
          <w:sz w:val="26"/>
          <w:szCs w:val="26"/>
        </w:rPr>
        <w:t>1405(c), t</w:t>
      </w:r>
      <w:r w:rsidR="0007599E">
        <w:rPr>
          <w:sz w:val="26"/>
          <w:szCs w:val="26"/>
        </w:rPr>
        <w:t xml:space="preserve">he ALJ held that the Complainant was not eligible for a payment arrangement on her CAP arrearage (the amount which was accrued when she was a CAP customer).  </w:t>
      </w:r>
      <w:r w:rsidR="0042286F">
        <w:rPr>
          <w:sz w:val="26"/>
          <w:szCs w:val="26"/>
        </w:rPr>
        <w:t>She also determined that</w:t>
      </w:r>
      <w:r w:rsidR="0007599E">
        <w:rPr>
          <w:sz w:val="26"/>
          <w:szCs w:val="26"/>
        </w:rPr>
        <w:t>,</w:t>
      </w:r>
      <w:r w:rsidR="0042286F">
        <w:rPr>
          <w:sz w:val="26"/>
          <w:szCs w:val="26"/>
        </w:rPr>
        <w:t xml:space="preserve"> even though the Complainant had defaulted on two Company issued payment arrangements and had only made two payments in the twelve months prior to the hearing, her personal circumstances merited a </w:t>
      </w:r>
      <w:r w:rsidR="0007599E">
        <w:rPr>
          <w:sz w:val="26"/>
          <w:szCs w:val="26"/>
        </w:rPr>
        <w:t xml:space="preserve">Commission issued </w:t>
      </w:r>
      <w:r w:rsidR="0042286F">
        <w:rPr>
          <w:sz w:val="26"/>
          <w:szCs w:val="26"/>
        </w:rPr>
        <w:t>payment arrangement</w:t>
      </w:r>
      <w:r w:rsidR="00113CFD">
        <w:rPr>
          <w:sz w:val="26"/>
          <w:szCs w:val="26"/>
        </w:rPr>
        <w:t xml:space="preserve"> on her</w:t>
      </w:r>
      <w:r w:rsidR="00EB535A">
        <w:rPr>
          <w:sz w:val="26"/>
          <w:szCs w:val="26"/>
        </w:rPr>
        <w:t xml:space="preserve"> non-</w:t>
      </w:r>
      <w:r w:rsidR="00EF34B0">
        <w:rPr>
          <w:sz w:val="26"/>
          <w:szCs w:val="26"/>
        </w:rPr>
        <w:t>CAP</w:t>
      </w:r>
      <w:r w:rsidR="00EB535A">
        <w:rPr>
          <w:sz w:val="26"/>
          <w:szCs w:val="26"/>
        </w:rPr>
        <w:t xml:space="preserve"> arrearage </w:t>
      </w:r>
      <w:r w:rsidR="00714776">
        <w:rPr>
          <w:sz w:val="26"/>
          <w:szCs w:val="26"/>
        </w:rPr>
        <w:t>(</w:t>
      </w:r>
      <w:r w:rsidR="005E77F4">
        <w:rPr>
          <w:sz w:val="26"/>
          <w:szCs w:val="26"/>
        </w:rPr>
        <w:t>the amount which wa</w:t>
      </w:r>
      <w:r w:rsidR="00EB535A">
        <w:rPr>
          <w:sz w:val="26"/>
          <w:szCs w:val="26"/>
        </w:rPr>
        <w:t xml:space="preserve">s accrued when she was not a </w:t>
      </w:r>
      <w:r w:rsidR="00EF34B0">
        <w:rPr>
          <w:sz w:val="26"/>
          <w:szCs w:val="26"/>
        </w:rPr>
        <w:t>CAP</w:t>
      </w:r>
      <w:r w:rsidR="00113CFD">
        <w:rPr>
          <w:sz w:val="26"/>
          <w:szCs w:val="26"/>
        </w:rPr>
        <w:t xml:space="preserve"> customer</w:t>
      </w:r>
      <w:r w:rsidR="00714776">
        <w:rPr>
          <w:sz w:val="26"/>
          <w:szCs w:val="26"/>
        </w:rPr>
        <w:t>)</w:t>
      </w:r>
      <w:r w:rsidR="00113CFD">
        <w:rPr>
          <w:sz w:val="26"/>
          <w:szCs w:val="26"/>
        </w:rPr>
        <w:t xml:space="preserve">.  </w:t>
      </w:r>
      <w:r w:rsidR="00714776">
        <w:rPr>
          <w:sz w:val="26"/>
          <w:szCs w:val="26"/>
        </w:rPr>
        <w:t xml:space="preserve">I.D. at </w:t>
      </w:r>
      <w:r w:rsidR="00AE2BC6">
        <w:rPr>
          <w:sz w:val="26"/>
          <w:szCs w:val="26"/>
        </w:rPr>
        <w:t xml:space="preserve">5.  </w:t>
      </w:r>
      <w:r w:rsidR="00113CFD">
        <w:rPr>
          <w:sz w:val="26"/>
          <w:szCs w:val="26"/>
        </w:rPr>
        <w:t>The ALJ further</w:t>
      </w:r>
      <w:r w:rsidR="005E77F4">
        <w:rPr>
          <w:sz w:val="26"/>
          <w:szCs w:val="26"/>
        </w:rPr>
        <w:t xml:space="preserve"> found </w:t>
      </w:r>
      <w:r w:rsidR="00113CFD">
        <w:rPr>
          <w:sz w:val="26"/>
          <w:szCs w:val="26"/>
        </w:rPr>
        <w:t>that, based on her income, the Complainant</w:t>
      </w:r>
      <w:r w:rsidR="005E77F4">
        <w:rPr>
          <w:sz w:val="26"/>
          <w:szCs w:val="26"/>
        </w:rPr>
        <w:t xml:space="preserve"> was </w:t>
      </w:r>
      <w:r w:rsidR="00113CFD">
        <w:rPr>
          <w:sz w:val="26"/>
          <w:szCs w:val="26"/>
        </w:rPr>
        <w:t>eligible to pay back her</w:t>
      </w:r>
      <w:r w:rsidR="00EB535A">
        <w:rPr>
          <w:sz w:val="26"/>
          <w:szCs w:val="26"/>
        </w:rPr>
        <w:t xml:space="preserve"> non-</w:t>
      </w:r>
      <w:r w:rsidR="00EF34B0">
        <w:rPr>
          <w:sz w:val="26"/>
          <w:szCs w:val="26"/>
        </w:rPr>
        <w:t>CAP</w:t>
      </w:r>
      <w:r w:rsidR="005E77F4">
        <w:rPr>
          <w:sz w:val="26"/>
          <w:szCs w:val="26"/>
        </w:rPr>
        <w:t xml:space="preserve"> arrearage over </w:t>
      </w:r>
      <w:r w:rsidR="00EB535A">
        <w:rPr>
          <w:sz w:val="26"/>
          <w:szCs w:val="26"/>
        </w:rPr>
        <w:t xml:space="preserve">a period of </w:t>
      </w:r>
      <w:r w:rsidR="00113CFD">
        <w:rPr>
          <w:sz w:val="26"/>
          <w:szCs w:val="26"/>
        </w:rPr>
        <w:t xml:space="preserve">five years.  </w:t>
      </w:r>
      <w:r w:rsidR="00BF6F67">
        <w:rPr>
          <w:sz w:val="26"/>
          <w:szCs w:val="26"/>
        </w:rPr>
        <w:t>As a result</w:t>
      </w:r>
      <w:r w:rsidR="005E77F4">
        <w:rPr>
          <w:sz w:val="26"/>
          <w:szCs w:val="26"/>
        </w:rPr>
        <w:t xml:space="preserve">, she ordered the Complainant to pay her regular bills as they come due plus </w:t>
      </w:r>
      <w:r w:rsidR="005E77F4">
        <w:rPr>
          <w:sz w:val="26"/>
          <w:szCs w:val="26"/>
        </w:rPr>
        <w:lastRenderedPageBreak/>
        <w:t>1/60</w:t>
      </w:r>
      <w:r w:rsidR="005E77F4" w:rsidRPr="005E77F4">
        <w:rPr>
          <w:sz w:val="26"/>
          <w:szCs w:val="26"/>
          <w:vertAlign w:val="superscript"/>
        </w:rPr>
        <w:t>th</w:t>
      </w:r>
      <w:r w:rsidR="005E77F4">
        <w:rPr>
          <w:sz w:val="26"/>
          <w:szCs w:val="26"/>
        </w:rPr>
        <w:t xml:space="preserve"> of the </w:t>
      </w:r>
      <w:r w:rsidR="009D47DE">
        <w:rPr>
          <w:sz w:val="26"/>
          <w:szCs w:val="26"/>
        </w:rPr>
        <w:t xml:space="preserve">non-CAP </w:t>
      </w:r>
      <w:r w:rsidR="005E77F4">
        <w:rPr>
          <w:sz w:val="26"/>
          <w:szCs w:val="26"/>
        </w:rPr>
        <w:t>arrearage starting with the first monthly bill after the Commission</w:t>
      </w:r>
      <w:r w:rsidR="00EB535A">
        <w:rPr>
          <w:sz w:val="26"/>
          <w:szCs w:val="26"/>
        </w:rPr>
        <w:t>’</w:t>
      </w:r>
      <w:r w:rsidR="005E77F4">
        <w:rPr>
          <w:sz w:val="26"/>
          <w:szCs w:val="26"/>
        </w:rPr>
        <w:t>s Final</w:t>
      </w:r>
      <w:r w:rsidR="00EB535A">
        <w:rPr>
          <w:sz w:val="26"/>
          <w:szCs w:val="26"/>
        </w:rPr>
        <w:t xml:space="preserve"> Order</w:t>
      </w:r>
      <w:r w:rsidR="008513D4">
        <w:rPr>
          <w:sz w:val="26"/>
          <w:szCs w:val="26"/>
        </w:rPr>
        <w:t xml:space="preserve">.  </w:t>
      </w:r>
      <w:r w:rsidR="008513D4" w:rsidRPr="008513D4">
        <w:rPr>
          <w:i/>
          <w:sz w:val="26"/>
          <w:szCs w:val="26"/>
        </w:rPr>
        <w:t>Id</w:t>
      </w:r>
      <w:r w:rsidR="008513D4">
        <w:rPr>
          <w:sz w:val="26"/>
          <w:szCs w:val="26"/>
        </w:rPr>
        <w:t xml:space="preserve">. at 6-8.  </w:t>
      </w:r>
    </w:p>
    <w:p w:rsidR="00C169D8" w:rsidRDefault="00C169D8" w:rsidP="00802E4F">
      <w:pPr>
        <w:spacing w:line="360" w:lineRule="auto"/>
        <w:ind w:firstLine="1440"/>
        <w:rPr>
          <w:sz w:val="26"/>
          <w:szCs w:val="26"/>
        </w:rPr>
      </w:pPr>
    </w:p>
    <w:p w:rsidR="00006F35" w:rsidRDefault="005443F8" w:rsidP="00804BE4">
      <w:pPr>
        <w:widowControl/>
        <w:spacing w:line="360" w:lineRule="auto"/>
        <w:contextualSpacing/>
        <w:rPr>
          <w:b/>
          <w:sz w:val="26"/>
          <w:szCs w:val="26"/>
        </w:rPr>
      </w:pPr>
      <w:r>
        <w:rPr>
          <w:b/>
          <w:sz w:val="26"/>
          <w:szCs w:val="26"/>
        </w:rPr>
        <w:t xml:space="preserve">Exceptions </w:t>
      </w:r>
      <w:r w:rsidR="00804BE4">
        <w:rPr>
          <w:b/>
          <w:sz w:val="26"/>
          <w:szCs w:val="26"/>
        </w:rPr>
        <w:t>and Disposition</w:t>
      </w:r>
    </w:p>
    <w:p w:rsidR="00C169D8" w:rsidRDefault="00C169D8" w:rsidP="00804BE4">
      <w:pPr>
        <w:widowControl/>
        <w:spacing w:line="360" w:lineRule="auto"/>
        <w:contextualSpacing/>
        <w:rPr>
          <w:b/>
          <w:sz w:val="26"/>
          <w:szCs w:val="26"/>
        </w:rPr>
      </w:pPr>
    </w:p>
    <w:p w:rsidR="00C52209" w:rsidRDefault="00C52209" w:rsidP="00804BE4">
      <w:pPr>
        <w:widowControl/>
        <w:spacing w:line="360" w:lineRule="auto"/>
        <w:contextualSpacing/>
        <w:rPr>
          <w:sz w:val="26"/>
          <w:szCs w:val="26"/>
        </w:rPr>
      </w:pPr>
      <w:r>
        <w:rPr>
          <w:b/>
          <w:sz w:val="26"/>
          <w:szCs w:val="26"/>
        </w:rPr>
        <w:tab/>
      </w:r>
      <w:r>
        <w:rPr>
          <w:b/>
          <w:sz w:val="26"/>
          <w:szCs w:val="26"/>
        </w:rPr>
        <w:tab/>
      </w:r>
      <w:r w:rsidR="00E237C6">
        <w:rPr>
          <w:sz w:val="26"/>
          <w:szCs w:val="26"/>
        </w:rPr>
        <w:t>In its Exceptions</w:t>
      </w:r>
      <w:r w:rsidR="000966F1">
        <w:rPr>
          <w:sz w:val="26"/>
          <w:szCs w:val="26"/>
        </w:rPr>
        <w:t xml:space="preserve">, PGW objects to the </w:t>
      </w:r>
      <w:r w:rsidR="00D03B2D">
        <w:rPr>
          <w:sz w:val="26"/>
          <w:szCs w:val="26"/>
        </w:rPr>
        <w:t xml:space="preserve">ALJ’s </w:t>
      </w:r>
      <w:r w:rsidR="009D47DE">
        <w:rPr>
          <w:sz w:val="26"/>
          <w:szCs w:val="26"/>
        </w:rPr>
        <w:t>directive</w:t>
      </w:r>
      <w:r w:rsidR="00D03B2D">
        <w:rPr>
          <w:sz w:val="26"/>
          <w:szCs w:val="26"/>
        </w:rPr>
        <w:t xml:space="preserve"> that the Complainant is to commence making payments on the past due, non-</w:t>
      </w:r>
      <w:r w:rsidR="00EF34B0">
        <w:rPr>
          <w:sz w:val="26"/>
          <w:szCs w:val="26"/>
        </w:rPr>
        <w:t>CAP</w:t>
      </w:r>
      <w:r w:rsidR="00D03B2D">
        <w:rPr>
          <w:sz w:val="26"/>
          <w:szCs w:val="26"/>
        </w:rPr>
        <w:t>, balance with the receipt of her first monthly bill</w:t>
      </w:r>
      <w:r w:rsidR="00E237C6">
        <w:rPr>
          <w:sz w:val="26"/>
          <w:szCs w:val="26"/>
        </w:rPr>
        <w:t xml:space="preserve"> after the </w:t>
      </w:r>
      <w:r w:rsidR="000966F1">
        <w:rPr>
          <w:sz w:val="26"/>
          <w:szCs w:val="26"/>
        </w:rPr>
        <w:t xml:space="preserve">entry of a </w:t>
      </w:r>
      <w:r w:rsidR="00E237C6">
        <w:rPr>
          <w:sz w:val="26"/>
          <w:szCs w:val="26"/>
        </w:rPr>
        <w:t xml:space="preserve">final order.  Citing to </w:t>
      </w:r>
      <w:r w:rsidR="00E237C6" w:rsidRPr="00E237C6">
        <w:rPr>
          <w:i/>
          <w:sz w:val="26"/>
          <w:szCs w:val="26"/>
        </w:rPr>
        <w:t>Cooper v. PECO Energy Co.</w:t>
      </w:r>
      <w:r w:rsidR="00E237C6">
        <w:rPr>
          <w:sz w:val="26"/>
          <w:szCs w:val="26"/>
        </w:rPr>
        <w:t xml:space="preserve">, Docket No. F-2011-2254904 </w:t>
      </w:r>
      <w:r w:rsidR="00D03B2D">
        <w:rPr>
          <w:sz w:val="26"/>
          <w:szCs w:val="26"/>
        </w:rPr>
        <w:t xml:space="preserve">(Order entered August 2, 2012), </w:t>
      </w:r>
      <w:r w:rsidR="00E237C6">
        <w:rPr>
          <w:sz w:val="26"/>
          <w:szCs w:val="26"/>
        </w:rPr>
        <w:t>PGW argues that</w:t>
      </w:r>
      <w:r w:rsidR="00813D75">
        <w:rPr>
          <w:sz w:val="26"/>
          <w:szCs w:val="26"/>
        </w:rPr>
        <w:t>,</w:t>
      </w:r>
      <w:r w:rsidR="00E237C6">
        <w:rPr>
          <w:sz w:val="26"/>
          <w:szCs w:val="26"/>
        </w:rPr>
        <w:t xml:space="preserve"> in order for the Complainant to benefit from a Commission issued p</w:t>
      </w:r>
      <w:r w:rsidR="00D03B2D">
        <w:rPr>
          <w:sz w:val="26"/>
          <w:szCs w:val="26"/>
        </w:rPr>
        <w:t>ayment arrangement on her non-</w:t>
      </w:r>
      <w:r w:rsidR="00EF34B0">
        <w:rPr>
          <w:sz w:val="26"/>
          <w:szCs w:val="26"/>
        </w:rPr>
        <w:t>CAP</w:t>
      </w:r>
      <w:r w:rsidR="00E237C6">
        <w:rPr>
          <w:sz w:val="26"/>
          <w:szCs w:val="26"/>
        </w:rPr>
        <w:t xml:space="preserve"> arrearage</w:t>
      </w:r>
      <w:r w:rsidR="000966F1">
        <w:rPr>
          <w:sz w:val="26"/>
          <w:szCs w:val="26"/>
        </w:rPr>
        <w:t xml:space="preserve">, she must first pay all of the arrearage accrued </w:t>
      </w:r>
      <w:r w:rsidR="00D03B2D">
        <w:rPr>
          <w:sz w:val="26"/>
          <w:szCs w:val="26"/>
        </w:rPr>
        <w:t xml:space="preserve">while she participated in the </w:t>
      </w:r>
      <w:r w:rsidR="00EF34B0">
        <w:rPr>
          <w:sz w:val="26"/>
          <w:szCs w:val="26"/>
        </w:rPr>
        <w:t>CAP</w:t>
      </w:r>
      <w:r w:rsidR="00D03B2D">
        <w:rPr>
          <w:sz w:val="26"/>
          <w:szCs w:val="26"/>
        </w:rPr>
        <w:t>.  The Company</w:t>
      </w:r>
      <w:r w:rsidR="000966F1">
        <w:rPr>
          <w:sz w:val="26"/>
          <w:szCs w:val="26"/>
        </w:rPr>
        <w:t xml:space="preserve"> reques</w:t>
      </w:r>
      <w:r w:rsidR="009D47DE">
        <w:rPr>
          <w:sz w:val="26"/>
          <w:szCs w:val="26"/>
        </w:rPr>
        <w:t>ts that the Commission find</w:t>
      </w:r>
      <w:r w:rsidR="000966F1">
        <w:rPr>
          <w:sz w:val="26"/>
          <w:szCs w:val="26"/>
        </w:rPr>
        <w:t xml:space="preserve"> the payment agreement set by the ALJ is to</w:t>
      </w:r>
      <w:r w:rsidR="00D03B2D">
        <w:rPr>
          <w:sz w:val="26"/>
          <w:szCs w:val="26"/>
        </w:rPr>
        <w:t xml:space="preserve"> commence upon payment of the </w:t>
      </w:r>
      <w:r w:rsidR="00EF34B0">
        <w:rPr>
          <w:sz w:val="26"/>
          <w:szCs w:val="26"/>
        </w:rPr>
        <w:t>CAP</w:t>
      </w:r>
      <w:r w:rsidR="000966F1">
        <w:rPr>
          <w:sz w:val="26"/>
          <w:szCs w:val="26"/>
        </w:rPr>
        <w:t xml:space="preserve"> portion of the arrearage.  Exc. at 2-3. </w:t>
      </w:r>
    </w:p>
    <w:p w:rsidR="007264A6" w:rsidRDefault="007264A6" w:rsidP="00804BE4">
      <w:pPr>
        <w:widowControl/>
        <w:spacing w:line="360" w:lineRule="auto"/>
        <w:contextualSpacing/>
        <w:rPr>
          <w:sz w:val="26"/>
          <w:szCs w:val="26"/>
        </w:rPr>
      </w:pPr>
    </w:p>
    <w:p w:rsidR="001A4F52" w:rsidRDefault="007264A6" w:rsidP="00031D36">
      <w:pPr>
        <w:widowControl/>
        <w:spacing w:line="360" w:lineRule="auto"/>
        <w:contextualSpacing/>
        <w:rPr>
          <w:sz w:val="26"/>
          <w:szCs w:val="26"/>
        </w:rPr>
      </w:pPr>
      <w:r>
        <w:rPr>
          <w:sz w:val="26"/>
          <w:szCs w:val="26"/>
        </w:rPr>
        <w:tab/>
      </w:r>
      <w:r>
        <w:rPr>
          <w:sz w:val="26"/>
          <w:szCs w:val="26"/>
        </w:rPr>
        <w:tab/>
      </w:r>
      <w:r w:rsidR="00166F6A">
        <w:rPr>
          <w:sz w:val="26"/>
          <w:szCs w:val="26"/>
        </w:rPr>
        <w:t>Although we agree with the ALJ that PGW did not violate termination procedures, u</w:t>
      </w:r>
      <w:r>
        <w:rPr>
          <w:sz w:val="26"/>
          <w:szCs w:val="26"/>
        </w:rPr>
        <w:t>pon review of the Initial Decision, we disagree with the ALJ’s decision to set a payment arrangement for the Complainant’s non-CAP arrearage</w:t>
      </w:r>
      <w:r w:rsidR="00166F6A">
        <w:rPr>
          <w:sz w:val="26"/>
          <w:szCs w:val="26"/>
        </w:rPr>
        <w:t xml:space="preserve">.  We </w:t>
      </w:r>
      <w:r>
        <w:rPr>
          <w:sz w:val="26"/>
          <w:szCs w:val="26"/>
        </w:rPr>
        <w:t xml:space="preserve">will reverse the </w:t>
      </w:r>
      <w:r w:rsidR="00166F6A">
        <w:rPr>
          <w:sz w:val="26"/>
          <w:szCs w:val="26"/>
        </w:rPr>
        <w:t>decision to set a payment arrangement</w:t>
      </w:r>
      <w:r>
        <w:rPr>
          <w:sz w:val="26"/>
          <w:szCs w:val="26"/>
        </w:rPr>
        <w:t xml:space="preserve"> and modify the Initial Decision.  Because we are denying the Complainant’s request for a payment arrangement, </w:t>
      </w:r>
      <w:r w:rsidR="00813D75">
        <w:rPr>
          <w:sz w:val="26"/>
          <w:szCs w:val="26"/>
        </w:rPr>
        <w:t>PGW</w:t>
      </w:r>
      <w:r>
        <w:rPr>
          <w:sz w:val="26"/>
          <w:szCs w:val="26"/>
        </w:rPr>
        <w:t xml:space="preserve">’s </w:t>
      </w:r>
      <w:r w:rsidR="00494777">
        <w:rPr>
          <w:sz w:val="26"/>
          <w:szCs w:val="26"/>
        </w:rPr>
        <w:t>Exceptions</w:t>
      </w:r>
      <w:r>
        <w:rPr>
          <w:sz w:val="26"/>
          <w:szCs w:val="26"/>
        </w:rPr>
        <w:t xml:space="preserve"> are moot. </w:t>
      </w:r>
      <w:r w:rsidR="009B621F">
        <w:rPr>
          <w:sz w:val="26"/>
          <w:szCs w:val="26"/>
        </w:rPr>
        <w:t xml:space="preserve"> </w:t>
      </w:r>
    </w:p>
    <w:p w:rsidR="001A4F52" w:rsidRDefault="001A4F52" w:rsidP="00031D36">
      <w:pPr>
        <w:widowControl/>
        <w:spacing w:line="360" w:lineRule="auto"/>
        <w:contextualSpacing/>
        <w:rPr>
          <w:sz w:val="26"/>
          <w:szCs w:val="26"/>
        </w:rPr>
      </w:pPr>
    </w:p>
    <w:p w:rsidR="00C169D8" w:rsidRDefault="001A4F52" w:rsidP="00031D36">
      <w:pPr>
        <w:widowControl/>
        <w:spacing w:line="360" w:lineRule="auto"/>
        <w:contextualSpacing/>
        <w:rPr>
          <w:sz w:val="26"/>
          <w:szCs w:val="26"/>
        </w:rPr>
      </w:pPr>
      <w:r>
        <w:rPr>
          <w:sz w:val="26"/>
          <w:szCs w:val="26"/>
        </w:rPr>
        <w:tab/>
      </w:r>
      <w:r>
        <w:rPr>
          <w:sz w:val="26"/>
          <w:szCs w:val="26"/>
        </w:rPr>
        <w:tab/>
      </w:r>
      <w:r w:rsidR="00F20976">
        <w:rPr>
          <w:sz w:val="26"/>
          <w:szCs w:val="26"/>
        </w:rPr>
        <w:t xml:space="preserve">Although </w:t>
      </w:r>
      <w:r w:rsidR="00023746">
        <w:rPr>
          <w:sz w:val="26"/>
          <w:szCs w:val="26"/>
        </w:rPr>
        <w:t>S</w:t>
      </w:r>
      <w:r w:rsidR="00F20976" w:rsidRPr="00F20976">
        <w:rPr>
          <w:sz w:val="26"/>
          <w:szCs w:val="26"/>
        </w:rPr>
        <w:t xml:space="preserve">ection 1405(c) of the Code, 66 Pa. C.S. § 1405(c), prohibits </w:t>
      </w:r>
      <w:r w:rsidR="00F20976">
        <w:rPr>
          <w:sz w:val="26"/>
          <w:szCs w:val="26"/>
        </w:rPr>
        <w:t xml:space="preserve">the Commission from setting a payment arrangement on </w:t>
      </w:r>
      <w:r w:rsidR="00023746">
        <w:rPr>
          <w:sz w:val="26"/>
          <w:szCs w:val="26"/>
        </w:rPr>
        <w:t xml:space="preserve">an </w:t>
      </w:r>
      <w:r w:rsidR="00F20976">
        <w:rPr>
          <w:sz w:val="26"/>
          <w:szCs w:val="26"/>
        </w:rPr>
        <w:t>arrearage accrued under CAP rates, in the</w:t>
      </w:r>
      <w:r w:rsidR="00F20976" w:rsidRPr="00F20976">
        <w:rPr>
          <w:sz w:val="26"/>
          <w:szCs w:val="26"/>
        </w:rPr>
        <w:t xml:space="preserve"> case where a Complainant has </w:t>
      </w:r>
      <w:r w:rsidR="00023746">
        <w:rPr>
          <w:sz w:val="26"/>
          <w:szCs w:val="26"/>
        </w:rPr>
        <w:t xml:space="preserve">a </w:t>
      </w:r>
      <w:r w:rsidR="00F20976" w:rsidRPr="00F20976">
        <w:rPr>
          <w:sz w:val="26"/>
          <w:szCs w:val="26"/>
        </w:rPr>
        <w:t>mixed arrearage, that is, some of which are CAP and some of which are non-CAP,</w:t>
      </w:r>
      <w:r w:rsidR="00F20976">
        <w:rPr>
          <w:sz w:val="26"/>
          <w:szCs w:val="26"/>
        </w:rPr>
        <w:t xml:space="preserve"> the Commission may bifurcate the arrearage and set a payment arrangement on the non-CAP arrearage.  </w:t>
      </w:r>
      <w:r w:rsidR="00F20976" w:rsidRPr="001B7B8C">
        <w:rPr>
          <w:i/>
          <w:sz w:val="26"/>
          <w:szCs w:val="26"/>
        </w:rPr>
        <w:t>Cooper</w:t>
      </w:r>
      <w:r w:rsidR="00494777">
        <w:rPr>
          <w:i/>
          <w:sz w:val="26"/>
          <w:szCs w:val="26"/>
        </w:rPr>
        <w:t>,</w:t>
      </w:r>
      <w:r w:rsidR="00F20976">
        <w:rPr>
          <w:sz w:val="26"/>
          <w:szCs w:val="26"/>
        </w:rPr>
        <w:t xml:space="preserve"> at </w:t>
      </w:r>
      <w:r w:rsidR="009B621F">
        <w:rPr>
          <w:sz w:val="26"/>
          <w:szCs w:val="26"/>
        </w:rPr>
        <w:t>7.</w:t>
      </w:r>
      <w:r w:rsidR="002F174C">
        <w:rPr>
          <w:sz w:val="26"/>
          <w:szCs w:val="26"/>
        </w:rPr>
        <w:t xml:space="preserve">  The Commission is not required to set a payment arrangement on a bifurcated arrearage and may decline to do so where a complainant has exhibited a poor payment history and inability to keep </w:t>
      </w:r>
      <w:r w:rsidR="002F174C">
        <w:rPr>
          <w:sz w:val="26"/>
          <w:szCs w:val="26"/>
        </w:rPr>
        <w:lastRenderedPageBreak/>
        <w:t xml:space="preserve">prior payment agreements with the company.  </w:t>
      </w:r>
      <w:r w:rsidR="002F174C" w:rsidRPr="001B7B8C">
        <w:rPr>
          <w:i/>
          <w:sz w:val="26"/>
          <w:szCs w:val="26"/>
        </w:rPr>
        <w:t>Hewitt v. PECO Energy Co</w:t>
      </w:r>
      <w:r w:rsidR="002F174C">
        <w:rPr>
          <w:sz w:val="26"/>
          <w:szCs w:val="26"/>
        </w:rPr>
        <w:t>., Docket No. F-2011-2273271</w:t>
      </w:r>
      <w:r w:rsidR="00023746">
        <w:rPr>
          <w:sz w:val="26"/>
          <w:szCs w:val="26"/>
        </w:rPr>
        <w:t xml:space="preserve"> </w:t>
      </w:r>
      <w:r w:rsidR="002F174C">
        <w:rPr>
          <w:sz w:val="26"/>
          <w:szCs w:val="26"/>
        </w:rPr>
        <w:t xml:space="preserve">(Order entered September 12, 2013). </w:t>
      </w:r>
      <w:r w:rsidR="00626861">
        <w:rPr>
          <w:sz w:val="26"/>
          <w:szCs w:val="26"/>
        </w:rPr>
        <w:t xml:space="preserve"> </w:t>
      </w:r>
      <w:r w:rsidR="00C0222A">
        <w:rPr>
          <w:sz w:val="26"/>
          <w:szCs w:val="26"/>
        </w:rPr>
        <w:t xml:space="preserve">Further, </w:t>
      </w:r>
      <w:r w:rsidR="00946267">
        <w:rPr>
          <w:sz w:val="26"/>
          <w:szCs w:val="26"/>
        </w:rPr>
        <w:t xml:space="preserve">given the limitations on the number of payment agreements the Commission may set, </w:t>
      </w:r>
      <w:r w:rsidR="00C0222A">
        <w:rPr>
          <w:sz w:val="26"/>
          <w:szCs w:val="26"/>
        </w:rPr>
        <w:t xml:space="preserve">a payment agreement issued on </w:t>
      </w:r>
      <w:r w:rsidR="00023746">
        <w:rPr>
          <w:sz w:val="26"/>
          <w:szCs w:val="26"/>
        </w:rPr>
        <w:t xml:space="preserve">a </w:t>
      </w:r>
      <w:r w:rsidR="00C0222A">
        <w:rPr>
          <w:sz w:val="26"/>
          <w:szCs w:val="26"/>
        </w:rPr>
        <w:t xml:space="preserve">non-CAP arrearage in a scenario where the Complainant is likely to default is not in the customer’s best interest.  </w:t>
      </w:r>
      <w:r w:rsidR="00C0222A" w:rsidRPr="001B7B8C">
        <w:rPr>
          <w:i/>
          <w:sz w:val="26"/>
          <w:szCs w:val="26"/>
        </w:rPr>
        <w:t xml:space="preserve">See </w:t>
      </w:r>
      <w:r w:rsidR="00023746">
        <w:rPr>
          <w:i/>
          <w:sz w:val="26"/>
          <w:szCs w:val="26"/>
        </w:rPr>
        <w:t>i</w:t>
      </w:r>
      <w:r w:rsidR="00C0222A" w:rsidRPr="001B7B8C">
        <w:rPr>
          <w:i/>
          <w:sz w:val="26"/>
          <w:szCs w:val="26"/>
        </w:rPr>
        <w:t>d</w:t>
      </w:r>
      <w:r w:rsidR="00C0222A">
        <w:rPr>
          <w:sz w:val="26"/>
          <w:szCs w:val="26"/>
        </w:rPr>
        <w:t xml:space="preserve">. at 11 n. 4. </w:t>
      </w:r>
    </w:p>
    <w:p w:rsidR="00626861" w:rsidRDefault="00626861" w:rsidP="00031D36">
      <w:pPr>
        <w:widowControl/>
        <w:spacing w:line="360" w:lineRule="auto"/>
        <w:contextualSpacing/>
        <w:rPr>
          <w:sz w:val="26"/>
          <w:szCs w:val="26"/>
        </w:rPr>
      </w:pPr>
    </w:p>
    <w:p w:rsidR="0053012A" w:rsidRDefault="00626861" w:rsidP="00031D36">
      <w:pPr>
        <w:widowControl/>
        <w:spacing w:line="360" w:lineRule="auto"/>
        <w:contextualSpacing/>
        <w:rPr>
          <w:sz w:val="26"/>
          <w:szCs w:val="26"/>
        </w:rPr>
      </w:pPr>
      <w:r>
        <w:rPr>
          <w:sz w:val="26"/>
          <w:szCs w:val="26"/>
        </w:rPr>
        <w:tab/>
      </w:r>
      <w:r>
        <w:rPr>
          <w:sz w:val="26"/>
          <w:szCs w:val="26"/>
        </w:rPr>
        <w:tab/>
      </w:r>
      <w:r w:rsidR="00590B4D">
        <w:rPr>
          <w:sz w:val="26"/>
          <w:szCs w:val="26"/>
        </w:rPr>
        <w:t>In this case, the Complainant’s past due balance is almost $1</w:t>
      </w:r>
      <w:r w:rsidR="003517D4">
        <w:rPr>
          <w:sz w:val="26"/>
          <w:szCs w:val="26"/>
        </w:rPr>
        <w:t>4</w:t>
      </w:r>
      <w:r w:rsidR="00590B4D">
        <w:rPr>
          <w:sz w:val="26"/>
          <w:szCs w:val="26"/>
        </w:rPr>
        <w:t xml:space="preserve">,000; more than half of which is </w:t>
      </w:r>
      <w:r w:rsidR="003517D4">
        <w:rPr>
          <w:sz w:val="26"/>
          <w:szCs w:val="26"/>
        </w:rPr>
        <w:t>a</w:t>
      </w:r>
      <w:r w:rsidR="00590B4D">
        <w:rPr>
          <w:sz w:val="26"/>
          <w:szCs w:val="26"/>
        </w:rPr>
        <w:t xml:space="preserve"> CAP arrearage</w:t>
      </w:r>
      <w:r w:rsidR="003517D4">
        <w:rPr>
          <w:sz w:val="26"/>
          <w:szCs w:val="26"/>
        </w:rPr>
        <w:t xml:space="preserve"> that </w:t>
      </w:r>
      <w:r w:rsidR="00590B4D">
        <w:rPr>
          <w:sz w:val="26"/>
          <w:szCs w:val="26"/>
        </w:rPr>
        <w:t xml:space="preserve">cannot be included in the payment arrangement.  She has defaulted on two payment arrangements made with the Company and failed to make more than two payments in the twelve months preceding the hearing.  </w:t>
      </w:r>
      <w:r w:rsidR="00524D61">
        <w:rPr>
          <w:sz w:val="26"/>
          <w:szCs w:val="26"/>
        </w:rPr>
        <w:t>As the Complainant has demonstrated a</w:t>
      </w:r>
      <w:r w:rsidR="00590B4D">
        <w:rPr>
          <w:sz w:val="26"/>
          <w:szCs w:val="26"/>
        </w:rPr>
        <w:t xml:space="preserve"> poor payment history and histo</w:t>
      </w:r>
      <w:r w:rsidR="00524D61">
        <w:rPr>
          <w:sz w:val="26"/>
          <w:szCs w:val="26"/>
        </w:rPr>
        <w:t xml:space="preserve">ry of default, we will modify the Initial Decision </w:t>
      </w:r>
      <w:r w:rsidR="003517D4">
        <w:rPr>
          <w:sz w:val="26"/>
          <w:szCs w:val="26"/>
        </w:rPr>
        <w:t>and</w:t>
      </w:r>
      <w:r w:rsidR="00524D61">
        <w:rPr>
          <w:sz w:val="26"/>
          <w:szCs w:val="26"/>
        </w:rPr>
        <w:t xml:space="preserve"> deny the request for a payment arrangement.  </w:t>
      </w:r>
    </w:p>
    <w:p w:rsidR="00EF34B0" w:rsidRDefault="00EF34B0" w:rsidP="00C169D8">
      <w:pPr>
        <w:widowControl/>
        <w:spacing w:line="360" w:lineRule="auto"/>
        <w:contextualSpacing/>
        <w:rPr>
          <w:sz w:val="26"/>
          <w:szCs w:val="26"/>
        </w:rPr>
      </w:pPr>
    </w:p>
    <w:p w:rsidR="00CA43A5" w:rsidRPr="00C169D8" w:rsidRDefault="00CA43A5" w:rsidP="00C169D8">
      <w:pPr>
        <w:widowControl/>
        <w:spacing w:line="360" w:lineRule="auto"/>
        <w:contextualSpacing/>
        <w:jc w:val="center"/>
        <w:rPr>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3517D4" w:rsidP="00CA43A5">
      <w:pPr>
        <w:spacing w:line="360" w:lineRule="auto"/>
        <w:ind w:firstLine="1440"/>
        <w:rPr>
          <w:sz w:val="26"/>
          <w:szCs w:val="26"/>
        </w:rPr>
      </w:pPr>
      <w:r>
        <w:rPr>
          <w:sz w:val="26"/>
          <w:szCs w:val="26"/>
        </w:rPr>
        <w:t>For the reasons set forth above, w</w:t>
      </w:r>
      <w:r w:rsidR="00EA2D3B">
        <w:rPr>
          <w:sz w:val="26"/>
          <w:szCs w:val="26"/>
        </w:rPr>
        <w:t xml:space="preserve">e </w:t>
      </w:r>
      <w:r>
        <w:rPr>
          <w:sz w:val="26"/>
          <w:szCs w:val="26"/>
        </w:rPr>
        <w:t xml:space="preserve">will reverse the Initial Decision and find </w:t>
      </w:r>
      <w:r w:rsidR="00EA2D3B">
        <w:rPr>
          <w:sz w:val="26"/>
          <w:szCs w:val="26"/>
        </w:rPr>
        <w:t>PGW’s Exceptions</w:t>
      </w:r>
      <w:r>
        <w:rPr>
          <w:sz w:val="26"/>
          <w:szCs w:val="26"/>
        </w:rPr>
        <w:t xml:space="preserve"> moot</w:t>
      </w:r>
      <w:r w:rsidR="00CA43A5" w:rsidRPr="00CA43A5">
        <w:rPr>
          <w:sz w:val="26"/>
          <w:szCs w:val="26"/>
        </w:rPr>
        <w:t xml:space="preserve">, consistent with the foregoing discussion; </w:t>
      </w:r>
      <w:r w:rsidR="00CA43A5" w:rsidRPr="00CA43A5">
        <w:rPr>
          <w:b/>
          <w:sz w:val="26"/>
          <w:szCs w:val="26"/>
        </w:rPr>
        <w:t>THEREFORE,</w:t>
      </w:r>
      <w:r w:rsidR="00CA43A5" w:rsidRPr="00CA43A5">
        <w:rPr>
          <w:sz w:val="26"/>
          <w:szCs w:val="26"/>
        </w:rPr>
        <w:t xml:space="preserve"> </w:t>
      </w:r>
    </w:p>
    <w:p w:rsidR="00CA43A5" w:rsidRPr="00CA43A5" w:rsidRDefault="00CA43A5" w:rsidP="00CA43A5">
      <w:pPr>
        <w:rPr>
          <w:sz w:val="26"/>
          <w:szCs w:val="26"/>
        </w:rPr>
      </w:pPr>
    </w:p>
    <w:p w:rsidR="00CA43A5" w:rsidRDefault="00CA43A5" w:rsidP="00CA43A5">
      <w:pPr>
        <w:ind w:firstLine="1440"/>
        <w:rPr>
          <w:b/>
          <w:sz w:val="26"/>
          <w:szCs w:val="26"/>
        </w:rPr>
      </w:pPr>
      <w:r w:rsidRPr="00CA43A5">
        <w:rPr>
          <w:b/>
          <w:sz w:val="26"/>
          <w:szCs w:val="26"/>
        </w:rPr>
        <w:t>IT IS ORDERED:</w:t>
      </w:r>
    </w:p>
    <w:p w:rsidR="003019D8" w:rsidRPr="00CA43A5" w:rsidRDefault="003019D8" w:rsidP="00CA43A5">
      <w:pPr>
        <w:ind w:firstLine="1440"/>
        <w:rPr>
          <w:b/>
          <w:sz w:val="26"/>
          <w:szCs w:val="26"/>
        </w:rPr>
      </w:pPr>
    </w:p>
    <w:p w:rsidR="00CA43A5" w:rsidRPr="00CA43A5" w:rsidRDefault="00CA43A5" w:rsidP="00CA43A5">
      <w:pPr>
        <w:rPr>
          <w:sz w:val="26"/>
          <w:szCs w:val="26"/>
        </w:rPr>
      </w:pPr>
    </w:p>
    <w:p w:rsidR="00CA43A5" w:rsidRDefault="00EA2D3B" w:rsidP="00CA43A5">
      <w:pPr>
        <w:numPr>
          <w:ilvl w:val="0"/>
          <w:numId w:val="1"/>
        </w:numPr>
        <w:tabs>
          <w:tab w:val="clear" w:pos="2160"/>
          <w:tab w:val="num" w:pos="0"/>
        </w:tabs>
        <w:spacing w:line="360" w:lineRule="auto"/>
        <w:ind w:left="0" w:firstLine="1440"/>
        <w:rPr>
          <w:sz w:val="26"/>
          <w:szCs w:val="26"/>
        </w:rPr>
      </w:pPr>
      <w:r>
        <w:rPr>
          <w:sz w:val="26"/>
          <w:szCs w:val="26"/>
        </w:rPr>
        <w:t xml:space="preserve">That the Exceptions of Philadelphia Gas Works filed on </w:t>
      </w:r>
      <w:r w:rsidRPr="00EA2D3B">
        <w:rPr>
          <w:sz w:val="26"/>
          <w:szCs w:val="26"/>
        </w:rPr>
        <w:t>April 29, 2014</w:t>
      </w:r>
      <w:r>
        <w:rPr>
          <w:sz w:val="26"/>
          <w:szCs w:val="26"/>
        </w:rPr>
        <w:t xml:space="preserve"> are </w:t>
      </w:r>
      <w:r w:rsidR="001E1688">
        <w:rPr>
          <w:sz w:val="26"/>
          <w:szCs w:val="26"/>
        </w:rPr>
        <w:t>moot</w:t>
      </w:r>
      <w:r w:rsidR="009155F7">
        <w:rPr>
          <w:sz w:val="26"/>
          <w:szCs w:val="26"/>
        </w:rPr>
        <w:t>.</w:t>
      </w:r>
    </w:p>
    <w:p w:rsidR="00EA2D3B" w:rsidRDefault="00EA2D3B" w:rsidP="00EA2D3B">
      <w:pPr>
        <w:spacing w:line="360" w:lineRule="auto"/>
        <w:rPr>
          <w:sz w:val="26"/>
          <w:szCs w:val="26"/>
        </w:rPr>
      </w:pPr>
    </w:p>
    <w:p w:rsidR="00EA2D3B" w:rsidRDefault="00EA2D3B" w:rsidP="00EA2D3B">
      <w:pPr>
        <w:spacing w:line="360" w:lineRule="auto"/>
        <w:rPr>
          <w:sz w:val="26"/>
          <w:szCs w:val="26"/>
        </w:rPr>
      </w:pPr>
      <w:r>
        <w:rPr>
          <w:sz w:val="26"/>
          <w:szCs w:val="26"/>
        </w:rPr>
        <w:tab/>
      </w:r>
      <w:r>
        <w:rPr>
          <w:sz w:val="26"/>
          <w:szCs w:val="26"/>
        </w:rPr>
        <w:tab/>
        <w:t>2.</w:t>
      </w:r>
      <w:r>
        <w:rPr>
          <w:sz w:val="26"/>
          <w:szCs w:val="26"/>
        </w:rPr>
        <w:tab/>
      </w:r>
      <w:r w:rsidRPr="00EA2D3B">
        <w:rPr>
          <w:sz w:val="26"/>
          <w:szCs w:val="26"/>
        </w:rPr>
        <w:t>That the Initial Decision of Administ</w:t>
      </w:r>
      <w:r>
        <w:rPr>
          <w:sz w:val="26"/>
          <w:szCs w:val="26"/>
        </w:rPr>
        <w:t>rative Law Judge Darlene R. Davis Heep, issued on April 9, 2014</w:t>
      </w:r>
      <w:r w:rsidRPr="00EA2D3B">
        <w:rPr>
          <w:sz w:val="26"/>
          <w:szCs w:val="26"/>
        </w:rPr>
        <w:t xml:space="preserve">, is </w:t>
      </w:r>
      <w:r w:rsidR="00380ECF">
        <w:rPr>
          <w:sz w:val="26"/>
          <w:szCs w:val="26"/>
        </w:rPr>
        <w:t>modified</w:t>
      </w:r>
      <w:r w:rsidRPr="00EA2D3B">
        <w:rPr>
          <w:sz w:val="26"/>
          <w:szCs w:val="26"/>
        </w:rPr>
        <w:t>, consistent with this Opinion and Order.</w:t>
      </w:r>
    </w:p>
    <w:p w:rsidR="00C169D8" w:rsidRPr="00594799" w:rsidRDefault="00EA2D3B" w:rsidP="00594799">
      <w:pPr>
        <w:widowControl/>
        <w:spacing w:line="360" w:lineRule="auto"/>
        <w:rPr>
          <w:spacing w:val="-3"/>
          <w:sz w:val="26"/>
          <w:szCs w:val="26"/>
        </w:rPr>
      </w:pPr>
      <w:r>
        <w:rPr>
          <w:sz w:val="26"/>
          <w:szCs w:val="26"/>
        </w:rPr>
        <w:tab/>
      </w:r>
      <w:r>
        <w:rPr>
          <w:sz w:val="26"/>
          <w:szCs w:val="26"/>
        </w:rPr>
        <w:tab/>
      </w:r>
    </w:p>
    <w:p w:rsidR="007336AA" w:rsidRDefault="00C169D8" w:rsidP="00594799">
      <w:pPr>
        <w:widowControl/>
        <w:spacing w:line="360" w:lineRule="auto"/>
        <w:rPr>
          <w:spacing w:val="-3"/>
          <w:sz w:val="26"/>
          <w:szCs w:val="26"/>
        </w:rPr>
      </w:pPr>
      <w:r>
        <w:rPr>
          <w:spacing w:val="-3"/>
          <w:sz w:val="26"/>
          <w:szCs w:val="26"/>
        </w:rPr>
        <w:tab/>
      </w:r>
      <w:r>
        <w:rPr>
          <w:spacing w:val="-3"/>
          <w:sz w:val="26"/>
          <w:szCs w:val="26"/>
        </w:rPr>
        <w:tab/>
      </w:r>
      <w:r w:rsidR="001E1688">
        <w:rPr>
          <w:spacing w:val="-3"/>
          <w:sz w:val="26"/>
          <w:szCs w:val="26"/>
        </w:rPr>
        <w:t>3</w:t>
      </w:r>
      <w:r w:rsidR="00594799" w:rsidRPr="00594799">
        <w:rPr>
          <w:spacing w:val="-3"/>
          <w:sz w:val="26"/>
          <w:szCs w:val="26"/>
        </w:rPr>
        <w:t>.</w:t>
      </w:r>
      <w:r w:rsidR="00594799" w:rsidRPr="00594799">
        <w:rPr>
          <w:spacing w:val="-3"/>
          <w:sz w:val="26"/>
          <w:szCs w:val="26"/>
        </w:rPr>
        <w:tab/>
      </w:r>
      <w:r w:rsidR="007336AA">
        <w:rPr>
          <w:spacing w:val="-3"/>
          <w:sz w:val="26"/>
          <w:szCs w:val="26"/>
        </w:rPr>
        <w:t xml:space="preserve">That the </w:t>
      </w:r>
      <w:r w:rsidR="00425744">
        <w:rPr>
          <w:spacing w:val="-3"/>
          <w:sz w:val="26"/>
          <w:szCs w:val="26"/>
        </w:rPr>
        <w:t xml:space="preserve">Formal </w:t>
      </w:r>
      <w:r w:rsidR="007336AA">
        <w:rPr>
          <w:spacing w:val="-3"/>
          <w:sz w:val="26"/>
          <w:szCs w:val="26"/>
        </w:rPr>
        <w:t xml:space="preserve">Complaint filed </w:t>
      </w:r>
      <w:r w:rsidR="00425744">
        <w:rPr>
          <w:spacing w:val="-3"/>
          <w:sz w:val="26"/>
          <w:szCs w:val="26"/>
        </w:rPr>
        <w:t xml:space="preserve">against Philadelphia Gas Works </w:t>
      </w:r>
      <w:r w:rsidR="007336AA">
        <w:rPr>
          <w:spacing w:val="-3"/>
          <w:sz w:val="26"/>
          <w:szCs w:val="26"/>
        </w:rPr>
        <w:t>by Joy Turner on October 15, 2013</w:t>
      </w:r>
      <w:r w:rsidR="00425744">
        <w:rPr>
          <w:spacing w:val="-3"/>
          <w:sz w:val="26"/>
          <w:szCs w:val="26"/>
        </w:rPr>
        <w:t>,</w:t>
      </w:r>
      <w:r w:rsidR="007336AA">
        <w:rPr>
          <w:spacing w:val="-3"/>
          <w:sz w:val="26"/>
          <w:szCs w:val="26"/>
        </w:rPr>
        <w:t xml:space="preserve"> is dismissed.</w:t>
      </w:r>
    </w:p>
    <w:p w:rsidR="007336AA" w:rsidRDefault="007336AA" w:rsidP="00594799">
      <w:pPr>
        <w:widowControl/>
        <w:spacing w:line="360" w:lineRule="auto"/>
        <w:rPr>
          <w:spacing w:val="-3"/>
          <w:sz w:val="26"/>
          <w:szCs w:val="26"/>
        </w:rPr>
      </w:pPr>
    </w:p>
    <w:p w:rsidR="00594799" w:rsidRPr="00594799" w:rsidRDefault="007336AA" w:rsidP="00594799">
      <w:pPr>
        <w:widowControl/>
        <w:spacing w:line="360" w:lineRule="auto"/>
        <w:rPr>
          <w:spacing w:val="-3"/>
          <w:sz w:val="26"/>
          <w:szCs w:val="26"/>
        </w:rPr>
      </w:pPr>
      <w:r>
        <w:rPr>
          <w:spacing w:val="-3"/>
          <w:sz w:val="26"/>
          <w:szCs w:val="26"/>
        </w:rPr>
        <w:lastRenderedPageBreak/>
        <w:tab/>
      </w:r>
      <w:r>
        <w:rPr>
          <w:spacing w:val="-3"/>
          <w:sz w:val="26"/>
          <w:szCs w:val="26"/>
        </w:rPr>
        <w:tab/>
        <w:t>4.</w:t>
      </w:r>
      <w:r>
        <w:rPr>
          <w:spacing w:val="-3"/>
          <w:sz w:val="26"/>
          <w:szCs w:val="26"/>
        </w:rPr>
        <w:tab/>
      </w:r>
      <w:r w:rsidR="00594799" w:rsidRPr="00594799">
        <w:rPr>
          <w:spacing w:val="-3"/>
          <w:sz w:val="26"/>
          <w:szCs w:val="26"/>
        </w:rPr>
        <w:t>That the docket at C-2013-2388319 be marked closed.</w:t>
      </w:r>
    </w:p>
    <w:p w:rsidR="00CA43A5" w:rsidRPr="00CA43A5" w:rsidRDefault="00CA43A5" w:rsidP="00CA43A5">
      <w:pPr>
        <w:rPr>
          <w:sz w:val="26"/>
          <w:szCs w:val="26"/>
        </w:rPr>
      </w:pPr>
    </w:p>
    <w:p w:rsidR="00CA43A5" w:rsidRPr="00CA43A5" w:rsidRDefault="00770CD7" w:rsidP="00CA43A5">
      <w:pPr>
        <w:rPr>
          <w:sz w:val="26"/>
          <w:szCs w:val="26"/>
        </w:rPr>
      </w:pPr>
      <w:r>
        <w:rPr>
          <w:noProof/>
        </w:rPr>
        <w:drawing>
          <wp:anchor distT="0" distB="0" distL="114300" distR="114300" simplePos="0" relativeHeight="251658240" behindDoc="1" locked="0" layoutInCell="1" allowOverlap="1" wp14:anchorId="03882C9A" wp14:editId="1A23C273">
            <wp:simplePos x="0" y="0"/>
            <wp:positionH relativeFrom="column">
              <wp:posOffset>3098800</wp:posOffset>
            </wp:positionH>
            <wp:positionV relativeFrom="paragraph">
              <wp:posOffset>173355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857172">
      <w:pPr>
        <w:tabs>
          <w:tab w:val="left" w:pos="-720"/>
        </w:tabs>
        <w:ind w:firstLine="5040"/>
        <w:rPr>
          <w:sz w:val="26"/>
          <w:szCs w:val="26"/>
        </w:rPr>
      </w:pPr>
      <w:r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594799">
        <w:rPr>
          <w:sz w:val="26"/>
          <w:szCs w:val="26"/>
        </w:rPr>
        <w:t xml:space="preserve">June </w:t>
      </w:r>
      <w:r w:rsidR="001E1688">
        <w:rPr>
          <w:sz w:val="26"/>
          <w:szCs w:val="26"/>
        </w:rPr>
        <w:t>19</w:t>
      </w:r>
      <w:r w:rsidR="00594799">
        <w:rPr>
          <w:sz w:val="26"/>
          <w:szCs w:val="26"/>
        </w:rPr>
        <w:t>, 2014</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770CD7">
        <w:rPr>
          <w:sz w:val="26"/>
          <w:szCs w:val="26"/>
        </w:rPr>
        <w:t>June 19, 2014</w:t>
      </w:r>
      <w:bookmarkStart w:id="2" w:name="_GoBack"/>
      <w:bookmarkEnd w:id="2"/>
    </w:p>
    <w:p w:rsidR="00344804" w:rsidRPr="00CA43A5" w:rsidRDefault="00344804" w:rsidP="00344804">
      <w:pPr>
        <w:ind w:right="360"/>
        <w:rPr>
          <w:sz w:val="26"/>
          <w:szCs w:val="26"/>
        </w:rPr>
      </w:pPr>
    </w:p>
    <w:sectPr w:rsidR="00344804" w:rsidRPr="00CA43A5" w:rsidSect="0028349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16" w:rsidRDefault="003F5E16" w:rsidP="003563BE">
      <w:r>
        <w:separator/>
      </w:r>
    </w:p>
  </w:endnote>
  <w:endnote w:type="continuationSeparator" w:id="0">
    <w:p w:rsidR="003F5E16" w:rsidRDefault="003F5E16" w:rsidP="0035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295601"/>
      <w:docPartObj>
        <w:docPartGallery w:val="Page Numbers (Bottom of Page)"/>
        <w:docPartUnique/>
      </w:docPartObj>
    </w:sdtPr>
    <w:sdtEndPr>
      <w:rPr>
        <w:noProof/>
        <w:sz w:val="26"/>
        <w:szCs w:val="26"/>
      </w:rPr>
    </w:sdtEndPr>
    <w:sdtContent>
      <w:p w:rsidR="0028349B" w:rsidRPr="00D44831" w:rsidRDefault="0028349B" w:rsidP="00D44831">
        <w:pPr>
          <w:pStyle w:val="Footer"/>
          <w:jc w:val="center"/>
          <w:rPr>
            <w:sz w:val="26"/>
            <w:szCs w:val="26"/>
          </w:rPr>
        </w:pPr>
        <w:r w:rsidRPr="00D44831">
          <w:rPr>
            <w:sz w:val="26"/>
            <w:szCs w:val="26"/>
          </w:rPr>
          <w:fldChar w:fldCharType="begin"/>
        </w:r>
        <w:r w:rsidRPr="00D44831">
          <w:rPr>
            <w:sz w:val="26"/>
            <w:szCs w:val="26"/>
          </w:rPr>
          <w:instrText xml:space="preserve"> PAGE   \* MERGEFORMAT </w:instrText>
        </w:r>
        <w:r w:rsidRPr="00D44831">
          <w:rPr>
            <w:sz w:val="26"/>
            <w:szCs w:val="26"/>
          </w:rPr>
          <w:fldChar w:fldCharType="separate"/>
        </w:r>
        <w:r w:rsidR="00770CD7">
          <w:rPr>
            <w:noProof/>
            <w:sz w:val="26"/>
            <w:szCs w:val="26"/>
          </w:rPr>
          <w:t>7</w:t>
        </w:r>
        <w:r w:rsidRPr="00D4483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16" w:rsidRDefault="003F5E16" w:rsidP="003563BE">
      <w:r>
        <w:separator/>
      </w:r>
    </w:p>
  </w:footnote>
  <w:footnote w:type="continuationSeparator" w:id="0">
    <w:p w:rsidR="003F5E16" w:rsidRDefault="003F5E16" w:rsidP="003563BE">
      <w:r>
        <w:continuationSeparator/>
      </w:r>
    </w:p>
  </w:footnote>
  <w:footnote w:id="1">
    <w:p w:rsidR="003563BE" w:rsidRPr="003563BE" w:rsidRDefault="003563BE">
      <w:pPr>
        <w:pStyle w:val="FootnoteText"/>
        <w:rPr>
          <w:sz w:val="26"/>
          <w:szCs w:val="26"/>
        </w:rPr>
      </w:pPr>
      <w:r>
        <w:tab/>
      </w:r>
      <w:r w:rsidRPr="003563BE">
        <w:rPr>
          <w:rStyle w:val="FootnoteReference"/>
          <w:sz w:val="26"/>
          <w:szCs w:val="26"/>
        </w:rPr>
        <w:footnoteRef/>
      </w:r>
      <w:r w:rsidR="00707233">
        <w:rPr>
          <w:sz w:val="26"/>
          <w:szCs w:val="26"/>
        </w:rPr>
        <w:t xml:space="preserve"> </w:t>
      </w:r>
      <w:r w:rsidR="00707233">
        <w:rPr>
          <w:sz w:val="26"/>
          <w:szCs w:val="26"/>
        </w:rPr>
        <w:tab/>
        <w:t>PGW’s</w:t>
      </w:r>
      <w:r w:rsidRPr="003563BE">
        <w:rPr>
          <w:sz w:val="26"/>
          <w:szCs w:val="26"/>
        </w:rPr>
        <w:t xml:space="preserve"> c</w:t>
      </w:r>
      <w:r w:rsidR="00707233">
        <w:rPr>
          <w:sz w:val="26"/>
          <w:szCs w:val="26"/>
        </w:rPr>
        <w:t>ustomer assistance program</w:t>
      </w:r>
      <w:r w:rsidRPr="003563BE">
        <w:rPr>
          <w:sz w:val="26"/>
          <w:szCs w:val="26"/>
        </w:rPr>
        <w:t xml:space="preserve"> provides reduced payment</w:t>
      </w:r>
      <w:r w:rsidR="00707233">
        <w:rPr>
          <w:sz w:val="26"/>
          <w:szCs w:val="26"/>
        </w:rPr>
        <w:t xml:space="preserve">s for income eligible customers and is called the Customer Responsibility Program.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36F29BD"/>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6BD"/>
    <w:rsid w:val="00016D57"/>
    <w:rsid w:val="00017852"/>
    <w:rsid w:val="00021E46"/>
    <w:rsid w:val="00022B74"/>
    <w:rsid w:val="00023746"/>
    <w:rsid w:val="0002524C"/>
    <w:rsid w:val="00025F3F"/>
    <w:rsid w:val="00026CD2"/>
    <w:rsid w:val="00031D36"/>
    <w:rsid w:val="00040A8E"/>
    <w:rsid w:val="00040AEA"/>
    <w:rsid w:val="00047874"/>
    <w:rsid w:val="00047F4A"/>
    <w:rsid w:val="000507F9"/>
    <w:rsid w:val="0005094F"/>
    <w:rsid w:val="000523D1"/>
    <w:rsid w:val="00052809"/>
    <w:rsid w:val="00052B8F"/>
    <w:rsid w:val="00054612"/>
    <w:rsid w:val="0005572E"/>
    <w:rsid w:val="00056286"/>
    <w:rsid w:val="000612FD"/>
    <w:rsid w:val="000642AA"/>
    <w:rsid w:val="000649EC"/>
    <w:rsid w:val="00066EE5"/>
    <w:rsid w:val="00067260"/>
    <w:rsid w:val="00072808"/>
    <w:rsid w:val="0007599E"/>
    <w:rsid w:val="00076F35"/>
    <w:rsid w:val="00084573"/>
    <w:rsid w:val="00084AF9"/>
    <w:rsid w:val="000918D4"/>
    <w:rsid w:val="00093164"/>
    <w:rsid w:val="0009612D"/>
    <w:rsid w:val="000966F1"/>
    <w:rsid w:val="00097504"/>
    <w:rsid w:val="000A365D"/>
    <w:rsid w:val="000B216D"/>
    <w:rsid w:val="000B2755"/>
    <w:rsid w:val="000B4D3E"/>
    <w:rsid w:val="000B4EAE"/>
    <w:rsid w:val="000B5238"/>
    <w:rsid w:val="000B5366"/>
    <w:rsid w:val="000B607A"/>
    <w:rsid w:val="000B6B15"/>
    <w:rsid w:val="000C2AE3"/>
    <w:rsid w:val="000C709A"/>
    <w:rsid w:val="000D58A5"/>
    <w:rsid w:val="000E78BF"/>
    <w:rsid w:val="000F179E"/>
    <w:rsid w:val="000F4307"/>
    <w:rsid w:val="0010158F"/>
    <w:rsid w:val="00101F51"/>
    <w:rsid w:val="001026CA"/>
    <w:rsid w:val="00104D9B"/>
    <w:rsid w:val="00113CFD"/>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66F6A"/>
    <w:rsid w:val="00174D3D"/>
    <w:rsid w:val="00182478"/>
    <w:rsid w:val="0018419B"/>
    <w:rsid w:val="00186A97"/>
    <w:rsid w:val="0019530E"/>
    <w:rsid w:val="00195F2E"/>
    <w:rsid w:val="001A03F8"/>
    <w:rsid w:val="001A0CE9"/>
    <w:rsid w:val="001A4F52"/>
    <w:rsid w:val="001B1DB4"/>
    <w:rsid w:val="001B7B8C"/>
    <w:rsid w:val="001C4978"/>
    <w:rsid w:val="001D0ED2"/>
    <w:rsid w:val="001D732E"/>
    <w:rsid w:val="001E0B61"/>
    <w:rsid w:val="001E1276"/>
    <w:rsid w:val="001E1688"/>
    <w:rsid w:val="001F261A"/>
    <w:rsid w:val="001F285E"/>
    <w:rsid w:val="001F6FFF"/>
    <w:rsid w:val="00202524"/>
    <w:rsid w:val="00207283"/>
    <w:rsid w:val="00207DA4"/>
    <w:rsid w:val="00210736"/>
    <w:rsid w:val="00210F81"/>
    <w:rsid w:val="00211622"/>
    <w:rsid w:val="00214B3E"/>
    <w:rsid w:val="0022698E"/>
    <w:rsid w:val="00227912"/>
    <w:rsid w:val="002311EE"/>
    <w:rsid w:val="0023657F"/>
    <w:rsid w:val="002370F5"/>
    <w:rsid w:val="00240ACA"/>
    <w:rsid w:val="00240D7B"/>
    <w:rsid w:val="00241299"/>
    <w:rsid w:val="00255454"/>
    <w:rsid w:val="00255462"/>
    <w:rsid w:val="00260957"/>
    <w:rsid w:val="00264646"/>
    <w:rsid w:val="0027232D"/>
    <w:rsid w:val="00274D0F"/>
    <w:rsid w:val="00277500"/>
    <w:rsid w:val="00281A5F"/>
    <w:rsid w:val="0028349B"/>
    <w:rsid w:val="00291F68"/>
    <w:rsid w:val="002A0475"/>
    <w:rsid w:val="002A060A"/>
    <w:rsid w:val="002A4450"/>
    <w:rsid w:val="002A6750"/>
    <w:rsid w:val="002B2296"/>
    <w:rsid w:val="002B4407"/>
    <w:rsid w:val="002B5E8B"/>
    <w:rsid w:val="002B67B7"/>
    <w:rsid w:val="002C0429"/>
    <w:rsid w:val="002C1027"/>
    <w:rsid w:val="002C19E4"/>
    <w:rsid w:val="002C6CC4"/>
    <w:rsid w:val="002D13C4"/>
    <w:rsid w:val="002D275E"/>
    <w:rsid w:val="002D6357"/>
    <w:rsid w:val="002D7584"/>
    <w:rsid w:val="002E3026"/>
    <w:rsid w:val="002E3F06"/>
    <w:rsid w:val="002E6FFA"/>
    <w:rsid w:val="002E7F8F"/>
    <w:rsid w:val="002F174C"/>
    <w:rsid w:val="002F3F04"/>
    <w:rsid w:val="002F41BA"/>
    <w:rsid w:val="002F616D"/>
    <w:rsid w:val="003018AA"/>
    <w:rsid w:val="003019D8"/>
    <w:rsid w:val="0030295D"/>
    <w:rsid w:val="00303B99"/>
    <w:rsid w:val="0030714F"/>
    <w:rsid w:val="003073E2"/>
    <w:rsid w:val="00307DDF"/>
    <w:rsid w:val="00314A43"/>
    <w:rsid w:val="00322040"/>
    <w:rsid w:val="003240B8"/>
    <w:rsid w:val="00325422"/>
    <w:rsid w:val="00330CFB"/>
    <w:rsid w:val="003313D6"/>
    <w:rsid w:val="00333FDA"/>
    <w:rsid w:val="003340DE"/>
    <w:rsid w:val="00340D19"/>
    <w:rsid w:val="00344804"/>
    <w:rsid w:val="003517D4"/>
    <w:rsid w:val="003518C8"/>
    <w:rsid w:val="003533B5"/>
    <w:rsid w:val="003563BE"/>
    <w:rsid w:val="003622CA"/>
    <w:rsid w:val="00363030"/>
    <w:rsid w:val="0036462C"/>
    <w:rsid w:val="00364A42"/>
    <w:rsid w:val="003755FB"/>
    <w:rsid w:val="0037577C"/>
    <w:rsid w:val="00380ECF"/>
    <w:rsid w:val="00385502"/>
    <w:rsid w:val="00391A43"/>
    <w:rsid w:val="003B0611"/>
    <w:rsid w:val="003B38C0"/>
    <w:rsid w:val="003B42D9"/>
    <w:rsid w:val="003C3140"/>
    <w:rsid w:val="003C3E02"/>
    <w:rsid w:val="003C3FE8"/>
    <w:rsid w:val="003C73F9"/>
    <w:rsid w:val="003D5F07"/>
    <w:rsid w:val="003D6AB5"/>
    <w:rsid w:val="003E3FF5"/>
    <w:rsid w:val="003E5354"/>
    <w:rsid w:val="003F3AA7"/>
    <w:rsid w:val="003F51F4"/>
    <w:rsid w:val="003F52C6"/>
    <w:rsid w:val="003F558E"/>
    <w:rsid w:val="003F5E16"/>
    <w:rsid w:val="003F6E3D"/>
    <w:rsid w:val="00403D6E"/>
    <w:rsid w:val="00406BE0"/>
    <w:rsid w:val="00407AC0"/>
    <w:rsid w:val="00412E30"/>
    <w:rsid w:val="004170AF"/>
    <w:rsid w:val="0042286F"/>
    <w:rsid w:val="00425744"/>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0EF3"/>
    <w:rsid w:val="00491D91"/>
    <w:rsid w:val="00494777"/>
    <w:rsid w:val="0049580C"/>
    <w:rsid w:val="0049768F"/>
    <w:rsid w:val="004A04E5"/>
    <w:rsid w:val="004A0DDA"/>
    <w:rsid w:val="004A1495"/>
    <w:rsid w:val="004A1617"/>
    <w:rsid w:val="004A2165"/>
    <w:rsid w:val="004A5F74"/>
    <w:rsid w:val="004B1052"/>
    <w:rsid w:val="004B6B14"/>
    <w:rsid w:val="004E47EC"/>
    <w:rsid w:val="004E514F"/>
    <w:rsid w:val="004E737F"/>
    <w:rsid w:val="004F03DE"/>
    <w:rsid w:val="004F22DA"/>
    <w:rsid w:val="004F2AF7"/>
    <w:rsid w:val="004F7908"/>
    <w:rsid w:val="00502165"/>
    <w:rsid w:val="00504834"/>
    <w:rsid w:val="00504C7A"/>
    <w:rsid w:val="00505AEE"/>
    <w:rsid w:val="0050632E"/>
    <w:rsid w:val="0050752D"/>
    <w:rsid w:val="00511EF3"/>
    <w:rsid w:val="00514507"/>
    <w:rsid w:val="00521350"/>
    <w:rsid w:val="00524D61"/>
    <w:rsid w:val="0053012A"/>
    <w:rsid w:val="005351B9"/>
    <w:rsid w:val="00536011"/>
    <w:rsid w:val="005443F8"/>
    <w:rsid w:val="00550B79"/>
    <w:rsid w:val="0055150B"/>
    <w:rsid w:val="005532F9"/>
    <w:rsid w:val="0055440B"/>
    <w:rsid w:val="0055708D"/>
    <w:rsid w:val="005574C6"/>
    <w:rsid w:val="00561CA6"/>
    <w:rsid w:val="00562F80"/>
    <w:rsid w:val="00564565"/>
    <w:rsid w:val="005647BE"/>
    <w:rsid w:val="00566299"/>
    <w:rsid w:val="005725F6"/>
    <w:rsid w:val="00586817"/>
    <w:rsid w:val="00586D92"/>
    <w:rsid w:val="00587507"/>
    <w:rsid w:val="00590B4D"/>
    <w:rsid w:val="00594799"/>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6960"/>
    <w:rsid w:val="005E77F4"/>
    <w:rsid w:val="005E7EB8"/>
    <w:rsid w:val="005F18D6"/>
    <w:rsid w:val="00603024"/>
    <w:rsid w:val="006116E3"/>
    <w:rsid w:val="00624400"/>
    <w:rsid w:val="00624E51"/>
    <w:rsid w:val="00626162"/>
    <w:rsid w:val="00626861"/>
    <w:rsid w:val="00634719"/>
    <w:rsid w:val="006503E8"/>
    <w:rsid w:val="00654A4A"/>
    <w:rsid w:val="0065545A"/>
    <w:rsid w:val="0065748A"/>
    <w:rsid w:val="006661CF"/>
    <w:rsid w:val="00670BFD"/>
    <w:rsid w:val="00671E4C"/>
    <w:rsid w:val="00674295"/>
    <w:rsid w:val="006818A8"/>
    <w:rsid w:val="00681A51"/>
    <w:rsid w:val="00682469"/>
    <w:rsid w:val="00683D97"/>
    <w:rsid w:val="00684FCA"/>
    <w:rsid w:val="00686B5C"/>
    <w:rsid w:val="00696997"/>
    <w:rsid w:val="006A758C"/>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2493"/>
    <w:rsid w:val="00707233"/>
    <w:rsid w:val="00714776"/>
    <w:rsid w:val="00714F3B"/>
    <w:rsid w:val="007166F7"/>
    <w:rsid w:val="00716AEF"/>
    <w:rsid w:val="00717076"/>
    <w:rsid w:val="00717296"/>
    <w:rsid w:val="007264A6"/>
    <w:rsid w:val="00727370"/>
    <w:rsid w:val="00731444"/>
    <w:rsid w:val="007336AA"/>
    <w:rsid w:val="00735D9E"/>
    <w:rsid w:val="0074109C"/>
    <w:rsid w:val="00742335"/>
    <w:rsid w:val="00742842"/>
    <w:rsid w:val="00753376"/>
    <w:rsid w:val="007543B0"/>
    <w:rsid w:val="007568A9"/>
    <w:rsid w:val="00761514"/>
    <w:rsid w:val="007618F1"/>
    <w:rsid w:val="00763CE7"/>
    <w:rsid w:val="00770CD7"/>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7F7270"/>
    <w:rsid w:val="00800FB7"/>
    <w:rsid w:val="00801C56"/>
    <w:rsid w:val="00802E4F"/>
    <w:rsid w:val="00804BE4"/>
    <w:rsid w:val="00810603"/>
    <w:rsid w:val="00813D75"/>
    <w:rsid w:val="00814283"/>
    <w:rsid w:val="00820209"/>
    <w:rsid w:val="00820F35"/>
    <w:rsid w:val="00820FEC"/>
    <w:rsid w:val="00822A88"/>
    <w:rsid w:val="0082393D"/>
    <w:rsid w:val="0083324D"/>
    <w:rsid w:val="00841733"/>
    <w:rsid w:val="00842CC6"/>
    <w:rsid w:val="00844D38"/>
    <w:rsid w:val="00844D85"/>
    <w:rsid w:val="00844DA0"/>
    <w:rsid w:val="008513D4"/>
    <w:rsid w:val="008524BE"/>
    <w:rsid w:val="00853BC2"/>
    <w:rsid w:val="00854278"/>
    <w:rsid w:val="00856063"/>
    <w:rsid w:val="00857172"/>
    <w:rsid w:val="0086236A"/>
    <w:rsid w:val="0086529F"/>
    <w:rsid w:val="0087035A"/>
    <w:rsid w:val="0087347D"/>
    <w:rsid w:val="00882DAD"/>
    <w:rsid w:val="00885263"/>
    <w:rsid w:val="00892714"/>
    <w:rsid w:val="00892DA5"/>
    <w:rsid w:val="008949B1"/>
    <w:rsid w:val="0089713E"/>
    <w:rsid w:val="008A10F3"/>
    <w:rsid w:val="008A5C0F"/>
    <w:rsid w:val="008B1596"/>
    <w:rsid w:val="008C09C4"/>
    <w:rsid w:val="008C1F44"/>
    <w:rsid w:val="008C646F"/>
    <w:rsid w:val="008E3E4B"/>
    <w:rsid w:val="008E4EF9"/>
    <w:rsid w:val="008E6DFC"/>
    <w:rsid w:val="008E7710"/>
    <w:rsid w:val="00900D4D"/>
    <w:rsid w:val="00903F34"/>
    <w:rsid w:val="00905C0A"/>
    <w:rsid w:val="009122F8"/>
    <w:rsid w:val="00915520"/>
    <w:rsid w:val="009155F7"/>
    <w:rsid w:val="00921131"/>
    <w:rsid w:val="009247F5"/>
    <w:rsid w:val="00925D9E"/>
    <w:rsid w:val="00926AB2"/>
    <w:rsid w:val="009407FE"/>
    <w:rsid w:val="00942436"/>
    <w:rsid w:val="00946267"/>
    <w:rsid w:val="009539AA"/>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557"/>
    <w:rsid w:val="009A06F5"/>
    <w:rsid w:val="009A0788"/>
    <w:rsid w:val="009A0E92"/>
    <w:rsid w:val="009A17EC"/>
    <w:rsid w:val="009B03DF"/>
    <w:rsid w:val="009B621F"/>
    <w:rsid w:val="009B6AF0"/>
    <w:rsid w:val="009C292D"/>
    <w:rsid w:val="009C5F0C"/>
    <w:rsid w:val="009C67C0"/>
    <w:rsid w:val="009D1035"/>
    <w:rsid w:val="009D13D0"/>
    <w:rsid w:val="009D2068"/>
    <w:rsid w:val="009D47DE"/>
    <w:rsid w:val="009D7D33"/>
    <w:rsid w:val="009E4DD4"/>
    <w:rsid w:val="009E4E3F"/>
    <w:rsid w:val="009E698B"/>
    <w:rsid w:val="009F1547"/>
    <w:rsid w:val="009F4ABA"/>
    <w:rsid w:val="00A0051F"/>
    <w:rsid w:val="00A044A1"/>
    <w:rsid w:val="00A066AE"/>
    <w:rsid w:val="00A10DD9"/>
    <w:rsid w:val="00A12C6B"/>
    <w:rsid w:val="00A14117"/>
    <w:rsid w:val="00A149FA"/>
    <w:rsid w:val="00A17DF0"/>
    <w:rsid w:val="00A20F78"/>
    <w:rsid w:val="00A218F1"/>
    <w:rsid w:val="00A27DEE"/>
    <w:rsid w:val="00A31B93"/>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0A21"/>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E2BC6"/>
    <w:rsid w:val="00AE33FF"/>
    <w:rsid w:val="00AF06D5"/>
    <w:rsid w:val="00AF09DD"/>
    <w:rsid w:val="00AF6BF1"/>
    <w:rsid w:val="00B01631"/>
    <w:rsid w:val="00B02655"/>
    <w:rsid w:val="00B05102"/>
    <w:rsid w:val="00B16A34"/>
    <w:rsid w:val="00B16D66"/>
    <w:rsid w:val="00B25453"/>
    <w:rsid w:val="00B31B9C"/>
    <w:rsid w:val="00B34D6C"/>
    <w:rsid w:val="00B434A3"/>
    <w:rsid w:val="00B5544F"/>
    <w:rsid w:val="00B55E5D"/>
    <w:rsid w:val="00B60A36"/>
    <w:rsid w:val="00B62CF2"/>
    <w:rsid w:val="00B66867"/>
    <w:rsid w:val="00B66994"/>
    <w:rsid w:val="00B71AFB"/>
    <w:rsid w:val="00B71F3A"/>
    <w:rsid w:val="00B73C97"/>
    <w:rsid w:val="00B76340"/>
    <w:rsid w:val="00B80C43"/>
    <w:rsid w:val="00B94786"/>
    <w:rsid w:val="00BA78B6"/>
    <w:rsid w:val="00BB26AD"/>
    <w:rsid w:val="00BB79BD"/>
    <w:rsid w:val="00BC7208"/>
    <w:rsid w:val="00BD0B48"/>
    <w:rsid w:val="00BD2A0A"/>
    <w:rsid w:val="00BD5D0F"/>
    <w:rsid w:val="00BD7C68"/>
    <w:rsid w:val="00BE1CBC"/>
    <w:rsid w:val="00BE24FD"/>
    <w:rsid w:val="00BE29DC"/>
    <w:rsid w:val="00BF697A"/>
    <w:rsid w:val="00BF6ADB"/>
    <w:rsid w:val="00BF6F67"/>
    <w:rsid w:val="00C00F7B"/>
    <w:rsid w:val="00C0222A"/>
    <w:rsid w:val="00C03776"/>
    <w:rsid w:val="00C13821"/>
    <w:rsid w:val="00C14051"/>
    <w:rsid w:val="00C15F73"/>
    <w:rsid w:val="00C169D8"/>
    <w:rsid w:val="00C2037B"/>
    <w:rsid w:val="00C22FF7"/>
    <w:rsid w:val="00C2472D"/>
    <w:rsid w:val="00C248FE"/>
    <w:rsid w:val="00C27F76"/>
    <w:rsid w:val="00C30DA4"/>
    <w:rsid w:val="00C36225"/>
    <w:rsid w:val="00C44719"/>
    <w:rsid w:val="00C50108"/>
    <w:rsid w:val="00C52209"/>
    <w:rsid w:val="00C6572C"/>
    <w:rsid w:val="00C70CFF"/>
    <w:rsid w:val="00C71DD9"/>
    <w:rsid w:val="00C75655"/>
    <w:rsid w:val="00C837C3"/>
    <w:rsid w:val="00C84497"/>
    <w:rsid w:val="00C86110"/>
    <w:rsid w:val="00C868F6"/>
    <w:rsid w:val="00C9137C"/>
    <w:rsid w:val="00C91644"/>
    <w:rsid w:val="00C960A7"/>
    <w:rsid w:val="00C9663B"/>
    <w:rsid w:val="00CA43A5"/>
    <w:rsid w:val="00CA7C0B"/>
    <w:rsid w:val="00CB6E2B"/>
    <w:rsid w:val="00CB6FF7"/>
    <w:rsid w:val="00CB7302"/>
    <w:rsid w:val="00CC1E9F"/>
    <w:rsid w:val="00CC5896"/>
    <w:rsid w:val="00CE0C35"/>
    <w:rsid w:val="00CE3810"/>
    <w:rsid w:val="00CE52B4"/>
    <w:rsid w:val="00CE53AE"/>
    <w:rsid w:val="00CE5DCD"/>
    <w:rsid w:val="00CE701C"/>
    <w:rsid w:val="00CE7599"/>
    <w:rsid w:val="00CF414A"/>
    <w:rsid w:val="00CF4FF0"/>
    <w:rsid w:val="00CF5B47"/>
    <w:rsid w:val="00CF692A"/>
    <w:rsid w:val="00D03B2D"/>
    <w:rsid w:val="00D104F9"/>
    <w:rsid w:val="00D14323"/>
    <w:rsid w:val="00D16008"/>
    <w:rsid w:val="00D166D4"/>
    <w:rsid w:val="00D220B7"/>
    <w:rsid w:val="00D30254"/>
    <w:rsid w:val="00D33768"/>
    <w:rsid w:val="00D33D87"/>
    <w:rsid w:val="00D35077"/>
    <w:rsid w:val="00D35A6E"/>
    <w:rsid w:val="00D408A8"/>
    <w:rsid w:val="00D44831"/>
    <w:rsid w:val="00D46DAE"/>
    <w:rsid w:val="00D47124"/>
    <w:rsid w:val="00D51C8F"/>
    <w:rsid w:val="00D5204B"/>
    <w:rsid w:val="00D54C10"/>
    <w:rsid w:val="00D55191"/>
    <w:rsid w:val="00D55CD0"/>
    <w:rsid w:val="00D57544"/>
    <w:rsid w:val="00D57973"/>
    <w:rsid w:val="00D60CE2"/>
    <w:rsid w:val="00D612EC"/>
    <w:rsid w:val="00D6153E"/>
    <w:rsid w:val="00D623C4"/>
    <w:rsid w:val="00D722DF"/>
    <w:rsid w:val="00D84675"/>
    <w:rsid w:val="00D8526A"/>
    <w:rsid w:val="00D86252"/>
    <w:rsid w:val="00D917F3"/>
    <w:rsid w:val="00D97BAA"/>
    <w:rsid w:val="00DA3AF3"/>
    <w:rsid w:val="00DA47CD"/>
    <w:rsid w:val="00DA5455"/>
    <w:rsid w:val="00DA5C2B"/>
    <w:rsid w:val="00DB5EFB"/>
    <w:rsid w:val="00DB6EF1"/>
    <w:rsid w:val="00DC19BB"/>
    <w:rsid w:val="00DC6404"/>
    <w:rsid w:val="00DD7FDF"/>
    <w:rsid w:val="00DE1703"/>
    <w:rsid w:val="00DE25AC"/>
    <w:rsid w:val="00DE5A4E"/>
    <w:rsid w:val="00DF3420"/>
    <w:rsid w:val="00DF568D"/>
    <w:rsid w:val="00E00CCB"/>
    <w:rsid w:val="00E042C7"/>
    <w:rsid w:val="00E049C5"/>
    <w:rsid w:val="00E0781A"/>
    <w:rsid w:val="00E11475"/>
    <w:rsid w:val="00E175A7"/>
    <w:rsid w:val="00E20168"/>
    <w:rsid w:val="00E20740"/>
    <w:rsid w:val="00E20E92"/>
    <w:rsid w:val="00E237C6"/>
    <w:rsid w:val="00E245DA"/>
    <w:rsid w:val="00E24645"/>
    <w:rsid w:val="00E262DF"/>
    <w:rsid w:val="00E2738C"/>
    <w:rsid w:val="00E31BCB"/>
    <w:rsid w:val="00E32963"/>
    <w:rsid w:val="00E337BC"/>
    <w:rsid w:val="00E350CD"/>
    <w:rsid w:val="00E372A9"/>
    <w:rsid w:val="00E4001B"/>
    <w:rsid w:val="00E51FDE"/>
    <w:rsid w:val="00E534B2"/>
    <w:rsid w:val="00E5388E"/>
    <w:rsid w:val="00E56B66"/>
    <w:rsid w:val="00E579AF"/>
    <w:rsid w:val="00E641D1"/>
    <w:rsid w:val="00E705B7"/>
    <w:rsid w:val="00E7086E"/>
    <w:rsid w:val="00E70ECC"/>
    <w:rsid w:val="00E71A89"/>
    <w:rsid w:val="00E77197"/>
    <w:rsid w:val="00E81B1A"/>
    <w:rsid w:val="00E84FB3"/>
    <w:rsid w:val="00E87037"/>
    <w:rsid w:val="00E92ABF"/>
    <w:rsid w:val="00EA0F03"/>
    <w:rsid w:val="00EA1EF9"/>
    <w:rsid w:val="00EA2CA0"/>
    <w:rsid w:val="00EA2D3B"/>
    <w:rsid w:val="00EA7237"/>
    <w:rsid w:val="00EB055B"/>
    <w:rsid w:val="00EB112A"/>
    <w:rsid w:val="00EB535A"/>
    <w:rsid w:val="00EC1212"/>
    <w:rsid w:val="00EC1D3D"/>
    <w:rsid w:val="00EC220E"/>
    <w:rsid w:val="00EC3331"/>
    <w:rsid w:val="00EC677E"/>
    <w:rsid w:val="00EC7E67"/>
    <w:rsid w:val="00ED5B5C"/>
    <w:rsid w:val="00ED70BD"/>
    <w:rsid w:val="00EE0B3E"/>
    <w:rsid w:val="00EE37BB"/>
    <w:rsid w:val="00EF08EC"/>
    <w:rsid w:val="00EF34B0"/>
    <w:rsid w:val="00EF4099"/>
    <w:rsid w:val="00EF6BDC"/>
    <w:rsid w:val="00F012AD"/>
    <w:rsid w:val="00F01C4C"/>
    <w:rsid w:val="00F02786"/>
    <w:rsid w:val="00F0434F"/>
    <w:rsid w:val="00F0670F"/>
    <w:rsid w:val="00F07FA6"/>
    <w:rsid w:val="00F11BB3"/>
    <w:rsid w:val="00F13036"/>
    <w:rsid w:val="00F172E1"/>
    <w:rsid w:val="00F20976"/>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5E98"/>
    <w:rsid w:val="00FA3CD0"/>
    <w:rsid w:val="00FA7C8B"/>
    <w:rsid w:val="00FB0249"/>
    <w:rsid w:val="00FB793A"/>
    <w:rsid w:val="00FC24E9"/>
    <w:rsid w:val="00FC5915"/>
    <w:rsid w:val="00FC5D6D"/>
    <w:rsid w:val="00FD6657"/>
    <w:rsid w:val="00FE4A24"/>
    <w:rsid w:val="00FE4C4F"/>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NoSpacing">
    <w:name w:val="No Spacing"/>
    <w:uiPriority w:val="1"/>
    <w:qFormat/>
    <w:rsid w:val="00E262DF"/>
    <w:pPr>
      <w:widowControl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563BE"/>
  </w:style>
  <w:style w:type="character" w:customStyle="1" w:styleId="FootnoteTextChar">
    <w:name w:val="Footnote Text Char"/>
    <w:basedOn w:val="DefaultParagraphFont"/>
    <w:link w:val="FootnoteText"/>
    <w:uiPriority w:val="99"/>
    <w:semiHidden/>
    <w:rsid w:val="003563B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8349B"/>
    <w:pPr>
      <w:tabs>
        <w:tab w:val="center" w:pos="4680"/>
        <w:tab w:val="right" w:pos="9360"/>
      </w:tabs>
    </w:pPr>
  </w:style>
  <w:style w:type="character" w:customStyle="1" w:styleId="HeaderChar">
    <w:name w:val="Header Char"/>
    <w:basedOn w:val="DefaultParagraphFont"/>
    <w:link w:val="Header"/>
    <w:uiPriority w:val="99"/>
    <w:rsid w:val="002834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49B"/>
    <w:pPr>
      <w:tabs>
        <w:tab w:val="center" w:pos="4680"/>
        <w:tab w:val="right" w:pos="9360"/>
      </w:tabs>
    </w:pPr>
  </w:style>
  <w:style w:type="character" w:customStyle="1" w:styleId="FooterChar">
    <w:name w:val="Footer Char"/>
    <w:basedOn w:val="DefaultParagraphFont"/>
    <w:link w:val="Footer"/>
    <w:uiPriority w:val="99"/>
    <w:rsid w:val="0028349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NoSpacing">
    <w:name w:val="No Spacing"/>
    <w:uiPriority w:val="1"/>
    <w:qFormat/>
    <w:rsid w:val="00E262DF"/>
    <w:pPr>
      <w:widowControl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563BE"/>
  </w:style>
  <w:style w:type="character" w:customStyle="1" w:styleId="FootnoteTextChar">
    <w:name w:val="Footnote Text Char"/>
    <w:basedOn w:val="DefaultParagraphFont"/>
    <w:link w:val="FootnoteText"/>
    <w:uiPriority w:val="99"/>
    <w:semiHidden/>
    <w:rsid w:val="003563B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8349B"/>
    <w:pPr>
      <w:tabs>
        <w:tab w:val="center" w:pos="4680"/>
        <w:tab w:val="right" w:pos="9360"/>
      </w:tabs>
    </w:pPr>
  </w:style>
  <w:style w:type="character" w:customStyle="1" w:styleId="HeaderChar">
    <w:name w:val="Header Char"/>
    <w:basedOn w:val="DefaultParagraphFont"/>
    <w:link w:val="Header"/>
    <w:uiPriority w:val="99"/>
    <w:rsid w:val="002834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49B"/>
    <w:pPr>
      <w:tabs>
        <w:tab w:val="center" w:pos="4680"/>
        <w:tab w:val="right" w:pos="9360"/>
      </w:tabs>
    </w:pPr>
  </w:style>
  <w:style w:type="character" w:customStyle="1" w:styleId="FooterChar">
    <w:name w:val="Footer Char"/>
    <w:basedOn w:val="DefaultParagraphFont"/>
    <w:link w:val="Footer"/>
    <w:uiPriority w:val="99"/>
    <w:rsid w:val="002834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A6A7-B2C5-4B58-B78C-A4B3E0D5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4</cp:revision>
  <cp:lastPrinted>2014-06-19T11:47:00Z</cp:lastPrinted>
  <dcterms:created xsi:type="dcterms:W3CDTF">2014-06-17T18:42:00Z</dcterms:created>
  <dcterms:modified xsi:type="dcterms:W3CDTF">2014-06-19T11:47:00Z</dcterms:modified>
</cp:coreProperties>
</file>