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6C0DCA">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6C0DCA">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6C0DCA">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6C0DCA">
      <w:pPr>
        <w:widowControl/>
        <w:tabs>
          <w:tab w:val="left" w:pos="-720"/>
        </w:tabs>
        <w:suppressAutoHyphens/>
        <w:rPr>
          <w:sz w:val="26"/>
          <w:szCs w:val="26"/>
        </w:rPr>
      </w:pPr>
    </w:p>
    <w:p w:rsidR="00F514FB" w:rsidRPr="00F514FB" w:rsidRDefault="00F514FB" w:rsidP="006C0DCA">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6C0DCA">
            <w:pPr>
              <w:widowControl/>
              <w:rPr>
                <w:sz w:val="26"/>
                <w:szCs w:val="26"/>
              </w:rPr>
            </w:pPr>
          </w:p>
        </w:tc>
        <w:tc>
          <w:tcPr>
            <w:tcW w:w="4428" w:type="dxa"/>
          </w:tcPr>
          <w:p w:rsidR="00F514FB" w:rsidRPr="00F514FB" w:rsidRDefault="00BE365A" w:rsidP="006C0DCA">
            <w:pPr>
              <w:widowControl/>
              <w:jc w:val="right"/>
              <w:rPr>
                <w:sz w:val="26"/>
                <w:szCs w:val="26"/>
              </w:rPr>
            </w:pPr>
            <w:r>
              <w:rPr>
                <w:sz w:val="26"/>
                <w:szCs w:val="26"/>
              </w:rPr>
              <w:t xml:space="preserve">Public Meeting held June </w:t>
            </w:r>
            <w:r w:rsidR="00541C05">
              <w:rPr>
                <w:sz w:val="26"/>
                <w:szCs w:val="26"/>
              </w:rPr>
              <w:t>19</w:t>
            </w:r>
            <w:r>
              <w:rPr>
                <w:sz w:val="26"/>
                <w:szCs w:val="26"/>
              </w:rPr>
              <w:t>, 2014</w:t>
            </w:r>
          </w:p>
          <w:p w:rsidR="00F514FB" w:rsidRPr="00F514FB" w:rsidRDefault="00F514FB" w:rsidP="006C0DCA">
            <w:pPr>
              <w:widowControl/>
              <w:jc w:val="right"/>
              <w:rPr>
                <w:sz w:val="26"/>
                <w:szCs w:val="26"/>
              </w:rPr>
            </w:pPr>
          </w:p>
          <w:p w:rsidR="00F514FB" w:rsidRPr="00F514FB" w:rsidRDefault="00F514FB" w:rsidP="006C0DCA">
            <w:pPr>
              <w:widowControl/>
              <w:jc w:val="right"/>
              <w:rPr>
                <w:sz w:val="26"/>
                <w:szCs w:val="26"/>
              </w:rPr>
            </w:pPr>
          </w:p>
        </w:tc>
      </w:tr>
      <w:tr w:rsidR="001665C4" w:rsidRPr="00F514FB" w:rsidTr="00A202E2">
        <w:tc>
          <w:tcPr>
            <w:tcW w:w="9486" w:type="dxa"/>
            <w:gridSpan w:val="2"/>
          </w:tcPr>
          <w:p w:rsidR="001665C4" w:rsidRPr="00F514FB" w:rsidRDefault="001665C4" w:rsidP="006C0DCA">
            <w:pPr>
              <w:widowControl/>
              <w:rPr>
                <w:sz w:val="26"/>
                <w:szCs w:val="26"/>
              </w:rPr>
            </w:pPr>
            <w:r w:rsidRPr="00F514FB">
              <w:rPr>
                <w:sz w:val="26"/>
                <w:szCs w:val="26"/>
              </w:rPr>
              <w:t>Commissioners Present:</w:t>
            </w:r>
          </w:p>
          <w:p w:rsidR="001665C4" w:rsidRPr="00F514FB" w:rsidRDefault="001665C4" w:rsidP="006C0DCA">
            <w:pPr>
              <w:widowControl/>
              <w:rPr>
                <w:sz w:val="26"/>
                <w:szCs w:val="26"/>
              </w:rPr>
            </w:pPr>
          </w:p>
          <w:p w:rsidR="001665C4" w:rsidRPr="008516FF" w:rsidRDefault="001665C4" w:rsidP="006C0DCA">
            <w:pPr>
              <w:widowControl/>
              <w:tabs>
                <w:tab w:val="left" w:pos="705"/>
              </w:tabs>
              <w:ind w:firstLine="720"/>
              <w:contextualSpacing/>
              <w:rPr>
                <w:sz w:val="26"/>
                <w:szCs w:val="26"/>
              </w:rPr>
            </w:pPr>
            <w:r w:rsidRPr="008516FF">
              <w:rPr>
                <w:sz w:val="26"/>
                <w:szCs w:val="26"/>
              </w:rPr>
              <w:t>Robert F. Powelson, Chairman</w:t>
            </w:r>
            <w:r w:rsidR="00054861">
              <w:rPr>
                <w:sz w:val="26"/>
                <w:szCs w:val="26"/>
              </w:rPr>
              <w:t>, Statement</w:t>
            </w:r>
          </w:p>
          <w:p w:rsidR="001665C4" w:rsidRPr="008516FF" w:rsidRDefault="001665C4" w:rsidP="006C0DCA">
            <w:pPr>
              <w:widowControl/>
              <w:tabs>
                <w:tab w:val="left" w:pos="705"/>
              </w:tabs>
              <w:ind w:firstLine="720"/>
              <w:contextualSpacing/>
              <w:rPr>
                <w:sz w:val="26"/>
                <w:szCs w:val="26"/>
              </w:rPr>
            </w:pPr>
            <w:r w:rsidRPr="008516FF">
              <w:rPr>
                <w:sz w:val="26"/>
                <w:szCs w:val="26"/>
              </w:rPr>
              <w:t>John F. Coleman, Jr., Vice Chairman</w:t>
            </w:r>
          </w:p>
          <w:p w:rsidR="001665C4" w:rsidRPr="008516FF" w:rsidRDefault="001665C4" w:rsidP="006C0DCA">
            <w:pPr>
              <w:widowControl/>
              <w:tabs>
                <w:tab w:val="left" w:pos="705"/>
              </w:tabs>
              <w:ind w:firstLine="720"/>
              <w:contextualSpacing/>
              <w:rPr>
                <w:sz w:val="26"/>
                <w:szCs w:val="26"/>
              </w:rPr>
            </w:pPr>
            <w:r w:rsidRPr="008516FF">
              <w:rPr>
                <w:sz w:val="26"/>
                <w:szCs w:val="26"/>
              </w:rPr>
              <w:t>James H. Cawley</w:t>
            </w:r>
            <w:r>
              <w:rPr>
                <w:sz w:val="26"/>
                <w:szCs w:val="26"/>
              </w:rPr>
              <w:t>, Joint Dissenting Statement</w:t>
            </w:r>
          </w:p>
          <w:p w:rsidR="001665C4" w:rsidRDefault="001665C4" w:rsidP="006C0DCA">
            <w:pPr>
              <w:widowControl/>
              <w:tabs>
                <w:tab w:val="left" w:pos="705"/>
              </w:tabs>
              <w:ind w:firstLine="720"/>
              <w:contextualSpacing/>
              <w:rPr>
                <w:sz w:val="26"/>
                <w:szCs w:val="26"/>
              </w:rPr>
            </w:pPr>
            <w:r w:rsidRPr="008516FF">
              <w:rPr>
                <w:sz w:val="26"/>
                <w:szCs w:val="26"/>
              </w:rPr>
              <w:t>Pamela A. Witmer</w:t>
            </w:r>
          </w:p>
          <w:p w:rsidR="001665C4" w:rsidRPr="008516FF" w:rsidRDefault="001665C4" w:rsidP="006C0DCA">
            <w:pPr>
              <w:widowControl/>
              <w:tabs>
                <w:tab w:val="left" w:pos="705"/>
              </w:tabs>
              <w:ind w:firstLine="720"/>
              <w:contextualSpacing/>
              <w:rPr>
                <w:sz w:val="26"/>
                <w:szCs w:val="26"/>
              </w:rPr>
            </w:pPr>
            <w:r>
              <w:rPr>
                <w:sz w:val="26"/>
                <w:szCs w:val="26"/>
              </w:rPr>
              <w:t>Gladys M. Brown, Joint Dissenting Statement</w:t>
            </w:r>
          </w:p>
          <w:p w:rsidR="001665C4" w:rsidRPr="00F514FB" w:rsidRDefault="001665C4" w:rsidP="006C0DCA">
            <w:pPr>
              <w:widowControl/>
              <w:rPr>
                <w:sz w:val="26"/>
                <w:szCs w:val="26"/>
              </w:rPr>
            </w:pPr>
          </w:p>
          <w:p w:rsidR="001665C4" w:rsidRPr="00F514FB" w:rsidRDefault="001665C4" w:rsidP="006C0DCA">
            <w:pPr>
              <w:widowControl/>
              <w:jc w:val="right"/>
              <w:rPr>
                <w:sz w:val="26"/>
                <w:szCs w:val="26"/>
              </w:rPr>
            </w:pPr>
          </w:p>
          <w:p w:rsidR="001665C4" w:rsidRPr="00F514FB" w:rsidRDefault="001665C4" w:rsidP="006C0DCA">
            <w:pPr>
              <w:widowControl/>
              <w:jc w:val="right"/>
              <w:rPr>
                <w:sz w:val="26"/>
                <w:szCs w:val="26"/>
              </w:rPr>
            </w:pPr>
          </w:p>
        </w:tc>
      </w:tr>
      <w:tr w:rsidR="00F514FB" w:rsidRPr="00F514FB" w:rsidTr="00DE25AC">
        <w:tc>
          <w:tcPr>
            <w:tcW w:w="5058" w:type="dxa"/>
          </w:tcPr>
          <w:p w:rsidR="00F514FB" w:rsidRPr="00F514FB" w:rsidRDefault="00BE365A" w:rsidP="006C0DCA">
            <w:pPr>
              <w:widowControl/>
              <w:rPr>
                <w:sz w:val="26"/>
                <w:szCs w:val="26"/>
              </w:rPr>
            </w:pPr>
            <w:r>
              <w:rPr>
                <w:sz w:val="26"/>
                <w:szCs w:val="26"/>
              </w:rPr>
              <w:t>Mohamed Mansaray</w:t>
            </w:r>
          </w:p>
          <w:p w:rsidR="00F514FB" w:rsidRPr="00F514FB" w:rsidRDefault="00F514FB" w:rsidP="006C0DCA">
            <w:pPr>
              <w:widowControl/>
              <w:rPr>
                <w:sz w:val="26"/>
                <w:szCs w:val="26"/>
              </w:rPr>
            </w:pPr>
          </w:p>
        </w:tc>
        <w:tc>
          <w:tcPr>
            <w:tcW w:w="4428" w:type="dxa"/>
          </w:tcPr>
          <w:p w:rsidR="00F514FB" w:rsidRPr="00F514FB" w:rsidRDefault="00BE365A" w:rsidP="006C0DCA">
            <w:pPr>
              <w:widowControl/>
              <w:jc w:val="right"/>
              <w:rPr>
                <w:sz w:val="26"/>
                <w:szCs w:val="26"/>
              </w:rPr>
            </w:pPr>
            <w:r>
              <w:rPr>
                <w:sz w:val="26"/>
                <w:szCs w:val="26"/>
              </w:rPr>
              <w:t>C-2013-2352692</w:t>
            </w:r>
          </w:p>
        </w:tc>
      </w:tr>
      <w:tr w:rsidR="00F514FB" w:rsidRPr="00F514FB" w:rsidTr="00DE25AC">
        <w:tc>
          <w:tcPr>
            <w:tcW w:w="5058" w:type="dxa"/>
          </w:tcPr>
          <w:p w:rsidR="00F514FB" w:rsidRPr="00F514FB" w:rsidRDefault="00F514FB" w:rsidP="006C0DCA">
            <w:pPr>
              <w:widowControl/>
              <w:ind w:firstLine="1440"/>
              <w:rPr>
                <w:sz w:val="26"/>
                <w:szCs w:val="26"/>
              </w:rPr>
            </w:pPr>
            <w:r w:rsidRPr="00F514FB">
              <w:rPr>
                <w:sz w:val="26"/>
                <w:szCs w:val="26"/>
              </w:rPr>
              <w:t>v.</w:t>
            </w:r>
          </w:p>
          <w:p w:rsidR="00F514FB" w:rsidRPr="00F514FB" w:rsidRDefault="00F514FB" w:rsidP="006C0DCA">
            <w:pPr>
              <w:widowControl/>
              <w:ind w:firstLine="1440"/>
              <w:rPr>
                <w:sz w:val="26"/>
                <w:szCs w:val="26"/>
              </w:rPr>
            </w:pPr>
          </w:p>
        </w:tc>
        <w:tc>
          <w:tcPr>
            <w:tcW w:w="4428" w:type="dxa"/>
          </w:tcPr>
          <w:p w:rsidR="00F514FB" w:rsidRPr="00F514FB" w:rsidRDefault="00F514FB" w:rsidP="006C0DCA">
            <w:pPr>
              <w:widowControl/>
              <w:rPr>
                <w:sz w:val="26"/>
                <w:szCs w:val="26"/>
              </w:rPr>
            </w:pPr>
          </w:p>
        </w:tc>
      </w:tr>
      <w:tr w:rsidR="00F514FB" w:rsidRPr="00F514FB" w:rsidTr="00E871F2">
        <w:tc>
          <w:tcPr>
            <w:tcW w:w="5058" w:type="dxa"/>
          </w:tcPr>
          <w:p w:rsidR="00F514FB" w:rsidRPr="00F514FB" w:rsidRDefault="00BE365A" w:rsidP="006C0DCA">
            <w:pPr>
              <w:widowControl/>
              <w:rPr>
                <w:sz w:val="26"/>
                <w:szCs w:val="26"/>
              </w:rPr>
            </w:pPr>
            <w:r>
              <w:rPr>
                <w:sz w:val="26"/>
                <w:szCs w:val="26"/>
              </w:rPr>
              <w:t>PECO Energy Company</w:t>
            </w:r>
          </w:p>
        </w:tc>
        <w:tc>
          <w:tcPr>
            <w:tcW w:w="4428" w:type="dxa"/>
          </w:tcPr>
          <w:p w:rsidR="00F514FB" w:rsidRPr="00F514FB" w:rsidRDefault="00F514FB" w:rsidP="006C0DCA">
            <w:pPr>
              <w:widowControl/>
              <w:rPr>
                <w:sz w:val="26"/>
                <w:szCs w:val="26"/>
              </w:rPr>
            </w:pPr>
          </w:p>
        </w:tc>
      </w:tr>
    </w:tbl>
    <w:p w:rsidR="00F514FB" w:rsidRPr="00F514FB" w:rsidRDefault="00F514FB" w:rsidP="006C0DCA">
      <w:pPr>
        <w:widowControl/>
        <w:rPr>
          <w:sz w:val="26"/>
          <w:szCs w:val="26"/>
        </w:rPr>
      </w:pPr>
    </w:p>
    <w:p w:rsidR="00F514FB" w:rsidRPr="00F514FB" w:rsidRDefault="00F514FB" w:rsidP="006C0DCA">
      <w:pPr>
        <w:widowControl/>
        <w:rPr>
          <w:sz w:val="26"/>
          <w:szCs w:val="26"/>
        </w:rPr>
      </w:pPr>
    </w:p>
    <w:p w:rsidR="00F514FB" w:rsidRPr="00F514FB" w:rsidRDefault="00F514FB" w:rsidP="006C0DCA">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6C0DCA">
      <w:pPr>
        <w:widowControl/>
        <w:jc w:val="center"/>
        <w:rPr>
          <w:b/>
          <w:sz w:val="26"/>
          <w:szCs w:val="26"/>
        </w:rPr>
      </w:pPr>
    </w:p>
    <w:p w:rsidR="00F514FB" w:rsidRPr="00F514FB" w:rsidRDefault="00F514FB" w:rsidP="006C0DCA">
      <w:pPr>
        <w:widowControl/>
        <w:jc w:val="center"/>
        <w:rPr>
          <w:b/>
          <w:sz w:val="26"/>
          <w:szCs w:val="26"/>
        </w:rPr>
      </w:pPr>
    </w:p>
    <w:p w:rsidR="00F514FB" w:rsidRPr="00F514FB" w:rsidRDefault="00F514FB" w:rsidP="006C0DCA">
      <w:pPr>
        <w:widowControl/>
        <w:rPr>
          <w:b/>
          <w:sz w:val="26"/>
          <w:szCs w:val="26"/>
        </w:rPr>
      </w:pPr>
      <w:r w:rsidRPr="00F514FB">
        <w:rPr>
          <w:b/>
          <w:sz w:val="26"/>
          <w:szCs w:val="26"/>
        </w:rPr>
        <w:t>BY THE COMMISSION:</w:t>
      </w:r>
    </w:p>
    <w:p w:rsidR="00F514FB" w:rsidRPr="00F514FB" w:rsidRDefault="00F514FB" w:rsidP="006C0DCA">
      <w:pPr>
        <w:widowControl/>
        <w:rPr>
          <w:sz w:val="26"/>
          <w:szCs w:val="26"/>
        </w:rPr>
      </w:pPr>
    </w:p>
    <w:p w:rsidR="00F514FB" w:rsidRPr="00F514FB" w:rsidRDefault="00F514FB" w:rsidP="006C0DCA">
      <w:pPr>
        <w:widowControl/>
        <w:rPr>
          <w:sz w:val="26"/>
          <w:szCs w:val="26"/>
        </w:rPr>
      </w:pPr>
    </w:p>
    <w:p w:rsidR="00CA43A5" w:rsidRDefault="00CA43A5" w:rsidP="006C0DCA">
      <w:pPr>
        <w:widowControl/>
        <w:spacing w:line="360" w:lineRule="auto"/>
        <w:ind w:firstLine="1440"/>
        <w:rPr>
          <w:color w:val="000000"/>
          <w:sz w:val="26"/>
        </w:rPr>
      </w:pPr>
      <w:r w:rsidRPr="00CA43A5">
        <w:rPr>
          <w:sz w:val="26"/>
          <w:szCs w:val="26"/>
        </w:rPr>
        <w:t xml:space="preserve">Before the Pennsylvania Public Utility Commission (Commission) for consideration and disposition </w:t>
      </w:r>
      <w:r w:rsidR="00671E4C">
        <w:rPr>
          <w:color w:val="000000"/>
          <w:sz w:val="26"/>
        </w:rPr>
        <w:t>are the Exceptions</w:t>
      </w:r>
      <w:r w:rsidR="00580BAD">
        <w:rPr>
          <w:color w:val="000000"/>
          <w:sz w:val="26"/>
        </w:rPr>
        <w:t xml:space="preserve"> (Exceptions) of Mohamed Mansaray</w:t>
      </w:r>
      <w:r w:rsidR="00671E4C">
        <w:rPr>
          <w:color w:val="000000"/>
          <w:sz w:val="26"/>
        </w:rPr>
        <w:t xml:space="preserve"> </w:t>
      </w:r>
      <w:r w:rsidR="00580BAD">
        <w:rPr>
          <w:color w:val="000000"/>
          <w:sz w:val="26"/>
        </w:rPr>
        <w:t>(Complainant) filed on April 10, 2014</w:t>
      </w:r>
      <w:r w:rsidR="00671E4C">
        <w:rPr>
          <w:color w:val="000000"/>
          <w:sz w:val="26"/>
        </w:rPr>
        <w:t>,</w:t>
      </w:r>
      <w:r w:rsidR="00ED567B">
        <w:rPr>
          <w:rStyle w:val="FootnoteReference"/>
          <w:sz w:val="26"/>
          <w:szCs w:val="26"/>
        </w:rPr>
        <w:footnoteReference w:id="1"/>
      </w:r>
      <w:r w:rsidR="00671E4C">
        <w:rPr>
          <w:color w:val="000000"/>
          <w:sz w:val="26"/>
        </w:rPr>
        <w:t xml:space="preserve"> to the Initial Decision (I.D.) of Administrative </w:t>
      </w:r>
      <w:r w:rsidR="00580BAD">
        <w:rPr>
          <w:color w:val="000000"/>
          <w:sz w:val="26"/>
        </w:rPr>
        <w:t>Law Judge (ALJ) Eranda Vero</w:t>
      </w:r>
      <w:r w:rsidR="00671E4C">
        <w:rPr>
          <w:color w:val="000000"/>
          <w:sz w:val="26"/>
        </w:rPr>
        <w:t>, w</w:t>
      </w:r>
      <w:r w:rsidR="0026762C">
        <w:rPr>
          <w:color w:val="000000"/>
          <w:sz w:val="26"/>
        </w:rPr>
        <w:t>hich was issued on January 7, 2014</w:t>
      </w:r>
      <w:r w:rsidR="00671E4C">
        <w:rPr>
          <w:color w:val="000000"/>
          <w:sz w:val="26"/>
        </w:rPr>
        <w:t>, in</w:t>
      </w:r>
      <w:r w:rsidR="0030295D">
        <w:rPr>
          <w:color w:val="000000"/>
          <w:sz w:val="26"/>
        </w:rPr>
        <w:t xml:space="preserve"> the above-</w:t>
      </w:r>
      <w:r w:rsidR="0030295D">
        <w:rPr>
          <w:color w:val="000000"/>
          <w:sz w:val="26"/>
        </w:rPr>
        <w:lastRenderedPageBreak/>
        <w:t>captioned proceeding</w:t>
      </w:r>
      <w:r w:rsidR="00671E4C">
        <w:rPr>
          <w:color w:val="000000"/>
          <w:sz w:val="26"/>
        </w:rPr>
        <w:t>.  Replies to Exceptio</w:t>
      </w:r>
      <w:r w:rsidR="0026762C">
        <w:rPr>
          <w:color w:val="000000"/>
          <w:sz w:val="26"/>
        </w:rPr>
        <w:t>ns were filed by PECO Energy Company (PECO, Company, or Respondent) on April 23, 2014</w:t>
      </w:r>
      <w:r w:rsidR="00671E4C">
        <w:rPr>
          <w:color w:val="000000"/>
          <w:sz w:val="26"/>
        </w:rPr>
        <w:t xml:space="preserve">.  </w:t>
      </w:r>
      <w:r w:rsidR="00C21F90">
        <w:rPr>
          <w:sz w:val="26"/>
          <w:szCs w:val="26"/>
        </w:rPr>
        <w:t>For the reasons stated below, we will deny the Complainant’s Exceptions and adopt the ALJ’s Initial Decision.</w:t>
      </w:r>
    </w:p>
    <w:p w:rsidR="00CB6091" w:rsidRPr="00CA43A5" w:rsidRDefault="00CB6091" w:rsidP="006C0DCA">
      <w:pPr>
        <w:widowControl/>
        <w:spacing w:line="360" w:lineRule="auto"/>
        <w:rPr>
          <w:sz w:val="26"/>
          <w:szCs w:val="26"/>
        </w:rPr>
      </w:pPr>
    </w:p>
    <w:p w:rsidR="00CA43A5" w:rsidRDefault="00CA43A5" w:rsidP="006C0DCA">
      <w:pPr>
        <w:widowControl/>
        <w:spacing w:line="360" w:lineRule="auto"/>
        <w:jc w:val="center"/>
        <w:rPr>
          <w:b/>
          <w:sz w:val="26"/>
          <w:szCs w:val="26"/>
        </w:rPr>
      </w:pPr>
      <w:bookmarkStart w:id="0" w:name="OLE_LINK1"/>
      <w:bookmarkStart w:id="1" w:name="OLE_LINK2"/>
      <w:r w:rsidRPr="00CA43A5">
        <w:rPr>
          <w:b/>
          <w:sz w:val="26"/>
          <w:szCs w:val="26"/>
        </w:rPr>
        <w:t>History of the Proceeding</w:t>
      </w:r>
      <w:bookmarkEnd w:id="0"/>
      <w:bookmarkEnd w:id="1"/>
    </w:p>
    <w:p w:rsidR="00CB6091" w:rsidRDefault="00CB6091" w:rsidP="006C0DCA">
      <w:pPr>
        <w:widowControl/>
        <w:spacing w:line="360" w:lineRule="auto"/>
        <w:jc w:val="center"/>
        <w:rPr>
          <w:b/>
          <w:sz w:val="26"/>
          <w:szCs w:val="26"/>
        </w:rPr>
      </w:pPr>
    </w:p>
    <w:p w:rsidR="00E37C55" w:rsidRDefault="0029160F" w:rsidP="006C0DCA">
      <w:pPr>
        <w:widowControl/>
        <w:spacing w:line="360" w:lineRule="auto"/>
        <w:rPr>
          <w:sz w:val="26"/>
          <w:szCs w:val="26"/>
        </w:rPr>
      </w:pPr>
      <w:r>
        <w:rPr>
          <w:sz w:val="26"/>
          <w:szCs w:val="26"/>
        </w:rPr>
        <w:tab/>
      </w:r>
      <w:r>
        <w:rPr>
          <w:sz w:val="26"/>
          <w:szCs w:val="26"/>
        </w:rPr>
        <w:tab/>
      </w:r>
      <w:r w:rsidR="00E37C55" w:rsidRPr="00E37C55">
        <w:rPr>
          <w:sz w:val="26"/>
          <w:szCs w:val="26"/>
        </w:rPr>
        <w:t xml:space="preserve">On February 27, 2013, </w:t>
      </w:r>
      <w:r w:rsidR="00E37C55">
        <w:rPr>
          <w:sz w:val="26"/>
          <w:szCs w:val="26"/>
        </w:rPr>
        <w:t>the Complainant</w:t>
      </w:r>
      <w:r w:rsidR="00E37C55" w:rsidRPr="00E37C55">
        <w:rPr>
          <w:sz w:val="26"/>
          <w:szCs w:val="26"/>
        </w:rPr>
        <w:t xml:space="preserve"> </w:t>
      </w:r>
      <w:r w:rsidR="00E37C55">
        <w:rPr>
          <w:sz w:val="26"/>
          <w:szCs w:val="26"/>
        </w:rPr>
        <w:t>filed a Formal Complaint</w:t>
      </w:r>
      <w:r w:rsidR="00E1219D">
        <w:rPr>
          <w:rStyle w:val="FootnoteReference"/>
          <w:sz w:val="26"/>
          <w:szCs w:val="26"/>
        </w:rPr>
        <w:footnoteReference w:id="2"/>
      </w:r>
      <w:r w:rsidR="00E37C55">
        <w:rPr>
          <w:sz w:val="26"/>
          <w:szCs w:val="26"/>
        </w:rPr>
        <w:t xml:space="preserve"> </w:t>
      </w:r>
      <w:r w:rsidR="00E37C55" w:rsidRPr="00E37C55">
        <w:rPr>
          <w:sz w:val="26"/>
          <w:szCs w:val="26"/>
        </w:rPr>
        <w:t xml:space="preserve">against PECO </w:t>
      </w:r>
      <w:r w:rsidR="00E37C55">
        <w:rPr>
          <w:sz w:val="26"/>
          <w:szCs w:val="26"/>
        </w:rPr>
        <w:t xml:space="preserve">alleging that he had paid PECO more than what the Company alleges </w:t>
      </w:r>
      <w:r w:rsidR="0020390A">
        <w:rPr>
          <w:sz w:val="26"/>
          <w:szCs w:val="26"/>
        </w:rPr>
        <w:t>he paid</w:t>
      </w:r>
      <w:r w:rsidR="0091731E">
        <w:rPr>
          <w:sz w:val="26"/>
          <w:szCs w:val="26"/>
        </w:rPr>
        <w:t xml:space="preserve"> and that his bills are very high even though he had reduced </w:t>
      </w:r>
      <w:r w:rsidR="00E918B4">
        <w:rPr>
          <w:sz w:val="26"/>
          <w:szCs w:val="26"/>
        </w:rPr>
        <w:t>h</w:t>
      </w:r>
      <w:r w:rsidR="0091731E">
        <w:rPr>
          <w:sz w:val="26"/>
          <w:szCs w:val="26"/>
        </w:rPr>
        <w:t>is electricity use.  He also stated in his Complaint that he did not agree with the amount that he was asked to pay every month because his business is very slow and that he intends to pay $100 a month in addition to his monthly bills.  He asked that his Complaint be resolved by a judge.</w:t>
      </w:r>
      <w:r w:rsidR="00FF4B5F">
        <w:rPr>
          <w:sz w:val="26"/>
          <w:szCs w:val="26"/>
        </w:rPr>
        <w:t xml:space="preserve">  On March 22, 2013, the Complaina</w:t>
      </w:r>
      <w:r w:rsidR="0020390A">
        <w:rPr>
          <w:sz w:val="26"/>
          <w:szCs w:val="26"/>
        </w:rPr>
        <w:t>nt amended his Complaint to add a claim that PECO</w:t>
      </w:r>
      <w:r w:rsidR="00FF4B5F">
        <w:rPr>
          <w:sz w:val="26"/>
          <w:szCs w:val="26"/>
        </w:rPr>
        <w:t xml:space="preserve"> was threatening to terminate his service.  He also stated that he was disputing </w:t>
      </w:r>
      <w:r w:rsidR="00E37C55" w:rsidRPr="00E37C55">
        <w:rPr>
          <w:sz w:val="26"/>
          <w:szCs w:val="26"/>
        </w:rPr>
        <w:t>charges</w:t>
      </w:r>
      <w:r w:rsidR="00FF4B5F">
        <w:rPr>
          <w:sz w:val="26"/>
          <w:szCs w:val="26"/>
        </w:rPr>
        <w:t xml:space="preserve"> on his bill up to $1,800.00.</w:t>
      </w:r>
      <w:r w:rsidR="00E37C55" w:rsidRPr="00E37C55">
        <w:rPr>
          <w:sz w:val="26"/>
          <w:szCs w:val="26"/>
        </w:rPr>
        <w:t xml:space="preserve">  </w:t>
      </w:r>
    </w:p>
    <w:p w:rsidR="00FF4B5F" w:rsidRPr="00E37C55" w:rsidRDefault="00FF4B5F" w:rsidP="006C0DCA">
      <w:pPr>
        <w:widowControl/>
        <w:spacing w:line="360" w:lineRule="auto"/>
        <w:rPr>
          <w:sz w:val="26"/>
          <w:szCs w:val="26"/>
        </w:rPr>
      </w:pPr>
    </w:p>
    <w:p w:rsidR="00E37C55" w:rsidRPr="00E37C55" w:rsidRDefault="00901880" w:rsidP="006C0DCA">
      <w:pPr>
        <w:widowControl/>
        <w:spacing w:line="360" w:lineRule="auto"/>
        <w:rPr>
          <w:sz w:val="26"/>
          <w:szCs w:val="26"/>
        </w:rPr>
      </w:pPr>
      <w:r>
        <w:rPr>
          <w:sz w:val="26"/>
          <w:szCs w:val="26"/>
        </w:rPr>
        <w:tab/>
      </w:r>
      <w:r w:rsidR="005025C9">
        <w:rPr>
          <w:sz w:val="26"/>
          <w:szCs w:val="26"/>
        </w:rPr>
        <w:tab/>
      </w:r>
      <w:r w:rsidR="00E37C55" w:rsidRPr="00E37C55">
        <w:rPr>
          <w:sz w:val="26"/>
          <w:szCs w:val="26"/>
        </w:rPr>
        <w:t>On March 28,</w:t>
      </w:r>
      <w:r>
        <w:rPr>
          <w:sz w:val="26"/>
          <w:szCs w:val="26"/>
        </w:rPr>
        <w:t xml:space="preserve"> 2013, PECO filed an Answer and</w:t>
      </w:r>
      <w:r w:rsidR="00E37C55" w:rsidRPr="00E37C55">
        <w:rPr>
          <w:sz w:val="26"/>
          <w:szCs w:val="26"/>
        </w:rPr>
        <w:t xml:space="preserve"> New Matter </w:t>
      </w:r>
      <w:r w:rsidR="00C5044F" w:rsidRPr="00E37C55">
        <w:rPr>
          <w:sz w:val="26"/>
          <w:szCs w:val="26"/>
        </w:rPr>
        <w:t>addres</w:t>
      </w:r>
      <w:r w:rsidR="00C5044F">
        <w:rPr>
          <w:sz w:val="26"/>
          <w:szCs w:val="26"/>
        </w:rPr>
        <w:t xml:space="preserve">sing </w:t>
      </w:r>
      <w:r w:rsidR="00C5044F" w:rsidRPr="00E37C55">
        <w:rPr>
          <w:sz w:val="26"/>
          <w:szCs w:val="26"/>
        </w:rPr>
        <w:t>the</w:t>
      </w:r>
      <w:r w:rsidR="00E37C55" w:rsidRPr="00E37C55">
        <w:rPr>
          <w:sz w:val="26"/>
          <w:szCs w:val="26"/>
        </w:rPr>
        <w:t xml:space="preserve"> original Complaint.  </w:t>
      </w:r>
      <w:r w:rsidR="00201639">
        <w:rPr>
          <w:sz w:val="26"/>
          <w:szCs w:val="26"/>
        </w:rPr>
        <w:t>PECO denied the material allegations contained in the Complaint and averred that the Complainant had been properly billed.  Further, the Company stated that the account at issue was a commercial account and therefore not eligible for a Commission issued payment arrangement, that the Complainant had already defaulted on a payment agreement with the Company, and that he had been unrespons</w:t>
      </w:r>
      <w:r w:rsidR="0020390A">
        <w:rPr>
          <w:sz w:val="26"/>
          <w:szCs w:val="26"/>
        </w:rPr>
        <w:t>ive to requests from</w:t>
      </w:r>
      <w:r w:rsidR="00201639">
        <w:rPr>
          <w:sz w:val="26"/>
          <w:szCs w:val="26"/>
        </w:rPr>
        <w:t xml:space="preserve"> PECO to schedule a high bill investigation.</w:t>
      </w:r>
    </w:p>
    <w:p w:rsidR="00E37C55" w:rsidRPr="00E37C55" w:rsidRDefault="00E37C55" w:rsidP="006C0DCA">
      <w:pPr>
        <w:widowControl/>
        <w:spacing w:line="360" w:lineRule="auto"/>
        <w:rPr>
          <w:sz w:val="26"/>
          <w:szCs w:val="26"/>
        </w:rPr>
      </w:pPr>
    </w:p>
    <w:p w:rsidR="00E37C55" w:rsidRPr="00E37C55" w:rsidRDefault="005025C9" w:rsidP="006C0DCA">
      <w:pPr>
        <w:widowControl/>
        <w:spacing w:line="360" w:lineRule="auto"/>
        <w:rPr>
          <w:sz w:val="26"/>
          <w:szCs w:val="26"/>
        </w:rPr>
      </w:pPr>
      <w:r>
        <w:rPr>
          <w:sz w:val="26"/>
          <w:szCs w:val="26"/>
        </w:rPr>
        <w:tab/>
      </w:r>
      <w:r>
        <w:rPr>
          <w:sz w:val="26"/>
          <w:szCs w:val="26"/>
        </w:rPr>
        <w:tab/>
      </w:r>
      <w:r w:rsidR="00E37C55" w:rsidRPr="00E37C55">
        <w:rPr>
          <w:sz w:val="26"/>
          <w:szCs w:val="26"/>
        </w:rPr>
        <w:t xml:space="preserve">A Hearing Notice dated April 4, 2013, notified the </w:t>
      </w:r>
      <w:r w:rsidR="004035BB">
        <w:rPr>
          <w:sz w:val="26"/>
          <w:szCs w:val="26"/>
        </w:rPr>
        <w:t>P</w:t>
      </w:r>
      <w:r w:rsidR="00E37C55" w:rsidRPr="00E37C55">
        <w:rPr>
          <w:sz w:val="26"/>
          <w:szCs w:val="26"/>
        </w:rPr>
        <w:t>arties that an initial hearing was scheduled for Fr</w:t>
      </w:r>
      <w:r>
        <w:rPr>
          <w:sz w:val="26"/>
          <w:szCs w:val="26"/>
        </w:rPr>
        <w:t>iday, June 7, 2013</w:t>
      </w:r>
      <w:r w:rsidR="00E37C55" w:rsidRPr="00E37C55">
        <w:rPr>
          <w:sz w:val="26"/>
          <w:szCs w:val="26"/>
        </w:rPr>
        <w:t xml:space="preserve">.  In addition, the Hearing Notice </w:t>
      </w:r>
      <w:r w:rsidR="004035BB">
        <w:rPr>
          <w:sz w:val="26"/>
          <w:szCs w:val="26"/>
        </w:rPr>
        <w:t>advised</w:t>
      </w:r>
      <w:r w:rsidR="00E37C55" w:rsidRPr="00E37C55">
        <w:rPr>
          <w:sz w:val="26"/>
          <w:szCs w:val="26"/>
        </w:rPr>
        <w:t xml:space="preserve"> the </w:t>
      </w:r>
      <w:r w:rsidR="004035BB">
        <w:rPr>
          <w:sz w:val="26"/>
          <w:szCs w:val="26"/>
        </w:rPr>
        <w:t>P</w:t>
      </w:r>
      <w:r w:rsidR="00E37C55" w:rsidRPr="00E37C55">
        <w:rPr>
          <w:sz w:val="26"/>
          <w:szCs w:val="26"/>
        </w:rPr>
        <w:t xml:space="preserve">arties that, if they required an interpreter to participate in the hearing, the </w:t>
      </w:r>
      <w:r w:rsidR="00E37C55" w:rsidRPr="00E37C55">
        <w:rPr>
          <w:sz w:val="26"/>
          <w:szCs w:val="26"/>
        </w:rPr>
        <w:lastRenderedPageBreak/>
        <w:t xml:space="preserve">Commission would make every reasonable effort to have an interpreter present.  The </w:t>
      </w:r>
      <w:r w:rsidR="004035BB">
        <w:rPr>
          <w:sz w:val="26"/>
          <w:szCs w:val="26"/>
        </w:rPr>
        <w:t>P</w:t>
      </w:r>
      <w:r w:rsidR="00E37C55" w:rsidRPr="00E37C55">
        <w:rPr>
          <w:sz w:val="26"/>
          <w:szCs w:val="26"/>
        </w:rPr>
        <w:t>arties were instructed to contact the Commission’s sch</w:t>
      </w:r>
      <w:r>
        <w:rPr>
          <w:sz w:val="26"/>
          <w:szCs w:val="26"/>
        </w:rPr>
        <w:t>eduling office at least ten</w:t>
      </w:r>
      <w:r w:rsidR="00E37C55" w:rsidRPr="00E37C55">
        <w:rPr>
          <w:sz w:val="26"/>
          <w:szCs w:val="26"/>
        </w:rPr>
        <w:t xml:space="preserve"> business days prior to the hearing to submit a request for an interpreter.  </w:t>
      </w:r>
    </w:p>
    <w:p w:rsidR="00E37C55" w:rsidRPr="00E37C55" w:rsidRDefault="00E37C55" w:rsidP="006C0DCA">
      <w:pPr>
        <w:widowControl/>
        <w:spacing w:line="360" w:lineRule="auto"/>
        <w:rPr>
          <w:sz w:val="26"/>
          <w:szCs w:val="26"/>
        </w:rPr>
      </w:pPr>
    </w:p>
    <w:p w:rsidR="00E37C55" w:rsidRPr="00E37C55" w:rsidRDefault="005025C9" w:rsidP="006C0DCA">
      <w:pPr>
        <w:widowControl/>
        <w:spacing w:line="360" w:lineRule="auto"/>
        <w:rPr>
          <w:sz w:val="26"/>
          <w:szCs w:val="26"/>
        </w:rPr>
      </w:pPr>
      <w:r>
        <w:rPr>
          <w:sz w:val="26"/>
          <w:szCs w:val="26"/>
        </w:rPr>
        <w:tab/>
      </w:r>
      <w:r>
        <w:rPr>
          <w:sz w:val="26"/>
          <w:szCs w:val="26"/>
        </w:rPr>
        <w:tab/>
        <w:t>On April 5, 2013, PECO</w:t>
      </w:r>
      <w:r w:rsidR="00E37C55" w:rsidRPr="00E37C55">
        <w:rPr>
          <w:sz w:val="26"/>
          <w:szCs w:val="26"/>
        </w:rPr>
        <w:t xml:space="preserve"> filed an Answer and New Matter to</w:t>
      </w:r>
      <w:r>
        <w:rPr>
          <w:sz w:val="26"/>
          <w:szCs w:val="26"/>
        </w:rPr>
        <w:t xml:space="preserve"> the Amended Complaint</w:t>
      </w:r>
      <w:r w:rsidR="005C496F">
        <w:rPr>
          <w:sz w:val="26"/>
          <w:szCs w:val="26"/>
        </w:rPr>
        <w:t>,</w:t>
      </w:r>
      <w:r>
        <w:rPr>
          <w:sz w:val="26"/>
          <w:szCs w:val="26"/>
        </w:rPr>
        <w:t xml:space="preserve"> reiterating the statements </w:t>
      </w:r>
      <w:r w:rsidR="00A40DE6">
        <w:rPr>
          <w:sz w:val="26"/>
          <w:szCs w:val="26"/>
        </w:rPr>
        <w:t xml:space="preserve">made </w:t>
      </w:r>
      <w:r>
        <w:rPr>
          <w:sz w:val="26"/>
          <w:szCs w:val="26"/>
        </w:rPr>
        <w:t>in its</w:t>
      </w:r>
      <w:r w:rsidR="00E37C55" w:rsidRPr="00E37C55">
        <w:rPr>
          <w:sz w:val="26"/>
          <w:szCs w:val="26"/>
        </w:rPr>
        <w:t xml:space="preserve"> original Answer and New Matter</w:t>
      </w:r>
      <w:r w:rsidR="00E1311A">
        <w:rPr>
          <w:sz w:val="26"/>
          <w:szCs w:val="26"/>
        </w:rPr>
        <w:t xml:space="preserve"> and stating that any </w:t>
      </w:r>
      <w:r w:rsidR="0020390A">
        <w:rPr>
          <w:sz w:val="26"/>
          <w:szCs w:val="26"/>
        </w:rPr>
        <w:t xml:space="preserve">ongoing </w:t>
      </w:r>
      <w:r w:rsidR="00E1311A">
        <w:rPr>
          <w:sz w:val="26"/>
          <w:szCs w:val="26"/>
        </w:rPr>
        <w:t>collection action was an attempt to collect on current, not disputed, charges</w:t>
      </w:r>
      <w:r w:rsidR="00E37C55" w:rsidRPr="00E37C55">
        <w:rPr>
          <w:sz w:val="26"/>
          <w:szCs w:val="26"/>
        </w:rPr>
        <w:t xml:space="preserve">.  </w:t>
      </w:r>
      <w:r>
        <w:rPr>
          <w:sz w:val="26"/>
          <w:szCs w:val="26"/>
        </w:rPr>
        <w:t xml:space="preserve">On April 17, 2013, the Complainant filed a Reply to PECO’s New Matter disagreeing with PECO’s averments and stating that his bill stays the same no matter how much he pays. </w:t>
      </w:r>
      <w:r w:rsidR="00764729">
        <w:rPr>
          <w:sz w:val="26"/>
          <w:szCs w:val="26"/>
        </w:rPr>
        <w:t xml:space="preserve"> </w:t>
      </w:r>
    </w:p>
    <w:p w:rsidR="00E37C55" w:rsidRPr="00E37C55" w:rsidRDefault="00E37C55" w:rsidP="006C0DCA">
      <w:pPr>
        <w:widowControl/>
        <w:spacing w:line="360" w:lineRule="auto"/>
        <w:rPr>
          <w:sz w:val="26"/>
          <w:szCs w:val="26"/>
        </w:rPr>
      </w:pPr>
    </w:p>
    <w:p w:rsidR="00E37C55" w:rsidRPr="00E37C55" w:rsidRDefault="00764729" w:rsidP="006C0DCA">
      <w:pPr>
        <w:widowControl/>
        <w:spacing w:line="360" w:lineRule="auto"/>
        <w:rPr>
          <w:sz w:val="26"/>
          <w:szCs w:val="26"/>
        </w:rPr>
      </w:pPr>
      <w:r>
        <w:rPr>
          <w:sz w:val="26"/>
          <w:szCs w:val="26"/>
        </w:rPr>
        <w:tab/>
      </w:r>
      <w:r>
        <w:rPr>
          <w:sz w:val="26"/>
          <w:szCs w:val="26"/>
        </w:rPr>
        <w:tab/>
      </w:r>
      <w:r w:rsidR="00E37C55" w:rsidRPr="00E37C55">
        <w:rPr>
          <w:sz w:val="26"/>
          <w:szCs w:val="26"/>
        </w:rPr>
        <w:t>The hearing conve</w:t>
      </w:r>
      <w:r>
        <w:rPr>
          <w:sz w:val="26"/>
          <w:szCs w:val="26"/>
        </w:rPr>
        <w:t>ned as scheduled</w:t>
      </w:r>
      <w:r w:rsidR="00E37C55" w:rsidRPr="00E37C55">
        <w:rPr>
          <w:sz w:val="26"/>
          <w:szCs w:val="26"/>
        </w:rPr>
        <w:t>.  At the beginn</w:t>
      </w:r>
      <w:r>
        <w:rPr>
          <w:sz w:val="26"/>
          <w:szCs w:val="26"/>
        </w:rPr>
        <w:t>ing of the hearing, the Complainant</w:t>
      </w:r>
      <w:r w:rsidR="00E37C55" w:rsidRPr="00E37C55">
        <w:rPr>
          <w:sz w:val="26"/>
          <w:szCs w:val="26"/>
        </w:rPr>
        <w:t xml:space="preserve"> requested the services of a Mandingo interpreter.  Counsel for PECO </w:t>
      </w:r>
      <w:r>
        <w:rPr>
          <w:sz w:val="26"/>
          <w:szCs w:val="26"/>
        </w:rPr>
        <w:t>objected to this</w:t>
      </w:r>
      <w:r w:rsidR="00E37C55" w:rsidRPr="00E37C55">
        <w:rPr>
          <w:sz w:val="26"/>
          <w:szCs w:val="26"/>
        </w:rPr>
        <w:t xml:space="preserve"> request characterizing it as a ploy</w:t>
      </w:r>
      <w:r>
        <w:rPr>
          <w:sz w:val="26"/>
          <w:szCs w:val="26"/>
        </w:rPr>
        <w:t xml:space="preserve"> to delay the litigation of the</w:t>
      </w:r>
      <w:r w:rsidR="00E37C55" w:rsidRPr="00E37C55">
        <w:rPr>
          <w:sz w:val="26"/>
          <w:szCs w:val="26"/>
        </w:rPr>
        <w:t xml:space="preserve"> matter.  After hearin</w:t>
      </w:r>
      <w:r>
        <w:rPr>
          <w:sz w:val="26"/>
          <w:szCs w:val="26"/>
        </w:rPr>
        <w:t>g arguments from both parties, the ALJ</w:t>
      </w:r>
      <w:r w:rsidR="00E37C55" w:rsidRPr="00E37C55">
        <w:rPr>
          <w:sz w:val="26"/>
          <w:szCs w:val="26"/>
        </w:rPr>
        <w:t xml:space="preserve"> continued the hearing in </w:t>
      </w:r>
      <w:r>
        <w:rPr>
          <w:sz w:val="26"/>
          <w:szCs w:val="26"/>
        </w:rPr>
        <w:t xml:space="preserve">order to address the Complainant’s </w:t>
      </w:r>
      <w:r w:rsidR="00E37C55" w:rsidRPr="00E37C55">
        <w:rPr>
          <w:sz w:val="26"/>
          <w:szCs w:val="26"/>
        </w:rPr>
        <w:t>request for an interpreter.</w:t>
      </w:r>
    </w:p>
    <w:p w:rsidR="00E37C55" w:rsidRPr="00E37C55" w:rsidRDefault="00E37C55" w:rsidP="006C0DCA">
      <w:pPr>
        <w:widowControl/>
        <w:spacing w:line="360" w:lineRule="auto"/>
        <w:rPr>
          <w:sz w:val="26"/>
          <w:szCs w:val="26"/>
        </w:rPr>
      </w:pPr>
    </w:p>
    <w:p w:rsidR="00E37C55" w:rsidRDefault="00764729" w:rsidP="006C0DCA">
      <w:pPr>
        <w:widowControl/>
        <w:spacing w:line="360" w:lineRule="auto"/>
        <w:rPr>
          <w:sz w:val="26"/>
          <w:szCs w:val="26"/>
        </w:rPr>
      </w:pPr>
      <w:r>
        <w:rPr>
          <w:sz w:val="26"/>
          <w:szCs w:val="26"/>
        </w:rPr>
        <w:tab/>
      </w:r>
      <w:r>
        <w:rPr>
          <w:sz w:val="26"/>
          <w:szCs w:val="26"/>
        </w:rPr>
        <w:tab/>
      </w:r>
      <w:r w:rsidR="00E37C55" w:rsidRPr="00E37C55">
        <w:rPr>
          <w:sz w:val="26"/>
          <w:szCs w:val="26"/>
        </w:rPr>
        <w:t xml:space="preserve">The </w:t>
      </w:r>
      <w:r w:rsidR="0020390A">
        <w:rPr>
          <w:sz w:val="26"/>
          <w:szCs w:val="26"/>
        </w:rPr>
        <w:t>continued</w:t>
      </w:r>
      <w:r>
        <w:rPr>
          <w:sz w:val="26"/>
          <w:szCs w:val="26"/>
        </w:rPr>
        <w:t xml:space="preserve"> </w:t>
      </w:r>
      <w:r w:rsidR="0020390A">
        <w:rPr>
          <w:sz w:val="26"/>
          <w:szCs w:val="26"/>
        </w:rPr>
        <w:t>hearing convened as scheduled</w:t>
      </w:r>
      <w:r w:rsidR="00EA3049">
        <w:rPr>
          <w:sz w:val="26"/>
          <w:szCs w:val="26"/>
        </w:rPr>
        <w:t xml:space="preserve"> on August 14, 2013</w:t>
      </w:r>
      <w:r w:rsidR="0020390A">
        <w:rPr>
          <w:sz w:val="26"/>
          <w:szCs w:val="26"/>
        </w:rPr>
        <w:t xml:space="preserve">.  </w:t>
      </w:r>
      <w:r w:rsidR="00E1311A">
        <w:rPr>
          <w:sz w:val="26"/>
          <w:szCs w:val="26"/>
        </w:rPr>
        <w:t xml:space="preserve">Although </w:t>
      </w:r>
      <w:r w:rsidR="00E918B4">
        <w:rPr>
          <w:sz w:val="26"/>
          <w:szCs w:val="26"/>
        </w:rPr>
        <w:t>t</w:t>
      </w:r>
      <w:r w:rsidR="00E1311A" w:rsidRPr="00E1311A">
        <w:rPr>
          <w:sz w:val="26"/>
          <w:szCs w:val="26"/>
        </w:rPr>
        <w:t>he Commission had obtained the services of</w:t>
      </w:r>
      <w:r w:rsidR="00E1311A">
        <w:rPr>
          <w:sz w:val="26"/>
          <w:szCs w:val="26"/>
        </w:rPr>
        <w:t xml:space="preserve"> a translation service to provide a Mandingo interpreter by telephone, on the date of the hear</w:t>
      </w:r>
      <w:r w:rsidR="00D46E37">
        <w:rPr>
          <w:sz w:val="26"/>
          <w:szCs w:val="26"/>
        </w:rPr>
        <w:t>ing</w:t>
      </w:r>
      <w:r w:rsidR="00E1311A">
        <w:rPr>
          <w:sz w:val="26"/>
          <w:szCs w:val="26"/>
        </w:rPr>
        <w:t>, the i</w:t>
      </w:r>
      <w:r w:rsidR="00D46E37">
        <w:rPr>
          <w:sz w:val="26"/>
          <w:szCs w:val="26"/>
        </w:rPr>
        <w:t>nterpreter was unexpectedly un</w:t>
      </w:r>
      <w:r w:rsidR="00E1311A">
        <w:rPr>
          <w:sz w:val="26"/>
          <w:szCs w:val="26"/>
        </w:rPr>
        <w:t>available.  The Complainant requested a further continuance to which PECO objected stat</w:t>
      </w:r>
      <w:r w:rsidR="00D46E37">
        <w:rPr>
          <w:sz w:val="26"/>
          <w:szCs w:val="26"/>
        </w:rPr>
        <w:t>ing that he had not been paying his current bills and was still receiving service.  Because the Complainant had displayed a mastery of the English language in his arguments for a translation service, and because he was still receiving service, the ALJ</w:t>
      </w:r>
      <w:r w:rsidR="00A034B0">
        <w:rPr>
          <w:sz w:val="26"/>
          <w:szCs w:val="26"/>
        </w:rPr>
        <w:t xml:space="preserve"> denied the Complainant’s request and the hearing proceeded without a translator.  </w:t>
      </w:r>
      <w:r w:rsidR="0020390A" w:rsidRPr="0020390A">
        <w:rPr>
          <w:sz w:val="26"/>
          <w:szCs w:val="26"/>
        </w:rPr>
        <w:t>The Complainant</w:t>
      </w:r>
      <w:r w:rsidR="0020390A">
        <w:rPr>
          <w:sz w:val="26"/>
          <w:szCs w:val="26"/>
        </w:rPr>
        <w:t>,</w:t>
      </w:r>
      <w:r w:rsidR="0020390A" w:rsidRPr="0020390A">
        <w:rPr>
          <w:sz w:val="26"/>
          <w:szCs w:val="26"/>
        </w:rPr>
        <w:t xml:space="preserve"> </w:t>
      </w:r>
      <w:r w:rsidR="0020390A">
        <w:rPr>
          <w:sz w:val="26"/>
          <w:szCs w:val="26"/>
        </w:rPr>
        <w:t xml:space="preserve">appearing </w:t>
      </w:r>
      <w:r w:rsidR="0020390A" w:rsidRPr="0020390A">
        <w:rPr>
          <w:i/>
          <w:sz w:val="26"/>
          <w:szCs w:val="26"/>
        </w:rPr>
        <w:t>pro se</w:t>
      </w:r>
      <w:r w:rsidR="0020390A">
        <w:rPr>
          <w:sz w:val="26"/>
          <w:szCs w:val="26"/>
        </w:rPr>
        <w:t>,</w:t>
      </w:r>
      <w:r w:rsidR="0020390A" w:rsidRPr="0020390A">
        <w:rPr>
          <w:sz w:val="26"/>
          <w:szCs w:val="26"/>
        </w:rPr>
        <w:t xml:space="preserve"> testified in support </w:t>
      </w:r>
      <w:r w:rsidR="0020390A">
        <w:rPr>
          <w:sz w:val="26"/>
          <w:szCs w:val="26"/>
        </w:rPr>
        <w:t>of his Complaint.  PECO was</w:t>
      </w:r>
      <w:r w:rsidR="0020390A" w:rsidRPr="0020390A">
        <w:rPr>
          <w:sz w:val="26"/>
          <w:szCs w:val="26"/>
        </w:rPr>
        <w:t xml:space="preserve"> represented by counsel and presented the testimony of one</w:t>
      </w:r>
      <w:r w:rsidR="0020390A">
        <w:rPr>
          <w:sz w:val="26"/>
          <w:szCs w:val="26"/>
        </w:rPr>
        <w:t xml:space="preserve"> witness who</w:t>
      </w:r>
      <w:r w:rsidR="0020390A" w:rsidRPr="0020390A">
        <w:rPr>
          <w:sz w:val="26"/>
          <w:szCs w:val="26"/>
        </w:rPr>
        <w:t xml:space="preserve"> sponsored eight exhibits, which were admitted into the record.</w:t>
      </w:r>
      <w:r w:rsidR="0020390A">
        <w:rPr>
          <w:sz w:val="26"/>
          <w:szCs w:val="26"/>
        </w:rPr>
        <w:t xml:space="preserve">  </w:t>
      </w:r>
      <w:r w:rsidR="00E37C55" w:rsidRPr="00E37C55">
        <w:rPr>
          <w:sz w:val="26"/>
          <w:szCs w:val="26"/>
        </w:rPr>
        <w:t>The record in this matter closed on September 16, 2013</w:t>
      </w:r>
      <w:r w:rsidR="00A034B0">
        <w:rPr>
          <w:sz w:val="26"/>
          <w:szCs w:val="26"/>
        </w:rPr>
        <w:t>.</w:t>
      </w:r>
    </w:p>
    <w:p w:rsidR="00CB6091" w:rsidRDefault="00A034B0" w:rsidP="006C0DCA">
      <w:pPr>
        <w:widowControl/>
        <w:spacing w:line="360" w:lineRule="auto"/>
        <w:rPr>
          <w:sz w:val="26"/>
          <w:szCs w:val="26"/>
        </w:rPr>
      </w:pPr>
      <w:r>
        <w:rPr>
          <w:sz w:val="26"/>
          <w:szCs w:val="26"/>
        </w:rPr>
        <w:lastRenderedPageBreak/>
        <w:tab/>
      </w:r>
      <w:r>
        <w:rPr>
          <w:sz w:val="26"/>
          <w:szCs w:val="26"/>
        </w:rPr>
        <w:tab/>
      </w:r>
      <w:r w:rsidR="00523826">
        <w:rPr>
          <w:sz w:val="26"/>
          <w:szCs w:val="26"/>
        </w:rPr>
        <w:t>In an</w:t>
      </w:r>
      <w:r w:rsidRPr="00A034B0">
        <w:rPr>
          <w:sz w:val="26"/>
          <w:szCs w:val="26"/>
        </w:rPr>
        <w:t xml:space="preserve"> Initial </w:t>
      </w:r>
      <w:r>
        <w:rPr>
          <w:sz w:val="26"/>
          <w:szCs w:val="26"/>
        </w:rPr>
        <w:t>Decision, issued January 7, 2014, ALJ Vero dismissed the Complaint</w:t>
      </w:r>
      <w:r w:rsidRPr="00A034B0">
        <w:rPr>
          <w:sz w:val="26"/>
          <w:szCs w:val="26"/>
        </w:rPr>
        <w:t>.  As p</w:t>
      </w:r>
      <w:r>
        <w:rPr>
          <w:sz w:val="26"/>
          <w:szCs w:val="26"/>
        </w:rPr>
        <w:t>reviously indicated, the Complainant</w:t>
      </w:r>
      <w:r w:rsidRPr="00A034B0">
        <w:rPr>
          <w:sz w:val="26"/>
          <w:szCs w:val="26"/>
        </w:rPr>
        <w:t xml:space="preserve"> fil</w:t>
      </w:r>
      <w:r>
        <w:rPr>
          <w:sz w:val="26"/>
          <w:szCs w:val="26"/>
        </w:rPr>
        <w:t>ed Exceptions on April 10, 2014</w:t>
      </w:r>
      <w:r w:rsidR="00ED567B">
        <w:rPr>
          <w:rStyle w:val="FootnoteReference"/>
          <w:sz w:val="26"/>
          <w:szCs w:val="26"/>
        </w:rPr>
        <w:footnoteReference w:id="3"/>
      </w:r>
      <w:r>
        <w:rPr>
          <w:sz w:val="26"/>
          <w:szCs w:val="26"/>
        </w:rPr>
        <w:t xml:space="preserve"> and PECO filed </w:t>
      </w:r>
      <w:r w:rsidRPr="00A034B0">
        <w:rPr>
          <w:sz w:val="26"/>
          <w:szCs w:val="26"/>
        </w:rPr>
        <w:t>Replies to Exceptio</w:t>
      </w:r>
      <w:r>
        <w:rPr>
          <w:sz w:val="26"/>
          <w:szCs w:val="26"/>
        </w:rPr>
        <w:t>ns on April 23, 2014</w:t>
      </w:r>
      <w:r w:rsidRPr="00A034B0">
        <w:rPr>
          <w:sz w:val="26"/>
          <w:szCs w:val="26"/>
        </w:rPr>
        <w:t>.</w:t>
      </w:r>
      <w:r>
        <w:rPr>
          <w:sz w:val="26"/>
          <w:szCs w:val="26"/>
        </w:rPr>
        <w:t xml:space="preserve">  </w:t>
      </w:r>
    </w:p>
    <w:p w:rsidR="00A034B0" w:rsidRPr="00A034B0" w:rsidRDefault="00A034B0" w:rsidP="006C0DCA">
      <w:pPr>
        <w:widowControl/>
        <w:spacing w:line="360" w:lineRule="auto"/>
        <w:rPr>
          <w:sz w:val="26"/>
          <w:szCs w:val="26"/>
        </w:rPr>
      </w:pPr>
    </w:p>
    <w:p w:rsidR="00CA43A5" w:rsidRPr="00CA43A5" w:rsidRDefault="00CA43A5" w:rsidP="006C0DCA">
      <w:pPr>
        <w:widowControl/>
        <w:spacing w:line="360" w:lineRule="auto"/>
        <w:jc w:val="center"/>
        <w:rPr>
          <w:sz w:val="26"/>
          <w:szCs w:val="26"/>
        </w:rPr>
      </w:pPr>
      <w:r w:rsidRPr="00CA43A5">
        <w:rPr>
          <w:b/>
          <w:sz w:val="26"/>
          <w:szCs w:val="26"/>
        </w:rPr>
        <w:t>Discussion</w:t>
      </w:r>
    </w:p>
    <w:p w:rsidR="000E5AC3" w:rsidRPr="007F09C4" w:rsidRDefault="000E5AC3" w:rsidP="006C0DCA">
      <w:pPr>
        <w:widowControl/>
        <w:spacing w:line="360" w:lineRule="auto"/>
        <w:contextualSpacing/>
        <w:rPr>
          <w:sz w:val="26"/>
          <w:szCs w:val="26"/>
        </w:rPr>
      </w:pPr>
    </w:p>
    <w:p w:rsidR="007F7270" w:rsidRPr="00D36748" w:rsidRDefault="007F7270" w:rsidP="006C0DCA">
      <w:pPr>
        <w:widowControl/>
        <w:spacing w:line="360" w:lineRule="auto"/>
        <w:contextualSpacing/>
        <w:rPr>
          <w:b/>
          <w:sz w:val="26"/>
          <w:szCs w:val="26"/>
        </w:rPr>
      </w:pPr>
      <w:r w:rsidRPr="00D36748">
        <w:rPr>
          <w:b/>
          <w:sz w:val="26"/>
          <w:szCs w:val="26"/>
        </w:rPr>
        <w:t>Legal Standards</w:t>
      </w:r>
    </w:p>
    <w:p w:rsidR="0043592C" w:rsidRDefault="0043592C" w:rsidP="006C0DCA">
      <w:pPr>
        <w:widowControl/>
        <w:spacing w:line="360" w:lineRule="auto"/>
        <w:rPr>
          <w:sz w:val="26"/>
          <w:szCs w:val="26"/>
        </w:rPr>
      </w:pPr>
    </w:p>
    <w:p w:rsidR="004A0DDA" w:rsidRDefault="004A0DDA" w:rsidP="006C0DCA">
      <w:pPr>
        <w:widowControl/>
        <w:spacing w:line="360" w:lineRule="auto"/>
        <w:ind w:firstLine="1440"/>
        <w:rPr>
          <w:sz w:val="26"/>
          <w:szCs w:val="26"/>
        </w:rPr>
      </w:pPr>
      <w:r w:rsidRPr="004A0DDA">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4A0DDA">
        <w:rPr>
          <w:i/>
          <w:sz w:val="26"/>
          <w:szCs w:val="26"/>
        </w:rPr>
        <w:t>Patterson v. The Bell Telephone Company of Pennsylvania</w:t>
      </w:r>
      <w:r w:rsidRPr="004A0DDA">
        <w:rPr>
          <w:sz w:val="26"/>
          <w:szCs w:val="26"/>
        </w:rPr>
        <w:t xml:space="preserve">, 72 Pa. P.U.C. 196 (1990).  Such a showing must be by a preponderance of the evidence.  </w:t>
      </w:r>
      <w:r w:rsidRPr="004A0DDA">
        <w:rPr>
          <w:i/>
          <w:iCs/>
          <w:sz w:val="26"/>
          <w:szCs w:val="26"/>
        </w:rPr>
        <w:t>Samuel J. Lansberry, Inc. v. Pa. PUC</w:t>
      </w:r>
      <w:r w:rsidRPr="004A0DDA">
        <w:rPr>
          <w:sz w:val="26"/>
          <w:szCs w:val="26"/>
        </w:rPr>
        <w:t xml:space="preserve">, 578 A.2d 600 (Pa. Cmwlth. 1990), </w:t>
      </w:r>
      <w:r w:rsidRPr="004A0DDA">
        <w:rPr>
          <w:i/>
          <w:sz w:val="26"/>
          <w:szCs w:val="26"/>
        </w:rPr>
        <w:t>alloc. denied,</w:t>
      </w:r>
      <w:r w:rsidRPr="004A0DDA">
        <w:rPr>
          <w:sz w:val="26"/>
          <w:szCs w:val="26"/>
        </w:rPr>
        <w:t xml:space="preserve"> 529 Pa. 654, 602 A.2d 863 (1992).  That is, the Complainant’s evidence must be more convincing, by even the smallest amount, than that presented by the Respondent.  </w:t>
      </w:r>
      <w:r w:rsidRPr="004A0DDA">
        <w:rPr>
          <w:i/>
          <w:sz w:val="26"/>
          <w:szCs w:val="26"/>
        </w:rPr>
        <w:t>Se-Ling Hosiery, Inc. v. Margulies</w:t>
      </w:r>
      <w:r w:rsidRPr="004A0DDA">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4A0DDA">
        <w:rPr>
          <w:i/>
          <w:sz w:val="26"/>
          <w:szCs w:val="26"/>
        </w:rPr>
        <w:t xml:space="preserve">Norfolk &amp; Western Ry. Co. v. Pa. PUC, </w:t>
      </w:r>
      <w:r w:rsidRPr="004A0DDA">
        <w:rPr>
          <w:sz w:val="26"/>
          <w:szCs w:val="26"/>
        </w:rPr>
        <w:t>489 Pa. 109, 413 A.2d 1037 (1980).</w:t>
      </w:r>
    </w:p>
    <w:p w:rsidR="000E5AC3" w:rsidRPr="004A0DDA" w:rsidRDefault="000E5AC3" w:rsidP="006C0DCA">
      <w:pPr>
        <w:widowControl/>
        <w:spacing w:line="360" w:lineRule="auto"/>
        <w:ind w:firstLine="1440"/>
        <w:rPr>
          <w:sz w:val="26"/>
          <w:szCs w:val="26"/>
        </w:rPr>
      </w:pPr>
    </w:p>
    <w:p w:rsidR="004A0DDA" w:rsidRPr="004A0DDA" w:rsidRDefault="004A0DDA" w:rsidP="006C0DCA">
      <w:pPr>
        <w:widowControl/>
        <w:spacing w:line="360" w:lineRule="auto"/>
        <w:ind w:firstLine="1440"/>
        <w:rPr>
          <w:i/>
          <w:sz w:val="26"/>
          <w:szCs w:val="26"/>
        </w:rPr>
      </w:pPr>
      <w:r w:rsidRPr="004A0DDA">
        <w:rPr>
          <w:sz w:val="26"/>
          <w:szCs w:val="26"/>
        </w:rPr>
        <w:lastRenderedPageBreak/>
        <w:t>Upon the presentation by the Complainant of evidence sufficient to initially satisfy the burden of proof, the burden of going forward with the evidence to reb</w:t>
      </w:r>
      <w:r w:rsidR="00925D9E">
        <w:rPr>
          <w:sz w:val="26"/>
          <w:szCs w:val="26"/>
        </w:rPr>
        <w:t>ut the evidence of the C</w:t>
      </w:r>
      <w:r w:rsidRPr="004A0DDA">
        <w:rPr>
          <w:sz w:val="26"/>
          <w:szCs w:val="26"/>
        </w:rPr>
        <w:t xml:space="preserve">omplainant shifts to the Respondent.  If the evidence presented by the Respondent is of co-equal value or “weight,” the burden of proof has not been satisfied. The Complainant now has to provide some additional evidence to rebut that of the Respondent. </w:t>
      </w:r>
      <w:r w:rsidRPr="004A0DDA">
        <w:rPr>
          <w:iCs/>
          <w:sz w:val="26"/>
          <w:szCs w:val="26"/>
        </w:rPr>
        <w:t xml:space="preserve"> </w:t>
      </w:r>
      <w:r w:rsidRPr="00CF692A">
        <w:rPr>
          <w:i/>
          <w:iCs/>
          <w:sz w:val="26"/>
          <w:szCs w:val="26"/>
        </w:rPr>
        <w:t>Burleson v. Pa. PUC,</w:t>
      </w:r>
      <w:r w:rsidRPr="00CF692A">
        <w:rPr>
          <w:iCs/>
          <w:sz w:val="26"/>
          <w:szCs w:val="26"/>
        </w:rPr>
        <w:t xml:space="preserve"> 443 A.2d 1373 (Pa. Cmwlth. 1982), </w:t>
      </w:r>
      <w:r w:rsidRPr="00CF692A">
        <w:rPr>
          <w:i/>
          <w:iCs/>
          <w:sz w:val="26"/>
          <w:szCs w:val="26"/>
        </w:rPr>
        <w:t>aff’d,</w:t>
      </w:r>
      <w:r w:rsidRPr="00CF692A">
        <w:rPr>
          <w:iCs/>
          <w:sz w:val="26"/>
          <w:szCs w:val="26"/>
        </w:rPr>
        <w:t xml:space="preserve"> 501 Pa. 433, 461 A.2d 1234 (1983).</w:t>
      </w:r>
    </w:p>
    <w:p w:rsidR="004A0DDA" w:rsidRPr="004A0DDA" w:rsidRDefault="004A0DDA" w:rsidP="006C0DCA">
      <w:pPr>
        <w:widowControl/>
        <w:spacing w:line="360" w:lineRule="auto"/>
        <w:ind w:firstLine="1440"/>
        <w:rPr>
          <w:sz w:val="26"/>
          <w:szCs w:val="26"/>
        </w:rPr>
      </w:pPr>
    </w:p>
    <w:p w:rsidR="004A0DDA" w:rsidRPr="004A0DDA" w:rsidRDefault="004A0DDA" w:rsidP="006C0DCA">
      <w:pPr>
        <w:widowControl/>
        <w:spacing w:line="360" w:lineRule="auto"/>
        <w:ind w:firstLine="1440"/>
        <w:rPr>
          <w:i/>
          <w:sz w:val="26"/>
          <w:szCs w:val="26"/>
        </w:rPr>
      </w:pPr>
      <w:r w:rsidRPr="004A0DDA">
        <w:rPr>
          <w:sz w:val="26"/>
          <w:szCs w:val="26"/>
        </w:rPr>
        <w:t xml:space="preserve">While the burden of going forward with the evidence may shift back and forth during a proceeding, the burden of proof never shifts. </w:t>
      </w:r>
      <w:r w:rsidR="007F09C4">
        <w:rPr>
          <w:sz w:val="26"/>
          <w:szCs w:val="26"/>
        </w:rPr>
        <w:t xml:space="preserve"> </w:t>
      </w:r>
      <w:r w:rsidRPr="004A0DDA">
        <w:rPr>
          <w:sz w:val="26"/>
          <w:szCs w:val="26"/>
        </w:rPr>
        <w:t xml:space="preserve">The burden of proof always remains on the party seeking affirmative relief from the Commission.  </w:t>
      </w:r>
      <w:r w:rsidRPr="004A0DDA">
        <w:rPr>
          <w:i/>
          <w:sz w:val="26"/>
          <w:szCs w:val="26"/>
        </w:rPr>
        <w:t xml:space="preserve">Milkie v. Pa. PUC, </w:t>
      </w:r>
      <w:r w:rsidRPr="004A0DDA">
        <w:rPr>
          <w:sz w:val="26"/>
          <w:szCs w:val="26"/>
        </w:rPr>
        <w:t>768 A.2d 1217 (Pa. Cmwlth. 2001).</w:t>
      </w:r>
    </w:p>
    <w:p w:rsidR="004A0DDA" w:rsidRPr="004A0DDA" w:rsidRDefault="004A0DDA" w:rsidP="006C0DCA">
      <w:pPr>
        <w:widowControl/>
        <w:spacing w:line="360" w:lineRule="auto"/>
        <w:ind w:firstLine="1440"/>
        <w:rPr>
          <w:sz w:val="26"/>
          <w:szCs w:val="26"/>
        </w:rPr>
      </w:pPr>
    </w:p>
    <w:p w:rsidR="004A0DDA" w:rsidRPr="004A0DDA" w:rsidRDefault="004A0DDA" w:rsidP="006C0DCA">
      <w:pPr>
        <w:widowControl/>
        <w:spacing w:line="360" w:lineRule="auto"/>
        <w:ind w:firstLine="1440"/>
        <w:rPr>
          <w:sz w:val="26"/>
          <w:szCs w:val="26"/>
        </w:rPr>
      </w:pPr>
      <w:r w:rsidRPr="004A0DDA">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r w:rsidRPr="00CF692A">
        <w:rPr>
          <w:i/>
          <w:iCs/>
          <w:sz w:val="26"/>
          <w:szCs w:val="26"/>
        </w:rPr>
        <w:t xml:space="preserve">Consolidated Rail Corp. v. Pa. PUC, </w:t>
      </w:r>
      <w:r w:rsidRPr="00CF692A">
        <w:rPr>
          <w:sz w:val="26"/>
          <w:szCs w:val="26"/>
        </w:rPr>
        <w:t>625 A.2d 741 (Pa. Cmwlth. 1993);</w:t>
      </w:r>
      <w:r w:rsidRPr="004A0DDA">
        <w:rPr>
          <w:sz w:val="26"/>
          <w:szCs w:val="26"/>
        </w:rPr>
        <w:t xml:space="preserve"> </w:t>
      </w:r>
      <w:r w:rsidRPr="004A0DDA">
        <w:rPr>
          <w:i/>
          <w:sz w:val="26"/>
          <w:szCs w:val="26"/>
        </w:rPr>
        <w:t xml:space="preserve">also </w:t>
      </w:r>
      <w:r w:rsidRPr="004A0DDA">
        <w:rPr>
          <w:i/>
          <w:iCs/>
          <w:sz w:val="26"/>
          <w:szCs w:val="26"/>
        </w:rPr>
        <w:t xml:space="preserve">see, generally, </w:t>
      </w:r>
      <w:r w:rsidRPr="00CF692A">
        <w:rPr>
          <w:i/>
          <w:iCs/>
          <w:sz w:val="26"/>
          <w:szCs w:val="26"/>
        </w:rPr>
        <w:t>University of Pennsylvania v. Pa. PUC</w:t>
      </w:r>
      <w:r w:rsidRPr="00CF692A">
        <w:rPr>
          <w:sz w:val="26"/>
          <w:szCs w:val="26"/>
        </w:rPr>
        <w:t>, 485 A.2d 1217 (Pa. Cmwlth. 1984).</w:t>
      </w:r>
      <w:r w:rsidRPr="004A0DDA">
        <w:rPr>
          <w:sz w:val="26"/>
          <w:szCs w:val="26"/>
        </w:rPr>
        <w:t xml:space="preserve"> </w:t>
      </w:r>
    </w:p>
    <w:p w:rsidR="00006F35" w:rsidRDefault="00006F35" w:rsidP="006C0DCA">
      <w:pPr>
        <w:widowControl/>
        <w:spacing w:line="360" w:lineRule="auto"/>
        <w:ind w:firstLine="1440"/>
        <w:rPr>
          <w:sz w:val="26"/>
          <w:szCs w:val="26"/>
        </w:rPr>
      </w:pPr>
    </w:p>
    <w:p w:rsidR="00006F35" w:rsidRDefault="00802E4F" w:rsidP="006C0DCA">
      <w:pPr>
        <w:widowControl/>
        <w:spacing w:line="360" w:lineRule="auto"/>
        <w:rPr>
          <w:b/>
          <w:sz w:val="26"/>
          <w:szCs w:val="26"/>
        </w:rPr>
      </w:pPr>
      <w:r>
        <w:rPr>
          <w:b/>
          <w:sz w:val="26"/>
          <w:szCs w:val="26"/>
        </w:rPr>
        <w:t>ALJ’s Initial Decision</w:t>
      </w:r>
    </w:p>
    <w:p w:rsidR="00802E4F" w:rsidRDefault="00802E4F" w:rsidP="006C0DCA">
      <w:pPr>
        <w:widowControl/>
        <w:spacing w:line="360" w:lineRule="auto"/>
        <w:ind w:firstLine="1440"/>
        <w:rPr>
          <w:b/>
          <w:sz w:val="26"/>
          <w:szCs w:val="26"/>
        </w:rPr>
      </w:pPr>
    </w:p>
    <w:p w:rsidR="00802E4F" w:rsidRDefault="00874FBF" w:rsidP="006C0DCA">
      <w:pPr>
        <w:widowControl/>
        <w:spacing w:line="360" w:lineRule="auto"/>
        <w:ind w:firstLine="1440"/>
        <w:rPr>
          <w:sz w:val="26"/>
          <w:szCs w:val="26"/>
        </w:rPr>
      </w:pPr>
      <w:r>
        <w:rPr>
          <w:sz w:val="26"/>
          <w:szCs w:val="26"/>
        </w:rPr>
        <w:t>ALJ Vero made twenty-six</w:t>
      </w:r>
      <w:r w:rsidR="00802E4F" w:rsidRPr="00CA43A5">
        <w:rPr>
          <w:sz w:val="26"/>
          <w:szCs w:val="26"/>
        </w:rPr>
        <w:t xml:space="preserve"> Find</w:t>
      </w:r>
      <w:r>
        <w:rPr>
          <w:sz w:val="26"/>
          <w:szCs w:val="26"/>
        </w:rPr>
        <w:t>ings of Fact and reached seven</w:t>
      </w:r>
      <w:r w:rsidR="00802E4F" w:rsidRPr="00CA43A5">
        <w:rPr>
          <w:sz w:val="26"/>
          <w:szCs w:val="26"/>
        </w:rPr>
        <w:t xml:space="preserve"> Conclusions of Law.  </w:t>
      </w:r>
      <w:r>
        <w:rPr>
          <w:sz w:val="26"/>
          <w:szCs w:val="26"/>
        </w:rPr>
        <w:t xml:space="preserve">I.D. at 4-8 and 22-23.  </w:t>
      </w:r>
      <w:r w:rsidR="00802E4F"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4D16B9" w:rsidRDefault="004D16B9" w:rsidP="006C0DCA">
      <w:pPr>
        <w:widowControl/>
        <w:spacing w:line="360" w:lineRule="auto"/>
        <w:ind w:firstLine="1440"/>
        <w:rPr>
          <w:sz w:val="26"/>
          <w:szCs w:val="26"/>
        </w:rPr>
      </w:pPr>
    </w:p>
    <w:p w:rsidR="004D16B9" w:rsidRDefault="00F3149E" w:rsidP="006C0DCA">
      <w:pPr>
        <w:widowControl/>
        <w:spacing w:line="360" w:lineRule="auto"/>
        <w:ind w:firstLine="1440"/>
        <w:rPr>
          <w:sz w:val="26"/>
          <w:szCs w:val="26"/>
        </w:rPr>
      </w:pPr>
      <w:r>
        <w:rPr>
          <w:sz w:val="26"/>
          <w:szCs w:val="26"/>
        </w:rPr>
        <w:t xml:space="preserve">As a preliminary matter, the ALJ addressed the Complainant’s request for an interpreter of the Mandingo language.  She noted that this request had been made for </w:t>
      </w:r>
      <w:r>
        <w:rPr>
          <w:sz w:val="26"/>
          <w:szCs w:val="26"/>
        </w:rPr>
        <w:lastRenderedPageBreak/>
        <w:t xml:space="preserve">the first time at the first hearing even though the Complainant had received the Hearing Notice informing him to request an interpreter at least ten days before the hearing </w:t>
      </w:r>
      <w:r w:rsidR="0020390A">
        <w:rPr>
          <w:sz w:val="26"/>
          <w:szCs w:val="26"/>
        </w:rPr>
        <w:t>if needed</w:t>
      </w:r>
      <w:r>
        <w:rPr>
          <w:sz w:val="26"/>
          <w:szCs w:val="26"/>
        </w:rPr>
        <w:t xml:space="preserve">.  </w:t>
      </w:r>
      <w:r w:rsidR="00C8138B">
        <w:rPr>
          <w:sz w:val="26"/>
          <w:szCs w:val="26"/>
        </w:rPr>
        <w:t xml:space="preserve">I.D. at 9.  </w:t>
      </w:r>
      <w:r>
        <w:rPr>
          <w:sz w:val="26"/>
          <w:szCs w:val="26"/>
        </w:rPr>
        <w:t>In denying the request for a</w:t>
      </w:r>
      <w:r w:rsidR="00E90F30">
        <w:rPr>
          <w:sz w:val="26"/>
          <w:szCs w:val="26"/>
        </w:rPr>
        <w:t xml:space="preserve"> continuance of the second hearing, due to the unavailability of a</w:t>
      </w:r>
      <w:r>
        <w:rPr>
          <w:sz w:val="26"/>
          <w:szCs w:val="26"/>
        </w:rPr>
        <w:t>n interpreter, the ALJ found that one was not needed because</w:t>
      </w:r>
      <w:r w:rsidR="007F09C4">
        <w:rPr>
          <w:sz w:val="26"/>
          <w:szCs w:val="26"/>
        </w:rPr>
        <w:t xml:space="preserve">: </w:t>
      </w:r>
      <w:r w:rsidR="00C8138B">
        <w:rPr>
          <w:sz w:val="26"/>
          <w:szCs w:val="26"/>
        </w:rPr>
        <w:t xml:space="preserve"> (1)</w:t>
      </w:r>
      <w:r w:rsidR="007F09C4">
        <w:rPr>
          <w:sz w:val="26"/>
          <w:szCs w:val="26"/>
        </w:rPr>
        <w:t> </w:t>
      </w:r>
      <w:r>
        <w:rPr>
          <w:sz w:val="26"/>
          <w:szCs w:val="26"/>
        </w:rPr>
        <w:t xml:space="preserve">the Complainant had </w:t>
      </w:r>
      <w:r w:rsidR="009B3036">
        <w:rPr>
          <w:sz w:val="26"/>
          <w:szCs w:val="26"/>
        </w:rPr>
        <w:t>already</w:t>
      </w:r>
      <w:r w:rsidR="00A40DE6">
        <w:rPr>
          <w:sz w:val="26"/>
          <w:szCs w:val="26"/>
        </w:rPr>
        <w:t xml:space="preserve"> litigated one f</w:t>
      </w:r>
      <w:r>
        <w:rPr>
          <w:sz w:val="26"/>
          <w:szCs w:val="26"/>
        </w:rPr>
        <w:t>ormal</w:t>
      </w:r>
      <w:r w:rsidR="00A40DE6">
        <w:rPr>
          <w:sz w:val="26"/>
          <w:szCs w:val="26"/>
        </w:rPr>
        <w:t xml:space="preserve"> c</w:t>
      </w:r>
      <w:r>
        <w:rPr>
          <w:sz w:val="26"/>
          <w:szCs w:val="26"/>
        </w:rPr>
        <w:t>omplaint before the Commission</w:t>
      </w:r>
      <w:r w:rsidR="00B8504D">
        <w:rPr>
          <w:rStyle w:val="FootnoteReference"/>
          <w:sz w:val="26"/>
          <w:szCs w:val="26"/>
        </w:rPr>
        <w:footnoteReference w:id="4"/>
      </w:r>
      <w:r>
        <w:rPr>
          <w:sz w:val="26"/>
          <w:szCs w:val="26"/>
        </w:rPr>
        <w:t xml:space="preserve"> and had not indicated a need for an interpreter</w:t>
      </w:r>
      <w:r w:rsidR="00A40DE6">
        <w:rPr>
          <w:sz w:val="26"/>
          <w:szCs w:val="26"/>
        </w:rPr>
        <w:t xml:space="preserve"> in that proceeding</w:t>
      </w:r>
      <w:r>
        <w:rPr>
          <w:sz w:val="26"/>
          <w:szCs w:val="26"/>
        </w:rPr>
        <w:t xml:space="preserve">; </w:t>
      </w:r>
      <w:r w:rsidR="00C8138B">
        <w:rPr>
          <w:sz w:val="26"/>
          <w:szCs w:val="26"/>
        </w:rPr>
        <w:t xml:space="preserve">(2) </w:t>
      </w:r>
      <w:r>
        <w:rPr>
          <w:sz w:val="26"/>
          <w:szCs w:val="26"/>
        </w:rPr>
        <w:t xml:space="preserve">he did not </w:t>
      </w:r>
      <w:r w:rsidR="00E90F30">
        <w:rPr>
          <w:sz w:val="26"/>
          <w:szCs w:val="26"/>
        </w:rPr>
        <w:t>demonstra</w:t>
      </w:r>
      <w:r w:rsidR="009B3036">
        <w:rPr>
          <w:sz w:val="26"/>
          <w:szCs w:val="26"/>
        </w:rPr>
        <w:t>te</w:t>
      </w:r>
      <w:r>
        <w:rPr>
          <w:sz w:val="26"/>
          <w:szCs w:val="26"/>
        </w:rPr>
        <w:t xml:space="preserve"> an inability to express himself in the English language in the Complaint or </w:t>
      </w:r>
      <w:r w:rsidR="0020390A">
        <w:rPr>
          <w:sz w:val="26"/>
          <w:szCs w:val="26"/>
        </w:rPr>
        <w:t xml:space="preserve">the </w:t>
      </w:r>
      <w:r>
        <w:rPr>
          <w:sz w:val="26"/>
          <w:szCs w:val="26"/>
        </w:rPr>
        <w:t xml:space="preserve">Amended Complaint he had filed in the current matter; </w:t>
      </w:r>
      <w:r w:rsidR="00C8138B">
        <w:rPr>
          <w:sz w:val="26"/>
          <w:szCs w:val="26"/>
        </w:rPr>
        <w:t xml:space="preserve">(3) </w:t>
      </w:r>
      <w:r>
        <w:rPr>
          <w:sz w:val="26"/>
          <w:szCs w:val="26"/>
        </w:rPr>
        <w:t xml:space="preserve">he was able to argue clearly and persistently in support of his request to continue the hearing until an interpreter could be obtained; </w:t>
      </w:r>
      <w:r w:rsidR="00C8138B">
        <w:rPr>
          <w:sz w:val="26"/>
          <w:szCs w:val="26"/>
        </w:rPr>
        <w:t xml:space="preserve">(4) </w:t>
      </w:r>
      <w:r w:rsidR="009B3036">
        <w:rPr>
          <w:sz w:val="26"/>
          <w:szCs w:val="26"/>
        </w:rPr>
        <w:t>he was fully able to engage in litigation and</w:t>
      </w:r>
      <w:r w:rsidR="00C8138B">
        <w:rPr>
          <w:sz w:val="26"/>
          <w:szCs w:val="26"/>
        </w:rPr>
        <w:t xml:space="preserve"> follow instructions</w:t>
      </w:r>
      <w:r w:rsidR="009B3036">
        <w:rPr>
          <w:sz w:val="26"/>
          <w:szCs w:val="26"/>
        </w:rPr>
        <w:t xml:space="preserve">; </w:t>
      </w:r>
      <w:r w:rsidR="00C8138B">
        <w:rPr>
          <w:sz w:val="26"/>
          <w:szCs w:val="26"/>
        </w:rPr>
        <w:t xml:space="preserve">(5) </w:t>
      </w:r>
      <w:r w:rsidR="009B3036">
        <w:rPr>
          <w:sz w:val="26"/>
          <w:szCs w:val="26"/>
        </w:rPr>
        <w:t xml:space="preserve">neither the ALJ, </w:t>
      </w:r>
      <w:r w:rsidR="00E90F30">
        <w:rPr>
          <w:sz w:val="26"/>
          <w:szCs w:val="26"/>
        </w:rPr>
        <w:t xml:space="preserve">the </w:t>
      </w:r>
      <w:r w:rsidR="009B3036">
        <w:rPr>
          <w:sz w:val="26"/>
          <w:szCs w:val="26"/>
        </w:rPr>
        <w:t xml:space="preserve">opposing party, </w:t>
      </w:r>
      <w:r w:rsidR="0020390A">
        <w:rPr>
          <w:sz w:val="26"/>
          <w:szCs w:val="26"/>
        </w:rPr>
        <w:t>n</w:t>
      </w:r>
      <w:r w:rsidR="009B3036">
        <w:rPr>
          <w:sz w:val="26"/>
          <w:szCs w:val="26"/>
        </w:rPr>
        <w:t xml:space="preserve">or </w:t>
      </w:r>
      <w:r w:rsidR="00E90F30">
        <w:rPr>
          <w:sz w:val="26"/>
          <w:szCs w:val="26"/>
        </w:rPr>
        <w:t xml:space="preserve">the </w:t>
      </w:r>
      <w:r w:rsidR="009B3036">
        <w:rPr>
          <w:sz w:val="26"/>
          <w:szCs w:val="26"/>
        </w:rPr>
        <w:t>court reporter had a problem understanding him and any confusion was easily clarified with follow up questions;</w:t>
      </w:r>
      <w:r w:rsidR="0002197D">
        <w:rPr>
          <w:sz w:val="26"/>
          <w:szCs w:val="26"/>
        </w:rPr>
        <w:t xml:space="preserve"> </w:t>
      </w:r>
      <w:r w:rsidR="007F09C4">
        <w:rPr>
          <w:sz w:val="26"/>
          <w:szCs w:val="26"/>
        </w:rPr>
        <w:t>(6) </w:t>
      </w:r>
      <w:r w:rsidR="009B3036">
        <w:rPr>
          <w:sz w:val="26"/>
          <w:szCs w:val="26"/>
        </w:rPr>
        <w:t>the Comp</w:t>
      </w:r>
      <w:r w:rsidR="00C8138B">
        <w:rPr>
          <w:sz w:val="26"/>
          <w:szCs w:val="26"/>
        </w:rPr>
        <w:t>lainant had argued that he needed</w:t>
      </w:r>
      <w:r w:rsidR="009B3036">
        <w:rPr>
          <w:sz w:val="26"/>
          <w:szCs w:val="26"/>
        </w:rPr>
        <w:t xml:space="preserve"> an interpreter because he gets very emotional</w:t>
      </w:r>
      <w:r w:rsidR="00E90F30">
        <w:rPr>
          <w:sz w:val="26"/>
          <w:szCs w:val="26"/>
        </w:rPr>
        <w:t>,</w:t>
      </w:r>
      <w:r w:rsidR="009B3036">
        <w:rPr>
          <w:sz w:val="26"/>
          <w:szCs w:val="26"/>
        </w:rPr>
        <w:t xml:space="preserve"> which is not what the service of an int</w:t>
      </w:r>
      <w:r w:rsidR="00C8138B">
        <w:rPr>
          <w:sz w:val="26"/>
          <w:szCs w:val="26"/>
        </w:rPr>
        <w:t xml:space="preserve">erpreter is designed to address; </w:t>
      </w:r>
      <w:r w:rsidR="00E918B4">
        <w:rPr>
          <w:sz w:val="26"/>
          <w:szCs w:val="26"/>
        </w:rPr>
        <w:t xml:space="preserve">and, </w:t>
      </w:r>
      <w:r w:rsidR="00C8138B">
        <w:rPr>
          <w:sz w:val="26"/>
          <w:szCs w:val="26"/>
        </w:rPr>
        <w:t>(</w:t>
      </w:r>
      <w:r w:rsidR="0002197D">
        <w:rPr>
          <w:sz w:val="26"/>
          <w:szCs w:val="26"/>
        </w:rPr>
        <w:t>7) </w:t>
      </w:r>
      <w:r w:rsidR="0020390A">
        <w:rPr>
          <w:sz w:val="26"/>
          <w:szCs w:val="26"/>
        </w:rPr>
        <w:t>because he had arrived at the hearing unprepared</w:t>
      </w:r>
      <w:r w:rsidR="00E90F30">
        <w:rPr>
          <w:sz w:val="26"/>
          <w:szCs w:val="26"/>
        </w:rPr>
        <w:t>,</w:t>
      </w:r>
      <w:r w:rsidR="00C8138B">
        <w:rPr>
          <w:sz w:val="26"/>
          <w:szCs w:val="26"/>
        </w:rPr>
        <w:t xml:space="preserve"> </w:t>
      </w:r>
      <w:r w:rsidR="00E90F30">
        <w:rPr>
          <w:sz w:val="26"/>
          <w:szCs w:val="26"/>
        </w:rPr>
        <w:t>bring</w:t>
      </w:r>
      <w:r w:rsidR="00C8138B">
        <w:rPr>
          <w:sz w:val="26"/>
          <w:szCs w:val="26"/>
        </w:rPr>
        <w:t>ing n</w:t>
      </w:r>
      <w:r w:rsidR="00E90F30">
        <w:rPr>
          <w:sz w:val="26"/>
          <w:szCs w:val="26"/>
        </w:rPr>
        <w:t>o</w:t>
      </w:r>
      <w:r w:rsidR="00C8138B">
        <w:rPr>
          <w:sz w:val="26"/>
          <w:szCs w:val="26"/>
        </w:rPr>
        <w:t xml:space="preserve"> documentation</w:t>
      </w:r>
      <w:r w:rsidR="00E90F30">
        <w:rPr>
          <w:sz w:val="26"/>
          <w:szCs w:val="26"/>
        </w:rPr>
        <w:t>,</w:t>
      </w:r>
      <w:r w:rsidR="00C8138B">
        <w:rPr>
          <w:sz w:val="26"/>
          <w:szCs w:val="26"/>
        </w:rPr>
        <w:t xml:space="preserve"> </w:t>
      </w:r>
      <w:r w:rsidR="00E90F30">
        <w:rPr>
          <w:sz w:val="26"/>
          <w:szCs w:val="26"/>
        </w:rPr>
        <w:t>n</w:t>
      </w:r>
      <w:r w:rsidR="00C8138B">
        <w:rPr>
          <w:sz w:val="26"/>
          <w:szCs w:val="26"/>
        </w:rPr>
        <w:t>o paper and pe</w:t>
      </w:r>
      <w:r w:rsidR="0020390A">
        <w:rPr>
          <w:sz w:val="26"/>
          <w:szCs w:val="26"/>
        </w:rPr>
        <w:t xml:space="preserve">n to take notes, </w:t>
      </w:r>
      <w:r w:rsidR="00E90F30">
        <w:rPr>
          <w:sz w:val="26"/>
          <w:szCs w:val="26"/>
        </w:rPr>
        <w:t xml:space="preserve">and </w:t>
      </w:r>
      <w:r w:rsidR="0020390A">
        <w:rPr>
          <w:sz w:val="26"/>
          <w:szCs w:val="26"/>
        </w:rPr>
        <w:t>no</w:t>
      </w:r>
      <w:r w:rsidR="00C8138B">
        <w:rPr>
          <w:sz w:val="26"/>
          <w:szCs w:val="26"/>
        </w:rPr>
        <w:t xml:space="preserve"> reading glasses, indicating that he did not expect the hearing to take place.  The ALJ found the Complainant’s credibility lacking and agreed with PECO that his request was an attempt to delay or avoid the Company’s attempt to collect the outstanding account balance.  I.D. at 11-13. </w:t>
      </w:r>
    </w:p>
    <w:p w:rsidR="005C2735" w:rsidRDefault="005C2735" w:rsidP="006C0DCA">
      <w:pPr>
        <w:widowControl/>
        <w:spacing w:line="360" w:lineRule="auto"/>
        <w:ind w:firstLine="1440"/>
        <w:rPr>
          <w:sz w:val="26"/>
          <w:szCs w:val="26"/>
        </w:rPr>
      </w:pPr>
    </w:p>
    <w:p w:rsidR="005C2735" w:rsidRPr="00CA43A5" w:rsidRDefault="005C2735" w:rsidP="006C0DCA">
      <w:pPr>
        <w:widowControl/>
        <w:spacing w:line="360" w:lineRule="auto"/>
        <w:ind w:firstLine="1440"/>
        <w:rPr>
          <w:sz w:val="26"/>
          <w:szCs w:val="26"/>
        </w:rPr>
      </w:pPr>
      <w:r>
        <w:rPr>
          <w:sz w:val="26"/>
          <w:szCs w:val="26"/>
        </w:rPr>
        <w:t>Turning to the substantive allegations of the Complaint, the ALJ found that the Complainant had failed to meet his burden of proof as he did not present any evidence of a high bill or inadequate service other than his testimony, which was inconsistent</w:t>
      </w:r>
      <w:r w:rsidR="00121A4C">
        <w:rPr>
          <w:sz w:val="26"/>
          <w:szCs w:val="26"/>
        </w:rPr>
        <w:t xml:space="preserve">.  In addition, the ALJ noted </w:t>
      </w:r>
      <w:r w:rsidR="000723AC">
        <w:rPr>
          <w:sz w:val="26"/>
          <w:szCs w:val="26"/>
        </w:rPr>
        <w:t xml:space="preserve">that </w:t>
      </w:r>
      <w:r>
        <w:rPr>
          <w:sz w:val="26"/>
          <w:szCs w:val="26"/>
        </w:rPr>
        <w:t xml:space="preserve">he failed to work with PECO to schedule a high bill investigation.  </w:t>
      </w:r>
      <w:r w:rsidR="00F4040B">
        <w:rPr>
          <w:sz w:val="26"/>
          <w:szCs w:val="26"/>
        </w:rPr>
        <w:t xml:space="preserve">I.D. at 18.  </w:t>
      </w:r>
      <w:r>
        <w:rPr>
          <w:sz w:val="26"/>
          <w:szCs w:val="26"/>
        </w:rPr>
        <w:t>She also found that the Complainant had been properly assessed a security deposit and was not eligible for a payment arrangement as his account was a commercial account.  She dismissed the Complaint in its entirety.</w:t>
      </w:r>
      <w:r w:rsidR="00F4040B">
        <w:rPr>
          <w:sz w:val="26"/>
          <w:szCs w:val="26"/>
        </w:rPr>
        <w:t xml:space="preserve">  I.D. at 20-21.</w:t>
      </w:r>
      <w:r>
        <w:rPr>
          <w:sz w:val="26"/>
          <w:szCs w:val="26"/>
        </w:rPr>
        <w:t xml:space="preserve">  </w:t>
      </w:r>
    </w:p>
    <w:p w:rsidR="00006F35" w:rsidRDefault="00804BE4" w:rsidP="006C0DCA">
      <w:pPr>
        <w:widowControl/>
        <w:spacing w:line="360" w:lineRule="auto"/>
        <w:contextualSpacing/>
        <w:rPr>
          <w:b/>
          <w:sz w:val="26"/>
          <w:szCs w:val="26"/>
        </w:rPr>
      </w:pPr>
      <w:r>
        <w:rPr>
          <w:b/>
          <w:sz w:val="26"/>
          <w:szCs w:val="26"/>
        </w:rPr>
        <w:lastRenderedPageBreak/>
        <w:t>Exceptions, Replies and Disposition</w:t>
      </w:r>
    </w:p>
    <w:p w:rsidR="00686CB1" w:rsidRDefault="00686CB1" w:rsidP="006C0DCA">
      <w:pPr>
        <w:widowControl/>
        <w:spacing w:line="360" w:lineRule="auto"/>
        <w:contextualSpacing/>
        <w:rPr>
          <w:b/>
          <w:sz w:val="26"/>
          <w:szCs w:val="26"/>
        </w:rPr>
      </w:pPr>
    </w:p>
    <w:p w:rsidR="00686CB1" w:rsidRDefault="00686CB1" w:rsidP="006C0DCA">
      <w:pPr>
        <w:widowControl/>
        <w:spacing w:line="360" w:lineRule="auto"/>
        <w:contextualSpacing/>
        <w:rPr>
          <w:sz w:val="26"/>
          <w:szCs w:val="26"/>
        </w:rPr>
      </w:pPr>
      <w:r>
        <w:rPr>
          <w:b/>
          <w:sz w:val="26"/>
          <w:szCs w:val="26"/>
        </w:rPr>
        <w:tab/>
      </w:r>
      <w:r>
        <w:rPr>
          <w:b/>
          <w:sz w:val="26"/>
          <w:szCs w:val="26"/>
        </w:rPr>
        <w:tab/>
      </w:r>
      <w:r w:rsidR="007407C2">
        <w:rPr>
          <w:sz w:val="26"/>
          <w:szCs w:val="26"/>
        </w:rPr>
        <w:t>In his Exceptions, the Complainant avers that the ALJ had initially granted his request for an interpreter, but when one was</w:t>
      </w:r>
      <w:r w:rsidR="005A3305">
        <w:rPr>
          <w:sz w:val="26"/>
          <w:szCs w:val="26"/>
        </w:rPr>
        <w:t xml:space="preserve"> </w:t>
      </w:r>
      <w:r w:rsidR="007407C2">
        <w:rPr>
          <w:sz w:val="26"/>
          <w:szCs w:val="26"/>
        </w:rPr>
        <w:t>n</w:t>
      </w:r>
      <w:r w:rsidR="005A3305">
        <w:rPr>
          <w:sz w:val="26"/>
          <w:szCs w:val="26"/>
        </w:rPr>
        <w:t>o</w:t>
      </w:r>
      <w:r w:rsidR="007407C2">
        <w:rPr>
          <w:sz w:val="26"/>
          <w:szCs w:val="26"/>
        </w:rPr>
        <w:t>t available, she proceeded with the hearing without an interpreter.  He contends that</w:t>
      </w:r>
      <w:r w:rsidR="005A3305">
        <w:rPr>
          <w:sz w:val="26"/>
          <w:szCs w:val="26"/>
        </w:rPr>
        <w:t>,</w:t>
      </w:r>
      <w:r w:rsidR="007407C2">
        <w:rPr>
          <w:sz w:val="26"/>
          <w:szCs w:val="26"/>
        </w:rPr>
        <w:t xml:space="preserve"> at the end of the </w:t>
      </w:r>
      <w:r w:rsidR="00E30250">
        <w:rPr>
          <w:sz w:val="26"/>
          <w:szCs w:val="26"/>
        </w:rPr>
        <w:t>continued</w:t>
      </w:r>
      <w:r w:rsidR="005A3305">
        <w:rPr>
          <w:sz w:val="26"/>
          <w:szCs w:val="26"/>
        </w:rPr>
        <w:t xml:space="preserve"> </w:t>
      </w:r>
      <w:r w:rsidR="007407C2">
        <w:rPr>
          <w:sz w:val="26"/>
          <w:szCs w:val="26"/>
        </w:rPr>
        <w:t xml:space="preserve">hearing, the “clerk” told the judge that he did not hear a word the Complainant </w:t>
      </w:r>
      <w:r w:rsidR="0020390A">
        <w:rPr>
          <w:sz w:val="26"/>
          <w:szCs w:val="26"/>
        </w:rPr>
        <w:t xml:space="preserve">had </w:t>
      </w:r>
      <w:r w:rsidR="007407C2">
        <w:rPr>
          <w:sz w:val="26"/>
          <w:szCs w:val="26"/>
        </w:rPr>
        <w:t xml:space="preserve">said.  The Complainant requests that </w:t>
      </w:r>
      <w:r w:rsidR="0020390A">
        <w:rPr>
          <w:sz w:val="26"/>
          <w:szCs w:val="26"/>
        </w:rPr>
        <w:t>t</w:t>
      </w:r>
      <w:r w:rsidR="007407C2">
        <w:rPr>
          <w:sz w:val="26"/>
          <w:szCs w:val="26"/>
        </w:rPr>
        <w:t xml:space="preserve">he Commission get to the bottom of his allegations and that he be treated fairly.  Exc. at 1-14.  </w:t>
      </w:r>
    </w:p>
    <w:p w:rsidR="00381799" w:rsidRDefault="00381799" w:rsidP="006C0DCA">
      <w:pPr>
        <w:widowControl/>
        <w:spacing w:line="360" w:lineRule="auto"/>
        <w:contextualSpacing/>
        <w:rPr>
          <w:sz w:val="26"/>
          <w:szCs w:val="26"/>
        </w:rPr>
      </w:pPr>
    </w:p>
    <w:p w:rsidR="00381799" w:rsidRDefault="00381799" w:rsidP="006C0DCA">
      <w:pPr>
        <w:widowControl/>
        <w:spacing w:line="360" w:lineRule="auto"/>
        <w:contextualSpacing/>
        <w:rPr>
          <w:sz w:val="26"/>
          <w:szCs w:val="26"/>
        </w:rPr>
      </w:pPr>
      <w:r>
        <w:rPr>
          <w:sz w:val="26"/>
          <w:szCs w:val="26"/>
        </w:rPr>
        <w:tab/>
      </w:r>
      <w:r>
        <w:rPr>
          <w:sz w:val="26"/>
          <w:szCs w:val="26"/>
        </w:rPr>
        <w:tab/>
        <w:t xml:space="preserve">PECO, in its Replies, contends that the Complainant’s request for a translator is designed to delay resolution of this matter so that he can avoid making payments on his account.  The Company avers that the Complainant can speak English and can effectively put on his </w:t>
      </w:r>
      <w:r w:rsidR="006A6493">
        <w:rPr>
          <w:sz w:val="26"/>
          <w:szCs w:val="26"/>
        </w:rPr>
        <w:t>case as he did in his previous case before the Commission</w:t>
      </w:r>
      <w:r>
        <w:rPr>
          <w:sz w:val="26"/>
          <w:szCs w:val="26"/>
        </w:rPr>
        <w:t>.  PECO requests that the Exceptions be denied</w:t>
      </w:r>
      <w:r w:rsidR="004B03BC">
        <w:rPr>
          <w:sz w:val="26"/>
          <w:szCs w:val="26"/>
        </w:rPr>
        <w:t>,</w:t>
      </w:r>
      <w:r>
        <w:rPr>
          <w:sz w:val="26"/>
          <w:szCs w:val="26"/>
        </w:rPr>
        <w:t xml:space="preserve"> stating that the Complainant has not been paying current charges and the Company and its rate payers will be prejudiced if another hearing is scheduled.  R. Exc. at 4-5.  </w:t>
      </w:r>
    </w:p>
    <w:p w:rsidR="003C4E40" w:rsidRDefault="003C4E40" w:rsidP="006C0DCA">
      <w:pPr>
        <w:widowControl/>
        <w:spacing w:line="360" w:lineRule="auto"/>
        <w:contextualSpacing/>
        <w:rPr>
          <w:sz w:val="26"/>
          <w:szCs w:val="26"/>
        </w:rPr>
      </w:pPr>
    </w:p>
    <w:p w:rsidR="00926C41" w:rsidRDefault="003C4E40" w:rsidP="00926C41">
      <w:pPr>
        <w:widowControl/>
        <w:spacing w:line="360" w:lineRule="auto"/>
        <w:contextualSpacing/>
        <w:rPr>
          <w:bCs/>
          <w:sz w:val="26"/>
          <w:szCs w:val="26"/>
        </w:rPr>
      </w:pPr>
      <w:r>
        <w:rPr>
          <w:sz w:val="26"/>
          <w:szCs w:val="26"/>
        </w:rPr>
        <w:tab/>
      </w:r>
      <w:r>
        <w:rPr>
          <w:sz w:val="26"/>
          <w:szCs w:val="26"/>
        </w:rPr>
        <w:tab/>
      </w:r>
      <w:r w:rsidR="007710E2">
        <w:rPr>
          <w:sz w:val="26"/>
          <w:szCs w:val="26"/>
        </w:rPr>
        <w:t>We find that the Complainant was able to effectively participate in the hearing in the English language and had no need of a translator at the hearing.  Due process is required in all hearings before administrative agenci</w:t>
      </w:r>
      <w:r w:rsidR="0020390A">
        <w:rPr>
          <w:sz w:val="26"/>
          <w:szCs w:val="26"/>
        </w:rPr>
        <w:t>es in the Commonwealth.  Due process</w:t>
      </w:r>
      <w:r w:rsidR="007710E2">
        <w:rPr>
          <w:sz w:val="26"/>
          <w:szCs w:val="26"/>
        </w:rPr>
        <w:t xml:space="preserve"> is a flexible notion calling for such procedural safeguards as demanded by a particular situation in order to ensure fundamental fairness.  </w:t>
      </w:r>
      <w:r w:rsidR="007710E2" w:rsidRPr="004F6FFC">
        <w:rPr>
          <w:i/>
          <w:sz w:val="26"/>
          <w:szCs w:val="26"/>
        </w:rPr>
        <w:t xml:space="preserve">Reading Sch. Dist. v. Dep’t of Educ., </w:t>
      </w:r>
      <w:r w:rsidR="004F6FFC" w:rsidRPr="00926C41">
        <w:rPr>
          <w:sz w:val="26"/>
          <w:szCs w:val="26"/>
        </w:rPr>
        <w:t>875 A.2d 1218 (Pa. Cmwlth. 2005)</w:t>
      </w:r>
      <w:r w:rsidR="004F6FFC">
        <w:rPr>
          <w:sz w:val="26"/>
          <w:szCs w:val="26"/>
        </w:rPr>
        <w:t>.</w:t>
      </w:r>
      <w:r w:rsidR="00926C41">
        <w:rPr>
          <w:sz w:val="26"/>
          <w:szCs w:val="26"/>
        </w:rPr>
        <w:t xml:space="preserve">  Fundamental fairness includes the opportunity to be heard in a meaningful manner.  </w:t>
      </w:r>
      <w:r w:rsidR="00926C41" w:rsidRPr="00926C41">
        <w:rPr>
          <w:bCs/>
          <w:i/>
          <w:sz w:val="26"/>
          <w:szCs w:val="26"/>
        </w:rPr>
        <w:t>Plowman v. Plowman</w:t>
      </w:r>
      <w:r w:rsidR="00926C41" w:rsidRPr="00926C41">
        <w:rPr>
          <w:bCs/>
          <w:sz w:val="26"/>
          <w:szCs w:val="26"/>
        </w:rPr>
        <w:t>, 409 Pa. Super. 143</w:t>
      </w:r>
      <w:r w:rsidR="00926C41">
        <w:rPr>
          <w:bCs/>
          <w:sz w:val="26"/>
          <w:szCs w:val="26"/>
        </w:rPr>
        <w:t xml:space="preserve"> (1991).  </w:t>
      </w:r>
      <w:r w:rsidR="00E15E45">
        <w:rPr>
          <w:bCs/>
          <w:sz w:val="26"/>
          <w:szCs w:val="26"/>
        </w:rPr>
        <w:t>W</w:t>
      </w:r>
      <w:r w:rsidR="00926C41">
        <w:rPr>
          <w:bCs/>
          <w:sz w:val="26"/>
          <w:szCs w:val="26"/>
        </w:rPr>
        <w:t>here a complainant cannot participate in a he</w:t>
      </w:r>
      <w:r w:rsidR="0020390A">
        <w:rPr>
          <w:bCs/>
          <w:sz w:val="26"/>
          <w:szCs w:val="26"/>
        </w:rPr>
        <w:t>aring due to a language barrier</w:t>
      </w:r>
      <w:r w:rsidR="00E15E45">
        <w:rPr>
          <w:bCs/>
          <w:sz w:val="26"/>
          <w:szCs w:val="26"/>
        </w:rPr>
        <w:t>,</w:t>
      </w:r>
      <w:r w:rsidR="00926C41">
        <w:rPr>
          <w:bCs/>
          <w:sz w:val="26"/>
          <w:szCs w:val="26"/>
        </w:rPr>
        <w:t xml:space="preserve"> an interpreter is necessary for meaningful participation</w:t>
      </w:r>
      <w:r w:rsidR="00E15E45">
        <w:rPr>
          <w:bCs/>
          <w:sz w:val="26"/>
          <w:szCs w:val="26"/>
        </w:rPr>
        <w:t>.  However,</w:t>
      </w:r>
      <w:r w:rsidR="00926C41">
        <w:rPr>
          <w:bCs/>
          <w:sz w:val="26"/>
          <w:szCs w:val="26"/>
        </w:rPr>
        <w:t xml:space="preserve"> the Commission has found that an interpreter is not n</w:t>
      </w:r>
      <w:r w:rsidR="0020390A">
        <w:rPr>
          <w:bCs/>
          <w:sz w:val="26"/>
          <w:szCs w:val="26"/>
        </w:rPr>
        <w:t>ecessary if a complainant does not have</w:t>
      </w:r>
      <w:r w:rsidR="00926C41">
        <w:rPr>
          <w:bCs/>
          <w:sz w:val="26"/>
          <w:szCs w:val="26"/>
        </w:rPr>
        <w:t xml:space="preserve"> difficulty participating </w:t>
      </w:r>
      <w:r w:rsidR="0020390A">
        <w:rPr>
          <w:bCs/>
          <w:sz w:val="26"/>
          <w:szCs w:val="26"/>
        </w:rPr>
        <w:t xml:space="preserve">in the hearing </w:t>
      </w:r>
      <w:r w:rsidR="00926C41">
        <w:rPr>
          <w:bCs/>
          <w:sz w:val="26"/>
          <w:szCs w:val="26"/>
        </w:rPr>
        <w:t>using the English language even if an interpreter was requested and English is not the Complainant</w:t>
      </w:r>
      <w:r w:rsidR="00E15E45">
        <w:rPr>
          <w:bCs/>
          <w:sz w:val="26"/>
          <w:szCs w:val="26"/>
        </w:rPr>
        <w:t>’</w:t>
      </w:r>
      <w:r w:rsidR="00926C41">
        <w:rPr>
          <w:bCs/>
          <w:sz w:val="26"/>
          <w:szCs w:val="26"/>
        </w:rPr>
        <w:t xml:space="preserve">s first language.  </w:t>
      </w:r>
      <w:r w:rsidR="00953BEA" w:rsidRPr="00953BEA">
        <w:rPr>
          <w:bCs/>
          <w:i/>
          <w:sz w:val="26"/>
          <w:szCs w:val="26"/>
        </w:rPr>
        <w:t xml:space="preserve">See </w:t>
      </w:r>
      <w:r w:rsidR="00926C41" w:rsidRPr="00953BEA">
        <w:rPr>
          <w:bCs/>
          <w:i/>
          <w:sz w:val="26"/>
          <w:szCs w:val="26"/>
        </w:rPr>
        <w:t xml:space="preserve">Bozena Dziadas </w:t>
      </w:r>
      <w:r w:rsidR="00926C41" w:rsidRPr="00953BEA">
        <w:rPr>
          <w:bCs/>
          <w:i/>
          <w:sz w:val="26"/>
          <w:szCs w:val="26"/>
        </w:rPr>
        <w:lastRenderedPageBreak/>
        <w:t>v. PPL Electric Utilities Corporation</w:t>
      </w:r>
      <w:r w:rsidR="00953BEA">
        <w:rPr>
          <w:bCs/>
          <w:sz w:val="26"/>
          <w:szCs w:val="26"/>
        </w:rPr>
        <w:t xml:space="preserve">, Docket No. </w:t>
      </w:r>
      <w:r w:rsidR="00926C41" w:rsidRPr="00926C41">
        <w:rPr>
          <w:bCs/>
          <w:sz w:val="26"/>
          <w:szCs w:val="26"/>
        </w:rPr>
        <w:t>F-2009-2109584</w:t>
      </w:r>
      <w:r w:rsidR="0002197D">
        <w:rPr>
          <w:bCs/>
          <w:sz w:val="26"/>
          <w:szCs w:val="26"/>
        </w:rPr>
        <w:t xml:space="preserve"> (Order entered July </w:t>
      </w:r>
      <w:r w:rsidR="00090DAA">
        <w:rPr>
          <w:bCs/>
          <w:sz w:val="26"/>
          <w:szCs w:val="26"/>
        </w:rPr>
        <w:t xml:space="preserve">29, 2010). </w:t>
      </w:r>
    </w:p>
    <w:p w:rsidR="00E21862" w:rsidRDefault="00E21862" w:rsidP="00926C41">
      <w:pPr>
        <w:widowControl/>
        <w:spacing w:line="360" w:lineRule="auto"/>
        <w:contextualSpacing/>
        <w:rPr>
          <w:bCs/>
          <w:sz w:val="26"/>
          <w:szCs w:val="26"/>
        </w:rPr>
      </w:pPr>
    </w:p>
    <w:p w:rsidR="00006F35" w:rsidRDefault="00E21862" w:rsidP="00E21862">
      <w:pPr>
        <w:widowControl/>
        <w:spacing w:line="360" w:lineRule="auto"/>
        <w:contextualSpacing/>
        <w:rPr>
          <w:bCs/>
          <w:sz w:val="26"/>
          <w:szCs w:val="26"/>
        </w:rPr>
      </w:pPr>
      <w:r>
        <w:rPr>
          <w:bCs/>
          <w:sz w:val="26"/>
          <w:szCs w:val="26"/>
        </w:rPr>
        <w:tab/>
      </w:r>
      <w:r>
        <w:rPr>
          <w:bCs/>
          <w:sz w:val="26"/>
          <w:szCs w:val="26"/>
        </w:rPr>
        <w:tab/>
        <w:t>Here, the Complainant was afforded a meaningful opportunity to be heard.  A review of the</w:t>
      </w:r>
      <w:r w:rsidR="0020390A">
        <w:rPr>
          <w:bCs/>
          <w:sz w:val="26"/>
          <w:szCs w:val="26"/>
        </w:rPr>
        <w:t xml:space="preserve"> entire transcript of the continued</w:t>
      </w:r>
      <w:r>
        <w:rPr>
          <w:bCs/>
          <w:sz w:val="26"/>
          <w:szCs w:val="26"/>
        </w:rPr>
        <w:t xml:space="preserve"> hearing, as well as the transcript for the first hearing, reveals that the Complainant understood, without difficulty, all questions asked of him.  Further, the ALJ, </w:t>
      </w:r>
      <w:r w:rsidR="00E30250">
        <w:rPr>
          <w:bCs/>
          <w:sz w:val="26"/>
          <w:szCs w:val="26"/>
        </w:rPr>
        <w:t xml:space="preserve">the </w:t>
      </w:r>
      <w:r>
        <w:rPr>
          <w:bCs/>
          <w:sz w:val="26"/>
          <w:szCs w:val="26"/>
        </w:rPr>
        <w:t xml:space="preserve">opposing party, and the </w:t>
      </w:r>
      <w:r w:rsidR="00E30250">
        <w:rPr>
          <w:bCs/>
          <w:sz w:val="26"/>
          <w:szCs w:val="26"/>
        </w:rPr>
        <w:t>c</w:t>
      </w:r>
      <w:r>
        <w:rPr>
          <w:bCs/>
          <w:sz w:val="26"/>
          <w:szCs w:val="26"/>
        </w:rPr>
        <w:t xml:space="preserve">ourt </w:t>
      </w:r>
      <w:r w:rsidR="00E30250">
        <w:rPr>
          <w:bCs/>
          <w:sz w:val="26"/>
          <w:szCs w:val="26"/>
        </w:rPr>
        <w:t>r</w:t>
      </w:r>
      <w:r>
        <w:rPr>
          <w:bCs/>
          <w:sz w:val="26"/>
          <w:szCs w:val="26"/>
        </w:rPr>
        <w:t xml:space="preserve">eporter were all able to understand him.  Where the Complainant’s accent caused some difficulty in comprehension of particular words, clarification was achieved through follow up questions and requests to speak more slowly.  </w:t>
      </w:r>
      <w:r w:rsidR="00A40DE6">
        <w:rPr>
          <w:bCs/>
          <w:sz w:val="26"/>
          <w:szCs w:val="26"/>
        </w:rPr>
        <w:t xml:space="preserve">Further, there is nothing in the record to support the allegation that a “clerk” could not understand a word the Complainant said.  </w:t>
      </w:r>
      <w:r>
        <w:rPr>
          <w:bCs/>
          <w:sz w:val="26"/>
          <w:szCs w:val="26"/>
        </w:rPr>
        <w:t>The Complainant cannot prevail on his claims, not because of any inability to partic</w:t>
      </w:r>
      <w:r w:rsidR="00A87D76">
        <w:rPr>
          <w:bCs/>
          <w:sz w:val="26"/>
          <w:szCs w:val="26"/>
        </w:rPr>
        <w:t>ipate in the hearing, but</w:t>
      </w:r>
      <w:r>
        <w:rPr>
          <w:bCs/>
          <w:sz w:val="26"/>
          <w:szCs w:val="26"/>
        </w:rPr>
        <w:t xml:space="preserve"> because he did not meet his burden of proof.  </w:t>
      </w:r>
    </w:p>
    <w:p w:rsidR="00E21862" w:rsidRPr="00E21862" w:rsidRDefault="00E21862" w:rsidP="00E21862">
      <w:pPr>
        <w:widowControl/>
        <w:spacing w:line="360" w:lineRule="auto"/>
        <w:contextualSpacing/>
        <w:rPr>
          <w:bCs/>
          <w:sz w:val="26"/>
          <w:szCs w:val="26"/>
        </w:rPr>
      </w:pPr>
    </w:p>
    <w:p w:rsidR="00CA43A5" w:rsidRPr="00CA43A5" w:rsidRDefault="00CA43A5" w:rsidP="006C0DCA">
      <w:pPr>
        <w:widowControl/>
        <w:spacing w:line="360" w:lineRule="auto"/>
        <w:jc w:val="center"/>
        <w:rPr>
          <w:b/>
          <w:sz w:val="26"/>
          <w:szCs w:val="26"/>
        </w:rPr>
      </w:pPr>
      <w:r w:rsidRPr="00CA43A5">
        <w:rPr>
          <w:b/>
          <w:sz w:val="26"/>
          <w:szCs w:val="26"/>
        </w:rPr>
        <w:t>Conclusion</w:t>
      </w:r>
    </w:p>
    <w:p w:rsidR="00CA43A5" w:rsidRPr="00CA43A5" w:rsidRDefault="00CA43A5" w:rsidP="006C0DCA">
      <w:pPr>
        <w:widowControl/>
        <w:spacing w:line="360" w:lineRule="auto"/>
        <w:ind w:firstLine="1440"/>
        <w:rPr>
          <w:sz w:val="26"/>
          <w:szCs w:val="26"/>
        </w:rPr>
      </w:pPr>
    </w:p>
    <w:p w:rsidR="00CA43A5" w:rsidRPr="00CA43A5" w:rsidRDefault="00413D5D" w:rsidP="006C0DCA">
      <w:pPr>
        <w:widowControl/>
        <w:spacing w:line="360" w:lineRule="auto"/>
        <w:ind w:firstLine="1440"/>
        <w:rPr>
          <w:sz w:val="26"/>
          <w:szCs w:val="26"/>
        </w:rPr>
      </w:pPr>
      <w:r>
        <w:rPr>
          <w:sz w:val="26"/>
          <w:szCs w:val="26"/>
        </w:rPr>
        <w:t>We</w:t>
      </w:r>
      <w:r w:rsidR="00E21862">
        <w:rPr>
          <w:sz w:val="26"/>
          <w:szCs w:val="26"/>
        </w:rPr>
        <w:t xml:space="preserve"> shall deny the Exceptions of the Complainant and adopt the ALJ’s Initial Decision</w:t>
      </w:r>
      <w:r w:rsidR="00CA43A5" w:rsidRPr="00CA43A5">
        <w:rPr>
          <w:sz w:val="26"/>
          <w:szCs w:val="26"/>
        </w:rPr>
        <w:t xml:space="preserve">, consistent with the foregoing discussion; </w:t>
      </w:r>
      <w:r w:rsidR="00CA43A5" w:rsidRPr="00CA43A5">
        <w:rPr>
          <w:b/>
          <w:sz w:val="26"/>
          <w:szCs w:val="26"/>
        </w:rPr>
        <w:t>THEREFORE,</w:t>
      </w:r>
      <w:r w:rsidR="00CA43A5" w:rsidRPr="00CA43A5">
        <w:rPr>
          <w:sz w:val="26"/>
          <w:szCs w:val="26"/>
        </w:rPr>
        <w:t xml:space="preserve"> </w:t>
      </w:r>
    </w:p>
    <w:p w:rsidR="00CA43A5" w:rsidRPr="00CA43A5" w:rsidRDefault="00CA43A5" w:rsidP="00541C05">
      <w:pPr>
        <w:widowControl/>
        <w:spacing w:line="360" w:lineRule="auto"/>
        <w:rPr>
          <w:sz w:val="26"/>
          <w:szCs w:val="26"/>
        </w:rPr>
      </w:pPr>
    </w:p>
    <w:p w:rsidR="00CA43A5" w:rsidRPr="00CA43A5" w:rsidRDefault="00CA43A5" w:rsidP="00541C05">
      <w:pPr>
        <w:widowControl/>
        <w:spacing w:line="360" w:lineRule="auto"/>
        <w:ind w:firstLine="1440"/>
        <w:rPr>
          <w:b/>
          <w:sz w:val="26"/>
          <w:szCs w:val="26"/>
        </w:rPr>
      </w:pPr>
      <w:r w:rsidRPr="00CA43A5">
        <w:rPr>
          <w:b/>
          <w:sz w:val="26"/>
          <w:szCs w:val="26"/>
        </w:rPr>
        <w:t>IT IS ORDERED:</w:t>
      </w:r>
    </w:p>
    <w:p w:rsidR="00CA43A5" w:rsidRPr="00CA43A5" w:rsidRDefault="00CA43A5" w:rsidP="00541C05">
      <w:pPr>
        <w:widowControl/>
        <w:spacing w:line="360" w:lineRule="auto"/>
        <w:rPr>
          <w:sz w:val="26"/>
          <w:szCs w:val="26"/>
        </w:rPr>
      </w:pPr>
    </w:p>
    <w:p w:rsidR="009155F7" w:rsidRDefault="009F18CA" w:rsidP="006C0DCA">
      <w:pPr>
        <w:widowControl/>
        <w:numPr>
          <w:ilvl w:val="0"/>
          <w:numId w:val="1"/>
        </w:numPr>
        <w:tabs>
          <w:tab w:val="clear" w:pos="2160"/>
          <w:tab w:val="num" w:pos="0"/>
        </w:tabs>
        <w:spacing w:line="360" w:lineRule="auto"/>
        <w:ind w:left="0" w:firstLine="1440"/>
        <w:rPr>
          <w:sz w:val="26"/>
          <w:szCs w:val="26"/>
        </w:rPr>
      </w:pPr>
      <w:r>
        <w:rPr>
          <w:sz w:val="26"/>
          <w:szCs w:val="26"/>
        </w:rPr>
        <w:t xml:space="preserve">That the Exceptions of </w:t>
      </w:r>
      <w:r w:rsidRPr="009F18CA">
        <w:rPr>
          <w:sz w:val="26"/>
          <w:szCs w:val="26"/>
        </w:rPr>
        <w:t>Mohamed Mansaray</w:t>
      </w:r>
      <w:r w:rsidR="006A08BE">
        <w:rPr>
          <w:sz w:val="26"/>
          <w:szCs w:val="26"/>
        </w:rPr>
        <w:t>,</w:t>
      </w:r>
      <w:r w:rsidRPr="009F18CA">
        <w:rPr>
          <w:sz w:val="26"/>
          <w:szCs w:val="26"/>
        </w:rPr>
        <w:t xml:space="preserve"> filed on April 10, 2014</w:t>
      </w:r>
      <w:r w:rsidR="006A08BE">
        <w:rPr>
          <w:sz w:val="26"/>
          <w:szCs w:val="26"/>
        </w:rPr>
        <w:t>,</w:t>
      </w:r>
      <w:r>
        <w:rPr>
          <w:sz w:val="26"/>
          <w:szCs w:val="26"/>
        </w:rPr>
        <w:t xml:space="preserve"> are denied</w:t>
      </w:r>
      <w:r w:rsidR="009155F7">
        <w:rPr>
          <w:sz w:val="26"/>
          <w:szCs w:val="26"/>
        </w:rPr>
        <w:t>.</w:t>
      </w:r>
    </w:p>
    <w:p w:rsidR="003F51F4" w:rsidRPr="00B80C43" w:rsidRDefault="003F51F4" w:rsidP="006C0DCA">
      <w:pPr>
        <w:widowControl/>
        <w:spacing w:line="360" w:lineRule="auto"/>
        <w:ind w:left="1440"/>
        <w:rPr>
          <w:sz w:val="26"/>
          <w:szCs w:val="26"/>
        </w:rPr>
      </w:pPr>
    </w:p>
    <w:p w:rsidR="00442667" w:rsidRPr="00442667" w:rsidRDefault="00CA43A5" w:rsidP="00442667">
      <w:pPr>
        <w:widowControl/>
        <w:numPr>
          <w:ilvl w:val="0"/>
          <w:numId w:val="1"/>
        </w:numPr>
        <w:tabs>
          <w:tab w:val="clear" w:pos="2160"/>
          <w:tab w:val="num" w:pos="0"/>
        </w:tabs>
        <w:spacing w:line="360" w:lineRule="auto"/>
        <w:ind w:left="0" w:firstLine="1440"/>
        <w:rPr>
          <w:sz w:val="26"/>
          <w:szCs w:val="26"/>
        </w:rPr>
      </w:pPr>
      <w:r w:rsidRPr="00CA43A5">
        <w:rPr>
          <w:sz w:val="26"/>
          <w:szCs w:val="26"/>
        </w:rPr>
        <w:t>That the Initial Decision of Adm</w:t>
      </w:r>
      <w:r w:rsidR="009F18CA">
        <w:rPr>
          <w:sz w:val="26"/>
          <w:szCs w:val="26"/>
        </w:rPr>
        <w:t>inistrative Law Judge Eranda Vero</w:t>
      </w:r>
      <w:r w:rsidR="006A08BE" w:rsidRPr="00CA43A5">
        <w:rPr>
          <w:sz w:val="26"/>
          <w:szCs w:val="26"/>
        </w:rPr>
        <w:t xml:space="preserve">, </w:t>
      </w:r>
      <w:r w:rsidR="006A08BE">
        <w:rPr>
          <w:sz w:val="26"/>
          <w:szCs w:val="26"/>
        </w:rPr>
        <w:t>issued on January 7, 2014,</w:t>
      </w:r>
      <w:r w:rsidR="009F18CA">
        <w:rPr>
          <w:sz w:val="26"/>
          <w:szCs w:val="26"/>
        </w:rPr>
        <w:t xml:space="preserve"> is adopted</w:t>
      </w:r>
      <w:r w:rsidRPr="00CA43A5">
        <w:rPr>
          <w:sz w:val="26"/>
          <w:szCs w:val="26"/>
        </w:rPr>
        <w:t>.</w:t>
      </w:r>
    </w:p>
    <w:p w:rsidR="009F18CA" w:rsidRDefault="009F18CA" w:rsidP="009F18CA">
      <w:pPr>
        <w:widowControl/>
        <w:spacing w:line="360" w:lineRule="auto"/>
        <w:rPr>
          <w:sz w:val="26"/>
          <w:szCs w:val="26"/>
        </w:rPr>
      </w:pPr>
    </w:p>
    <w:p w:rsidR="009F18CA" w:rsidRPr="009F18CA" w:rsidRDefault="009F18CA" w:rsidP="0002197D">
      <w:pPr>
        <w:keepNext/>
        <w:widowControl/>
        <w:numPr>
          <w:ilvl w:val="0"/>
          <w:numId w:val="1"/>
        </w:numPr>
        <w:spacing w:line="360" w:lineRule="auto"/>
        <w:rPr>
          <w:sz w:val="26"/>
          <w:szCs w:val="26"/>
        </w:rPr>
      </w:pPr>
      <w:r w:rsidRPr="009F18CA">
        <w:rPr>
          <w:sz w:val="26"/>
          <w:szCs w:val="26"/>
        </w:rPr>
        <w:lastRenderedPageBreak/>
        <w:t>That this case shall be marked closed.</w:t>
      </w:r>
    </w:p>
    <w:p w:rsidR="00CA43A5" w:rsidRPr="00CA43A5" w:rsidRDefault="00CA43A5" w:rsidP="0002197D">
      <w:pPr>
        <w:keepNext/>
        <w:widowControl/>
        <w:spacing w:line="360" w:lineRule="auto"/>
        <w:rPr>
          <w:sz w:val="26"/>
          <w:szCs w:val="26"/>
        </w:rPr>
      </w:pPr>
    </w:p>
    <w:p w:rsidR="00CA43A5" w:rsidRPr="00CA43A5" w:rsidRDefault="005E1EB9" w:rsidP="006C0DCA">
      <w:pPr>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75DE216A" wp14:editId="65B4E182">
            <wp:simplePos x="0" y="0"/>
            <wp:positionH relativeFrom="column">
              <wp:posOffset>3027680</wp:posOffset>
            </wp:positionH>
            <wp:positionV relativeFrom="paragraph">
              <wp:posOffset>34925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CA43A5">
        <w:rPr>
          <w:b/>
          <w:sz w:val="26"/>
          <w:szCs w:val="26"/>
        </w:rPr>
        <w:t>BY THE COMMISSION,</w:t>
      </w:r>
    </w:p>
    <w:p w:rsidR="00CA43A5" w:rsidRPr="00CA43A5" w:rsidRDefault="00CA43A5" w:rsidP="006C0DCA">
      <w:pPr>
        <w:widowControl/>
        <w:tabs>
          <w:tab w:val="left" w:pos="-720"/>
        </w:tabs>
        <w:rPr>
          <w:sz w:val="26"/>
          <w:szCs w:val="26"/>
        </w:rPr>
      </w:pPr>
    </w:p>
    <w:p w:rsidR="00CA43A5" w:rsidRPr="00CA43A5" w:rsidRDefault="00CA43A5" w:rsidP="006C0DCA">
      <w:pPr>
        <w:widowControl/>
        <w:tabs>
          <w:tab w:val="left" w:pos="-720"/>
        </w:tabs>
        <w:rPr>
          <w:sz w:val="26"/>
          <w:szCs w:val="26"/>
        </w:rPr>
      </w:pPr>
    </w:p>
    <w:p w:rsidR="00CA43A5" w:rsidRPr="00CA43A5" w:rsidRDefault="00CA43A5" w:rsidP="006C0DCA">
      <w:pPr>
        <w:widowControl/>
        <w:tabs>
          <w:tab w:val="left" w:pos="-720"/>
        </w:tabs>
        <w:rPr>
          <w:sz w:val="26"/>
          <w:szCs w:val="26"/>
        </w:rPr>
      </w:pPr>
    </w:p>
    <w:p w:rsidR="00CA43A5" w:rsidRPr="00CA43A5" w:rsidRDefault="00564565" w:rsidP="006C0DCA">
      <w:pPr>
        <w:widowControl/>
        <w:tabs>
          <w:tab w:val="left" w:pos="-720"/>
        </w:tabs>
        <w:ind w:firstLine="5040"/>
        <w:rPr>
          <w:b/>
          <w:sz w:val="26"/>
          <w:szCs w:val="26"/>
        </w:rPr>
      </w:pPr>
      <w:r>
        <w:rPr>
          <w:sz w:val="26"/>
          <w:szCs w:val="26"/>
        </w:rPr>
        <w:t>Rosemary Chiavetta</w:t>
      </w:r>
    </w:p>
    <w:p w:rsidR="00CA43A5" w:rsidRPr="00CA43A5" w:rsidRDefault="00CA43A5" w:rsidP="006C0DCA">
      <w:pPr>
        <w:widowControl/>
        <w:tabs>
          <w:tab w:val="left" w:pos="-720"/>
        </w:tabs>
        <w:ind w:firstLine="5040"/>
        <w:rPr>
          <w:sz w:val="26"/>
          <w:szCs w:val="26"/>
        </w:rPr>
      </w:pPr>
      <w:r w:rsidRPr="00CA43A5">
        <w:rPr>
          <w:sz w:val="26"/>
          <w:szCs w:val="26"/>
        </w:rPr>
        <w:t>Secretary</w:t>
      </w:r>
    </w:p>
    <w:p w:rsidR="00CA43A5" w:rsidRPr="00CA43A5" w:rsidRDefault="00CA43A5" w:rsidP="006C0DCA">
      <w:pPr>
        <w:widowControl/>
        <w:tabs>
          <w:tab w:val="left" w:pos="-720"/>
        </w:tabs>
        <w:rPr>
          <w:sz w:val="26"/>
          <w:szCs w:val="26"/>
        </w:rPr>
      </w:pPr>
    </w:p>
    <w:p w:rsidR="00CA43A5" w:rsidRPr="00CA43A5" w:rsidRDefault="00CA43A5" w:rsidP="006C0DCA">
      <w:pPr>
        <w:widowControl/>
        <w:tabs>
          <w:tab w:val="left" w:pos="-720"/>
        </w:tabs>
        <w:rPr>
          <w:sz w:val="26"/>
          <w:szCs w:val="26"/>
        </w:rPr>
      </w:pPr>
      <w:r w:rsidRPr="00CA43A5">
        <w:rPr>
          <w:sz w:val="26"/>
          <w:szCs w:val="26"/>
        </w:rPr>
        <w:t>(SEAL)</w:t>
      </w:r>
    </w:p>
    <w:p w:rsidR="00CA43A5" w:rsidRPr="00CA43A5" w:rsidRDefault="00CA43A5" w:rsidP="006C0DCA">
      <w:pPr>
        <w:widowControl/>
        <w:tabs>
          <w:tab w:val="left" w:pos="-720"/>
        </w:tabs>
        <w:rPr>
          <w:sz w:val="26"/>
          <w:szCs w:val="26"/>
        </w:rPr>
      </w:pPr>
    </w:p>
    <w:p w:rsidR="00CA43A5" w:rsidRPr="00CA43A5" w:rsidRDefault="00CA43A5" w:rsidP="006C0DCA">
      <w:pPr>
        <w:widowControl/>
        <w:tabs>
          <w:tab w:val="left" w:pos="-720"/>
        </w:tabs>
        <w:rPr>
          <w:sz w:val="26"/>
          <w:szCs w:val="26"/>
        </w:rPr>
      </w:pPr>
      <w:r w:rsidRPr="00CA43A5">
        <w:rPr>
          <w:sz w:val="26"/>
          <w:szCs w:val="26"/>
        </w:rPr>
        <w:t xml:space="preserve">ORDER ADOPTED: </w:t>
      </w:r>
      <w:r w:rsidR="00403C43">
        <w:rPr>
          <w:sz w:val="26"/>
          <w:szCs w:val="26"/>
        </w:rPr>
        <w:t xml:space="preserve">June </w:t>
      </w:r>
      <w:r w:rsidR="00541C05">
        <w:rPr>
          <w:sz w:val="26"/>
          <w:szCs w:val="26"/>
        </w:rPr>
        <w:t>19</w:t>
      </w:r>
      <w:r w:rsidR="00403C43">
        <w:rPr>
          <w:sz w:val="26"/>
          <w:szCs w:val="26"/>
        </w:rPr>
        <w:t>, 2014</w:t>
      </w:r>
    </w:p>
    <w:p w:rsidR="00857172" w:rsidRDefault="00857172" w:rsidP="006C0DCA">
      <w:pPr>
        <w:widowControl/>
        <w:tabs>
          <w:tab w:val="left" w:pos="-720"/>
        </w:tabs>
        <w:rPr>
          <w:sz w:val="26"/>
          <w:szCs w:val="26"/>
        </w:rPr>
      </w:pPr>
    </w:p>
    <w:p w:rsidR="00CA43A5" w:rsidRPr="00CA43A5" w:rsidRDefault="00CA43A5" w:rsidP="006C0DCA">
      <w:pPr>
        <w:widowControl/>
        <w:tabs>
          <w:tab w:val="left" w:pos="-720"/>
        </w:tabs>
        <w:rPr>
          <w:sz w:val="26"/>
          <w:szCs w:val="26"/>
        </w:rPr>
      </w:pPr>
      <w:r w:rsidRPr="00CA43A5">
        <w:rPr>
          <w:sz w:val="26"/>
          <w:szCs w:val="26"/>
        </w:rPr>
        <w:t xml:space="preserve">ORDER ENTERED:  </w:t>
      </w:r>
      <w:r w:rsidR="005E1EB9">
        <w:rPr>
          <w:sz w:val="26"/>
          <w:szCs w:val="26"/>
        </w:rPr>
        <w:t>June 19, 2014</w:t>
      </w:r>
    </w:p>
    <w:p w:rsidR="00344804" w:rsidRPr="00CA43A5" w:rsidRDefault="00344804" w:rsidP="006C0DCA">
      <w:pPr>
        <w:widowControl/>
        <w:ind w:right="360"/>
        <w:rPr>
          <w:sz w:val="26"/>
          <w:szCs w:val="26"/>
        </w:rPr>
      </w:pPr>
    </w:p>
    <w:sectPr w:rsidR="00344804" w:rsidRPr="00CA43A5" w:rsidSect="00836E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3E0" w:rsidRDefault="005F53E0" w:rsidP="00E37C55">
      <w:r>
        <w:separator/>
      </w:r>
    </w:p>
  </w:endnote>
  <w:endnote w:type="continuationSeparator" w:id="0">
    <w:p w:rsidR="005F53E0" w:rsidRDefault="005F53E0" w:rsidP="00E3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716275"/>
      <w:docPartObj>
        <w:docPartGallery w:val="Page Numbers (Bottom of Page)"/>
        <w:docPartUnique/>
      </w:docPartObj>
    </w:sdtPr>
    <w:sdtEndPr>
      <w:rPr>
        <w:noProof/>
        <w:sz w:val="26"/>
        <w:szCs w:val="26"/>
      </w:rPr>
    </w:sdtEndPr>
    <w:sdtContent>
      <w:p w:rsidR="00836ED4" w:rsidRPr="007F09C4" w:rsidRDefault="00836ED4" w:rsidP="007F09C4">
        <w:pPr>
          <w:pStyle w:val="Footer"/>
          <w:jc w:val="center"/>
          <w:rPr>
            <w:sz w:val="26"/>
            <w:szCs w:val="26"/>
          </w:rPr>
        </w:pPr>
        <w:r w:rsidRPr="007F09C4">
          <w:rPr>
            <w:sz w:val="26"/>
            <w:szCs w:val="26"/>
          </w:rPr>
          <w:fldChar w:fldCharType="begin"/>
        </w:r>
        <w:r w:rsidRPr="007F09C4">
          <w:rPr>
            <w:sz w:val="26"/>
            <w:szCs w:val="26"/>
          </w:rPr>
          <w:instrText xml:space="preserve"> PAGE   \* MERGEFORMAT </w:instrText>
        </w:r>
        <w:r w:rsidRPr="007F09C4">
          <w:rPr>
            <w:sz w:val="26"/>
            <w:szCs w:val="26"/>
          </w:rPr>
          <w:fldChar w:fldCharType="separate"/>
        </w:r>
        <w:r w:rsidR="005E1EB9">
          <w:rPr>
            <w:noProof/>
            <w:sz w:val="26"/>
            <w:szCs w:val="26"/>
          </w:rPr>
          <w:t>9</w:t>
        </w:r>
        <w:r w:rsidRPr="007F09C4">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3E0" w:rsidRDefault="005F53E0" w:rsidP="00E37C55">
      <w:r>
        <w:separator/>
      </w:r>
    </w:p>
  </w:footnote>
  <w:footnote w:type="continuationSeparator" w:id="0">
    <w:p w:rsidR="005F53E0" w:rsidRDefault="005F53E0" w:rsidP="00E37C55">
      <w:r>
        <w:continuationSeparator/>
      </w:r>
    </w:p>
  </w:footnote>
  <w:footnote w:id="1">
    <w:p w:rsidR="00ED567B" w:rsidRPr="00DF21A1" w:rsidRDefault="00ED567B" w:rsidP="00ED567B">
      <w:pPr>
        <w:pStyle w:val="FootnoteText"/>
        <w:rPr>
          <w:rFonts w:ascii="Times New Roman" w:hAnsi="Times New Roman"/>
          <w:sz w:val="26"/>
          <w:szCs w:val="26"/>
        </w:rPr>
      </w:pPr>
      <w:r>
        <w:tab/>
      </w:r>
      <w:r w:rsidRPr="00DF21A1">
        <w:rPr>
          <w:rStyle w:val="FootnoteReference"/>
          <w:rFonts w:ascii="Times New Roman" w:hAnsi="Times New Roman"/>
          <w:sz w:val="26"/>
          <w:szCs w:val="26"/>
        </w:rPr>
        <w:footnoteRef/>
      </w:r>
      <w:r w:rsidRPr="00DF21A1">
        <w:rPr>
          <w:rFonts w:ascii="Times New Roman" w:hAnsi="Times New Roman"/>
          <w:sz w:val="26"/>
          <w:szCs w:val="26"/>
        </w:rPr>
        <w:t xml:space="preserve"> </w:t>
      </w:r>
      <w:r w:rsidRPr="00DF21A1">
        <w:rPr>
          <w:rFonts w:ascii="Times New Roman" w:hAnsi="Times New Roman"/>
          <w:sz w:val="26"/>
          <w:szCs w:val="26"/>
        </w:rPr>
        <w:tab/>
        <w:t xml:space="preserve">Although </w:t>
      </w:r>
      <w:r w:rsidR="00E054AE">
        <w:rPr>
          <w:rFonts w:ascii="Times New Roman" w:hAnsi="Times New Roman"/>
          <w:sz w:val="26"/>
          <w:szCs w:val="26"/>
        </w:rPr>
        <w:t>E</w:t>
      </w:r>
      <w:r w:rsidRPr="00DF21A1">
        <w:rPr>
          <w:rFonts w:ascii="Times New Roman" w:hAnsi="Times New Roman"/>
          <w:sz w:val="26"/>
          <w:szCs w:val="26"/>
        </w:rPr>
        <w:t>xceptions in this matter w</w:t>
      </w:r>
      <w:r w:rsidR="00E054AE">
        <w:rPr>
          <w:rFonts w:ascii="Times New Roman" w:hAnsi="Times New Roman"/>
          <w:sz w:val="26"/>
          <w:szCs w:val="26"/>
        </w:rPr>
        <w:t>ere</w:t>
      </w:r>
      <w:r w:rsidRPr="00DF21A1">
        <w:rPr>
          <w:rFonts w:ascii="Times New Roman" w:hAnsi="Times New Roman"/>
          <w:sz w:val="26"/>
          <w:szCs w:val="26"/>
        </w:rPr>
        <w:t xml:space="preserve"> due on or before January 27, 2014, the Commission’s first attempt to serve the Complainant with the Initial Decision failed and the Complainant was not served until March 21, 2014</w:t>
      </w:r>
      <w:r w:rsidR="00C21F90">
        <w:rPr>
          <w:rFonts w:ascii="Times New Roman" w:hAnsi="Times New Roman"/>
          <w:sz w:val="26"/>
          <w:szCs w:val="26"/>
        </w:rPr>
        <w:t xml:space="preserve"> -- </w:t>
      </w:r>
      <w:r w:rsidRPr="00DF21A1">
        <w:rPr>
          <w:rFonts w:ascii="Times New Roman" w:hAnsi="Times New Roman"/>
          <w:sz w:val="26"/>
          <w:szCs w:val="26"/>
        </w:rPr>
        <w:t>about six weeks after</w:t>
      </w:r>
      <w:r w:rsidR="00A806D3">
        <w:rPr>
          <w:rFonts w:ascii="Times New Roman" w:hAnsi="Times New Roman"/>
          <w:sz w:val="26"/>
          <w:szCs w:val="26"/>
        </w:rPr>
        <w:t xml:space="preserve"> the Final Order was entered.  </w:t>
      </w:r>
      <w:r w:rsidRPr="00DF21A1">
        <w:rPr>
          <w:rFonts w:ascii="Times New Roman" w:hAnsi="Times New Roman"/>
          <w:sz w:val="26"/>
          <w:szCs w:val="26"/>
        </w:rPr>
        <w:t xml:space="preserve">As the Complainant filed his Exceptions within twenty days of service of the Initial Decision, the Commission issued a Secretarial Letter on April 21, 2014 rescinding the Final Order and accepting the Exceptions as timely. </w:t>
      </w:r>
    </w:p>
  </w:footnote>
  <w:footnote w:id="2">
    <w:p w:rsidR="00E1219D" w:rsidRDefault="00E1219D">
      <w:pPr>
        <w:pStyle w:val="FootnoteText"/>
      </w:pPr>
      <w:r>
        <w:tab/>
      </w:r>
      <w:r w:rsidRPr="007F09C4">
        <w:rPr>
          <w:rStyle w:val="FootnoteReference"/>
          <w:rFonts w:ascii="Times New Roman" w:hAnsi="Times New Roman"/>
          <w:sz w:val="26"/>
          <w:szCs w:val="26"/>
        </w:rPr>
        <w:footnoteRef/>
      </w:r>
      <w:r w:rsidRPr="00E1219D">
        <w:rPr>
          <w:sz w:val="26"/>
          <w:szCs w:val="26"/>
        </w:rPr>
        <w:t xml:space="preserve"> </w:t>
      </w:r>
      <w:r>
        <w:tab/>
      </w:r>
      <w:r w:rsidRPr="00E1219D">
        <w:rPr>
          <w:rFonts w:ascii="Times New Roman" w:hAnsi="Times New Roman"/>
          <w:sz w:val="26"/>
          <w:szCs w:val="26"/>
        </w:rPr>
        <w:t>This</w:t>
      </w:r>
      <w:r>
        <w:rPr>
          <w:rFonts w:ascii="Times New Roman" w:hAnsi="Times New Roman"/>
          <w:sz w:val="26"/>
          <w:szCs w:val="26"/>
        </w:rPr>
        <w:t xml:space="preserve"> Formal Complaint was an</w:t>
      </w:r>
      <w:r w:rsidRPr="00E1219D">
        <w:rPr>
          <w:rFonts w:ascii="Times New Roman" w:hAnsi="Times New Roman"/>
          <w:sz w:val="26"/>
          <w:szCs w:val="26"/>
        </w:rPr>
        <w:t xml:space="preserve"> appeal of a decision by the Commission’s Bureau of Consumer Services on an Inform</w:t>
      </w:r>
      <w:r>
        <w:rPr>
          <w:rFonts w:ascii="Times New Roman" w:hAnsi="Times New Roman"/>
          <w:sz w:val="26"/>
          <w:szCs w:val="26"/>
        </w:rPr>
        <w:t>al Complaint at Case No. 3059260</w:t>
      </w:r>
      <w:r w:rsidRPr="00E1219D">
        <w:rPr>
          <w:rFonts w:ascii="Times New Roman" w:hAnsi="Times New Roman"/>
          <w:sz w:val="26"/>
          <w:szCs w:val="26"/>
        </w:rPr>
        <w:t>.</w:t>
      </w:r>
    </w:p>
  </w:footnote>
  <w:footnote w:id="3">
    <w:p w:rsidR="00ED567B" w:rsidRDefault="00ED567B" w:rsidP="007F09C4">
      <w:pPr>
        <w:pStyle w:val="FootnoteText"/>
        <w:tabs>
          <w:tab w:val="left" w:pos="720"/>
        </w:tabs>
      </w:pPr>
      <w:r>
        <w:tab/>
      </w:r>
      <w:r w:rsidRPr="0020390A">
        <w:rPr>
          <w:rStyle w:val="FootnoteReference"/>
          <w:rFonts w:ascii="Times New Roman" w:hAnsi="Times New Roman"/>
          <w:sz w:val="26"/>
          <w:szCs w:val="26"/>
        </w:rPr>
        <w:footnoteRef/>
      </w:r>
      <w:r w:rsidRPr="0020390A">
        <w:rPr>
          <w:rFonts w:ascii="Times New Roman" w:hAnsi="Times New Roman"/>
          <w:sz w:val="26"/>
          <w:szCs w:val="26"/>
        </w:rPr>
        <w:t xml:space="preserve"> </w:t>
      </w:r>
      <w:r>
        <w:tab/>
      </w:r>
      <w:r w:rsidRPr="00ED567B">
        <w:rPr>
          <w:rFonts w:ascii="Times New Roman" w:eastAsia="Times New Roman" w:hAnsi="Times New Roman"/>
          <w:sz w:val="26"/>
        </w:rPr>
        <w:t xml:space="preserve">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sidRPr="00ED567B">
        <w:rPr>
          <w:rFonts w:ascii="Times New Roman" w:eastAsia="Times New Roman" w:hAnsi="Times New Roman"/>
          <w:i/>
          <w:sz w:val="26"/>
        </w:rPr>
        <w:t>pro se</w:t>
      </w:r>
      <w:r w:rsidRPr="00ED567B">
        <w:rPr>
          <w:rFonts w:ascii="Times New Roman" w:eastAsia="Times New Roman" w:hAnsi="Times New Roman"/>
          <w:sz w:val="26"/>
        </w:rPr>
        <w:t>, we will accept the Exceptions as filed pursuant to Section 1.2(a) of our Regulations, 52 Pa. Code § 1.2(a), in order to secure a just, speedy, and inexpensive determination in this proceeding.</w:t>
      </w:r>
    </w:p>
  </w:footnote>
  <w:footnote w:id="4">
    <w:p w:rsidR="00B8504D" w:rsidRPr="00541C05" w:rsidRDefault="00B8504D">
      <w:pPr>
        <w:pStyle w:val="FootnoteText"/>
        <w:rPr>
          <w:rFonts w:ascii="Times New Roman" w:hAnsi="Times New Roman"/>
          <w:sz w:val="26"/>
          <w:szCs w:val="26"/>
        </w:rPr>
      </w:pPr>
      <w:r w:rsidRPr="00541C05">
        <w:rPr>
          <w:rFonts w:ascii="Times New Roman" w:hAnsi="Times New Roman"/>
          <w:sz w:val="26"/>
          <w:szCs w:val="26"/>
        </w:rPr>
        <w:tab/>
      </w:r>
      <w:r w:rsidRPr="00541C05">
        <w:rPr>
          <w:rStyle w:val="FootnoteReference"/>
          <w:rFonts w:ascii="Times New Roman" w:hAnsi="Times New Roman"/>
          <w:sz w:val="26"/>
          <w:szCs w:val="26"/>
        </w:rPr>
        <w:footnoteRef/>
      </w:r>
      <w:r w:rsidRPr="00541C05">
        <w:rPr>
          <w:rFonts w:ascii="Times New Roman" w:hAnsi="Times New Roman"/>
          <w:sz w:val="26"/>
          <w:szCs w:val="26"/>
        </w:rPr>
        <w:t xml:space="preserve"> </w:t>
      </w:r>
      <w:r w:rsidRPr="00541C05">
        <w:rPr>
          <w:rFonts w:ascii="Times New Roman" w:hAnsi="Times New Roman"/>
          <w:sz w:val="26"/>
          <w:szCs w:val="26"/>
        </w:rPr>
        <w:tab/>
      </w:r>
      <w:r w:rsidR="0002197D">
        <w:rPr>
          <w:rFonts w:ascii="Times New Roman" w:eastAsia="Times New Roman" w:hAnsi="Times New Roman"/>
          <w:i/>
          <w:sz w:val="26"/>
          <w:szCs w:val="26"/>
        </w:rPr>
        <w:t>Mohama</w:t>
      </w:r>
      <w:r w:rsidRPr="00541C05">
        <w:rPr>
          <w:rFonts w:ascii="Times New Roman" w:eastAsia="Times New Roman" w:hAnsi="Times New Roman"/>
          <w:i/>
          <w:sz w:val="26"/>
          <w:szCs w:val="26"/>
        </w:rPr>
        <w:t>d Mansaray v. PECO Energy Company</w:t>
      </w:r>
      <w:r w:rsidRPr="00541C05">
        <w:rPr>
          <w:rFonts w:ascii="Times New Roman" w:eastAsia="Times New Roman" w:hAnsi="Times New Roman"/>
          <w:sz w:val="26"/>
          <w:szCs w:val="26"/>
        </w:rPr>
        <w:t xml:space="preserve">, Docket No. </w:t>
      </w:r>
      <w:r w:rsidR="007F09C4">
        <w:rPr>
          <w:rFonts w:ascii="Times New Roman" w:eastAsia="Times New Roman" w:hAnsi="Times New Roman"/>
          <w:sz w:val="26"/>
          <w:szCs w:val="26"/>
        </w:rPr>
        <w:t>C</w:t>
      </w:r>
      <w:r w:rsidR="007F09C4">
        <w:rPr>
          <w:rFonts w:ascii="Times New Roman" w:eastAsia="Times New Roman" w:hAnsi="Times New Roman"/>
          <w:sz w:val="26"/>
          <w:szCs w:val="26"/>
        </w:rPr>
        <w:noBreakHyphen/>
        <w:t>2011</w:t>
      </w:r>
      <w:r w:rsidR="007F09C4">
        <w:rPr>
          <w:rFonts w:ascii="Times New Roman" w:eastAsia="Times New Roman" w:hAnsi="Times New Roman"/>
          <w:sz w:val="26"/>
          <w:szCs w:val="26"/>
        </w:rPr>
        <w:noBreakHyphen/>
      </w:r>
      <w:r w:rsidRPr="00541C05">
        <w:rPr>
          <w:rFonts w:ascii="Times New Roman" w:eastAsia="Times New Roman" w:hAnsi="Times New Roman"/>
          <w:sz w:val="26"/>
          <w:szCs w:val="26"/>
        </w:rPr>
        <w:t>2258219 (Order entered December 5,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97D"/>
    <w:rsid w:val="00021E46"/>
    <w:rsid w:val="00022B74"/>
    <w:rsid w:val="0002524C"/>
    <w:rsid w:val="00025F3F"/>
    <w:rsid w:val="00026CD2"/>
    <w:rsid w:val="00040A8E"/>
    <w:rsid w:val="00040AEA"/>
    <w:rsid w:val="00047874"/>
    <w:rsid w:val="00047F4A"/>
    <w:rsid w:val="000523D1"/>
    <w:rsid w:val="00052B8F"/>
    <w:rsid w:val="00054612"/>
    <w:rsid w:val="00054861"/>
    <w:rsid w:val="0005572E"/>
    <w:rsid w:val="00056286"/>
    <w:rsid w:val="000612FD"/>
    <w:rsid w:val="000642AA"/>
    <w:rsid w:val="000649EC"/>
    <w:rsid w:val="00066EE5"/>
    <w:rsid w:val="00067260"/>
    <w:rsid w:val="000723AC"/>
    <w:rsid w:val="00072808"/>
    <w:rsid w:val="00076F35"/>
    <w:rsid w:val="00084573"/>
    <w:rsid w:val="00084AF9"/>
    <w:rsid w:val="00090DAA"/>
    <w:rsid w:val="000918D4"/>
    <w:rsid w:val="000919E8"/>
    <w:rsid w:val="00093164"/>
    <w:rsid w:val="0009612D"/>
    <w:rsid w:val="00097504"/>
    <w:rsid w:val="000A365D"/>
    <w:rsid w:val="000B216D"/>
    <w:rsid w:val="000B2755"/>
    <w:rsid w:val="000B4EAE"/>
    <w:rsid w:val="000B5238"/>
    <w:rsid w:val="000B607A"/>
    <w:rsid w:val="000B6B15"/>
    <w:rsid w:val="000C2AE3"/>
    <w:rsid w:val="000C709A"/>
    <w:rsid w:val="000C7A2B"/>
    <w:rsid w:val="000E5AC3"/>
    <w:rsid w:val="000F179E"/>
    <w:rsid w:val="000F4307"/>
    <w:rsid w:val="0010158F"/>
    <w:rsid w:val="00101F51"/>
    <w:rsid w:val="001026CA"/>
    <w:rsid w:val="00104D9B"/>
    <w:rsid w:val="00117CB2"/>
    <w:rsid w:val="00120B39"/>
    <w:rsid w:val="00121A4C"/>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665C4"/>
    <w:rsid w:val="00174D3D"/>
    <w:rsid w:val="00182478"/>
    <w:rsid w:val="00186A97"/>
    <w:rsid w:val="0019530E"/>
    <w:rsid w:val="00195F2E"/>
    <w:rsid w:val="001A2B43"/>
    <w:rsid w:val="001B1DB4"/>
    <w:rsid w:val="001C4978"/>
    <w:rsid w:val="001D0ED2"/>
    <w:rsid w:val="001E0B61"/>
    <w:rsid w:val="001E1276"/>
    <w:rsid w:val="001F285E"/>
    <w:rsid w:val="001F6FFF"/>
    <w:rsid w:val="00201639"/>
    <w:rsid w:val="00202524"/>
    <w:rsid w:val="0020390A"/>
    <w:rsid w:val="00210736"/>
    <w:rsid w:val="00210F81"/>
    <w:rsid w:val="00211622"/>
    <w:rsid w:val="00214B3E"/>
    <w:rsid w:val="0022698E"/>
    <w:rsid w:val="00227912"/>
    <w:rsid w:val="002311EE"/>
    <w:rsid w:val="002370F5"/>
    <w:rsid w:val="00240ACA"/>
    <w:rsid w:val="00240D7B"/>
    <w:rsid w:val="00241299"/>
    <w:rsid w:val="00255462"/>
    <w:rsid w:val="00260957"/>
    <w:rsid w:val="00264646"/>
    <w:rsid w:val="0026762C"/>
    <w:rsid w:val="0027232D"/>
    <w:rsid w:val="00274D0F"/>
    <w:rsid w:val="00277500"/>
    <w:rsid w:val="00281A5F"/>
    <w:rsid w:val="0029160F"/>
    <w:rsid w:val="00291F68"/>
    <w:rsid w:val="002A060A"/>
    <w:rsid w:val="002A4450"/>
    <w:rsid w:val="002A6750"/>
    <w:rsid w:val="002B2296"/>
    <w:rsid w:val="002B4407"/>
    <w:rsid w:val="002B67B7"/>
    <w:rsid w:val="002C0429"/>
    <w:rsid w:val="002C19E4"/>
    <w:rsid w:val="002C6CC4"/>
    <w:rsid w:val="002D13C4"/>
    <w:rsid w:val="002D275E"/>
    <w:rsid w:val="002D6357"/>
    <w:rsid w:val="002D7584"/>
    <w:rsid w:val="002E3026"/>
    <w:rsid w:val="002E3F06"/>
    <w:rsid w:val="002E6FFA"/>
    <w:rsid w:val="002E7F8F"/>
    <w:rsid w:val="002F3F04"/>
    <w:rsid w:val="002F41BA"/>
    <w:rsid w:val="003018AA"/>
    <w:rsid w:val="0030295D"/>
    <w:rsid w:val="00303B99"/>
    <w:rsid w:val="0030714F"/>
    <w:rsid w:val="003073E2"/>
    <w:rsid w:val="00307DDF"/>
    <w:rsid w:val="00314A43"/>
    <w:rsid w:val="00322040"/>
    <w:rsid w:val="003240B8"/>
    <w:rsid w:val="00325422"/>
    <w:rsid w:val="00333FDA"/>
    <w:rsid w:val="003340DE"/>
    <w:rsid w:val="00340D19"/>
    <w:rsid w:val="00344804"/>
    <w:rsid w:val="003518C8"/>
    <w:rsid w:val="003533B5"/>
    <w:rsid w:val="003622CA"/>
    <w:rsid w:val="00363030"/>
    <w:rsid w:val="0036462C"/>
    <w:rsid w:val="00364A42"/>
    <w:rsid w:val="003755FB"/>
    <w:rsid w:val="0037577C"/>
    <w:rsid w:val="00381799"/>
    <w:rsid w:val="00385502"/>
    <w:rsid w:val="00391A43"/>
    <w:rsid w:val="003B0611"/>
    <w:rsid w:val="003B42D9"/>
    <w:rsid w:val="003C3140"/>
    <w:rsid w:val="003C3E02"/>
    <w:rsid w:val="003C3FE8"/>
    <w:rsid w:val="003C4E40"/>
    <w:rsid w:val="003C73F9"/>
    <w:rsid w:val="003D5F07"/>
    <w:rsid w:val="003D6AB5"/>
    <w:rsid w:val="003E3159"/>
    <w:rsid w:val="003E3FF5"/>
    <w:rsid w:val="003E5354"/>
    <w:rsid w:val="003F51F4"/>
    <w:rsid w:val="003F52C6"/>
    <w:rsid w:val="003F558E"/>
    <w:rsid w:val="004035BB"/>
    <w:rsid w:val="00403C43"/>
    <w:rsid w:val="00403D6E"/>
    <w:rsid w:val="00407AC0"/>
    <w:rsid w:val="00412E30"/>
    <w:rsid w:val="00413D5D"/>
    <w:rsid w:val="004170AF"/>
    <w:rsid w:val="00432BB7"/>
    <w:rsid w:val="004331E9"/>
    <w:rsid w:val="00433E8D"/>
    <w:rsid w:val="0043592C"/>
    <w:rsid w:val="004411B9"/>
    <w:rsid w:val="00441207"/>
    <w:rsid w:val="004422CA"/>
    <w:rsid w:val="00442667"/>
    <w:rsid w:val="00443807"/>
    <w:rsid w:val="004462F7"/>
    <w:rsid w:val="00454720"/>
    <w:rsid w:val="0046019D"/>
    <w:rsid w:val="00464536"/>
    <w:rsid w:val="0046514E"/>
    <w:rsid w:val="0046623C"/>
    <w:rsid w:val="00467739"/>
    <w:rsid w:val="00470D0C"/>
    <w:rsid w:val="00474E22"/>
    <w:rsid w:val="0047608F"/>
    <w:rsid w:val="00476554"/>
    <w:rsid w:val="004813D4"/>
    <w:rsid w:val="00491D91"/>
    <w:rsid w:val="0049580C"/>
    <w:rsid w:val="0049768F"/>
    <w:rsid w:val="004A04E5"/>
    <w:rsid w:val="004A0DDA"/>
    <w:rsid w:val="004A1495"/>
    <w:rsid w:val="004A2165"/>
    <w:rsid w:val="004A5F74"/>
    <w:rsid w:val="004B03BC"/>
    <w:rsid w:val="004B1052"/>
    <w:rsid w:val="004B6B14"/>
    <w:rsid w:val="004D16B9"/>
    <w:rsid w:val="004E47EC"/>
    <w:rsid w:val="004E514F"/>
    <w:rsid w:val="004E737F"/>
    <w:rsid w:val="004F03DE"/>
    <w:rsid w:val="004F22DA"/>
    <w:rsid w:val="004F6FFC"/>
    <w:rsid w:val="00502165"/>
    <w:rsid w:val="005025C9"/>
    <w:rsid w:val="00504834"/>
    <w:rsid w:val="00504C7A"/>
    <w:rsid w:val="00505AEE"/>
    <w:rsid w:val="0050632E"/>
    <w:rsid w:val="0050752D"/>
    <w:rsid w:val="00511EF3"/>
    <w:rsid w:val="00514507"/>
    <w:rsid w:val="00521350"/>
    <w:rsid w:val="00523826"/>
    <w:rsid w:val="005351B9"/>
    <w:rsid w:val="00536011"/>
    <w:rsid w:val="00541C05"/>
    <w:rsid w:val="00550B79"/>
    <w:rsid w:val="0055150B"/>
    <w:rsid w:val="005532F9"/>
    <w:rsid w:val="0055440B"/>
    <w:rsid w:val="0055708D"/>
    <w:rsid w:val="005574C6"/>
    <w:rsid w:val="00561CA6"/>
    <w:rsid w:val="005623A6"/>
    <w:rsid w:val="00564565"/>
    <w:rsid w:val="005647BE"/>
    <w:rsid w:val="00566299"/>
    <w:rsid w:val="005725F6"/>
    <w:rsid w:val="00580BAD"/>
    <w:rsid w:val="00586817"/>
    <w:rsid w:val="00586D92"/>
    <w:rsid w:val="00587507"/>
    <w:rsid w:val="00596A0B"/>
    <w:rsid w:val="00596E05"/>
    <w:rsid w:val="00596F85"/>
    <w:rsid w:val="005970FA"/>
    <w:rsid w:val="005A0176"/>
    <w:rsid w:val="005A088E"/>
    <w:rsid w:val="005A2298"/>
    <w:rsid w:val="005A28C1"/>
    <w:rsid w:val="005A3305"/>
    <w:rsid w:val="005A72FC"/>
    <w:rsid w:val="005B0388"/>
    <w:rsid w:val="005B109A"/>
    <w:rsid w:val="005C08AA"/>
    <w:rsid w:val="005C2735"/>
    <w:rsid w:val="005C2FD5"/>
    <w:rsid w:val="005C496F"/>
    <w:rsid w:val="005C5378"/>
    <w:rsid w:val="005D2AB9"/>
    <w:rsid w:val="005D34E2"/>
    <w:rsid w:val="005D496E"/>
    <w:rsid w:val="005D7C20"/>
    <w:rsid w:val="005E1EB9"/>
    <w:rsid w:val="005E6960"/>
    <w:rsid w:val="005E7EB8"/>
    <w:rsid w:val="005F18D6"/>
    <w:rsid w:val="005F53E0"/>
    <w:rsid w:val="00603024"/>
    <w:rsid w:val="006116E3"/>
    <w:rsid w:val="00624400"/>
    <w:rsid w:val="00624E51"/>
    <w:rsid w:val="00626162"/>
    <w:rsid w:val="00627ABB"/>
    <w:rsid w:val="00634719"/>
    <w:rsid w:val="006503E8"/>
    <w:rsid w:val="00654A4A"/>
    <w:rsid w:val="0065545A"/>
    <w:rsid w:val="006661CF"/>
    <w:rsid w:val="00670BFD"/>
    <w:rsid w:val="00671E4C"/>
    <w:rsid w:val="00674295"/>
    <w:rsid w:val="006818A8"/>
    <w:rsid w:val="00681A51"/>
    <w:rsid w:val="00682469"/>
    <w:rsid w:val="00683D97"/>
    <w:rsid w:val="00684FCA"/>
    <w:rsid w:val="00686B5C"/>
    <w:rsid w:val="00686CB1"/>
    <w:rsid w:val="00696997"/>
    <w:rsid w:val="006A08BE"/>
    <w:rsid w:val="006A6493"/>
    <w:rsid w:val="006A758C"/>
    <w:rsid w:val="006C0DCA"/>
    <w:rsid w:val="006C1EEC"/>
    <w:rsid w:val="006C3FEA"/>
    <w:rsid w:val="006C69E7"/>
    <w:rsid w:val="006D10AE"/>
    <w:rsid w:val="006D29F2"/>
    <w:rsid w:val="006D7CA2"/>
    <w:rsid w:val="006E065B"/>
    <w:rsid w:val="006E09D3"/>
    <w:rsid w:val="006E1E6C"/>
    <w:rsid w:val="006E5505"/>
    <w:rsid w:val="006F240A"/>
    <w:rsid w:val="006F2FB3"/>
    <w:rsid w:val="006F4544"/>
    <w:rsid w:val="006F531B"/>
    <w:rsid w:val="006F62BC"/>
    <w:rsid w:val="00702493"/>
    <w:rsid w:val="00714F3B"/>
    <w:rsid w:val="007166F7"/>
    <w:rsid w:val="00716AEF"/>
    <w:rsid w:val="00717076"/>
    <w:rsid w:val="00717296"/>
    <w:rsid w:val="00727370"/>
    <w:rsid w:val="00731444"/>
    <w:rsid w:val="00735D9E"/>
    <w:rsid w:val="007407C2"/>
    <w:rsid w:val="0074109C"/>
    <w:rsid w:val="00742335"/>
    <w:rsid w:val="00742842"/>
    <w:rsid w:val="00753376"/>
    <w:rsid w:val="007543B0"/>
    <w:rsid w:val="007568A9"/>
    <w:rsid w:val="00761514"/>
    <w:rsid w:val="00763CE7"/>
    <w:rsid w:val="00764729"/>
    <w:rsid w:val="007710E2"/>
    <w:rsid w:val="00772177"/>
    <w:rsid w:val="00775C65"/>
    <w:rsid w:val="0077639A"/>
    <w:rsid w:val="0078100C"/>
    <w:rsid w:val="0078157F"/>
    <w:rsid w:val="00786F48"/>
    <w:rsid w:val="0078772C"/>
    <w:rsid w:val="007878E4"/>
    <w:rsid w:val="007963BD"/>
    <w:rsid w:val="007A4783"/>
    <w:rsid w:val="007A5191"/>
    <w:rsid w:val="007B0500"/>
    <w:rsid w:val="007B111B"/>
    <w:rsid w:val="007B3AE8"/>
    <w:rsid w:val="007B4418"/>
    <w:rsid w:val="007B5F62"/>
    <w:rsid w:val="007B66B3"/>
    <w:rsid w:val="007B7077"/>
    <w:rsid w:val="007C2824"/>
    <w:rsid w:val="007C3003"/>
    <w:rsid w:val="007C6B60"/>
    <w:rsid w:val="007C6F85"/>
    <w:rsid w:val="007D3AA0"/>
    <w:rsid w:val="007D3FE2"/>
    <w:rsid w:val="007D5690"/>
    <w:rsid w:val="007D69FA"/>
    <w:rsid w:val="007E1600"/>
    <w:rsid w:val="007F09C4"/>
    <w:rsid w:val="007F7270"/>
    <w:rsid w:val="00802E4F"/>
    <w:rsid w:val="00804BE4"/>
    <w:rsid w:val="00810603"/>
    <w:rsid w:val="00814283"/>
    <w:rsid w:val="00820209"/>
    <w:rsid w:val="00820F35"/>
    <w:rsid w:val="00820FEC"/>
    <w:rsid w:val="0082393D"/>
    <w:rsid w:val="0083324D"/>
    <w:rsid w:val="00836ED4"/>
    <w:rsid w:val="00841733"/>
    <w:rsid w:val="00844D38"/>
    <w:rsid w:val="00844D85"/>
    <w:rsid w:val="008524BE"/>
    <w:rsid w:val="00853BC2"/>
    <w:rsid w:val="00854278"/>
    <w:rsid w:val="00855A35"/>
    <w:rsid w:val="00856063"/>
    <w:rsid w:val="00857172"/>
    <w:rsid w:val="0086236A"/>
    <w:rsid w:val="0087035A"/>
    <w:rsid w:val="0087347D"/>
    <w:rsid w:val="00874FBF"/>
    <w:rsid w:val="00880766"/>
    <w:rsid w:val="00882DAD"/>
    <w:rsid w:val="00885263"/>
    <w:rsid w:val="00892DA5"/>
    <w:rsid w:val="008949B1"/>
    <w:rsid w:val="0089713E"/>
    <w:rsid w:val="008A10F3"/>
    <w:rsid w:val="008A5C0F"/>
    <w:rsid w:val="008B1596"/>
    <w:rsid w:val="008C09C4"/>
    <w:rsid w:val="008C1F44"/>
    <w:rsid w:val="008C646F"/>
    <w:rsid w:val="008E3E4B"/>
    <w:rsid w:val="008E4EF9"/>
    <w:rsid w:val="008E6DFC"/>
    <w:rsid w:val="008E7710"/>
    <w:rsid w:val="008F6C64"/>
    <w:rsid w:val="00900D4D"/>
    <w:rsid w:val="00901880"/>
    <w:rsid w:val="00903F34"/>
    <w:rsid w:val="00905C0A"/>
    <w:rsid w:val="009122F8"/>
    <w:rsid w:val="00915520"/>
    <w:rsid w:val="009155F7"/>
    <w:rsid w:val="0091731E"/>
    <w:rsid w:val="00921131"/>
    <w:rsid w:val="009247F5"/>
    <w:rsid w:val="00925D9E"/>
    <w:rsid w:val="00926AB2"/>
    <w:rsid w:val="00926C41"/>
    <w:rsid w:val="009407FE"/>
    <w:rsid w:val="00942436"/>
    <w:rsid w:val="00953BEA"/>
    <w:rsid w:val="00957603"/>
    <w:rsid w:val="00957A1D"/>
    <w:rsid w:val="00957BC0"/>
    <w:rsid w:val="0096487B"/>
    <w:rsid w:val="009757D1"/>
    <w:rsid w:val="00980754"/>
    <w:rsid w:val="00981535"/>
    <w:rsid w:val="009825C8"/>
    <w:rsid w:val="0098409F"/>
    <w:rsid w:val="00985537"/>
    <w:rsid w:val="00991698"/>
    <w:rsid w:val="00991C17"/>
    <w:rsid w:val="00992D1E"/>
    <w:rsid w:val="00997EB2"/>
    <w:rsid w:val="009A0557"/>
    <w:rsid w:val="009A06F5"/>
    <w:rsid w:val="009A0788"/>
    <w:rsid w:val="009A0E92"/>
    <w:rsid w:val="009A17EC"/>
    <w:rsid w:val="009B03DF"/>
    <w:rsid w:val="009B3036"/>
    <w:rsid w:val="009B6AF0"/>
    <w:rsid w:val="009C292D"/>
    <w:rsid w:val="009C5F0C"/>
    <w:rsid w:val="009C67C0"/>
    <w:rsid w:val="009D1035"/>
    <w:rsid w:val="009D13D0"/>
    <w:rsid w:val="009D2068"/>
    <w:rsid w:val="009D7D33"/>
    <w:rsid w:val="009E4DD4"/>
    <w:rsid w:val="009E4E3F"/>
    <w:rsid w:val="009E698B"/>
    <w:rsid w:val="009F1547"/>
    <w:rsid w:val="009F18CA"/>
    <w:rsid w:val="009F4ABA"/>
    <w:rsid w:val="00A034B0"/>
    <w:rsid w:val="00A066AE"/>
    <w:rsid w:val="00A10DD9"/>
    <w:rsid w:val="00A12C6B"/>
    <w:rsid w:val="00A14117"/>
    <w:rsid w:val="00A149FA"/>
    <w:rsid w:val="00A17DF0"/>
    <w:rsid w:val="00A20F78"/>
    <w:rsid w:val="00A218F1"/>
    <w:rsid w:val="00A27DEE"/>
    <w:rsid w:val="00A31B93"/>
    <w:rsid w:val="00A36C4A"/>
    <w:rsid w:val="00A375EF"/>
    <w:rsid w:val="00A40DE6"/>
    <w:rsid w:val="00A528C2"/>
    <w:rsid w:val="00A54AFD"/>
    <w:rsid w:val="00A54E69"/>
    <w:rsid w:val="00A61802"/>
    <w:rsid w:val="00A61B06"/>
    <w:rsid w:val="00A61F63"/>
    <w:rsid w:val="00A62113"/>
    <w:rsid w:val="00A6759C"/>
    <w:rsid w:val="00A67923"/>
    <w:rsid w:val="00A713ED"/>
    <w:rsid w:val="00A714B8"/>
    <w:rsid w:val="00A74901"/>
    <w:rsid w:val="00A75733"/>
    <w:rsid w:val="00A76308"/>
    <w:rsid w:val="00A77C08"/>
    <w:rsid w:val="00A806D3"/>
    <w:rsid w:val="00A81527"/>
    <w:rsid w:val="00A82058"/>
    <w:rsid w:val="00A84AE7"/>
    <w:rsid w:val="00A869B0"/>
    <w:rsid w:val="00A87D76"/>
    <w:rsid w:val="00A9289F"/>
    <w:rsid w:val="00A92C1D"/>
    <w:rsid w:val="00AA0C77"/>
    <w:rsid w:val="00AA1730"/>
    <w:rsid w:val="00AA1D27"/>
    <w:rsid w:val="00AA204C"/>
    <w:rsid w:val="00AA2D57"/>
    <w:rsid w:val="00AA3941"/>
    <w:rsid w:val="00AA56D0"/>
    <w:rsid w:val="00AB0C9F"/>
    <w:rsid w:val="00AB143A"/>
    <w:rsid w:val="00AC003C"/>
    <w:rsid w:val="00AC0103"/>
    <w:rsid w:val="00AC1404"/>
    <w:rsid w:val="00AD039F"/>
    <w:rsid w:val="00AD3902"/>
    <w:rsid w:val="00AD6010"/>
    <w:rsid w:val="00AE33FF"/>
    <w:rsid w:val="00AF06D5"/>
    <w:rsid w:val="00AF09DD"/>
    <w:rsid w:val="00B02655"/>
    <w:rsid w:val="00B05102"/>
    <w:rsid w:val="00B16A34"/>
    <w:rsid w:val="00B174BA"/>
    <w:rsid w:val="00B25453"/>
    <w:rsid w:val="00B31B9C"/>
    <w:rsid w:val="00B34D6C"/>
    <w:rsid w:val="00B5544F"/>
    <w:rsid w:val="00B55E5D"/>
    <w:rsid w:val="00B60A36"/>
    <w:rsid w:val="00B66867"/>
    <w:rsid w:val="00B66994"/>
    <w:rsid w:val="00B717FB"/>
    <w:rsid w:val="00B71AFB"/>
    <w:rsid w:val="00B71F3A"/>
    <w:rsid w:val="00B73C97"/>
    <w:rsid w:val="00B76340"/>
    <w:rsid w:val="00B80C43"/>
    <w:rsid w:val="00B8504D"/>
    <w:rsid w:val="00B94786"/>
    <w:rsid w:val="00BA78B6"/>
    <w:rsid w:val="00BB26AD"/>
    <w:rsid w:val="00BB79BD"/>
    <w:rsid w:val="00BC7208"/>
    <w:rsid w:val="00BD067C"/>
    <w:rsid w:val="00BD0B48"/>
    <w:rsid w:val="00BD2A0A"/>
    <w:rsid w:val="00BD2E57"/>
    <w:rsid w:val="00BD5D0F"/>
    <w:rsid w:val="00BD7C68"/>
    <w:rsid w:val="00BE1CBC"/>
    <w:rsid w:val="00BE29DC"/>
    <w:rsid w:val="00BE365A"/>
    <w:rsid w:val="00BF697A"/>
    <w:rsid w:val="00BF6ADB"/>
    <w:rsid w:val="00C03776"/>
    <w:rsid w:val="00C13821"/>
    <w:rsid w:val="00C13842"/>
    <w:rsid w:val="00C14051"/>
    <w:rsid w:val="00C15F73"/>
    <w:rsid w:val="00C16EE1"/>
    <w:rsid w:val="00C2037B"/>
    <w:rsid w:val="00C21F90"/>
    <w:rsid w:val="00C22FF7"/>
    <w:rsid w:val="00C27F76"/>
    <w:rsid w:val="00C30DA4"/>
    <w:rsid w:val="00C44719"/>
    <w:rsid w:val="00C50108"/>
    <w:rsid w:val="00C5044F"/>
    <w:rsid w:val="00C512BD"/>
    <w:rsid w:val="00C6572C"/>
    <w:rsid w:val="00C6777A"/>
    <w:rsid w:val="00C70CFF"/>
    <w:rsid w:val="00C75655"/>
    <w:rsid w:val="00C8138B"/>
    <w:rsid w:val="00C837C3"/>
    <w:rsid w:val="00C84497"/>
    <w:rsid w:val="00C868F6"/>
    <w:rsid w:val="00C9137C"/>
    <w:rsid w:val="00C91644"/>
    <w:rsid w:val="00C9663B"/>
    <w:rsid w:val="00CA43A5"/>
    <w:rsid w:val="00CA7C0B"/>
    <w:rsid w:val="00CB6091"/>
    <w:rsid w:val="00CB6E2B"/>
    <w:rsid w:val="00CB6FF7"/>
    <w:rsid w:val="00CB7302"/>
    <w:rsid w:val="00CC1E9F"/>
    <w:rsid w:val="00CC5896"/>
    <w:rsid w:val="00CE0C35"/>
    <w:rsid w:val="00CE3810"/>
    <w:rsid w:val="00CE52B4"/>
    <w:rsid w:val="00CE5DCD"/>
    <w:rsid w:val="00CE701C"/>
    <w:rsid w:val="00CE7599"/>
    <w:rsid w:val="00CF3468"/>
    <w:rsid w:val="00CF414A"/>
    <w:rsid w:val="00CF4FF0"/>
    <w:rsid w:val="00CF5B47"/>
    <w:rsid w:val="00CF692A"/>
    <w:rsid w:val="00D104F9"/>
    <w:rsid w:val="00D14323"/>
    <w:rsid w:val="00D16008"/>
    <w:rsid w:val="00D166D4"/>
    <w:rsid w:val="00D30254"/>
    <w:rsid w:val="00D33768"/>
    <w:rsid w:val="00D33D87"/>
    <w:rsid w:val="00D35077"/>
    <w:rsid w:val="00D35A6E"/>
    <w:rsid w:val="00D408A8"/>
    <w:rsid w:val="00D4678A"/>
    <w:rsid w:val="00D46DAE"/>
    <w:rsid w:val="00D46E37"/>
    <w:rsid w:val="00D51C8F"/>
    <w:rsid w:val="00D5204B"/>
    <w:rsid w:val="00D54C10"/>
    <w:rsid w:val="00D55191"/>
    <w:rsid w:val="00D55CD0"/>
    <w:rsid w:val="00D57544"/>
    <w:rsid w:val="00D57973"/>
    <w:rsid w:val="00D60CE2"/>
    <w:rsid w:val="00D612EC"/>
    <w:rsid w:val="00D6153E"/>
    <w:rsid w:val="00D623C4"/>
    <w:rsid w:val="00D722DF"/>
    <w:rsid w:val="00D77E1F"/>
    <w:rsid w:val="00D84675"/>
    <w:rsid w:val="00D8526A"/>
    <w:rsid w:val="00D86252"/>
    <w:rsid w:val="00D917F3"/>
    <w:rsid w:val="00D97BAA"/>
    <w:rsid w:val="00DA3AF3"/>
    <w:rsid w:val="00DA5455"/>
    <w:rsid w:val="00DA5C2B"/>
    <w:rsid w:val="00DB5EFB"/>
    <w:rsid w:val="00DB6EF1"/>
    <w:rsid w:val="00DC19BB"/>
    <w:rsid w:val="00DC5E74"/>
    <w:rsid w:val="00DC6404"/>
    <w:rsid w:val="00DD7FDF"/>
    <w:rsid w:val="00DE1703"/>
    <w:rsid w:val="00DE25AC"/>
    <w:rsid w:val="00DF21A1"/>
    <w:rsid w:val="00DF568D"/>
    <w:rsid w:val="00DF5ADF"/>
    <w:rsid w:val="00E00CCB"/>
    <w:rsid w:val="00E042C7"/>
    <w:rsid w:val="00E054AE"/>
    <w:rsid w:val="00E06CA1"/>
    <w:rsid w:val="00E0781A"/>
    <w:rsid w:val="00E11475"/>
    <w:rsid w:val="00E1219D"/>
    <w:rsid w:val="00E1311A"/>
    <w:rsid w:val="00E15E45"/>
    <w:rsid w:val="00E175A7"/>
    <w:rsid w:val="00E20168"/>
    <w:rsid w:val="00E20740"/>
    <w:rsid w:val="00E20E92"/>
    <w:rsid w:val="00E21862"/>
    <w:rsid w:val="00E245DA"/>
    <w:rsid w:val="00E24645"/>
    <w:rsid w:val="00E30250"/>
    <w:rsid w:val="00E31BCB"/>
    <w:rsid w:val="00E32963"/>
    <w:rsid w:val="00E337BC"/>
    <w:rsid w:val="00E350CD"/>
    <w:rsid w:val="00E372A9"/>
    <w:rsid w:val="00E37C55"/>
    <w:rsid w:val="00E4001B"/>
    <w:rsid w:val="00E51FDE"/>
    <w:rsid w:val="00E534B2"/>
    <w:rsid w:val="00E56B66"/>
    <w:rsid w:val="00E579AF"/>
    <w:rsid w:val="00E7035D"/>
    <w:rsid w:val="00E705B7"/>
    <w:rsid w:val="00E7086E"/>
    <w:rsid w:val="00E70ECC"/>
    <w:rsid w:val="00E71A89"/>
    <w:rsid w:val="00E77197"/>
    <w:rsid w:val="00E81B1A"/>
    <w:rsid w:val="00E84FB3"/>
    <w:rsid w:val="00E87037"/>
    <w:rsid w:val="00E90F30"/>
    <w:rsid w:val="00E918B4"/>
    <w:rsid w:val="00EA0F03"/>
    <w:rsid w:val="00EA1EF9"/>
    <w:rsid w:val="00EA2CA0"/>
    <w:rsid w:val="00EA3049"/>
    <w:rsid w:val="00EA7237"/>
    <w:rsid w:val="00EA7441"/>
    <w:rsid w:val="00EB055B"/>
    <w:rsid w:val="00EB112A"/>
    <w:rsid w:val="00EC1212"/>
    <w:rsid w:val="00EC1D3D"/>
    <w:rsid w:val="00EC3331"/>
    <w:rsid w:val="00EC677E"/>
    <w:rsid w:val="00EC7E67"/>
    <w:rsid w:val="00ED567B"/>
    <w:rsid w:val="00ED5B5C"/>
    <w:rsid w:val="00ED70BD"/>
    <w:rsid w:val="00EE0B3E"/>
    <w:rsid w:val="00EE37BB"/>
    <w:rsid w:val="00EF08EC"/>
    <w:rsid w:val="00EF4099"/>
    <w:rsid w:val="00EF6BDC"/>
    <w:rsid w:val="00F01C4C"/>
    <w:rsid w:val="00F02786"/>
    <w:rsid w:val="00F0434F"/>
    <w:rsid w:val="00F0670F"/>
    <w:rsid w:val="00F07FA6"/>
    <w:rsid w:val="00F11BB3"/>
    <w:rsid w:val="00F13036"/>
    <w:rsid w:val="00F21D1A"/>
    <w:rsid w:val="00F22865"/>
    <w:rsid w:val="00F24D75"/>
    <w:rsid w:val="00F261E3"/>
    <w:rsid w:val="00F3149E"/>
    <w:rsid w:val="00F34B2F"/>
    <w:rsid w:val="00F34F33"/>
    <w:rsid w:val="00F36D1F"/>
    <w:rsid w:val="00F3769E"/>
    <w:rsid w:val="00F4040B"/>
    <w:rsid w:val="00F40F06"/>
    <w:rsid w:val="00F42669"/>
    <w:rsid w:val="00F4749B"/>
    <w:rsid w:val="00F514FB"/>
    <w:rsid w:val="00F56CE9"/>
    <w:rsid w:val="00F61151"/>
    <w:rsid w:val="00F64ECE"/>
    <w:rsid w:val="00F67B6E"/>
    <w:rsid w:val="00F77765"/>
    <w:rsid w:val="00F77EC3"/>
    <w:rsid w:val="00F85E98"/>
    <w:rsid w:val="00FA7C8B"/>
    <w:rsid w:val="00FB0249"/>
    <w:rsid w:val="00FB793A"/>
    <w:rsid w:val="00FC5915"/>
    <w:rsid w:val="00FC5D6D"/>
    <w:rsid w:val="00FD6657"/>
    <w:rsid w:val="00FF1A54"/>
    <w:rsid w:val="00FF4B5F"/>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37C55"/>
    <w:pPr>
      <w:widowControl/>
    </w:pPr>
    <w:rPr>
      <w:rFonts w:ascii="Calibri" w:eastAsia="Calibri" w:hAnsi="Calibri"/>
    </w:rPr>
  </w:style>
  <w:style w:type="character" w:customStyle="1" w:styleId="FootnoteTextChar">
    <w:name w:val="Footnote Text Char"/>
    <w:basedOn w:val="DefaultParagraphFont"/>
    <w:link w:val="FootnoteText"/>
    <w:uiPriority w:val="99"/>
    <w:semiHidden/>
    <w:rsid w:val="00E37C55"/>
    <w:rPr>
      <w:rFonts w:ascii="Calibri" w:eastAsia="Calibri" w:hAnsi="Calibri" w:cs="Times New Roman"/>
      <w:sz w:val="20"/>
      <w:szCs w:val="20"/>
    </w:rPr>
  </w:style>
  <w:style w:type="paragraph" w:styleId="Header">
    <w:name w:val="header"/>
    <w:basedOn w:val="Normal"/>
    <w:link w:val="HeaderChar"/>
    <w:uiPriority w:val="99"/>
    <w:unhideWhenUsed/>
    <w:rsid w:val="00836ED4"/>
    <w:pPr>
      <w:tabs>
        <w:tab w:val="center" w:pos="4680"/>
        <w:tab w:val="right" w:pos="9360"/>
      </w:tabs>
    </w:pPr>
  </w:style>
  <w:style w:type="character" w:customStyle="1" w:styleId="HeaderChar">
    <w:name w:val="Header Char"/>
    <w:basedOn w:val="DefaultParagraphFont"/>
    <w:link w:val="Header"/>
    <w:uiPriority w:val="99"/>
    <w:rsid w:val="00836E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6ED4"/>
    <w:pPr>
      <w:tabs>
        <w:tab w:val="center" w:pos="4680"/>
        <w:tab w:val="right" w:pos="9360"/>
      </w:tabs>
    </w:pPr>
  </w:style>
  <w:style w:type="character" w:customStyle="1" w:styleId="FooterChar">
    <w:name w:val="Footer Char"/>
    <w:basedOn w:val="DefaultParagraphFont"/>
    <w:link w:val="Footer"/>
    <w:uiPriority w:val="99"/>
    <w:rsid w:val="00836ED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035BB"/>
    <w:rPr>
      <w:sz w:val="16"/>
      <w:szCs w:val="16"/>
    </w:rPr>
  </w:style>
  <w:style w:type="paragraph" w:styleId="CommentText">
    <w:name w:val="annotation text"/>
    <w:basedOn w:val="Normal"/>
    <w:link w:val="CommentTextChar"/>
    <w:uiPriority w:val="99"/>
    <w:semiHidden/>
    <w:unhideWhenUsed/>
    <w:rsid w:val="004035BB"/>
  </w:style>
  <w:style w:type="character" w:customStyle="1" w:styleId="CommentTextChar">
    <w:name w:val="Comment Text Char"/>
    <w:basedOn w:val="DefaultParagraphFont"/>
    <w:link w:val="CommentText"/>
    <w:uiPriority w:val="99"/>
    <w:semiHidden/>
    <w:rsid w:val="004035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35BB"/>
    <w:rPr>
      <w:b/>
      <w:bCs/>
    </w:rPr>
  </w:style>
  <w:style w:type="character" w:customStyle="1" w:styleId="CommentSubjectChar">
    <w:name w:val="Comment Subject Char"/>
    <w:basedOn w:val="CommentTextChar"/>
    <w:link w:val="CommentSubject"/>
    <w:uiPriority w:val="99"/>
    <w:semiHidden/>
    <w:rsid w:val="004035BB"/>
    <w:rPr>
      <w:rFonts w:ascii="Times New Roman" w:eastAsia="Times New Roman" w:hAnsi="Times New Roman" w:cs="Times New Roman"/>
      <w:b/>
      <w:bCs/>
      <w:sz w:val="20"/>
      <w:szCs w:val="20"/>
    </w:rPr>
  </w:style>
  <w:style w:type="paragraph" w:styleId="Revision">
    <w:name w:val="Revision"/>
    <w:hidden/>
    <w:uiPriority w:val="99"/>
    <w:semiHidden/>
    <w:rsid w:val="004035BB"/>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37C55"/>
    <w:pPr>
      <w:widowControl/>
    </w:pPr>
    <w:rPr>
      <w:rFonts w:ascii="Calibri" w:eastAsia="Calibri" w:hAnsi="Calibri"/>
    </w:rPr>
  </w:style>
  <w:style w:type="character" w:customStyle="1" w:styleId="FootnoteTextChar">
    <w:name w:val="Footnote Text Char"/>
    <w:basedOn w:val="DefaultParagraphFont"/>
    <w:link w:val="FootnoteText"/>
    <w:uiPriority w:val="99"/>
    <w:semiHidden/>
    <w:rsid w:val="00E37C55"/>
    <w:rPr>
      <w:rFonts w:ascii="Calibri" w:eastAsia="Calibri" w:hAnsi="Calibri" w:cs="Times New Roman"/>
      <w:sz w:val="20"/>
      <w:szCs w:val="20"/>
    </w:rPr>
  </w:style>
  <w:style w:type="paragraph" w:styleId="Header">
    <w:name w:val="header"/>
    <w:basedOn w:val="Normal"/>
    <w:link w:val="HeaderChar"/>
    <w:uiPriority w:val="99"/>
    <w:unhideWhenUsed/>
    <w:rsid w:val="00836ED4"/>
    <w:pPr>
      <w:tabs>
        <w:tab w:val="center" w:pos="4680"/>
        <w:tab w:val="right" w:pos="9360"/>
      </w:tabs>
    </w:pPr>
  </w:style>
  <w:style w:type="character" w:customStyle="1" w:styleId="HeaderChar">
    <w:name w:val="Header Char"/>
    <w:basedOn w:val="DefaultParagraphFont"/>
    <w:link w:val="Header"/>
    <w:uiPriority w:val="99"/>
    <w:rsid w:val="00836E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6ED4"/>
    <w:pPr>
      <w:tabs>
        <w:tab w:val="center" w:pos="4680"/>
        <w:tab w:val="right" w:pos="9360"/>
      </w:tabs>
    </w:pPr>
  </w:style>
  <w:style w:type="character" w:customStyle="1" w:styleId="FooterChar">
    <w:name w:val="Footer Char"/>
    <w:basedOn w:val="DefaultParagraphFont"/>
    <w:link w:val="Footer"/>
    <w:uiPriority w:val="99"/>
    <w:rsid w:val="00836ED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035BB"/>
    <w:rPr>
      <w:sz w:val="16"/>
      <w:szCs w:val="16"/>
    </w:rPr>
  </w:style>
  <w:style w:type="paragraph" w:styleId="CommentText">
    <w:name w:val="annotation text"/>
    <w:basedOn w:val="Normal"/>
    <w:link w:val="CommentTextChar"/>
    <w:uiPriority w:val="99"/>
    <w:semiHidden/>
    <w:unhideWhenUsed/>
    <w:rsid w:val="004035BB"/>
  </w:style>
  <w:style w:type="character" w:customStyle="1" w:styleId="CommentTextChar">
    <w:name w:val="Comment Text Char"/>
    <w:basedOn w:val="DefaultParagraphFont"/>
    <w:link w:val="CommentText"/>
    <w:uiPriority w:val="99"/>
    <w:semiHidden/>
    <w:rsid w:val="004035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35BB"/>
    <w:rPr>
      <w:b/>
      <w:bCs/>
    </w:rPr>
  </w:style>
  <w:style w:type="character" w:customStyle="1" w:styleId="CommentSubjectChar">
    <w:name w:val="Comment Subject Char"/>
    <w:basedOn w:val="CommentTextChar"/>
    <w:link w:val="CommentSubject"/>
    <w:uiPriority w:val="99"/>
    <w:semiHidden/>
    <w:rsid w:val="004035BB"/>
    <w:rPr>
      <w:rFonts w:ascii="Times New Roman" w:eastAsia="Times New Roman" w:hAnsi="Times New Roman" w:cs="Times New Roman"/>
      <w:b/>
      <w:bCs/>
      <w:sz w:val="20"/>
      <w:szCs w:val="20"/>
    </w:rPr>
  </w:style>
  <w:style w:type="paragraph" w:styleId="Revision">
    <w:name w:val="Revision"/>
    <w:hidden/>
    <w:uiPriority w:val="99"/>
    <w:semiHidden/>
    <w:rsid w:val="004035B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26650">
      <w:bodyDiv w:val="1"/>
      <w:marLeft w:val="0"/>
      <w:marRight w:val="0"/>
      <w:marTop w:val="0"/>
      <w:marBottom w:val="0"/>
      <w:divBdr>
        <w:top w:val="none" w:sz="0" w:space="0" w:color="auto"/>
        <w:left w:val="none" w:sz="0" w:space="0" w:color="auto"/>
        <w:bottom w:val="none" w:sz="0" w:space="0" w:color="auto"/>
        <w:right w:val="none" w:sz="0" w:space="0" w:color="auto"/>
      </w:divBdr>
      <w:divsChild>
        <w:div w:id="467432563">
          <w:marLeft w:val="0"/>
          <w:marRight w:val="0"/>
          <w:marTop w:val="0"/>
          <w:marBottom w:val="0"/>
          <w:divBdr>
            <w:top w:val="none" w:sz="0" w:space="0" w:color="auto"/>
            <w:left w:val="none" w:sz="0" w:space="0" w:color="auto"/>
            <w:bottom w:val="none" w:sz="0" w:space="0" w:color="auto"/>
            <w:right w:val="none" w:sz="0" w:space="0" w:color="auto"/>
          </w:divBdr>
          <w:divsChild>
            <w:div w:id="892428556">
              <w:marLeft w:val="0"/>
              <w:marRight w:val="0"/>
              <w:marTop w:val="0"/>
              <w:marBottom w:val="0"/>
              <w:divBdr>
                <w:top w:val="none" w:sz="0" w:space="0" w:color="auto"/>
                <w:left w:val="none" w:sz="0" w:space="0" w:color="auto"/>
                <w:bottom w:val="none" w:sz="0" w:space="0" w:color="auto"/>
                <w:right w:val="none" w:sz="0" w:space="0" w:color="auto"/>
              </w:divBdr>
              <w:divsChild>
                <w:div w:id="153762248">
                  <w:marLeft w:val="0"/>
                  <w:marRight w:val="0"/>
                  <w:marTop w:val="0"/>
                  <w:marBottom w:val="0"/>
                  <w:divBdr>
                    <w:top w:val="none" w:sz="0" w:space="0" w:color="auto"/>
                    <w:left w:val="none" w:sz="0" w:space="0" w:color="auto"/>
                    <w:bottom w:val="none" w:sz="0" w:space="0" w:color="auto"/>
                    <w:right w:val="none" w:sz="0" w:space="0" w:color="auto"/>
                  </w:divBdr>
                  <w:divsChild>
                    <w:div w:id="23809848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84D98-9B42-421B-85B9-4A7B4C47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Farner, Joyce</cp:lastModifiedBy>
  <cp:revision>3</cp:revision>
  <cp:lastPrinted>2014-06-19T16:59:00Z</cp:lastPrinted>
  <dcterms:created xsi:type="dcterms:W3CDTF">2014-06-19T16:30:00Z</dcterms:created>
  <dcterms:modified xsi:type="dcterms:W3CDTF">2014-06-19T16:59:00Z</dcterms:modified>
</cp:coreProperties>
</file>