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12075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075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12075C">
        <w:rPr>
          <w:rFonts w:ascii="Times New Roman" w:hAnsi="Times New Roman"/>
          <w:b/>
          <w:spacing w:val="-3"/>
          <w:szCs w:val="24"/>
        </w:rPr>
        <w:fldChar w:fldCharType="begin"/>
      </w:r>
      <w:r w:rsidRPr="0012075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12075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12075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075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2075C" w:rsidRPr="0012075C" w:rsidRDefault="00141506" w:rsidP="001207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12075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12075C" w:rsidRDefault="0012075C" w:rsidP="0012075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2075C" w:rsidRDefault="0012075C" w:rsidP="0012075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2075C" w:rsidRDefault="0012075C" w:rsidP="0012075C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12075C" w:rsidRPr="0012075C" w:rsidRDefault="0012075C" w:rsidP="0012075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2075C">
        <w:rPr>
          <w:rFonts w:ascii="Times New Roman" w:hAnsi="Times New Roman"/>
          <w:spacing w:val="-3"/>
          <w:szCs w:val="24"/>
        </w:rPr>
        <w:t xml:space="preserve">John </w:t>
      </w:r>
      <w:proofErr w:type="spellStart"/>
      <w:r w:rsidRPr="0012075C">
        <w:rPr>
          <w:rFonts w:ascii="Times New Roman" w:hAnsi="Times New Roman"/>
          <w:spacing w:val="-3"/>
          <w:szCs w:val="24"/>
        </w:rPr>
        <w:t>Dilliplane</w:t>
      </w:r>
      <w:proofErr w:type="spellEnd"/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fldChar w:fldCharType="begin"/>
      </w:r>
      <w:r w:rsidRPr="0012075C">
        <w:rPr>
          <w:rFonts w:ascii="Times New Roman" w:hAnsi="Times New Roman"/>
          <w:spacing w:val="-3"/>
          <w:szCs w:val="24"/>
        </w:rPr>
        <w:instrText>fillin "Complainant's name" \d ""</w:instrText>
      </w:r>
      <w:r w:rsidRPr="0012075C">
        <w:rPr>
          <w:rFonts w:ascii="Times New Roman" w:hAnsi="Times New Roman"/>
          <w:spacing w:val="-3"/>
          <w:szCs w:val="24"/>
        </w:rPr>
        <w:fldChar w:fldCharType="end"/>
      </w:r>
      <w:r w:rsidRPr="0012075C">
        <w:rPr>
          <w:rFonts w:ascii="Times New Roman" w:hAnsi="Times New Roman"/>
          <w:spacing w:val="-3"/>
          <w:szCs w:val="24"/>
        </w:rPr>
        <w:t>:</w:t>
      </w:r>
    </w:p>
    <w:p w:rsidR="0012075C" w:rsidRPr="0012075C" w:rsidRDefault="0012075C" w:rsidP="0012075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  <w:t>:</w:t>
      </w:r>
    </w:p>
    <w:p w:rsidR="0012075C" w:rsidRPr="0012075C" w:rsidRDefault="0012075C" w:rsidP="0012075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2075C">
        <w:rPr>
          <w:rFonts w:ascii="Times New Roman" w:hAnsi="Times New Roman"/>
          <w:spacing w:val="-3"/>
          <w:szCs w:val="24"/>
        </w:rPr>
        <w:tab/>
        <w:t>v.</w:t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  <w:t>:</w:t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  <w:t>C-2013-2392757</w:t>
      </w:r>
    </w:p>
    <w:p w:rsidR="0012075C" w:rsidRPr="0012075C" w:rsidRDefault="0012075C" w:rsidP="0012075C">
      <w:pPr>
        <w:tabs>
          <w:tab w:val="left" w:pos="-72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  <w:t>:</w:t>
      </w:r>
    </w:p>
    <w:p w:rsidR="0012075C" w:rsidRPr="0012075C" w:rsidRDefault="0012075C" w:rsidP="0012075C">
      <w:pPr>
        <w:tabs>
          <w:tab w:val="left" w:pos="-720"/>
          <w:tab w:val="left" w:pos="-90"/>
        </w:tabs>
        <w:suppressAutoHyphens/>
        <w:autoSpaceDE w:val="0"/>
        <w:autoSpaceDN w:val="0"/>
        <w:jc w:val="both"/>
        <w:rPr>
          <w:rFonts w:ascii="Times New Roman" w:hAnsi="Times New Roman"/>
          <w:spacing w:val="-3"/>
          <w:szCs w:val="24"/>
        </w:rPr>
      </w:pPr>
      <w:r w:rsidRPr="0012075C">
        <w:rPr>
          <w:rFonts w:ascii="Times New Roman" w:hAnsi="Times New Roman"/>
          <w:spacing w:val="-3"/>
          <w:szCs w:val="24"/>
        </w:rPr>
        <w:t>PECO Energy Company</w:t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</w:r>
      <w:r w:rsidRPr="0012075C">
        <w:rPr>
          <w:rFonts w:ascii="Times New Roman" w:hAnsi="Times New Roman"/>
          <w:spacing w:val="-3"/>
          <w:szCs w:val="24"/>
        </w:rPr>
        <w:tab/>
        <w:t>:</w:t>
      </w:r>
    </w:p>
    <w:p w:rsidR="0012075C" w:rsidRDefault="0012075C" w:rsidP="0012075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2075C" w:rsidRDefault="0012075C" w:rsidP="0012075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2075C" w:rsidRPr="0012075C" w:rsidRDefault="0012075C" w:rsidP="0012075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1207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David </w:t>
      </w:r>
      <w:r w:rsidR="0025594E">
        <w:rPr>
          <w:rFonts w:ascii="Times New Roman" w:hAnsi="Times New Roman"/>
          <w:spacing w:val="-3"/>
          <w:szCs w:val="24"/>
        </w:rPr>
        <w:t xml:space="preserve">A. </w:t>
      </w:r>
      <w:r w:rsidR="00C224DB" w:rsidRPr="00B616F5">
        <w:rPr>
          <w:rFonts w:ascii="Times New Roman" w:hAnsi="Times New Roman"/>
          <w:spacing w:val="-3"/>
          <w:szCs w:val="24"/>
        </w:rPr>
        <w:t>Salapa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12075C">
        <w:rPr>
          <w:rFonts w:ascii="Times New Roman" w:hAnsi="Times New Roman"/>
          <w:spacing w:val="-3"/>
          <w:szCs w:val="24"/>
        </w:rPr>
        <w:t>May 13,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2075C" w:rsidRPr="0012075C" w:rsidRDefault="0012075C" w:rsidP="001207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2075C">
        <w:rPr>
          <w:rFonts w:ascii="Times New Roman" w:hAnsi="Times New Roman"/>
        </w:rPr>
        <w:t>1.</w:t>
      </w:r>
      <w:r w:rsidRPr="0012075C">
        <w:rPr>
          <w:rFonts w:ascii="Times New Roman" w:hAnsi="Times New Roman"/>
        </w:rPr>
        <w:tab/>
        <w:t>That the motion of PECO Energy Company to dismiss the complaint filed by John Dilliplane at Docket No. C-2013-2392757 is granted.</w:t>
      </w:r>
    </w:p>
    <w:p w:rsidR="0012075C" w:rsidRPr="0012075C" w:rsidRDefault="0012075C" w:rsidP="001207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12075C" w:rsidRPr="0012075C" w:rsidRDefault="0012075C" w:rsidP="001207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2075C">
        <w:rPr>
          <w:rFonts w:ascii="Times New Roman" w:hAnsi="Times New Roman"/>
        </w:rPr>
        <w:t>2.</w:t>
      </w:r>
      <w:r w:rsidRPr="0012075C">
        <w:rPr>
          <w:rFonts w:ascii="Times New Roman" w:hAnsi="Times New Roman"/>
        </w:rPr>
        <w:tab/>
        <w:t>That the complaint of John Dilliplane against PECO Energy Company at Docket No. C-2013-2392757 is dismissed with prejudice for failure to prosecute.</w:t>
      </w:r>
    </w:p>
    <w:p w:rsidR="0012075C" w:rsidRPr="0012075C" w:rsidRDefault="0012075C" w:rsidP="001207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12075C" w:rsidP="0012075C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12075C">
        <w:rPr>
          <w:rFonts w:ascii="Times New Roman" w:hAnsi="Times New Roman"/>
        </w:rPr>
        <w:t>3.</w:t>
      </w:r>
      <w:r w:rsidRPr="0012075C">
        <w:rPr>
          <w:rFonts w:ascii="Times New Roman" w:hAnsi="Times New Roman"/>
        </w:rPr>
        <w:tab/>
        <w:t>That the case at Docket No. C-2013-2392757 is marked closed.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31293C" w:rsidP="0031293C">
      <w:pPr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E2461F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632BDD3" wp14:editId="53A9265C">
            <wp:simplePos x="0" y="0"/>
            <wp:positionH relativeFrom="column">
              <wp:posOffset>2861310</wp:posOffset>
            </wp:positionH>
            <wp:positionV relativeFrom="paragraph">
              <wp:posOffset>40005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E2461F">
        <w:rPr>
          <w:rFonts w:ascii="Times New Roman" w:hAnsi="Times New Roman"/>
          <w:spacing w:val="-3"/>
          <w:szCs w:val="24"/>
        </w:rPr>
        <w:t>June 20,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A23" w:rsidRDefault="00E12A23">
      <w:pPr>
        <w:spacing w:line="20" w:lineRule="exact"/>
      </w:pPr>
    </w:p>
  </w:endnote>
  <w:endnote w:type="continuationSeparator" w:id="0">
    <w:p w:rsidR="00E12A23" w:rsidRDefault="00E12A23">
      <w:r>
        <w:t xml:space="preserve"> </w:t>
      </w:r>
    </w:p>
  </w:endnote>
  <w:endnote w:type="continuationNotice" w:id="1">
    <w:p w:rsidR="00E12A23" w:rsidRDefault="00E12A2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A23" w:rsidRDefault="00E12A23">
      <w:r>
        <w:separator/>
      </w:r>
    </w:p>
  </w:footnote>
  <w:footnote w:type="continuationSeparator" w:id="0">
    <w:p w:rsidR="00E12A23" w:rsidRDefault="00E12A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2075C"/>
    <w:rsid w:val="00141506"/>
    <w:rsid w:val="00182FEB"/>
    <w:rsid w:val="001D058B"/>
    <w:rsid w:val="001D209B"/>
    <w:rsid w:val="00201E96"/>
    <w:rsid w:val="0022470B"/>
    <w:rsid w:val="0025594E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12A23"/>
    <w:rsid w:val="00E2047C"/>
    <w:rsid w:val="00E2461F"/>
    <w:rsid w:val="00E55582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142</Words>
  <Characters>812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12</cp:revision>
  <cp:lastPrinted>2014-06-20T15:25:00Z</cp:lastPrinted>
  <dcterms:created xsi:type="dcterms:W3CDTF">2010-09-08T19:30:00Z</dcterms:created>
  <dcterms:modified xsi:type="dcterms:W3CDTF">2014-06-20T15:25:00Z</dcterms:modified>
</cp:coreProperties>
</file>