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3428C1">
        <w:rPr>
          <w:sz w:val="26"/>
          <w:szCs w:val="26"/>
        </w:rPr>
        <w:t xml:space="preserve">  </w:t>
      </w:r>
      <w:r w:rsidR="0081411E">
        <w:rPr>
          <w:sz w:val="26"/>
          <w:szCs w:val="26"/>
        </w:rPr>
        <w:t xml:space="preserve">  </w:t>
      </w:r>
      <w:r w:rsidR="002B1020">
        <w:rPr>
          <w:sz w:val="26"/>
          <w:szCs w:val="26"/>
        </w:rPr>
        <w:t xml:space="preserve"> </w:t>
      </w:r>
      <w:r w:rsidR="009304FE">
        <w:rPr>
          <w:sz w:val="26"/>
          <w:szCs w:val="26"/>
        </w:rPr>
        <w:t>P</w:t>
      </w:r>
      <w:r w:rsidR="009304FE" w:rsidRPr="002A5D4B">
        <w:rPr>
          <w:sz w:val="26"/>
          <w:szCs w:val="26"/>
        </w:rPr>
        <w:t xml:space="preserve">ublic Meeting held </w:t>
      </w:r>
      <w:r w:rsidR="002B1020">
        <w:rPr>
          <w:sz w:val="26"/>
          <w:szCs w:val="26"/>
        </w:rPr>
        <w:t>May 22, 2014</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847CD0">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847CD0">
        <w:rPr>
          <w:sz w:val="26"/>
          <w:szCs w:val="26"/>
        </w:rPr>
        <w:t>John F. Coleman, Jr.</w:t>
      </w:r>
      <w:r w:rsidRPr="002A5D4B">
        <w:rPr>
          <w:sz w:val="26"/>
          <w:szCs w:val="26"/>
        </w:rPr>
        <w:t>, Vice Chairman</w:t>
      </w:r>
    </w:p>
    <w:p w:rsidR="009304FE" w:rsidRDefault="001C7F88" w:rsidP="009304FE">
      <w:pPr>
        <w:rPr>
          <w:sz w:val="26"/>
          <w:szCs w:val="26"/>
        </w:rPr>
      </w:pPr>
      <w:r>
        <w:rPr>
          <w:sz w:val="26"/>
          <w:szCs w:val="26"/>
        </w:rPr>
        <w:tab/>
      </w:r>
      <w:r w:rsidR="00847CD0">
        <w:rPr>
          <w:sz w:val="26"/>
          <w:szCs w:val="26"/>
        </w:rPr>
        <w:t xml:space="preserve">James H. Cawley </w:t>
      </w:r>
    </w:p>
    <w:p w:rsidR="009304FE" w:rsidRDefault="00AB0F2F" w:rsidP="009304FE">
      <w:r>
        <w:tab/>
      </w:r>
      <w:r>
        <w:rPr>
          <w:sz w:val="26"/>
        </w:rPr>
        <w:t xml:space="preserve">Pamela A. Witmer </w:t>
      </w:r>
      <w:r>
        <w:tab/>
      </w:r>
    </w:p>
    <w:p w:rsidR="00AB0F2F" w:rsidRDefault="002B1020" w:rsidP="009304FE">
      <w:r>
        <w:tab/>
      </w:r>
      <w:r w:rsidR="00586EBE">
        <w:t xml:space="preserve">Gladys M. Brown </w:t>
      </w:r>
    </w:p>
    <w:p w:rsidR="009304FE" w:rsidRDefault="009304FE" w:rsidP="009304FE"/>
    <w:p w:rsidR="00E050C0" w:rsidRPr="00E050C0" w:rsidRDefault="00586EBE" w:rsidP="00E050C0">
      <w:pPr>
        <w:tabs>
          <w:tab w:val="left" w:pos="-720"/>
          <w:tab w:val="left" w:pos="0"/>
        </w:tabs>
        <w:suppressAutoHyphens/>
        <w:rPr>
          <w:sz w:val="26"/>
          <w:szCs w:val="26"/>
        </w:rPr>
      </w:pPr>
      <w:r>
        <w:rPr>
          <w:sz w:val="26"/>
          <w:szCs w:val="26"/>
        </w:rPr>
        <w:t>Joseph D. Orach</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w:t>
      </w:r>
      <w:r w:rsidR="00C2391E">
        <w:rPr>
          <w:sz w:val="26"/>
          <w:szCs w:val="26"/>
        </w:rPr>
        <w:t xml:space="preserve">      </w:t>
      </w:r>
      <w:r>
        <w:rPr>
          <w:sz w:val="26"/>
          <w:szCs w:val="26"/>
        </w:rPr>
        <w:t xml:space="preserve">  </w:t>
      </w:r>
      <w:r w:rsidR="00C2391E">
        <w:rPr>
          <w:sz w:val="26"/>
          <w:szCs w:val="26"/>
        </w:rPr>
        <w:t xml:space="preserve">  </w:t>
      </w:r>
      <w:r w:rsidR="0081411E">
        <w:rPr>
          <w:sz w:val="26"/>
          <w:szCs w:val="26"/>
        </w:rPr>
        <w:t xml:space="preserve"> </w:t>
      </w:r>
      <w:r>
        <w:rPr>
          <w:sz w:val="26"/>
          <w:szCs w:val="26"/>
        </w:rPr>
        <w:t>C-2013-2393163</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586EBE" w:rsidP="00E050C0">
      <w:pPr>
        <w:tabs>
          <w:tab w:val="left" w:pos="-720"/>
          <w:tab w:val="left" w:pos="0"/>
        </w:tabs>
        <w:suppressAutoHyphens/>
        <w:rPr>
          <w:sz w:val="26"/>
          <w:szCs w:val="26"/>
        </w:rPr>
      </w:pPr>
      <w:r>
        <w:rPr>
          <w:sz w:val="26"/>
          <w:szCs w:val="26"/>
        </w:rPr>
        <w:t xml:space="preserve">PPL Electric Utilities Corporation </w:t>
      </w:r>
      <w:r w:rsidR="0081411E">
        <w:rPr>
          <w:sz w:val="26"/>
          <w:szCs w:val="26"/>
        </w:rPr>
        <w:t xml:space="preserve"> </w:t>
      </w:r>
      <w:r w:rsidR="00C2391E">
        <w:rPr>
          <w:sz w:val="26"/>
          <w:szCs w:val="26"/>
        </w:rPr>
        <w:t xml:space="preserve"> </w:t>
      </w:r>
      <w:r w:rsidR="003428C1">
        <w:rPr>
          <w:sz w:val="26"/>
          <w:szCs w:val="26"/>
        </w:rPr>
        <w:t xml:space="preserve"> </w:t>
      </w:r>
      <w:r w:rsidR="00EF79C5">
        <w:rPr>
          <w:sz w:val="26"/>
          <w:szCs w:val="26"/>
        </w:rPr>
        <w:t xml:space="preserve">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50430"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is the Initial Decision</w:t>
      </w:r>
      <w:r w:rsidR="00A43FE6">
        <w:rPr>
          <w:sz w:val="26"/>
          <w:szCs w:val="26"/>
        </w:rPr>
        <w:t xml:space="preserve"> Sustaining Preliminary Objections and Dismissing Complaint</w:t>
      </w:r>
      <w:r w:rsidR="00AA3F68">
        <w:rPr>
          <w:sz w:val="26"/>
          <w:szCs w:val="26"/>
        </w:rPr>
        <w:t xml:space="preserve"> (</w:t>
      </w:r>
      <w:r w:rsidR="00A43FE6">
        <w:rPr>
          <w:sz w:val="26"/>
          <w:szCs w:val="26"/>
        </w:rPr>
        <w:t xml:space="preserve">Initial Decision or </w:t>
      </w:r>
      <w:r w:rsidR="00AA3F68">
        <w:rPr>
          <w:sz w:val="26"/>
          <w:szCs w:val="26"/>
        </w:rPr>
        <w:t xml:space="preserve">I.D.) of Administrative Law Judge (ALJ) </w:t>
      </w:r>
      <w:r w:rsidR="00586EBE">
        <w:rPr>
          <w:sz w:val="26"/>
          <w:szCs w:val="26"/>
        </w:rPr>
        <w:t>David A. Salapa</w:t>
      </w:r>
      <w:r w:rsidR="00AA3F68">
        <w:rPr>
          <w:sz w:val="26"/>
          <w:szCs w:val="26"/>
        </w:rPr>
        <w:t xml:space="preserve">, issued on </w:t>
      </w:r>
      <w:r w:rsidR="00586EBE">
        <w:rPr>
          <w:sz w:val="26"/>
          <w:szCs w:val="26"/>
        </w:rPr>
        <w:t>January 14</w:t>
      </w:r>
      <w:r w:rsidR="00A50430">
        <w:rPr>
          <w:sz w:val="26"/>
          <w:szCs w:val="26"/>
        </w:rPr>
        <w:t>,</w:t>
      </w:r>
      <w:r w:rsidR="00586EBE">
        <w:rPr>
          <w:sz w:val="26"/>
          <w:szCs w:val="26"/>
        </w:rPr>
        <w:t xml:space="preserve"> 2014,</w:t>
      </w:r>
      <w:r w:rsidR="00B206E5">
        <w:rPr>
          <w:sz w:val="26"/>
          <w:szCs w:val="26"/>
        </w:rPr>
        <w:t xml:space="preserve">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w:t>
      </w:r>
    </w:p>
    <w:p w:rsidR="0067105F" w:rsidRDefault="008B24E5" w:rsidP="0019214E">
      <w:pPr>
        <w:spacing w:line="360" w:lineRule="auto"/>
        <w:rPr>
          <w:sz w:val="26"/>
          <w:szCs w:val="26"/>
        </w:rPr>
      </w:pPr>
      <w:r>
        <w:rPr>
          <w:sz w:val="26"/>
          <w:szCs w:val="26"/>
        </w:rPr>
        <w:t xml:space="preserve">§ 332(h).  For the reasons stated below, we </w:t>
      </w:r>
      <w:r w:rsidR="009C1908">
        <w:rPr>
          <w:sz w:val="26"/>
          <w:szCs w:val="26"/>
        </w:rPr>
        <w:t xml:space="preserve">shall </w:t>
      </w:r>
      <w:r w:rsidR="00586EBE">
        <w:rPr>
          <w:sz w:val="26"/>
          <w:szCs w:val="26"/>
        </w:rPr>
        <w:t>reverse</w:t>
      </w:r>
      <w:r w:rsidR="00306310">
        <w:rPr>
          <w:sz w:val="26"/>
          <w:szCs w:val="26"/>
        </w:rPr>
        <w:t xml:space="preserve"> the ALJ’s Initial Decision</w:t>
      </w:r>
      <w:r w:rsidR="0081411E">
        <w:rPr>
          <w:sz w:val="26"/>
          <w:szCs w:val="26"/>
        </w:rPr>
        <w:t>,</w:t>
      </w:r>
      <w:r w:rsidR="00586EBE">
        <w:rPr>
          <w:sz w:val="26"/>
          <w:szCs w:val="26"/>
        </w:rPr>
        <w:t xml:space="preserve"> in part, </w:t>
      </w:r>
      <w:r w:rsidR="006C44B9">
        <w:rPr>
          <w:sz w:val="26"/>
          <w:szCs w:val="26"/>
        </w:rPr>
        <w:t xml:space="preserve">and remand this proceeding to the Office of </w:t>
      </w:r>
      <w:r w:rsidR="00740762">
        <w:rPr>
          <w:sz w:val="26"/>
          <w:szCs w:val="26"/>
        </w:rPr>
        <w:t xml:space="preserve">Administrative Law Judge (OALJ) for further proceedings as may be necessary, </w:t>
      </w:r>
      <w:r w:rsidR="005C1345">
        <w:rPr>
          <w:sz w:val="26"/>
          <w:szCs w:val="26"/>
        </w:rPr>
        <w:t xml:space="preserve">consistent with this Opinion and Order.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t>History of the Proceeding</w:t>
      </w:r>
    </w:p>
    <w:p w:rsidR="00B32735" w:rsidRDefault="00B32735" w:rsidP="00B32735">
      <w:pPr>
        <w:spacing w:line="360" w:lineRule="auto"/>
        <w:jc w:val="center"/>
        <w:rPr>
          <w:b/>
          <w:sz w:val="26"/>
          <w:szCs w:val="26"/>
        </w:rPr>
      </w:pPr>
    </w:p>
    <w:p w:rsidR="002E17C9" w:rsidRPr="007318BF" w:rsidRDefault="002E17C9" w:rsidP="002E17C9">
      <w:pPr>
        <w:pStyle w:val="ParaTab1"/>
        <w:spacing w:line="360" w:lineRule="auto"/>
        <w:ind w:firstLine="1354"/>
        <w:rPr>
          <w:rFonts w:ascii="Times New Roman" w:hAnsi="Times New Roman" w:cs="Times New Roman"/>
          <w:sz w:val="26"/>
        </w:rPr>
      </w:pPr>
      <w:r w:rsidRPr="007318BF">
        <w:rPr>
          <w:rFonts w:ascii="Times New Roman" w:hAnsi="Times New Roman" w:cs="Times New Roman"/>
          <w:sz w:val="26"/>
        </w:rPr>
        <w:t xml:space="preserve">On November 7, 2013, Joseph D. Orach (Complainant) filed a </w:t>
      </w:r>
      <w:r w:rsidR="007318BF">
        <w:rPr>
          <w:rFonts w:ascii="Times New Roman" w:hAnsi="Times New Roman" w:cs="Times New Roman"/>
          <w:sz w:val="26"/>
        </w:rPr>
        <w:t>Formal C</w:t>
      </w:r>
      <w:r w:rsidRPr="007318BF">
        <w:rPr>
          <w:rFonts w:ascii="Times New Roman" w:hAnsi="Times New Roman" w:cs="Times New Roman"/>
          <w:sz w:val="26"/>
        </w:rPr>
        <w:t>omplaint</w:t>
      </w:r>
      <w:r w:rsidR="00AD3053">
        <w:rPr>
          <w:rFonts w:ascii="Times New Roman" w:hAnsi="Times New Roman" w:cs="Times New Roman"/>
          <w:sz w:val="26"/>
        </w:rPr>
        <w:t xml:space="preserve">, </w:t>
      </w:r>
      <w:r w:rsidR="0030494F">
        <w:rPr>
          <w:rFonts w:ascii="Times New Roman" w:hAnsi="Times New Roman" w:cs="Times New Roman"/>
          <w:sz w:val="26"/>
        </w:rPr>
        <w:t>alleging that PPL</w:t>
      </w:r>
      <w:r w:rsidR="006F1FCB">
        <w:rPr>
          <w:rFonts w:ascii="Times New Roman" w:hAnsi="Times New Roman" w:cs="Times New Roman"/>
          <w:sz w:val="26"/>
        </w:rPr>
        <w:t xml:space="preserve"> Electric Utilities Corporation</w:t>
      </w:r>
      <w:r w:rsidR="0030494F">
        <w:rPr>
          <w:rFonts w:ascii="Times New Roman" w:hAnsi="Times New Roman" w:cs="Times New Roman"/>
          <w:sz w:val="26"/>
        </w:rPr>
        <w:t xml:space="preserve">’s </w:t>
      </w:r>
      <w:r w:rsidR="006F1FCB">
        <w:rPr>
          <w:rFonts w:ascii="Times New Roman" w:hAnsi="Times New Roman" w:cs="Times New Roman"/>
          <w:sz w:val="26"/>
        </w:rPr>
        <w:t xml:space="preserve">(PPL) </w:t>
      </w:r>
      <w:r w:rsidR="0030494F">
        <w:rPr>
          <w:rFonts w:ascii="Times New Roman" w:hAnsi="Times New Roman" w:cs="Times New Roman"/>
          <w:sz w:val="26"/>
        </w:rPr>
        <w:t>vegetation management practices, in</w:t>
      </w:r>
      <w:r w:rsidRPr="007318BF">
        <w:rPr>
          <w:rFonts w:ascii="Times New Roman" w:hAnsi="Times New Roman" w:cs="Times New Roman"/>
          <w:sz w:val="26"/>
        </w:rPr>
        <w:t xml:space="preserve"> </w:t>
      </w:r>
      <w:r w:rsidR="00AD3053">
        <w:rPr>
          <w:rFonts w:ascii="Times New Roman" w:hAnsi="Times New Roman" w:cs="Times New Roman"/>
          <w:sz w:val="26"/>
        </w:rPr>
        <w:t>PPL’s</w:t>
      </w:r>
      <w:r w:rsidRPr="007318BF">
        <w:rPr>
          <w:rFonts w:ascii="Times New Roman" w:hAnsi="Times New Roman" w:cs="Times New Roman"/>
          <w:sz w:val="26"/>
        </w:rPr>
        <w:t xml:space="preserve"> </w:t>
      </w:r>
      <w:r w:rsidR="001C3402">
        <w:rPr>
          <w:rFonts w:ascii="Times New Roman" w:hAnsi="Times New Roman" w:cs="Times New Roman"/>
          <w:sz w:val="26"/>
        </w:rPr>
        <w:t xml:space="preserve">transmission line </w:t>
      </w:r>
      <w:r w:rsidRPr="007318BF">
        <w:rPr>
          <w:rFonts w:ascii="Times New Roman" w:hAnsi="Times New Roman" w:cs="Times New Roman"/>
          <w:sz w:val="26"/>
        </w:rPr>
        <w:t>right</w:t>
      </w:r>
      <w:r w:rsidR="001C3402">
        <w:rPr>
          <w:rFonts w:ascii="Times New Roman" w:hAnsi="Times New Roman" w:cs="Times New Roman"/>
          <w:sz w:val="26"/>
        </w:rPr>
        <w:t>-</w:t>
      </w:r>
      <w:r w:rsidRPr="007318BF">
        <w:rPr>
          <w:rFonts w:ascii="Times New Roman" w:hAnsi="Times New Roman" w:cs="Times New Roman"/>
          <w:sz w:val="26"/>
        </w:rPr>
        <w:t>of</w:t>
      </w:r>
      <w:r w:rsidR="001C3402">
        <w:rPr>
          <w:rFonts w:ascii="Times New Roman" w:hAnsi="Times New Roman" w:cs="Times New Roman"/>
          <w:sz w:val="26"/>
        </w:rPr>
        <w:t>-</w:t>
      </w:r>
      <w:r w:rsidRPr="007318BF">
        <w:rPr>
          <w:rFonts w:ascii="Times New Roman" w:hAnsi="Times New Roman" w:cs="Times New Roman"/>
          <w:sz w:val="26"/>
        </w:rPr>
        <w:t>way which crosses the Complainant’s property</w:t>
      </w:r>
      <w:r w:rsidR="0030494F">
        <w:rPr>
          <w:rFonts w:ascii="Times New Roman" w:hAnsi="Times New Roman" w:cs="Times New Roman"/>
          <w:sz w:val="26"/>
        </w:rPr>
        <w:t xml:space="preserve">, </w:t>
      </w:r>
      <w:r w:rsidR="006F1FCB">
        <w:rPr>
          <w:rFonts w:ascii="Times New Roman" w:hAnsi="Times New Roman" w:cs="Times New Roman"/>
          <w:sz w:val="26"/>
        </w:rPr>
        <w:t>we</w:t>
      </w:r>
      <w:r w:rsidR="0030494F">
        <w:rPr>
          <w:rFonts w:ascii="Times New Roman" w:hAnsi="Times New Roman" w:cs="Times New Roman"/>
          <w:sz w:val="26"/>
        </w:rPr>
        <w:t>re unreasonable.</w:t>
      </w:r>
      <w:r w:rsidRPr="007318BF">
        <w:rPr>
          <w:rFonts w:ascii="Times New Roman" w:hAnsi="Times New Roman" w:cs="Times New Roman"/>
          <w:sz w:val="26"/>
        </w:rPr>
        <w:t xml:space="preserve">  The </w:t>
      </w:r>
      <w:r w:rsidR="008B64EC">
        <w:rPr>
          <w:rFonts w:ascii="Times New Roman" w:hAnsi="Times New Roman" w:cs="Times New Roman"/>
          <w:sz w:val="26"/>
        </w:rPr>
        <w:t>C</w:t>
      </w:r>
      <w:r w:rsidRPr="007318BF">
        <w:rPr>
          <w:rFonts w:ascii="Times New Roman" w:hAnsi="Times New Roman" w:cs="Times New Roman"/>
          <w:sz w:val="26"/>
        </w:rPr>
        <w:t>omplain</w:t>
      </w:r>
      <w:r w:rsidR="008B64EC">
        <w:rPr>
          <w:rFonts w:ascii="Times New Roman" w:hAnsi="Times New Roman" w:cs="Times New Roman"/>
          <w:sz w:val="26"/>
        </w:rPr>
        <w:t>ant</w:t>
      </w:r>
      <w:r w:rsidRPr="007318BF">
        <w:rPr>
          <w:rFonts w:ascii="Times New Roman" w:hAnsi="Times New Roman" w:cs="Times New Roman"/>
          <w:sz w:val="26"/>
        </w:rPr>
        <w:t xml:space="preserve"> request</w:t>
      </w:r>
      <w:r w:rsidR="008B64EC">
        <w:rPr>
          <w:rFonts w:ascii="Times New Roman" w:hAnsi="Times New Roman" w:cs="Times New Roman"/>
          <w:sz w:val="26"/>
        </w:rPr>
        <w:t>ed</w:t>
      </w:r>
      <w:r w:rsidRPr="007318BF">
        <w:rPr>
          <w:rFonts w:ascii="Times New Roman" w:hAnsi="Times New Roman" w:cs="Times New Roman"/>
          <w:sz w:val="26"/>
        </w:rPr>
        <w:t xml:space="preserve"> that the Commission direct the Respondent to not remove the vegetation</w:t>
      </w:r>
      <w:r w:rsidR="0030494F">
        <w:rPr>
          <w:rFonts w:ascii="Times New Roman" w:hAnsi="Times New Roman" w:cs="Times New Roman"/>
          <w:sz w:val="26"/>
        </w:rPr>
        <w:t xml:space="preserve"> and</w:t>
      </w:r>
      <w:r w:rsidRPr="007318BF">
        <w:rPr>
          <w:rFonts w:ascii="Times New Roman" w:hAnsi="Times New Roman" w:cs="Times New Roman"/>
          <w:sz w:val="26"/>
        </w:rPr>
        <w:t xml:space="preserve"> </w:t>
      </w:r>
      <w:r w:rsidR="008B64EC">
        <w:rPr>
          <w:rFonts w:ascii="Times New Roman" w:hAnsi="Times New Roman" w:cs="Times New Roman"/>
          <w:sz w:val="26"/>
        </w:rPr>
        <w:t>to</w:t>
      </w:r>
      <w:r w:rsidRPr="007318BF">
        <w:rPr>
          <w:rFonts w:ascii="Times New Roman" w:hAnsi="Times New Roman" w:cs="Times New Roman"/>
          <w:sz w:val="26"/>
        </w:rPr>
        <w:t xml:space="preserve"> cease spraying herbicide in the right</w:t>
      </w:r>
      <w:r w:rsidR="00A43FE6">
        <w:rPr>
          <w:rFonts w:ascii="Times New Roman" w:hAnsi="Times New Roman" w:cs="Times New Roman"/>
          <w:sz w:val="26"/>
        </w:rPr>
        <w:t>-</w:t>
      </w:r>
      <w:r w:rsidRPr="007318BF">
        <w:rPr>
          <w:rFonts w:ascii="Times New Roman" w:hAnsi="Times New Roman" w:cs="Times New Roman"/>
          <w:sz w:val="26"/>
        </w:rPr>
        <w:t>of</w:t>
      </w:r>
      <w:r w:rsidR="00A43FE6">
        <w:rPr>
          <w:rFonts w:ascii="Times New Roman" w:hAnsi="Times New Roman" w:cs="Times New Roman"/>
          <w:sz w:val="26"/>
        </w:rPr>
        <w:t>-</w:t>
      </w:r>
      <w:r w:rsidRPr="007318BF">
        <w:rPr>
          <w:rFonts w:ascii="Times New Roman" w:hAnsi="Times New Roman" w:cs="Times New Roman"/>
          <w:sz w:val="26"/>
        </w:rPr>
        <w:t>way</w:t>
      </w:r>
      <w:r w:rsidR="0030494F">
        <w:rPr>
          <w:rFonts w:ascii="Times New Roman" w:hAnsi="Times New Roman" w:cs="Times New Roman"/>
          <w:sz w:val="26"/>
        </w:rPr>
        <w:t>.  The Complainant also requested that the Commission direct PPL</w:t>
      </w:r>
      <w:r w:rsidR="008B64EC">
        <w:rPr>
          <w:rFonts w:ascii="Times New Roman" w:hAnsi="Times New Roman" w:cs="Times New Roman"/>
          <w:sz w:val="26"/>
        </w:rPr>
        <w:t xml:space="preserve"> to </w:t>
      </w:r>
      <w:r w:rsidRPr="007318BF">
        <w:rPr>
          <w:rFonts w:ascii="Times New Roman" w:hAnsi="Times New Roman" w:cs="Times New Roman"/>
          <w:sz w:val="26"/>
        </w:rPr>
        <w:t>vacate its existing right</w:t>
      </w:r>
      <w:r w:rsidR="006F1FCB">
        <w:rPr>
          <w:rFonts w:ascii="Times New Roman" w:hAnsi="Times New Roman" w:cs="Times New Roman"/>
          <w:sz w:val="26"/>
        </w:rPr>
        <w:t>-</w:t>
      </w:r>
      <w:r w:rsidRPr="007318BF">
        <w:rPr>
          <w:rFonts w:ascii="Times New Roman" w:hAnsi="Times New Roman" w:cs="Times New Roman"/>
          <w:sz w:val="26"/>
        </w:rPr>
        <w:t>of</w:t>
      </w:r>
      <w:r w:rsidR="006F1FCB">
        <w:rPr>
          <w:rFonts w:ascii="Times New Roman" w:hAnsi="Times New Roman" w:cs="Times New Roman"/>
          <w:sz w:val="26"/>
        </w:rPr>
        <w:t>-</w:t>
      </w:r>
      <w:r w:rsidRPr="007318BF">
        <w:rPr>
          <w:rFonts w:ascii="Times New Roman" w:hAnsi="Times New Roman" w:cs="Times New Roman"/>
          <w:sz w:val="26"/>
        </w:rPr>
        <w:t xml:space="preserve">way and </w:t>
      </w:r>
      <w:r w:rsidR="006F1FCB">
        <w:rPr>
          <w:rFonts w:ascii="Times New Roman" w:hAnsi="Times New Roman" w:cs="Times New Roman"/>
          <w:sz w:val="26"/>
        </w:rPr>
        <w:t xml:space="preserve">to </w:t>
      </w:r>
      <w:r w:rsidRPr="007318BF">
        <w:rPr>
          <w:rFonts w:ascii="Times New Roman" w:hAnsi="Times New Roman" w:cs="Times New Roman"/>
          <w:sz w:val="26"/>
        </w:rPr>
        <w:t>negotiate a new right</w:t>
      </w:r>
      <w:r w:rsidR="006F1FCB">
        <w:rPr>
          <w:rFonts w:ascii="Times New Roman" w:hAnsi="Times New Roman" w:cs="Times New Roman"/>
          <w:sz w:val="26"/>
        </w:rPr>
        <w:t>-</w:t>
      </w:r>
      <w:r w:rsidRPr="007318BF">
        <w:rPr>
          <w:rFonts w:ascii="Times New Roman" w:hAnsi="Times New Roman" w:cs="Times New Roman"/>
          <w:sz w:val="26"/>
        </w:rPr>
        <w:t>of</w:t>
      </w:r>
      <w:r w:rsidR="006F1FCB">
        <w:rPr>
          <w:rFonts w:ascii="Times New Roman" w:hAnsi="Times New Roman" w:cs="Times New Roman"/>
          <w:sz w:val="26"/>
        </w:rPr>
        <w:t>-</w:t>
      </w:r>
      <w:r w:rsidRPr="007318BF">
        <w:rPr>
          <w:rFonts w:ascii="Times New Roman" w:hAnsi="Times New Roman" w:cs="Times New Roman"/>
          <w:sz w:val="26"/>
        </w:rPr>
        <w:t>way agreement.</w:t>
      </w:r>
      <w:r w:rsidR="008B64EC">
        <w:rPr>
          <w:rFonts w:ascii="Times New Roman" w:hAnsi="Times New Roman" w:cs="Times New Roman"/>
          <w:sz w:val="26"/>
        </w:rPr>
        <w:t xml:space="preserve">  </w:t>
      </w:r>
    </w:p>
    <w:p w:rsidR="002E17C9" w:rsidRPr="007318BF" w:rsidRDefault="002E17C9" w:rsidP="002E17C9">
      <w:pPr>
        <w:pStyle w:val="ParaTab1"/>
        <w:spacing w:line="360" w:lineRule="auto"/>
        <w:ind w:firstLine="1350"/>
        <w:rPr>
          <w:rFonts w:ascii="Times New Roman" w:hAnsi="Times New Roman" w:cs="Times New Roman"/>
          <w:sz w:val="26"/>
        </w:rPr>
      </w:pPr>
    </w:p>
    <w:p w:rsidR="002E17C9" w:rsidRPr="007318BF" w:rsidRDefault="000A6437" w:rsidP="002E17C9">
      <w:pPr>
        <w:pStyle w:val="ParaTab1"/>
        <w:spacing w:line="360" w:lineRule="auto"/>
        <w:ind w:firstLine="1350"/>
        <w:rPr>
          <w:rFonts w:ascii="Times New Roman" w:hAnsi="Times New Roman" w:cs="Times New Roman"/>
          <w:sz w:val="26"/>
        </w:rPr>
      </w:pPr>
      <w:r>
        <w:rPr>
          <w:rFonts w:ascii="Times New Roman" w:hAnsi="Times New Roman" w:cs="Times New Roman"/>
          <w:sz w:val="26"/>
        </w:rPr>
        <w:t>On December 9, 2013, t</w:t>
      </w:r>
      <w:r w:rsidR="002E17C9" w:rsidRPr="007318BF">
        <w:rPr>
          <w:rFonts w:ascii="Times New Roman" w:hAnsi="Times New Roman" w:cs="Times New Roman"/>
          <w:sz w:val="26"/>
        </w:rPr>
        <w:t xml:space="preserve">he Respondent filed an </w:t>
      </w:r>
      <w:r>
        <w:rPr>
          <w:rFonts w:ascii="Times New Roman" w:hAnsi="Times New Roman" w:cs="Times New Roman"/>
          <w:sz w:val="26"/>
        </w:rPr>
        <w:t>A</w:t>
      </w:r>
      <w:r w:rsidR="002E17C9" w:rsidRPr="007318BF">
        <w:rPr>
          <w:rFonts w:ascii="Times New Roman" w:hAnsi="Times New Roman" w:cs="Times New Roman"/>
          <w:sz w:val="26"/>
        </w:rPr>
        <w:t xml:space="preserve">nswer with </w:t>
      </w:r>
      <w:r>
        <w:rPr>
          <w:rFonts w:ascii="Times New Roman" w:hAnsi="Times New Roman" w:cs="Times New Roman"/>
          <w:sz w:val="26"/>
        </w:rPr>
        <w:t>N</w:t>
      </w:r>
      <w:r w:rsidR="002E17C9" w:rsidRPr="007318BF">
        <w:rPr>
          <w:rFonts w:ascii="Times New Roman" w:hAnsi="Times New Roman" w:cs="Times New Roman"/>
          <w:sz w:val="26"/>
        </w:rPr>
        <w:t xml:space="preserve">ew </w:t>
      </w:r>
      <w:r>
        <w:rPr>
          <w:rFonts w:ascii="Times New Roman" w:hAnsi="Times New Roman" w:cs="Times New Roman"/>
          <w:sz w:val="26"/>
        </w:rPr>
        <w:t>M</w:t>
      </w:r>
      <w:r w:rsidR="002E17C9" w:rsidRPr="007318BF">
        <w:rPr>
          <w:rFonts w:ascii="Times New Roman" w:hAnsi="Times New Roman" w:cs="Times New Roman"/>
          <w:sz w:val="26"/>
        </w:rPr>
        <w:t xml:space="preserve">atter and </w:t>
      </w:r>
      <w:r>
        <w:rPr>
          <w:rFonts w:ascii="Times New Roman" w:hAnsi="Times New Roman" w:cs="Times New Roman"/>
          <w:sz w:val="26"/>
        </w:rPr>
        <w:t>P</w:t>
      </w:r>
      <w:r w:rsidR="002E17C9" w:rsidRPr="007318BF">
        <w:rPr>
          <w:rFonts w:ascii="Times New Roman" w:hAnsi="Times New Roman" w:cs="Times New Roman"/>
          <w:sz w:val="26"/>
        </w:rPr>
        <w:t xml:space="preserve">reliminary </w:t>
      </w:r>
      <w:r>
        <w:rPr>
          <w:rFonts w:ascii="Times New Roman" w:hAnsi="Times New Roman" w:cs="Times New Roman"/>
          <w:sz w:val="26"/>
        </w:rPr>
        <w:t>O</w:t>
      </w:r>
      <w:r w:rsidR="002E17C9" w:rsidRPr="007318BF">
        <w:rPr>
          <w:rFonts w:ascii="Times New Roman" w:hAnsi="Times New Roman" w:cs="Times New Roman"/>
          <w:sz w:val="26"/>
        </w:rPr>
        <w:t xml:space="preserve">bjections.  </w:t>
      </w:r>
      <w:r>
        <w:rPr>
          <w:rFonts w:ascii="Times New Roman" w:hAnsi="Times New Roman" w:cs="Times New Roman"/>
          <w:sz w:val="26"/>
        </w:rPr>
        <w:t xml:space="preserve">In its Answer, the </w:t>
      </w:r>
      <w:r w:rsidR="002E17C9" w:rsidRPr="007318BF">
        <w:rPr>
          <w:rFonts w:ascii="Times New Roman" w:hAnsi="Times New Roman" w:cs="Times New Roman"/>
          <w:sz w:val="26"/>
        </w:rPr>
        <w:t xml:space="preserve">Respondent </w:t>
      </w:r>
      <w:r>
        <w:rPr>
          <w:rFonts w:ascii="Times New Roman" w:hAnsi="Times New Roman" w:cs="Times New Roman"/>
          <w:sz w:val="26"/>
        </w:rPr>
        <w:t>admit</w:t>
      </w:r>
      <w:r w:rsidR="00412EFE">
        <w:rPr>
          <w:rFonts w:ascii="Times New Roman" w:hAnsi="Times New Roman" w:cs="Times New Roman"/>
          <w:sz w:val="26"/>
        </w:rPr>
        <w:t>ted</w:t>
      </w:r>
      <w:r>
        <w:rPr>
          <w:rFonts w:ascii="Times New Roman" w:hAnsi="Times New Roman" w:cs="Times New Roman"/>
          <w:sz w:val="26"/>
        </w:rPr>
        <w:t xml:space="preserve"> that it </w:t>
      </w:r>
      <w:r w:rsidR="002E17C9" w:rsidRPr="007318BF">
        <w:rPr>
          <w:rFonts w:ascii="Times New Roman" w:hAnsi="Times New Roman" w:cs="Times New Roman"/>
          <w:sz w:val="26"/>
        </w:rPr>
        <w:t>has transmission facilities located on the Complainant’s property</w:t>
      </w:r>
      <w:r>
        <w:rPr>
          <w:rFonts w:ascii="Times New Roman" w:hAnsi="Times New Roman" w:cs="Times New Roman"/>
          <w:sz w:val="26"/>
        </w:rPr>
        <w:t xml:space="preserve"> pur</w:t>
      </w:r>
      <w:r w:rsidR="002E17C9" w:rsidRPr="007318BF">
        <w:rPr>
          <w:rFonts w:ascii="Times New Roman" w:hAnsi="Times New Roman" w:cs="Times New Roman"/>
          <w:sz w:val="26"/>
        </w:rPr>
        <w:t>suant to a valid and irrevocable right</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way and easement.</w:t>
      </w:r>
      <w:r w:rsidR="00412EFE">
        <w:rPr>
          <w:rFonts w:ascii="Times New Roman" w:hAnsi="Times New Roman" w:cs="Times New Roman"/>
          <w:sz w:val="26"/>
        </w:rPr>
        <w:t xml:space="preserve">  </w:t>
      </w:r>
      <w:r w:rsidR="002E17C9" w:rsidRPr="007318BF">
        <w:rPr>
          <w:rFonts w:ascii="Times New Roman" w:hAnsi="Times New Roman" w:cs="Times New Roman"/>
          <w:sz w:val="26"/>
        </w:rPr>
        <w:t xml:space="preserve">The </w:t>
      </w:r>
      <w:r w:rsidR="00412EFE">
        <w:rPr>
          <w:rFonts w:ascii="Times New Roman" w:hAnsi="Times New Roman" w:cs="Times New Roman"/>
          <w:sz w:val="26"/>
        </w:rPr>
        <w:t xml:space="preserve">Respondent indicated that it </w:t>
      </w:r>
      <w:r w:rsidR="002E17C9" w:rsidRPr="007318BF">
        <w:rPr>
          <w:rFonts w:ascii="Times New Roman" w:hAnsi="Times New Roman" w:cs="Times New Roman"/>
          <w:sz w:val="26"/>
        </w:rPr>
        <w:t xml:space="preserve">plans to remove </w:t>
      </w:r>
      <w:r w:rsidR="00412EFE">
        <w:rPr>
          <w:rFonts w:ascii="Times New Roman" w:hAnsi="Times New Roman" w:cs="Times New Roman"/>
          <w:sz w:val="26"/>
        </w:rPr>
        <w:t xml:space="preserve">non-compatible </w:t>
      </w:r>
      <w:r w:rsidR="002E17C9" w:rsidRPr="007318BF">
        <w:rPr>
          <w:rFonts w:ascii="Times New Roman" w:hAnsi="Times New Roman" w:cs="Times New Roman"/>
          <w:sz w:val="26"/>
        </w:rPr>
        <w:t xml:space="preserve">vegetation within </w:t>
      </w:r>
      <w:r w:rsidR="00412EFE">
        <w:rPr>
          <w:rFonts w:ascii="Times New Roman" w:hAnsi="Times New Roman" w:cs="Times New Roman"/>
          <w:sz w:val="26"/>
        </w:rPr>
        <w:t>its</w:t>
      </w:r>
      <w:r w:rsidR="002E17C9" w:rsidRPr="007318BF">
        <w:rPr>
          <w:rFonts w:ascii="Times New Roman" w:hAnsi="Times New Roman" w:cs="Times New Roman"/>
          <w:sz w:val="26"/>
        </w:rPr>
        <w:t xml:space="preserve"> right</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 xml:space="preserve">way that crosses the Complainant’s property.  The </w:t>
      </w:r>
      <w:r w:rsidR="00412EFE">
        <w:rPr>
          <w:rFonts w:ascii="Times New Roman" w:hAnsi="Times New Roman" w:cs="Times New Roman"/>
          <w:sz w:val="26"/>
        </w:rPr>
        <w:t>Respondent also indicated that</w:t>
      </w:r>
      <w:r w:rsidR="002E17C9" w:rsidRPr="007318BF">
        <w:rPr>
          <w:rFonts w:ascii="Times New Roman" w:hAnsi="Times New Roman" w:cs="Times New Roman"/>
          <w:sz w:val="26"/>
        </w:rPr>
        <w:t>, pursuant to its right</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 xml:space="preserve">way and easement, </w:t>
      </w:r>
      <w:r w:rsidR="00412EFE">
        <w:rPr>
          <w:rFonts w:ascii="Times New Roman" w:hAnsi="Times New Roman" w:cs="Times New Roman"/>
          <w:sz w:val="26"/>
        </w:rPr>
        <w:t>it</w:t>
      </w:r>
      <w:r w:rsidR="002E17C9" w:rsidRPr="007318BF">
        <w:rPr>
          <w:rFonts w:ascii="Times New Roman" w:hAnsi="Times New Roman" w:cs="Times New Roman"/>
          <w:sz w:val="26"/>
        </w:rPr>
        <w:t xml:space="preserve"> has the right to control or remove vegetation within its right</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 xml:space="preserve">way.  The </w:t>
      </w:r>
      <w:r w:rsidR="00656B00">
        <w:rPr>
          <w:rFonts w:ascii="Times New Roman" w:hAnsi="Times New Roman" w:cs="Times New Roman"/>
          <w:sz w:val="26"/>
        </w:rPr>
        <w:t xml:space="preserve">Respondent stated that it has </w:t>
      </w:r>
      <w:r w:rsidR="002E17C9" w:rsidRPr="007318BF">
        <w:rPr>
          <w:rFonts w:ascii="Times New Roman" w:hAnsi="Times New Roman" w:cs="Times New Roman"/>
          <w:sz w:val="26"/>
        </w:rPr>
        <w:t xml:space="preserve">complied with </w:t>
      </w:r>
      <w:r w:rsidR="00656B00">
        <w:rPr>
          <w:rFonts w:ascii="Times New Roman" w:hAnsi="Times New Roman" w:cs="Times New Roman"/>
          <w:sz w:val="26"/>
        </w:rPr>
        <w:t xml:space="preserve">the </w:t>
      </w:r>
      <w:r w:rsidR="00656B00" w:rsidRPr="007318BF">
        <w:rPr>
          <w:rFonts w:ascii="Times New Roman" w:hAnsi="Times New Roman" w:cs="Times New Roman"/>
          <w:sz w:val="26"/>
        </w:rPr>
        <w:t>North American Electric Reliability Corporation (NERC) Standard FAC-003-1</w:t>
      </w:r>
      <w:r w:rsidR="002E17C9" w:rsidRPr="007318BF">
        <w:rPr>
          <w:rFonts w:ascii="Times New Roman" w:hAnsi="Times New Roman" w:cs="Times New Roman"/>
          <w:sz w:val="26"/>
        </w:rPr>
        <w:t xml:space="preserve"> by adopting a vegetation management policy</w:t>
      </w:r>
      <w:r w:rsidR="00656B00">
        <w:rPr>
          <w:rFonts w:ascii="Times New Roman" w:hAnsi="Times New Roman" w:cs="Times New Roman"/>
          <w:sz w:val="26"/>
        </w:rPr>
        <w:t xml:space="preserve">, and that its </w:t>
      </w:r>
      <w:r w:rsidR="002E17C9" w:rsidRPr="007318BF">
        <w:rPr>
          <w:rFonts w:ascii="Times New Roman" w:hAnsi="Times New Roman" w:cs="Times New Roman"/>
          <w:sz w:val="26"/>
        </w:rPr>
        <w:t xml:space="preserve">vegetation management policy has been approved by the Federal Energy Regulatory Commission (FERC).  The </w:t>
      </w:r>
      <w:r w:rsidR="00656B00">
        <w:rPr>
          <w:rFonts w:ascii="Times New Roman" w:hAnsi="Times New Roman" w:cs="Times New Roman"/>
          <w:sz w:val="26"/>
        </w:rPr>
        <w:t xml:space="preserve">Respondent averred that it must comply with the NERC Standard by </w:t>
      </w:r>
      <w:r w:rsidR="002E17C9" w:rsidRPr="007318BF">
        <w:rPr>
          <w:rFonts w:ascii="Times New Roman" w:hAnsi="Times New Roman" w:cs="Times New Roman"/>
          <w:sz w:val="26"/>
        </w:rPr>
        <w:t>remov</w:t>
      </w:r>
      <w:r w:rsidR="00656B00">
        <w:rPr>
          <w:rFonts w:ascii="Times New Roman" w:hAnsi="Times New Roman" w:cs="Times New Roman"/>
          <w:sz w:val="26"/>
        </w:rPr>
        <w:t>ing</w:t>
      </w:r>
      <w:r w:rsidR="002E17C9" w:rsidRPr="007318BF">
        <w:rPr>
          <w:rFonts w:ascii="Times New Roman" w:hAnsi="Times New Roman" w:cs="Times New Roman"/>
          <w:sz w:val="26"/>
        </w:rPr>
        <w:t xml:space="preserve"> any vegetation that has the potential to encroach on the required conductor clearances, including the vegetation found within </w:t>
      </w:r>
      <w:r w:rsidR="00656B00">
        <w:rPr>
          <w:rFonts w:ascii="Times New Roman" w:hAnsi="Times New Roman" w:cs="Times New Roman"/>
          <w:sz w:val="26"/>
        </w:rPr>
        <w:t>its</w:t>
      </w:r>
      <w:r w:rsidR="002E17C9" w:rsidRPr="007318BF">
        <w:rPr>
          <w:rFonts w:ascii="Times New Roman" w:hAnsi="Times New Roman" w:cs="Times New Roman"/>
          <w:sz w:val="26"/>
        </w:rPr>
        <w:t xml:space="preserve"> right</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way.</w:t>
      </w:r>
      <w:r w:rsidR="00656B00">
        <w:rPr>
          <w:rFonts w:ascii="Times New Roman" w:hAnsi="Times New Roman" w:cs="Times New Roman"/>
          <w:sz w:val="26"/>
        </w:rPr>
        <w:t xml:space="preserve">  Furthermore, the Respondent answered that it </w:t>
      </w:r>
      <w:r w:rsidR="002E17C9" w:rsidRPr="007318BF">
        <w:rPr>
          <w:rFonts w:ascii="Times New Roman" w:hAnsi="Times New Roman" w:cs="Times New Roman"/>
          <w:sz w:val="26"/>
        </w:rPr>
        <w:t>applies herbicides to its transmission line rights</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way pursuant to its vegetation management policy</w:t>
      </w:r>
      <w:r w:rsidR="00656B00">
        <w:rPr>
          <w:rFonts w:ascii="Times New Roman" w:hAnsi="Times New Roman" w:cs="Times New Roman"/>
          <w:sz w:val="26"/>
        </w:rPr>
        <w:t xml:space="preserve">, and </w:t>
      </w:r>
      <w:r w:rsidR="002E17C9" w:rsidRPr="007318BF">
        <w:rPr>
          <w:rFonts w:ascii="Times New Roman" w:hAnsi="Times New Roman" w:cs="Times New Roman"/>
          <w:sz w:val="26"/>
        </w:rPr>
        <w:t>the righ</w:t>
      </w:r>
      <w:r w:rsidR="006F1FCB">
        <w:rPr>
          <w:rFonts w:ascii="Times New Roman" w:hAnsi="Times New Roman" w:cs="Times New Roman"/>
          <w:sz w:val="26"/>
        </w:rPr>
        <w:t>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 xml:space="preserve">way </w:t>
      </w:r>
      <w:r w:rsidR="00656B00">
        <w:rPr>
          <w:rFonts w:ascii="Times New Roman" w:hAnsi="Times New Roman" w:cs="Times New Roman"/>
          <w:sz w:val="26"/>
        </w:rPr>
        <w:t xml:space="preserve">and </w:t>
      </w:r>
      <w:r w:rsidR="002E17C9" w:rsidRPr="007318BF">
        <w:rPr>
          <w:rFonts w:ascii="Times New Roman" w:hAnsi="Times New Roman" w:cs="Times New Roman"/>
          <w:sz w:val="26"/>
        </w:rPr>
        <w:t>easement that crosses the Complainant’s property authorizes the use of herbicides within the right</w:t>
      </w:r>
      <w:r w:rsidR="006F1FCB">
        <w:rPr>
          <w:rFonts w:ascii="Times New Roman" w:hAnsi="Times New Roman" w:cs="Times New Roman"/>
          <w:sz w:val="26"/>
        </w:rPr>
        <w:t>-</w:t>
      </w:r>
      <w:r w:rsidR="002E17C9" w:rsidRPr="007318BF">
        <w:rPr>
          <w:rFonts w:ascii="Times New Roman" w:hAnsi="Times New Roman" w:cs="Times New Roman"/>
          <w:sz w:val="26"/>
        </w:rPr>
        <w:t>of</w:t>
      </w:r>
      <w:r w:rsidR="006F1FCB">
        <w:rPr>
          <w:rFonts w:ascii="Times New Roman" w:hAnsi="Times New Roman" w:cs="Times New Roman"/>
          <w:sz w:val="26"/>
        </w:rPr>
        <w:t>-</w:t>
      </w:r>
      <w:r w:rsidR="002E17C9" w:rsidRPr="007318BF">
        <w:rPr>
          <w:rFonts w:ascii="Times New Roman" w:hAnsi="Times New Roman" w:cs="Times New Roman"/>
          <w:sz w:val="26"/>
        </w:rPr>
        <w:t>way.</w:t>
      </w:r>
      <w:r w:rsidR="00656B00">
        <w:rPr>
          <w:rFonts w:ascii="Times New Roman" w:hAnsi="Times New Roman" w:cs="Times New Roman"/>
          <w:sz w:val="26"/>
        </w:rPr>
        <w:t xml:space="preserve">  </w:t>
      </w:r>
    </w:p>
    <w:p w:rsidR="002E17C9" w:rsidRPr="007318BF" w:rsidRDefault="002E17C9" w:rsidP="002E17C9">
      <w:pPr>
        <w:pStyle w:val="ParaTab1"/>
        <w:spacing w:line="360" w:lineRule="auto"/>
        <w:ind w:firstLine="1350"/>
        <w:rPr>
          <w:rFonts w:ascii="Times New Roman" w:hAnsi="Times New Roman" w:cs="Times New Roman"/>
          <w:sz w:val="26"/>
        </w:rPr>
      </w:pPr>
    </w:p>
    <w:p w:rsidR="002E17C9" w:rsidRPr="007318BF" w:rsidRDefault="00915880" w:rsidP="002E17C9">
      <w:pPr>
        <w:pStyle w:val="ParaTab1"/>
        <w:spacing w:line="360" w:lineRule="auto"/>
        <w:ind w:firstLine="1350"/>
        <w:rPr>
          <w:rFonts w:ascii="Times New Roman" w:hAnsi="Times New Roman" w:cs="Times New Roman"/>
          <w:sz w:val="26"/>
        </w:rPr>
      </w:pPr>
      <w:r>
        <w:rPr>
          <w:rFonts w:ascii="Times New Roman" w:hAnsi="Times New Roman" w:cs="Times New Roman"/>
          <w:sz w:val="26"/>
        </w:rPr>
        <w:t>In its N</w:t>
      </w:r>
      <w:r w:rsidR="002E17C9" w:rsidRPr="007318BF">
        <w:rPr>
          <w:rFonts w:ascii="Times New Roman" w:hAnsi="Times New Roman" w:cs="Times New Roman"/>
          <w:sz w:val="26"/>
        </w:rPr>
        <w:t xml:space="preserve">ew </w:t>
      </w:r>
      <w:r>
        <w:rPr>
          <w:rFonts w:ascii="Times New Roman" w:hAnsi="Times New Roman" w:cs="Times New Roman"/>
          <w:sz w:val="26"/>
        </w:rPr>
        <w:t>M</w:t>
      </w:r>
      <w:r w:rsidR="002E17C9" w:rsidRPr="007318BF">
        <w:rPr>
          <w:rFonts w:ascii="Times New Roman" w:hAnsi="Times New Roman" w:cs="Times New Roman"/>
          <w:sz w:val="26"/>
        </w:rPr>
        <w:t>atter</w:t>
      </w:r>
      <w:r>
        <w:rPr>
          <w:rFonts w:ascii="Times New Roman" w:hAnsi="Times New Roman" w:cs="Times New Roman"/>
          <w:sz w:val="26"/>
        </w:rPr>
        <w:t>,</w:t>
      </w:r>
      <w:r w:rsidR="002E17C9" w:rsidRPr="007318BF">
        <w:rPr>
          <w:rFonts w:ascii="Times New Roman" w:hAnsi="Times New Roman" w:cs="Times New Roman"/>
          <w:sz w:val="26"/>
        </w:rPr>
        <w:t xml:space="preserve"> </w:t>
      </w:r>
      <w:r>
        <w:rPr>
          <w:rFonts w:ascii="Times New Roman" w:hAnsi="Times New Roman" w:cs="Times New Roman"/>
          <w:sz w:val="26"/>
        </w:rPr>
        <w:t xml:space="preserve">the Respondent asserted that </w:t>
      </w:r>
      <w:r w:rsidR="002E17C9" w:rsidRPr="007318BF">
        <w:rPr>
          <w:rFonts w:ascii="Times New Roman" w:hAnsi="Times New Roman" w:cs="Times New Roman"/>
          <w:sz w:val="26"/>
        </w:rPr>
        <w:t>the Complainant’s claims arise from a private property dispute and interpretation of the right</w:t>
      </w:r>
      <w:r w:rsidR="00A77A75">
        <w:rPr>
          <w:rFonts w:ascii="Times New Roman" w:hAnsi="Times New Roman" w:cs="Times New Roman"/>
          <w:sz w:val="26"/>
        </w:rPr>
        <w:t>-</w:t>
      </w:r>
      <w:r w:rsidR="002E17C9" w:rsidRPr="007318BF">
        <w:rPr>
          <w:rFonts w:ascii="Times New Roman" w:hAnsi="Times New Roman" w:cs="Times New Roman"/>
          <w:sz w:val="26"/>
        </w:rPr>
        <w:t>of</w:t>
      </w:r>
      <w:r w:rsidR="00A77A75">
        <w:rPr>
          <w:rFonts w:ascii="Times New Roman" w:hAnsi="Times New Roman" w:cs="Times New Roman"/>
          <w:sz w:val="26"/>
        </w:rPr>
        <w:t>-</w:t>
      </w:r>
      <w:r w:rsidR="002E17C9" w:rsidRPr="007318BF">
        <w:rPr>
          <w:rFonts w:ascii="Times New Roman" w:hAnsi="Times New Roman" w:cs="Times New Roman"/>
          <w:sz w:val="26"/>
        </w:rPr>
        <w:t>way and easement and</w:t>
      </w:r>
      <w:r>
        <w:rPr>
          <w:rFonts w:ascii="Times New Roman" w:hAnsi="Times New Roman" w:cs="Times New Roman"/>
          <w:sz w:val="26"/>
        </w:rPr>
        <w:t>, therefore,</w:t>
      </w:r>
      <w:r w:rsidR="002E17C9" w:rsidRPr="007318BF">
        <w:rPr>
          <w:rFonts w:ascii="Times New Roman" w:hAnsi="Times New Roman" w:cs="Times New Roman"/>
          <w:sz w:val="26"/>
        </w:rPr>
        <w:t xml:space="preserve"> are within the exclusive jurisdiction of the Courts of Common Pleas.  The </w:t>
      </w:r>
      <w:r>
        <w:rPr>
          <w:rFonts w:ascii="Times New Roman" w:hAnsi="Times New Roman" w:cs="Times New Roman"/>
          <w:sz w:val="26"/>
        </w:rPr>
        <w:t xml:space="preserve">Respondent requested </w:t>
      </w:r>
      <w:r w:rsidR="002E17C9" w:rsidRPr="007318BF">
        <w:rPr>
          <w:rFonts w:ascii="Times New Roman" w:hAnsi="Times New Roman" w:cs="Times New Roman"/>
          <w:sz w:val="26"/>
        </w:rPr>
        <w:t xml:space="preserve">that the </w:t>
      </w:r>
      <w:r>
        <w:rPr>
          <w:rFonts w:ascii="Times New Roman" w:hAnsi="Times New Roman" w:cs="Times New Roman"/>
          <w:sz w:val="26"/>
        </w:rPr>
        <w:t>C</w:t>
      </w:r>
      <w:r w:rsidR="002E17C9" w:rsidRPr="007318BF">
        <w:rPr>
          <w:rFonts w:ascii="Times New Roman" w:hAnsi="Times New Roman" w:cs="Times New Roman"/>
          <w:sz w:val="26"/>
        </w:rPr>
        <w:t xml:space="preserve">omplaint be dismissed for lack of subject matter jurisdiction.  </w:t>
      </w:r>
    </w:p>
    <w:p w:rsidR="002E17C9" w:rsidRPr="007318BF" w:rsidRDefault="002E17C9" w:rsidP="002E17C9">
      <w:pPr>
        <w:pStyle w:val="ParaTab1"/>
        <w:spacing w:line="360" w:lineRule="auto"/>
        <w:ind w:firstLine="1350"/>
        <w:rPr>
          <w:rFonts w:ascii="Times New Roman" w:hAnsi="Times New Roman" w:cs="Times New Roman"/>
          <w:sz w:val="26"/>
        </w:rPr>
      </w:pPr>
    </w:p>
    <w:p w:rsidR="002E17C9" w:rsidRPr="007318BF" w:rsidRDefault="00915880" w:rsidP="002E17C9">
      <w:pPr>
        <w:pStyle w:val="ParaTab1"/>
        <w:spacing w:line="360" w:lineRule="auto"/>
        <w:ind w:firstLine="1350"/>
        <w:rPr>
          <w:rFonts w:ascii="Times New Roman" w:hAnsi="Times New Roman" w:cs="Times New Roman"/>
          <w:sz w:val="26"/>
        </w:rPr>
      </w:pPr>
      <w:r>
        <w:rPr>
          <w:rFonts w:ascii="Times New Roman" w:hAnsi="Times New Roman" w:cs="Times New Roman"/>
          <w:sz w:val="26"/>
        </w:rPr>
        <w:t>Similarly, in its P</w:t>
      </w:r>
      <w:r w:rsidR="002E17C9" w:rsidRPr="007318BF">
        <w:rPr>
          <w:rFonts w:ascii="Times New Roman" w:hAnsi="Times New Roman" w:cs="Times New Roman"/>
          <w:sz w:val="26"/>
        </w:rPr>
        <w:t xml:space="preserve">reliminary </w:t>
      </w:r>
      <w:r>
        <w:rPr>
          <w:rFonts w:ascii="Times New Roman" w:hAnsi="Times New Roman" w:cs="Times New Roman"/>
          <w:sz w:val="26"/>
        </w:rPr>
        <w:t>O</w:t>
      </w:r>
      <w:r w:rsidR="002E17C9" w:rsidRPr="007318BF">
        <w:rPr>
          <w:rFonts w:ascii="Times New Roman" w:hAnsi="Times New Roman" w:cs="Times New Roman"/>
          <w:sz w:val="26"/>
        </w:rPr>
        <w:t>bjections</w:t>
      </w:r>
      <w:r>
        <w:rPr>
          <w:rFonts w:ascii="Times New Roman" w:hAnsi="Times New Roman" w:cs="Times New Roman"/>
          <w:sz w:val="26"/>
        </w:rPr>
        <w:t>, the Respondent</w:t>
      </w:r>
      <w:r w:rsidR="002E17C9" w:rsidRPr="007318BF">
        <w:rPr>
          <w:rFonts w:ascii="Times New Roman" w:hAnsi="Times New Roman" w:cs="Times New Roman"/>
          <w:sz w:val="26"/>
        </w:rPr>
        <w:t xml:space="preserve"> contend</w:t>
      </w:r>
      <w:r>
        <w:rPr>
          <w:rFonts w:ascii="Times New Roman" w:hAnsi="Times New Roman" w:cs="Times New Roman"/>
          <w:sz w:val="26"/>
        </w:rPr>
        <w:t>ed</w:t>
      </w:r>
      <w:r w:rsidR="002E17C9" w:rsidRPr="007318BF">
        <w:rPr>
          <w:rFonts w:ascii="Times New Roman" w:hAnsi="Times New Roman" w:cs="Times New Roman"/>
          <w:sz w:val="26"/>
        </w:rPr>
        <w:t xml:space="preserve"> that the Commission lacks jurisdiction over the subject matter of the </w:t>
      </w:r>
      <w:r>
        <w:rPr>
          <w:rFonts w:ascii="Times New Roman" w:hAnsi="Times New Roman" w:cs="Times New Roman"/>
          <w:sz w:val="26"/>
        </w:rPr>
        <w:t>C</w:t>
      </w:r>
      <w:r w:rsidR="002E17C9" w:rsidRPr="007318BF">
        <w:rPr>
          <w:rFonts w:ascii="Times New Roman" w:hAnsi="Times New Roman" w:cs="Times New Roman"/>
          <w:sz w:val="26"/>
        </w:rPr>
        <w:t>omplaint</w:t>
      </w:r>
      <w:r>
        <w:rPr>
          <w:rFonts w:ascii="Times New Roman" w:hAnsi="Times New Roman" w:cs="Times New Roman"/>
          <w:sz w:val="26"/>
        </w:rPr>
        <w:t>, because the Complaint</w:t>
      </w:r>
      <w:r w:rsidR="002E17C9" w:rsidRPr="007318BF">
        <w:rPr>
          <w:rFonts w:ascii="Times New Roman" w:hAnsi="Times New Roman" w:cs="Times New Roman"/>
          <w:sz w:val="26"/>
        </w:rPr>
        <w:t xml:space="preserve"> concern</w:t>
      </w:r>
      <w:r>
        <w:rPr>
          <w:rFonts w:ascii="Times New Roman" w:hAnsi="Times New Roman" w:cs="Times New Roman"/>
          <w:sz w:val="26"/>
        </w:rPr>
        <w:t>s</w:t>
      </w:r>
      <w:r w:rsidR="002E17C9" w:rsidRPr="007318BF">
        <w:rPr>
          <w:rFonts w:ascii="Times New Roman" w:hAnsi="Times New Roman" w:cs="Times New Roman"/>
          <w:sz w:val="26"/>
        </w:rPr>
        <w:t xml:space="preserve"> </w:t>
      </w:r>
      <w:r w:rsidR="00F5789A">
        <w:rPr>
          <w:rFonts w:ascii="Times New Roman" w:hAnsi="Times New Roman" w:cs="Times New Roman"/>
          <w:sz w:val="26"/>
        </w:rPr>
        <w:t xml:space="preserve">a </w:t>
      </w:r>
      <w:r w:rsidR="00610EBF">
        <w:rPr>
          <w:rFonts w:ascii="Times New Roman" w:hAnsi="Times New Roman" w:cs="Times New Roman"/>
          <w:sz w:val="26"/>
        </w:rPr>
        <w:t>private</w:t>
      </w:r>
      <w:r w:rsidR="002E17C9" w:rsidRPr="007318BF">
        <w:rPr>
          <w:rFonts w:ascii="Times New Roman" w:hAnsi="Times New Roman" w:cs="Times New Roman"/>
          <w:sz w:val="26"/>
        </w:rPr>
        <w:t xml:space="preserve"> property </w:t>
      </w:r>
      <w:r w:rsidR="00F5789A">
        <w:rPr>
          <w:rFonts w:ascii="Times New Roman" w:hAnsi="Times New Roman" w:cs="Times New Roman"/>
          <w:sz w:val="26"/>
        </w:rPr>
        <w:t>dispute</w:t>
      </w:r>
      <w:r w:rsidR="002E17C9" w:rsidRPr="007318BF">
        <w:rPr>
          <w:rFonts w:ascii="Times New Roman" w:hAnsi="Times New Roman" w:cs="Times New Roman"/>
          <w:sz w:val="26"/>
        </w:rPr>
        <w:t xml:space="preserve"> and </w:t>
      </w:r>
      <w:r w:rsidR="00610EBF">
        <w:rPr>
          <w:rFonts w:ascii="Times New Roman" w:hAnsi="Times New Roman" w:cs="Times New Roman"/>
          <w:sz w:val="26"/>
        </w:rPr>
        <w:t xml:space="preserve">the </w:t>
      </w:r>
      <w:r w:rsidR="002E17C9" w:rsidRPr="007318BF">
        <w:rPr>
          <w:rFonts w:ascii="Times New Roman" w:hAnsi="Times New Roman" w:cs="Times New Roman"/>
          <w:sz w:val="26"/>
        </w:rPr>
        <w:t xml:space="preserve">interpretation of </w:t>
      </w:r>
      <w:r w:rsidR="00610EBF">
        <w:rPr>
          <w:rFonts w:ascii="Times New Roman" w:hAnsi="Times New Roman" w:cs="Times New Roman"/>
          <w:sz w:val="26"/>
        </w:rPr>
        <w:t xml:space="preserve">a </w:t>
      </w:r>
      <w:r w:rsidR="002E17C9" w:rsidRPr="007318BF">
        <w:rPr>
          <w:rFonts w:ascii="Times New Roman" w:hAnsi="Times New Roman" w:cs="Times New Roman"/>
          <w:sz w:val="26"/>
        </w:rPr>
        <w:t>right</w:t>
      </w:r>
      <w:r w:rsidR="00800389">
        <w:rPr>
          <w:rFonts w:ascii="Times New Roman" w:hAnsi="Times New Roman" w:cs="Times New Roman"/>
          <w:sz w:val="26"/>
        </w:rPr>
        <w:t>-</w:t>
      </w:r>
      <w:r w:rsidR="002E17C9" w:rsidRPr="007318BF">
        <w:rPr>
          <w:rFonts w:ascii="Times New Roman" w:hAnsi="Times New Roman" w:cs="Times New Roman"/>
          <w:sz w:val="26"/>
        </w:rPr>
        <w:t>of</w:t>
      </w:r>
      <w:r w:rsidR="00800389">
        <w:rPr>
          <w:rFonts w:ascii="Times New Roman" w:hAnsi="Times New Roman" w:cs="Times New Roman"/>
          <w:sz w:val="26"/>
        </w:rPr>
        <w:t>-</w:t>
      </w:r>
      <w:r w:rsidR="002E17C9" w:rsidRPr="007318BF">
        <w:rPr>
          <w:rFonts w:ascii="Times New Roman" w:hAnsi="Times New Roman" w:cs="Times New Roman"/>
          <w:sz w:val="26"/>
        </w:rPr>
        <w:t xml:space="preserve">way and easement.  </w:t>
      </w:r>
      <w:r w:rsidR="00F5789A">
        <w:rPr>
          <w:rFonts w:ascii="Times New Roman" w:hAnsi="Times New Roman" w:cs="Times New Roman"/>
          <w:sz w:val="26"/>
        </w:rPr>
        <w:t>Th</w:t>
      </w:r>
      <w:r w:rsidR="00067DC8">
        <w:rPr>
          <w:rFonts w:ascii="Times New Roman" w:hAnsi="Times New Roman" w:cs="Times New Roman"/>
          <w:sz w:val="26"/>
        </w:rPr>
        <w:t>e Complainant did not file an Answer to the Respondent’s New Matter or Preliminary Objections.</w:t>
      </w:r>
      <w:r w:rsidR="0016244B">
        <w:rPr>
          <w:rFonts w:ascii="Times New Roman" w:hAnsi="Times New Roman" w:cs="Times New Roman"/>
          <w:sz w:val="26"/>
        </w:rPr>
        <w:t xml:space="preserve">  </w:t>
      </w:r>
      <w:r>
        <w:rPr>
          <w:rFonts w:ascii="Times New Roman" w:hAnsi="Times New Roman" w:cs="Times New Roman"/>
          <w:sz w:val="26"/>
        </w:rPr>
        <w:t xml:space="preserve">  </w:t>
      </w:r>
    </w:p>
    <w:p w:rsidR="002E17C9" w:rsidRPr="007318BF" w:rsidRDefault="002E17C9" w:rsidP="002E17C9">
      <w:pPr>
        <w:pStyle w:val="ParaTab1"/>
        <w:spacing w:line="360" w:lineRule="auto"/>
        <w:ind w:firstLine="1350"/>
        <w:rPr>
          <w:rFonts w:ascii="Times New Roman" w:hAnsi="Times New Roman" w:cs="Times New Roman"/>
          <w:sz w:val="26"/>
        </w:rPr>
      </w:pPr>
    </w:p>
    <w:p w:rsidR="002E17C9" w:rsidRPr="007318BF" w:rsidRDefault="008C500B" w:rsidP="008C500B">
      <w:pPr>
        <w:pStyle w:val="ParaTab1"/>
        <w:spacing w:line="360" w:lineRule="auto"/>
        <w:rPr>
          <w:rFonts w:ascii="Times New Roman" w:hAnsi="Times New Roman" w:cs="Times New Roman"/>
          <w:sz w:val="26"/>
        </w:rPr>
      </w:pPr>
      <w:r>
        <w:rPr>
          <w:rFonts w:ascii="Times New Roman" w:hAnsi="Times New Roman" w:cs="Times New Roman"/>
          <w:sz w:val="26"/>
        </w:rPr>
        <w:t xml:space="preserve">In an Initial Decision, issued on January 14, 2014, ALJ Salapa sustained PPL’s Preliminary Objections and dismissed the Complaint for lack of jurisdiction.  I.D. at 12.   </w:t>
      </w:r>
    </w:p>
    <w:p w:rsidR="002E17C9" w:rsidRPr="007318BF" w:rsidRDefault="002E17C9" w:rsidP="002E17C9">
      <w:pPr>
        <w:pStyle w:val="ParaTab1"/>
        <w:rPr>
          <w:rFonts w:ascii="Times New Roman" w:hAnsi="Times New Roman" w:cs="Times New Roman"/>
          <w:sz w:val="26"/>
        </w:rPr>
      </w:pPr>
    </w:p>
    <w:p w:rsidR="001A1AD3" w:rsidRDefault="004419DA" w:rsidP="00791EEE">
      <w:pPr>
        <w:jc w:val="center"/>
        <w:rPr>
          <w:b/>
          <w:sz w:val="26"/>
          <w:szCs w:val="26"/>
        </w:rPr>
      </w:pPr>
      <w:r>
        <w:rPr>
          <w:b/>
          <w:sz w:val="26"/>
          <w:szCs w:val="26"/>
        </w:rPr>
        <w:t>Discussion</w:t>
      </w:r>
    </w:p>
    <w:p w:rsidR="00D5673B" w:rsidRDefault="00D5673B" w:rsidP="001A1AD3">
      <w:pPr>
        <w:spacing w:line="360" w:lineRule="auto"/>
        <w:jc w:val="center"/>
        <w:rPr>
          <w:sz w:val="26"/>
          <w:szCs w:val="26"/>
        </w:rPr>
      </w:pPr>
    </w:p>
    <w:p w:rsidR="0027458E" w:rsidRDefault="009542EE" w:rsidP="00DA2CEC">
      <w:pPr>
        <w:spacing w:line="360" w:lineRule="auto"/>
        <w:ind w:firstLine="1440"/>
        <w:rPr>
          <w:sz w:val="26"/>
          <w:szCs w:val="26"/>
        </w:rPr>
      </w:pPr>
      <w:r>
        <w:rPr>
          <w:sz w:val="26"/>
          <w:szCs w:val="26"/>
        </w:rPr>
        <w:t xml:space="preserve">ALJ </w:t>
      </w:r>
      <w:r w:rsidR="00CD74E7">
        <w:rPr>
          <w:sz w:val="26"/>
          <w:szCs w:val="26"/>
        </w:rPr>
        <w:t xml:space="preserve">Salapa </w:t>
      </w:r>
      <w:r w:rsidR="003440BD" w:rsidRPr="002E740E">
        <w:rPr>
          <w:sz w:val="26"/>
          <w:szCs w:val="26"/>
        </w:rPr>
        <w:t xml:space="preserve">made </w:t>
      </w:r>
      <w:r w:rsidR="00CD74E7">
        <w:rPr>
          <w:sz w:val="26"/>
          <w:szCs w:val="26"/>
        </w:rPr>
        <w:t>six</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CD74E7">
        <w:rPr>
          <w:sz w:val="26"/>
          <w:szCs w:val="26"/>
        </w:rPr>
        <w:t xml:space="preserve">four </w:t>
      </w:r>
      <w:r w:rsidR="003440BD" w:rsidRPr="002E740E">
        <w:rPr>
          <w:sz w:val="26"/>
          <w:szCs w:val="26"/>
        </w:rPr>
        <w:t>Conclusion</w:t>
      </w:r>
      <w:r w:rsidR="00A1387B">
        <w:rPr>
          <w:sz w:val="26"/>
          <w:szCs w:val="26"/>
        </w:rPr>
        <w:t>s</w:t>
      </w:r>
      <w:r w:rsidR="003440BD" w:rsidRPr="002E740E">
        <w:rPr>
          <w:sz w:val="26"/>
          <w:szCs w:val="26"/>
        </w:rPr>
        <w:t xml:space="preserve"> of Law</w:t>
      </w:r>
      <w:r w:rsidR="003440BD">
        <w:rPr>
          <w:sz w:val="26"/>
          <w:szCs w:val="26"/>
        </w:rPr>
        <w:t xml:space="preserve">.  </w:t>
      </w:r>
      <w:r w:rsidR="003440BD" w:rsidRPr="002E740E">
        <w:rPr>
          <w:sz w:val="26"/>
          <w:szCs w:val="26"/>
        </w:rPr>
        <w:t xml:space="preserve">I.D. at </w:t>
      </w:r>
      <w:r w:rsidR="00CD74E7">
        <w:rPr>
          <w:sz w:val="26"/>
          <w:szCs w:val="26"/>
        </w:rPr>
        <w:t>4</w:t>
      </w:r>
      <w:r w:rsidR="003440BD">
        <w:rPr>
          <w:sz w:val="26"/>
          <w:szCs w:val="26"/>
        </w:rPr>
        <w:t xml:space="preserve">, </w:t>
      </w:r>
      <w:r w:rsidR="00CD74E7">
        <w:rPr>
          <w:sz w:val="26"/>
          <w:szCs w:val="26"/>
        </w:rPr>
        <w:t>11-12</w:t>
      </w:r>
      <w:r w:rsidR="003440BD">
        <w:rPr>
          <w:sz w:val="26"/>
          <w:szCs w:val="26"/>
        </w:rPr>
        <w:t xml:space="preserve">.  </w:t>
      </w:r>
      <w:r w:rsidR="003440BD" w:rsidRPr="002E740E">
        <w:rPr>
          <w:sz w:val="26"/>
          <w:szCs w:val="26"/>
        </w:rPr>
        <w:t>We shall adopt and incorporate herein by reference the ALJ’s Findings of Fact and Conclusion</w:t>
      </w:r>
      <w:r w:rsidR="00A1387B">
        <w:rPr>
          <w:sz w:val="26"/>
          <w:szCs w:val="26"/>
        </w:rPr>
        <w:t>s</w:t>
      </w:r>
      <w:r w:rsidR="003440BD" w:rsidRPr="002E740E">
        <w:rPr>
          <w:sz w:val="26"/>
          <w:szCs w:val="26"/>
        </w:rPr>
        <w:t xml:space="preserve">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104645" w:rsidRDefault="0021126F" w:rsidP="0021126F">
      <w:pPr>
        <w:spacing w:line="360" w:lineRule="auto"/>
        <w:ind w:firstLine="720"/>
        <w:rPr>
          <w:sz w:val="26"/>
          <w:szCs w:val="26"/>
        </w:rPr>
      </w:pPr>
      <w:r>
        <w:rPr>
          <w:b/>
          <w:sz w:val="26"/>
          <w:szCs w:val="26"/>
        </w:rPr>
        <w:tab/>
      </w:r>
      <w:r w:rsidR="00BB63AF">
        <w:rPr>
          <w:sz w:val="26"/>
          <w:szCs w:val="26"/>
        </w:rPr>
        <w:t xml:space="preserve">Additionally, any issue or argument that we do not specifically delineate shall be deemed to have been duly considered and denied without further discussion.  The Commission is not required to consider expressly or at length each contention or argument raised by the Parties.  </w:t>
      </w:r>
      <w:r w:rsidR="00BB63AF" w:rsidRPr="00BB63AF">
        <w:rPr>
          <w:i/>
          <w:sz w:val="26"/>
          <w:szCs w:val="26"/>
        </w:rPr>
        <w:t>Consolidated Rail Corp. v. Pa. PUC</w:t>
      </w:r>
      <w:r w:rsidR="00BB63AF">
        <w:rPr>
          <w:sz w:val="26"/>
          <w:szCs w:val="26"/>
        </w:rPr>
        <w:t xml:space="preserve">, 625 A.2d 741 (Pa. </w:t>
      </w:r>
      <w:r w:rsidR="00BB63AF">
        <w:rPr>
          <w:sz w:val="26"/>
          <w:szCs w:val="26"/>
        </w:rPr>
        <w:lastRenderedPageBreak/>
        <w:t xml:space="preserve">Cmwlth. 1993); </w:t>
      </w:r>
      <w:r w:rsidR="00BB63AF" w:rsidRPr="00BB63AF">
        <w:rPr>
          <w:i/>
          <w:sz w:val="26"/>
          <w:szCs w:val="26"/>
        </w:rPr>
        <w:t>also see, generally</w:t>
      </w:r>
      <w:r w:rsidR="00BB63AF">
        <w:rPr>
          <w:sz w:val="26"/>
          <w:szCs w:val="26"/>
        </w:rPr>
        <w:t xml:space="preserve">, </w:t>
      </w:r>
      <w:r w:rsidR="00BB63AF" w:rsidRPr="00BB63AF">
        <w:rPr>
          <w:i/>
          <w:sz w:val="26"/>
          <w:szCs w:val="26"/>
        </w:rPr>
        <w:t>University of Pennsylvania v. Pa. PUC</w:t>
      </w:r>
      <w:r w:rsidR="00BB63AF">
        <w:rPr>
          <w:sz w:val="26"/>
          <w:szCs w:val="26"/>
        </w:rPr>
        <w:t xml:space="preserve">, 485 A.2d 1217 (Pa. Cmwlth. 1984). </w:t>
      </w:r>
    </w:p>
    <w:p w:rsidR="00333EEC" w:rsidRDefault="00BB63AF" w:rsidP="0021126F">
      <w:pPr>
        <w:spacing w:line="360" w:lineRule="auto"/>
        <w:ind w:firstLine="720"/>
        <w:rPr>
          <w:sz w:val="26"/>
          <w:szCs w:val="26"/>
        </w:rPr>
      </w:pPr>
      <w:r>
        <w:rPr>
          <w:sz w:val="26"/>
          <w:szCs w:val="26"/>
        </w:rPr>
        <w:t xml:space="preserve"> </w:t>
      </w:r>
    </w:p>
    <w:p w:rsidR="00CD74E7" w:rsidRPr="00AC6E04" w:rsidRDefault="00CD74E7" w:rsidP="00CD74E7">
      <w:pPr>
        <w:tabs>
          <w:tab w:val="left" w:pos="0"/>
        </w:tabs>
        <w:spacing w:line="360" w:lineRule="auto"/>
        <w:ind w:firstLine="1440"/>
        <w:rPr>
          <w:sz w:val="26"/>
        </w:rPr>
      </w:pPr>
      <w:r w:rsidRPr="00AC6E04">
        <w:rPr>
          <w:sz w:val="26"/>
        </w:rPr>
        <w:t xml:space="preserve">We note that the ALJ’s decision involved a ruling on PPL’s Preliminary Objections.  Section 5.101 of the Commission’s Regulations, 52 Pa. Code § 5.101, sets forth the grounds for granting preliminary objections.  That section provides the following, in pertinent part: </w:t>
      </w:r>
    </w:p>
    <w:p w:rsidR="00CD74E7" w:rsidRPr="00AC6E04" w:rsidRDefault="00CD74E7" w:rsidP="00CD74E7">
      <w:pPr>
        <w:ind w:left="1440" w:right="1440"/>
        <w:rPr>
          <w:b/>
          <w:sz w:val="26"/>
        </w:rPr>
      </w:pPr>
    </w:p>
    <w:p w:rsidR="00CD74E7" w:rsidRPr="00AC6E04" w:rsidRDefault="00CD74E7" w:rsidP="00CD74E7">
      <w:pPr>
        <w:ind w:left="1440" w:right="1440"/>
        <w:rPr>
          <w:b/>
          <w:sz w:val="26"/>
        </w:rPr>
      </w:pPr>
      <w:r w:rsidRPr="00AC6E04">
        <w:rPr>
          <w:b/>
          <w:sz w:val="26"/>
        </w:rPr>
        <w:t>§ 5.101.  Preliminary objections.</w:t>
      </w:r>
    </w:p>
    <w:p w:rsidR="00CD74E7" w:rsidRPr="00AC6E04" w:rsidRDefault="00CD74E7" w:rsidP="00CD74E7">
      <w:pPr>
        <w:ind w:left="1440" w:right="1440"/>
        <w:rPr>
          <w:b/>
          <w:sz w:val="26"/>
        </w:rPr>
      </w:pPr>
    </w:p>
    <w:p w:rsidR="00CD74E7" w:rsidRPr="00AC6E04" w:rsidRDefault="00CD74E7" w:rsidP="00CD74E7">
      <w:pPr>
        <w:ind w:left="1440" w:right="1440"/>
        <w:contextualSpacing/>
        <w:rPr>
          <w:sz w:val="26"/>
        </w:rPr>
      </w:pPr>
      <w:r w:rsidRPr="00AC6E04">
        <w:rPr>
          <w:sz w:val="26"/>
        </w:rPr>
        <w:t>(a)</w:t>
      </w:r>
      <w:r w:rsidRPr="00AC6E04">
        <w:rPr>
          <w:sz w:val="26"/>
        </w:rPr>
        <w:tab/>
      </w:r>
      <w:r w:rsidRPr="00AC6E04">
        <w:rPr>
          <w:i/>
          <w:sz w:val="26"/>
        </w:rPr>
        <w:t>Grounds.</w:t>
      </w:r>
      <w:r w:rsidRPr="00AC6E04">
        <w:rPr>
          <w:sz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bookmarkStart w:id="0" w:name="5.101."/>
      <w:r w:rsidRPr="00AC6E04">
        <w:rPr>
          <w:sz w:val="26"/>
        </w:rPr>
        <w:t> </w:t>
      </w:r>
      <w:r w:rsidRPr="00AC6E04">
        <w:rPr>
          <w:sz w:val="26"/>
        </w:rPr>
        <w:tab/>
      </w:r>
    </w:p>
    <w:p w:rsidR="00CD74E7" w:rsidRPr="00AC6E04" w:rsidRDefault="00CD74E7" w:rsidP="00CD74E7">
      <w:pPr>
        <w:ind w:left="1440" w:right="1440"/>
        <w:contextualSpacing/>
        <w:rPr>
          <w:sz w:val="26"/>
        </w:rPr>
      </w:pPr>
    </w:p>
    <w:p w:rsidR="00CD74E7" w:rsidRPr="00AC6E04" w:rsidRDefault="00CD74E7" w:rsidP="00CD74E7">
      <w:pPr>
        <w:ind w:left="1440" w:right="1440" w:firstLine="720"/>
        <w:contextualSpacing/>
        <w:rPr>
          <w:sz w:val="26"/>
        </w:rPr>
      </w:pPr>
      <w:r w:rsidRPr="00AC6E04">
        <w:rPr>
          <w:sz w:val="26"/>
        </w:rPr>
        <w:t>(1)</w:t>
      </w:r>
      <w:r w:rsidRPr="00AC6E04">
        <w:rPr>
          <w:sz w:val="26"/>
        </w:rPr>
        <w:tab/>
        <w:t>Lack of Commission jurisdiction or improper service of the pleading initiating the proceeding.    </w:t>
      </w:r>
    </w:p>
    <w:bookmarkEnd w:id="0"/>
    <w:p w:rsidR="00815155" w:rsidRDefault="00815155" w:rsidP="00815155">
      <w:pPr>
        <w:pStyle w:val="NormalWeb"/>
        <w:spacing w:before="0" w:beforeAutospacing="0" w:after="0" w:afterAutospacing="0"/>
        <w:ind w:right="1440"/>
        <w:rPr>
          <w:sz w:val="26"/>
        </w:rPr>
      </w:pPr>
    </w:p>
    <w:p w:rsidR="00CD74E7" w:rsidRPr="00AC6E04" w:rsidRDefault="00CD74E7" w:rsidP="00815155">
      <w:pPr>
        <w:pStyle w:val="NormalWeb"/>
        <w:spacing w:before="0" w:beforeAutospacing="0" w:after="0" w:afterAutospacing="0"/>
        <w:ind w:right="1440"/>
        <w:rPr>
          <w:sz w:val="26"/>
        </w:rPr>
      </w:pPr>
      <w:r w:rsidRPr="00AC6E04">
        <w:rPr>
          <w:sz w:val="26"/>
        </w:rPr>
        <w:t>52 Pa. Code § 5.101(a)</w:t>
      </w:r>
      <w:r w:rsidR="002C2FCD" w:rsidRPr="00AC6E04">
        <w:rPr>
          <w:sz w:val="26"/>
        </w:rPr>
        <w:t>(1)</w:t>
      </w:r>
      <w:r w:rsidRPr="00AC6E04">
        <w:rPr>
          <w:sz w:val="26"/>
        </w:rPr>
        <w:t>.</w:t>
      </w:r>
      <w:r w:rsidR="002C2FCD" w:rsidRPr="00AC6E04">
        <w:rPr>
          <w:sz w:val="26"/>
        </w:rPr>
        <w:t xml:space="preserve">  </w:t>
      </w:r>
    </w:p>
    <w:p w:rsidR="00CD74E7" w:rsidRPr="00AC6E04" w:rsidRDefault="00CD74E7" w:rsidP="00CD74E7">
      <w:pPr>
        <w:spacing w:line="360" w:lineRule="auto"/>
        <w:ind w:left="1440" w:right="1440" w:hanging="1440"/>
        <w:contextualSpacing/>
        <w:rPr>
          <w:sz w:val="26"/>
        </w:rPr>
      </w:pPr>
    </w:p>
    <w:p w:rsidR="00A43FE6" w:rsidRDefault="00CD74E7" w:rsidP="00CD74E7">
      <w:pPr>
        <w:spacing w:line="360" w:lineRule="auto"/>
        <w:ind w:firstLine="1440"/>
        <w:rPr>
          <w:sz w:val="26"/>
          <w:szCs w:val="26"/>
        </w:rPr>
      </w:pPr>
      <w:r w:rsidRPr="00AC6E04">
        <w:rPr>
          <w:color w:val="000000"/>
          <w:sz w:val="26"/>
          <w:szCs w:val="26"/>
        </w:rPr>
        <w:t xml:space="preserve">Commission procedure </w:t>
      </w:r>
      <w:r w:rsidRPr="00AC6E04">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AC6E04">
        <w:rPr>
          <w:i/>
          <w:sz w:val="26"/>
          <w:szCs w:val="26"/>
        </w:rPr>
        <w:t>Interstate Traveller Services, Inc. v. Pa. Dep’t of Environmental Resources</w:t>
      </w:r>
      <w:r w:rsidRPr="00AC6E04">
        <w:rPr>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AC6E04">
        <w:rPr>
          <w:i/>
          <w:sz w:val="26"/>
          <w:szCs w:val="26"/>
        </w:rPr>
        <w:t>County of Allegheny v. Commonwealth</w:t>
      </w:r>
      <w:r w:rsidRPr="00AC6E04">
        <w:rPr>
          <w:sz w:val="26"/>
          <w:szCs w:val="26"/>
        </w:rPr>
        <w:t xml:space="preserve"> </w:t>
      </w:r>
      <w:r w:rsidRPr="00AC6E04">
        <w:rPr>
          <w:i/>
          <w:sz w:val="26"/>
          <w:szCs w:val="26"/>
        </w:rPr>
        <w:t>of Pa.</w:t>
      </w:r>
      <w:r w:rsidRPr="00AC6E04">
        <w:rPr>
          <w:sz w:val="26"/>
          <w:szCs w:val="26"/>
        </w:rPr>
        <w:t xml:space="preserve">, 507 Pa. 360, 490 A.2d 402 (1985).  The preliminary objection may be granted only if the moving party prevails as a matter of law.  </w:t>
      </w:r>
      <w:r w:rsidRPr="00AC6E04">
        <w:rPr>
          <w:i/>
          <w:sz w:val="26"/>
          <w:szCs w:val="26"/>
        </w:rPr>
        <w:t>Rok v. Flaherty</w:t>
      </w:r>
      <w:r w:rsidRPr="00AC6E04">
        <w:rPr>
          <w:sz w:val="26"/>
          <w:szCs w:val="26"/>
        </w:rPr>
        <w:t xml:space="preserve">, 527 A.2d 211 (Pa. Cmwlth. 1987).  Any doubt must be resolved in favor of the non-moving </w:t>
      </w:r>
      <w:r w:rsidRPr="00AC6E04">
        <w:rPr>
          <w:sz w:val="26"/>
          <w:szCs w:val="26"/>
        </w:rPr>
        <w:lastRenderedPageBreak/>
        <w:t xml:space="preserve">party by refusing to sustain the preliminary objections.  </w:t>
      </w:r>
      <w:r w:rsidRPr="00AC6E04">
        <w:rPr>
          <w:i/>
          <w:sz w:val="26"/>
          <w:szCs w:val="26"/>
        </w:rPr>
        <w:t>Dep’t of Auditor General, et al. v. State Employees’ Retirement System, et al.</w:t>
      </w:r>
      <w:r w:rsidRPr="00AC6E04">
        <w:rPr>
          <w:sz w:val="26"/>
          <w:szCs w:val="26"/>
        </w:rPr>
        <w:t>, 836 A.2d 1053, 1064 (Pa. Cmwlth. 2003) (citing</w:t>
      </w:r>
      <w:r w:rsidRPr="00AC6E04">
        <w:rPr>
          <w:i/>
          <w:sz w:val="26"/>
          <w:szCs w:val="26"/>
        </w:rPr>
        <w:t xml:space="preserve"> Boyd v. Ward</w:t>
      </w:r>
      <w:r w:rsidRPr="00AC6E04">
        <w:rPr>
          <w:sz w:val="26"/>
          <w:szCs w:val="26"/>
        </w:rPr>
        <w:t>, 802 A.2d 705 (Pa. Cmwlth. 2002)).</w:t>
      </w:r>
    </w:p>
    <w:p w:rsidR="00CD74E7" w:rsidRPr="00AC6E04" w:rsidRDefault="00A04207" w:rsidP="00CD74E7">
      <w:pPr>
        <w:spacing w:line="360" w:lineRule="auto"/>
        <w:ind w:firstLine="1440"/>
        <w:rPr>
          <w:sz w:val="26"/>
        </w:rPr>
      </w:pPr>
      <w:r w:rsidRPr="00AC6E04">
        <w:rPr>
          <w:sz w:val="26"/>
          <w:szCs w:val="26"/>
        </w:rPr>
        <w:t xml:space="preserve">  </w:t>
      </w:r>
      <w:r w:rsidR="00CD74E7" w:rsidRPr="00AC6E04">
        <w:rPr>
          <w:sz w:val="26"/>
          <w:szCs w:val="26"/>
        </w:rPr>
        <w:t xml:space="preserve"> </w:t>
      </w:r>
      <w:r w:rsidR="00CD74E7" w:rsidRPr="00AC6E04">
        <w:rPr>
          <w:sz w:val="26"/>
        </w:rPr>
        <w:tab/>
      </w:r>
    </w:p>
    <w:p w:rsidR="008575F5" w:rsidRDefault="00A8239A" w:rsidP="000C2546">
      <w:pPr>
        <w:spacing w:line="360" w:lineRule="auto"/>
        <w:ind w:firstLine="1440"/>
        <w:rPr>
          <w:sz w:val="26"/>
          <w:szCs w:val="26"/>
        </w:rPr>
      </w:pPr>
      <w:r>
        <w:rPr>
          <w:sz w:val="26"/>
          <w:szCs w:val="26"/>
        </w:rPr>
        <w:t>T</w:t>
      </w:r>
      <w:r w:rsidR="00CD74E7" w:rsidRPr="001941E0">
        <w:rPr>
          <w:sz w:val="26"/>
          <w:szCs w:val="26"/>
        </w:rPr>
        <w:t xml:space="preserve">he ALJ </w:t>
      </w:r>
      <w:r>
        <w:rPr>
          <w:sz w:val="26"/>
          <w:szCs w:val="26"/>
        </w:rPr>
        <w:t xml:space="preserve">granted PPL’s Preliminary Objections on the </w:t>
      </w:r>
      <w:r w:rsidR="00C45326">
        <w:rPr>
          <w:sz w:val="26"/>
          <w:szCs w:val="26"/>
        </w:rPr>
        <w:t xml:space="preserve">basis that the Commission lacked subject matter jurisdiction over the entire action because it involved real property disputes.  The dismissal included not only challenges to the scope of the right-of-way, but also </w:t>
      </w:r>
      <w:r w:rsidR="00EC366C">
        <w:rPr>
          <w:sz w:val="26"/>
          <w:szCs w:val="26"/>
        </w:rPr>
        <w:t xml:space="preserve">challenges to </w:t>
      </w:r>
      <w:r w:rsidR="00C45326">
        <w:rPr>
          <w:sz w:val="26"/>
          <w:szCs w:val="26"/>
        </w:rPr>
        <w:t xml:space="preserve">PPL’s actions within </w:t>
      </w:r>
      <w:r w:rsidR="00734F7F">
        <w:rPr>
          <w:sz w:val="26"/>
          <w:szCs w:val="26"/>
        </w:rPr>
        <w:t>the right-of-way.  I.D. at 7, 11.</w:t>
      </w:r>
      <w:r w:rsidR="00A96F48">
        <w:rPr>
          <w:sz w:val="26"/>
          <w:szCs w:val="26"/>
        </w:rPr>
        <w:t xml:space="preserve">  The ALJ also determined that the Commission could not make a finding that PPL’s vegetation management practices were unreasonabl</w:t>
      </w:r>
      <w:r w:rsidR="005A6293">
        <w:rPr>
          <w:sz w:val="26"/>
          <w:szCs w:val="26"/>
        </w:rPr>
        <w:t>e</w:t>
      </w:r>
      <w:r w:rsidR="00A96F48">
        <w:rPr>
          <w:sz w:val="26"/>
          <w:szCs w:val="26"/>
        </w:rPr>
        <w:t xml:space="preserve"> because PPL</w:t>
      </w:r>
      <w:r w:rsidR="005A6293">
        <w:rPr>
          <w:sz w:val="26"/>
          <w:szCs w:val="26"/>
        </w:rPr>
        <w:t>’s actions were</w:t>
      </w:r>
      <w:r w:rsidR="00A96F48">
        <w:rPr>
          <w:sz w:val="26"/>
          <w:szCs w:val="26"/>
        </w:rPr>
        <w:t xml:space="preserve"> </w:t>
      </w:r>
      <w:r w:rsidR="005A6293">
        <w:rPr>
          <w:sz w:val="26"/>
          <w:szCs w:val="26"/>
        </w:rPr>
        <w:t>in</w:t>
      </w:r>
      <w:r w:rsidR="00A96F48">
        <w:rPr>
          <w:sz w:val="26"/>
          <w:szCs w:val="26"/>
        </w:rPr>
        <w:t xml:space="preserve"> compli</w:t>
      </w:r>
      <w:r w:rsidR="005A6293">
        <w:rPr>
          <w:sz w:val="26"/>
          <w:szCs w:val="26"/>
        </w:rPr>
        <w:t>a</w:t>
      </w:r>
      <w:r w:rsidR="00A96F48">
        <w:rPr>
          <w:sz w:val="26"/>
          <w:szCs w:val="26"/>
        </w:rPr>
        <w:t>n</w:t>
      </w:r>
      <w:r w:rsidR="005A6293">
        <w:rPr>
          <w:sz w:val="26"/>
          <w:szCs w:val="26"/>
        </w:rPr>
        <w:t>ce</w:t>
      </w:r>
      <w:r w:rsidR="00A96F48">
        <w:rPr>
          <w:sz w:val="26"/>
          <w:szCs w:val="26"/>
        </w:rPr>
        <w:t xml:space="preserve"> with the NERC and FERC standards</w:t>
      </w:r>
      <w:r w:rsidR="005A6293">
        <w:rPr>
          <w:sz w:val="26"/>
          <w:szCs w:val="26"/>
        </w:rPr>
        <w:t>,</w:t>
      </w:r>
      <w:r w:rsidR="00A96F48">
        <w:rPr>
          <w:sz w:val="26"/>
          <w:szCs w:val="26"/>
        </w:rPr>
        <w:t xml:space="preserve"> and the Commission could not find that the NERC </w:t>
      </w:r>
      <w:r w:rsidR="005A6293">
        <w:rPr>
          <w:sz w:val="26"/>
          <w:szCs w:val="26"/>
        </w:rPr>
        <w:t xml:space="preserve">standards or the application of the NERC standards were unreasonable without violating the federal reliability standards in </w:t>
      </w:r>
      <w:r w:rsidR="006355D5">
        <w:rPr>
          <w:sz w:val="26"/>
          <w:szCs w:val="26"/>
        </w:rPr>
        <w:t>1</w:t>
      </w:r>
      <w:r w:rsidR="005A6293">
        <w:rPr>
          <w:sz w:val="26"/>
          <w:szCs w:val="26"/>
        </w:rPr>
        <w:t xml:space="preserve">6 U.S.C. § 824o(i)(3).  I.D. at 10-11.    </w:t>
      </w:r>
      <w:r w:rsidR="00A96F48">
        <w:rPr>
          <w:sz w:val="26"/>
          <w:szCs w:val="26"/>
        </w:rPr>
        <w:t xml:space="preserve">      </w:t>
      </w:r>
    </w:p>
    <w:p w:rsidR="008575F5" w:rsidRDefault="008575F5" w:rsidP="000C2546">
      <w:pPr>
        <w:spacing w:line="360" w:lineRule="auto"/>
        <w:ind w:firstLine="1440"/>
        <w:rPr>
          <w:sz w:val="26"/>
          <w:szCs w:val="26"/>
        </w:rPr>
      </w:pPr>
    </w:p>
    <w:p w:rsidR="008575F5" w:rsidRDefault="008575F5" w:rsidP="000C2546">
      <w:pPr>
        <w:spacing w:line="360" w:lineRule="auto"/>
        <w:ind w:firstLine="1440"/>
        <w:rPr>
          <w:sz w:val="26"/>
          <w:szCs w:val="26"/>
        </w:rPr>
      </w:pPr>
      <w:r>
        <w:rPr>
          <w:sz w:val="26"/>
          <w:szCs w:val="26"/>
        </w:rPr>
        <w:t xml:space="preserve">Initially, we note that the Complaint raises two distinct issues.  The first issue is the Complainant’s challenge to the right-of-way itself and the Complainant’s request that PPL negotiate a new right-of-way.  The second issue is the Complainant’s challenge to the removal of an existing thicket and PPL’s spraying practices.  </w:t>
      </w:r>
    </w:p>
    <w:p w:rsidR="008575F5" w:rsidRDefault="008575F5" w:rsidP="000C2546">
      <w:pPr>
        <w:spacing w:line="360" w:lineRule="auto"/>
        <w:ind w:firstLine="1440"/>
        <w:rPr>
          <w:sz w:val="26"/>
          <w:szCs w:val="26"/>
        </w:rPr>
      </w:pPr>
    </w:p>
    <w:p w:rsidR="00B2634A" w:rsidRDefault="008575F5" w:rsidP="000C2546">
      <w:pPr>
        <w:spacing w:line="360" w:lineRule="auto"/>
        <w:ind w:firstLine="1440"/>
        <w:rPr>
          <w:sz w:val="26"/>
          <w:szCs w:val="26"/>
        </w:rPr>
      </w:pPr>
      <w:r>
        <w:rPr>
          <w:sz w:val="26"/>
          <w:szCs w:val="26"/>
        </w:rPr>
        <w:t xml:space="preserve">Regarding the first issue, we find that the ALJ correctly ruled that the Commission lacks subject matter jurisdiction over the scope or validity of the right-of- way.  </w:t>
      </w:r>
      <w:r w:rsidRPr="00EA1F3A">
        <w:rPr>
          <w:i/>
          <w:sz w:val="26"/>
          <w:szCs w:val="26"/>
        </w:rPr>
        <w:t>See</w:t>
      </w:r>
      <w:r w:rsidR="00EA1F3A">
        <w:rPr>
          <w:sz w:val="26"/>
          <w:szCs w:val="26"/>
        </w:rPr>
        <w:t>,</w:t>
      </w:r>
      <w:r w:rsidRPr="00EA1F3A">
        <w:rPr>
          <w:i/>
          <w:sz w:val="26"/>
          <w:szCs w:val="26"/>
        </w:rPr>
        <w:t xml:space="preserve"> </w:t>
      </w:r>
      <w:r w:rsidR="00EA1F3A" w:rsidRPr="00EA1F3A">
        <w:rPr>
          <w:i/>
          <w:sz w:val="26"/>
          <w:szCs w:val="26"/>
        </w:rPr>
        <w:t>Fairview Water Co. v. Pa. PUC</w:t>
      </w:r>
      <w:r w:rsidR="00EA1F3A">
        <w:rPr>
          <w:sz w:val="26"/>
          <w:szCs w:val="26"/>
        </w:rPr>
        <w:t xml:space="preserve">, 509 Pa. 384, 393, 502 A.2d 162, 167 (1985).  </w:t>
      </w:r>
    </w:p>
    <w:p w:rsidR="00B2634A" w:rsidRDefault="00B2634A" w:rsidP="000C2546">
      <w:pPr>
        <w:spacing w:line="360" w:lineRule="auto"/>
        <w:ind w:firstLine="1440"/>
        <w:rPr>
          <w:sz w:val="26"/>
          <w:szCs w:val="26"/>
        </w:rPr>
      </w:pPr>
    </w:p>
    <w:p w:rsidR="00BA0A8C" w:rsidRDefault="00B2634A" w:rsidP="000C2546">
      <w:pPr>
        <w:spacing w:line="360" w:lineRule="auto"/>
        <w:ind w:firstLine="1440"/>
        <w:rPr>
          <w:sz w:val="26"/>
          <w:szCs w:val="26"/>
        </w:rPr>
      </w:pPr>
      <w:r>
        <w:rPr>
          <w:sz w:val="26"/>
          <w:szCs w:val="26"/>
        </w:rPr>
        <w:t xml:space="preserve">However, regarding the second issue, we find that the ALJ incorrectly ruled that the Commission lacks subject matter jurisdiction over vegetation management practices, including the removal of vegetation and spraying.  Legal precedent distinguishes between issues involving the grant of a right-of-way’s scope or validity, which are outside of the Commission’s jurisdiction, and the adequacy or reasonableness of the public utility’s service or actions within that right-of-way pursuant to Sections 102 </w:t>
      </w:r>
      <w:r>
        <w:rPr>
          <w:sz w:val="26"/>
          <w:szCs w:val="26"/>
        </w:rPr>
        <w:lastRenderedPageBreak/>
        <w:t xml:space="preserve">and 1501 of the </w:t>
      </w:r>
      <w:r w:rsidR="00A25457">
        <w:rPr>
          <w:sz w:val="26"/>
          <w:szCs w:val="26"/>
        </w:rPr>
        <w:t>Code</w:t>
      </w:r>
      <w:r>
        <w:rPr>
          <w:sz w:val="26"/>
          <w:szCs w:val="26"/>
        </w:rPr>
        <w:t>,</w:t>
      </w:r>
      <w:r w:rsidR="00A25457">
        <w:rPr>
          <w:sz w:val="26"/>
          <w:szCs w:val="26"/>
        </w:rPr>
        <w:t xml:space="preserve"> 66 Pa. C.S. §§ 102 and 1501.  In </w:t>
      </w:r>
      <w:r w:rsidR="00A25457" w:rsidRPr="00882F45">
        <w:rPr>
          <w:i/>
          <w:sz w:val="26"/>
          <w:szCs w:val="26"/>
        </w:rPr>
        <w:t>West Penn Power Co. v. Pa. PUC</w:t>
      </w:r>
      <w:r w:rsidR="00A25457">
        <w:rPr>
          <w:sz w:val="26"/>
          <w:szCs w:val="26"/>
        </w:rPr>
        <w:t xml:space="preserve">, 578 A.2d 75, 77 (Pa. Cmwlth. 1990), the Commonwealth Court determined that vegetation management is a service under Section 1501 of the Code.  The Court stated that </w:t>
      </w:r>
      <w:r w:rsidR="00882F45">
        <w:rPr>
          <w:sz w:val="26"/>
          <w:szCs w:val="26"/>
        </w:rPr>
        <w:t xml:space="preserve">Section 1501 “clearly indicates that the utility’s ‘service’ is not confined to the distribution of electrical energy, but includes ‘any and all’ acts related to that function.”  </w:t>
      </w:r>
      <w:r w:rsidR="00882F45" w:rsidRPr="00882F45">
        <w:rPr>
          <w:i/>
          <w:sz w:val="26"/>
          <w:szCs w:val="26"/>
        </w:rPr>
        <w:t>Id</w:t>
      </w:r>
      <w:r w:rsidR="00882F45">
        <w:rPr>
          <w:sz w:val="26"/>
          <w:szCs w:val="26"/>
        </w:rPr>
        <w:t>.</w:t>
      </w:r>
      <w:r w:rsidR="00DE0327">
        <w:rPr>
          <w:sz w:val="26"/>
          <w:szCs w:val="26"/>
        </w:rPr>
        <w:t xml:space="preserve">  </w:t>
      </w:r>
      <w:r w:rsidR="00DE0327" w:rsidRPr="00BB1B41">
        <w:rPr>
          <w:i/>
          <w:sz w:val="26"/>
          <w:szCs w:val="26"/>
        </w:rPr>
        <w:t>See also</w:t>
      </w:r>
      <w:r w:rsidR="00DE0327">
        <w:rPr>
          <w:sz w:val="26"/>
          <w:szCs w:val="26"/>
        </w:rPr>
        <w:t xml:space="preserve">, </w:t>
      </w:r>
      <w:r w:rsidR="00DE0327" w:rsidRPr="00BB1B41">
        <w:rPr>
          <w:i/>
          <w:sz w:val="26"/>
          <w:szCs w:val="26"/>
        </w:rPr>
        <w:t>PECO Energy Co. v. Township of Upper Dublin</w:t>
      </w:r>
      <w:r w:rsidR="00DE0327">
        <w:rPr>
          <w:sz w:val="26"/>
          <w:szCs w:val="26"/>
        </w:rPr>
        <w:t xml:space="preserve">, 922 A.2d 996, 1005 (Pa. Cmwlth. 2007); </w:t>
      </w:r>
      <w:r w:rsidR="00DE0327" w:rsidRPr="00BB1B41">
        <w:rPr>
          <w:i/>
          <w:sz w:val="26"/>
          <w:szCs w:val="26"/>
        </w:rPr>
        <w:t>Popowsky v. Pa. PUC</w:t>
      </w:r>
      <w:r w:rsidR="00DE0327">
        <w:rPr>
          <w:sz w:val="26"/>
          <w:szCs w:val="26"/>
        </w:rPr>
        <w:t xml:space="preserve">, 653 A.2d 1385, 1389 (Pa. Cmwlth. 1995) (holding that </w:t>
      </w:r>
      <w:r w:rsidR="00EE198A">
        <w:rPr>
          <w:sz w:val="26"/>
          <w:szCs w:val="26"/>
        </w:rPr>
        <w:t>“</w:t>
      </w:r>
      <w:r w:rsidR="00DE0327">
        <w:rPr>
          <w:sz w:val="26"/>
          <w:szCs w:val="26"/>
        </w:rPr>
        <w:t>a utility’s maintenance of vegetation is a regulated service even though fault, either on the part of the utility or the customer, has no relevance to the existence of vegetation maintenance as a service</w:t>
      </w:r>
      <w:r w:rsidR="00EE198A">
        <w:rPr>
          <w:sz w:val="26"/>
          <w:szCs w:val="26"/>
        </w:rPr>
        <w:t>”</w:t>
      </w:r>
      <w:r w:rsidR="00DE0327">
        <w:rPr>
          <w:sz w:val="26"/>
          <w:szCs w:val="26"/>
        </w:rPr>
        <w:t>).</w:t>
      </w:r>
      <w:r w:rsidR="00EE198A">
        <w:rPr>
          <w:sz w:val="26"/>
          <w:szCs w:val="26"/>
        </w:rPr>
        <w:t xml:space="preserve">  </w:t>
      </w:r>
    </w:p>
    <w:p w:rsidR="00BA0A8C" w:rsidRDefault="00BA0A8C" w:rsidP="000C2546">
      <w:pPr>
        <w:spacing w:line="360" w:lineRule="auto"/>
        <w:ind w:firstLine="1440"/>
        <w:rPr>
          <w:sz w:val="26"/>
          <w:szCs w:val="26"/>
        </w:rPr>
      </w:pPr>
    </w:p>
    <w:p w:rsidR="00CD74E7" w:rsidRPr="001941E0" w:rsidRDefault="00BA0A8C" w:rsidP="000C2546">
      <w:pPr>
        <w:spacing w:line="360" w:lineRule="auto"/>
        <w:ind w:firstLine="1440"/>
        <w:rPr>
          <w:b/>
          <w:sz w:val="26"/>
          <w:szCs w:val="26"/>
        </w:rPr>
      </w:pPr>
      <w:r>
        <w:rPr>
          <w:sz w:val="26"/>
          <w:szCs w:val="26"/>
        </w:rPr>
        <w:t xml:space="preserve">It is clear that the vegetation management and actions </w:t>
      </w:r>
      <w:r w:rsidR="00A43FE6">
        <w:rPr>
          <w:sz w:val="26"/>
          <w:szCs w:val="26"/>
        </w:rPr>
        <w:t xml:space="preserve">of a utility </w:t>
      </w:r>
      <w:r>
        <w:rPr>
          <w:sz w:val="26"/>
          <w:szCs w:val="26"/>
        </w:rPr>
        <w:t xml:space="preserve">within a right-of-way fall within the Commission’s jurisdiction.  As such, the portion of the Complaint relating to the removal of an existing thicket and PPL’s spraying practices should not have been dismissed on a preliminary objection.  </w:t>
      </w:r>
      <w:r w:rsidRPr="00BA0A8C">
        <w:rPr>
          <w:i/>
          <w:sz w:val="26"/>
          <w:szCs w:val="26"/>
        </w:rPr>
        <w:t>See</w:t>
      </w:r>
      <w:r>
        <w:rPr>
          <w:sz w:val="26"/>
          <w:szCs w:val="26"/>
        </w:rPr>
        <w:t>,</w:t>
      </w:r>
      <w:r w:rsidRPr="00BA0A8C">
        <w:rPr>
          <w:i/>
          <w:sz w:val="26"/>
          <w:szCs w:val="26"/>
        </w:rPr>
        <w:t xml:space="preserve"> Broman v. West Penn Power Co</w:t>
      </w:r>
      <w:r>
        <w:rPr>
          <w:sz w:val="26"/>
          <w:szCs w:val="26"/>
        </w:rPr>
        <w:t>., Docket No. C-2013-2356237 (Order entered April 23, 2014)</w:t>
      </w:r>
      <w:r w:rsidR="00D272D3">
        <w:rPr>
          <w:sz w:val="26"/>
          <w:szCs w:val="26"/>
        </w:rPr>
        <w:t>, at 10</w:t>
      </w:r>
      <w:r w:rsidR="006355D5">
        <w:rPr>
          <w:sz w:val="26"/>
          <w:szCs w:val="26"/>
        </w:rPr>
        <w:t>, 11</w:t>
      </w:r>
      <w:r w:rsidR="001C3402">
        <w:rPr>
          <w:sz w:val="26"/>
          <w:szCs w:val="26"/>
        </w:rPr>
        <w:t xml:space="preserve"> (holding that vegetation management practices within a transmission line right-of-way presented service issues over which the Commission could not abdicate its </w:t>
      </w:r>
      <w:r w:rsidR="006355D5">
        <w:rPr>
          <w:sz w:val="26"/>
          <w:szCs w:val="26"/>
        </w:rPr>
        <w:t>responsibility, and federal legislation did not preempt the Commission’s jurisdiction in this field)</w:t>
      </w:r>
      <w:r>
        <w:rPr>
          <w:sz w:val="26"/>
          <w:szCs w:val="26"/>
        </w:rPr>
        <w:t xml:space="preserve">; </w:t>
      </w:r>
      <w:r w:rsidRPr="00BA0A8C">
        <w:rPr>
          <w:i/>
          <w:sz w:val="26"/>
          <w:szCs w:val="26"/>
        </w:rPr>
        <w:t>Megan Mohn v. PPL Electric Utilities Corp</w:t>
      </w:r>
      <w:r>
        <w:rPr>
          <w:sz w:val="26"/>
          <w:szCs w:val="26"/>
        </w:rPr>
        <w:t>., Docket No. C-2012-2301470 (Order entered October 11, 2012).</w:t>
      </w:r>
      <w:r w:rsidR="00CF167D">
        <w:rPr>
          <w:sz w:val="26"/>
          <w:szCs w:val="26"/>
        </w:rPr>
        <w:t xml:space="preserve">  Accordingly, we shall reverse the ALJ’s </w:t>
      </w:r>
      <w:r w:rsidR="00E90B9F">
        <w:rPr>
          <w:sz w:val="26"/>
          <w:szCs w:val="26"/>
        </w:rPr>
        <w:t>Initial Decision</w:t>
      </w:r>
      <w:r w:rsidR="00CF167D">
        <w:rPr>
          <w:sz w:val="26"/>
          <w:szCs w:val="26"/>
        </w:rPr>
        <w:t>, in part, and remand this proceeding to the O</w:t>
      </w:r>
      <w:r w:rsidR="00F974E7">
        <w:rPr>
          <w:sz w:val="26"/>
          <w:szCs w:val="26"/>
        </w:rPr>
        <w:t>ALJ</w:t>
      </w:r>
      <w:r w:rsidR="00CF167D">
        <w:rPr>
          <w:sz w:val="26"/>
          <w:szCs w:val="26"/>
        </w:rPr>
        <w:t xml:space="preserve"> for further proceedings as may be necessary, consistent with this Opinion and Order.</w:t>
      </w:r>
      <w:r>
        <w:rPr>
          <w:sz w:val="26"/>
          <w:szCs w:val="26"/>
        </w:rPr>
        <w:t xml:space="preserve">  </w:t>
      </w:r>
    </w:p>
    <w:p w:rsidR="00886E1B" w:rsidRDefault="00886E1B" w:rsidP="008D78F0">
      <w:pPr>
        <w:spacing w:line="360" w:lineRule="auto"/>
        <w:jc w:val="center"/>
        <w:rPr>
          <w:b/>
          <w:sz w:val="26"/>
          <w:szCs w:val="26"/>
        </w:rPr>
      </w:pPr>
    </w:p>
    <w:p w:rsidR="00956972" w:rsidRPr="00385898" w:rsidRDefault="00956972" w:rsidP="008D78F0">
      <w:pPr>
        <w:spacing w:line="360" w:lineRule="auto"/>
        <w:jc w:val="center"/>
        <w:rPr>
          <w:b/>
          <w:sz w:val="26"/>
          <w:szCs w:val="26"/>
        </w:rPr>
      </w:pPr>
      <w:r w:rsidRPr="00385898">
        <w:rPr>
          <w:b/>
          <w:sz w:val="26"/>
          <w:szCs w:val="26"/>
        </w:rPr>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DF5404">
        <w:rPr>
          <w:sz w:val="26"/>
          <w:szCs w:val="26"/>
        </w:rPr>
        <w:t xml:space="preserve"> and the applicable law</w:t>
      </w:r>
      <w:r w:rsidR="00E856B7">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E90B9F">
        <w:rPr>
          <w:sz w:val="26"/>
          <w:szCs w:val="26"/>
        </w:rPr>
        <w:t xml:space="preserve">reverse the </w:t>
      </w:r>
      <w:r w:rsidR="006652C6">
        <w:rPr>
          <w:sz w:val="26"/>
          <w:szCs w:val="26"/>
        </w:rPr>
        <w:t>A</w:t>
      </w:r>
      <w:r w:rsidR="0023377F">
        <w:rPr>
          <w:sz w:val="26"/>
          <w:szCs w:val="26"/>
        </w:rPr>
        <w:t>LJ’s Initial Decision</w:t>
      </w:r>
      <w:r w:rsidR="00DF5404">
        <w:rPr>
          <w:sz w:val="26"/>
          <w:szCs w:val="26"/>
        </w:rPr>
        <w:t xml:space="preserve">, </w:t>
      </w:r>
      <w:r w:rsidR="00E90B9F">
        <w:rPr>
          <w:sz w:val="26"/>
          <w:szCs w:val="26"/>
        </w:rPr>
        <w:t>in part, and remand this proceeding to the O</w:t>
      </w:r>
      <w:r w:rsidR="00F974E7">
        <w:rPr>
          <w:sz w:val="26"/>
          <w:szCs w:val="26"/>
        </w:rPr>
        <w:t>ALJ</w:t>
      </w:r>
      <w:r w:rsidR="00E90B9F">
        <w:rPr>
          <w:sz w:val="26"/>
          <w:szCs w:val="26"/>
        </w:rPr>
        <w:t xml:space="preserve"> for further </w:t>
      </w:r>
      <w:r w:rsidR="00E90B9F">
        <w:rPr>
          <w:sz w:val="26"/>
          <w:szCs w:val="26"/>
        </w:rPr>
        <w:lastRenderedPageBreak/>
        <w:t>proceedings as may be necessary,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2753EE" w:rsidRDefault="001A1AD3" w:rsidP="001A1AD3">
      <w:pPr>
        <w:spacing w:line="360" w:lineRule="auto"/>
        <w:rPr>
          <w:sz w:val="26"/>
          <w:szCs w:val="26"/>
        </w:rPr>
      </w:pPr>
      <w:r w:rsidRPr="001C7049">
        <w:rPr>
          <w:sz w:val="26"/>
          <w:szCs w:val="26"/>
        </w:rPr>
        <w:tab/>
      </w:r>
      <w:r w:rsidRPr="001C7049">
        <w:rPr>
          <w:sz w:val="26"/>
          <w:szCs w:val="26"/>
        </w:rPr>
        <w:tab/>
      </w:r>
      <w:r w:rsidRPr="000D6043">
        <w:rPr>
          <w:sz w:val="26"/>
          <w:szCs w:val="26"/>
        </w:rPr>
        <w:tab/>
      </w:r>
      <w:r w:rsidRPr="000D6043">
        <w:rPr>
          <w:sz w:val="26"/>
          <w:szCs w:val="26"/>
        </w:rPr>
        <w:tab/>
      </w:r>
    </w:p>
    <w:p w:rsidR="001A1AD3" w:rsidRDefault="001A1AD3" w:rsidP="002753EE">
      <w:pPr>
        <w:spacing w:line="360" w:lineRule="auto"/>
        <w:ind w:left="720" w:firstLine="720"/>
        <w:rPr>
          <w:b/>
          <w:sz w:val="26"/>
          <w:szCs w:val="26"/>
        </w:rPr>
      </w:pP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w:t>
      </w:r>
      <w:r w:rsidR="00A43FE6">
        <w:rPr>
          <w:sz w:val="26"/>
          <w:szCs w:val="26"/>
        </w:rPr>
        <w:t xml:space="preserve">Sustaining Preliminary Objections and Dismissing Complaint </w:t>
      </w:r>
      <w:r w:rsidR="00527A20">
        <w:rPr>
          <w:sz w:val="26"/>
          <w:szCs w:val="26"/>
        </w:rPr>
        <w:t xml:space="preserve">of </w:t>
      </w:r>
      <w:r w:rsidR="00C05103">
        <w:rPr>
          <w:sz w:val="26"/>
          <w:szCs w:val="26"/>
        </w:rPr>
        <w:t xml:space="preserve">Administrative Law </w:t>
      </w:r>
      <w:r w:rsidR="00B809EB">
        <w:rPr>
          <w:sz w:val="26"/>
          <w:szCs w:val="26"/>
        </w:rPr>
        <w:t xml:space="preserve">Judge </w:t>
      </w:r>
      <w:r w:rsidR="008A631F">
        <w:rPr>
          <w:sz w:val="26"/>
          <w:szCs w:val="26"/>
        </w:rPr>
        <w:t xml:space="preserve">David A. Salapa, issued on January 14, 2014, </w:t>
      </w:r>
      <w:r w:rsidR="005154BC">
        <w:rPr>
          <w:sz w:val="26"/>
          <w:szCs w:val="26"/>
        </w:rPr>
        <w:t xml:space="preserve">is </w:t>
      </w:r>
      <w:r w:rsidR="008A631F">
        <w:rPr>
          <w:sz w:val="26"/>
          <w:szCs w:val="26"/>
        </w:rPr>
        <w:t>reversed</w:t>
      </w:r>
      <w:r w:rsidR="00824CFF">
        <w:rPr>
          <w:sz w:val="26"/>
          <w:szCs w:val="26"/>
        </w:rPr>
        <w:t>,</w:t>
      </w:r>
      <w:r w:rsidR="007473AC">
        <w:rPr>
          <w:sz w:val="26"/>
          <w:szCs w:val="26"/>
        </w:rPr>
        <w:t xml:space="preserve"> </w:t>
      </w:r>
      <w:r w:rsidR="008A631F">
        <w:rPr>
          <w:sz w:val="26"/>
          <w:szCs w:val="26"/>
        </w:rPr>
        <w:t xml:space="preserve">in part, </w:t>
      </w:r>
      <w:r w:rsidR="00824CFF">
        <w:rPr>
          <w:sz w:val="26"/>
          <w:szCs w:val="26"/>
        </w:rPr>
        <w:t>consistent with</w:t>
      </w:r>
      <w:r w:rsidR="00243CC9">
        <w:rPr>
          <w:sz w:val="26"/>
          <w:szCs w:val="26"/>
        </w:rPr>
        <w:t xml:space="preserve"> this Opinion and Order</w:t>
      </w:r>
      <w:r w:rsidR="00EF782F">
        <w:rPr>
          <w:sz w:val="26"/>
          <w:szCs w:val="26"/>
        </w:rPr>
        <w:t>.</w:t>
      </w:r>
    </w:p>
    <w:p w:rsidR="008A631F" w:rsidRDefault="008A631F" w:rsidP="001F5074">
      <w:pPr>
        <w:spacing w:line="360" w:lineRule="auto"/>
        <w:ind w:firstLine="1440"/>
        <w:rPr>
          <w:sz w:val="26"/>
        </w:rPr>
      </w:pPr>
    </w:p>
    <w:p w:rsidR="001F5074" w:rsidRPr="001F5074" w:rsidRDefault="008A631F" w:rsidP="001F5074">
      <w:pPr>
        <w:spacing w:line="360" w:lineRule="auto"/>
        <w:ind w:firstLine="1440"/>
        <w:rPr>
          <w:sz w:val="26"/>
          <w:szCs w:val="26"/>
        </w:rPr>
      </w:pPr>
      <w:r>
        <w:rPr>
          <w:sz w:val="26"/>
          <w:szCs w:val="26"/>
        </w:rPr>
        <w:t>2.</w:t>
      </w:r>
      <w:r>
        <w:rPr>
          <w:sz w:val="26"/>
          <w:szCs w:val="26"/>
        </w:rPr>
        <w:tab/>
        <w:t>That this proceeding shall be remanded to the Office of Administrative Law Judge for further proceedings as may be necessary, consistent with this Opinion and Order.</w:t>
      </w:r>
    </w:p>
    <w:p w:rsidR="008A631F" w:rsidRDefault="008A631F" w:rsidP="0019251E">
      <w:pPr>
        <w:spacing w:line="360" w:lineRule="auto"/>
        <w:rPr>
          <w:sz w:val="26"/>
          <w:szCs w:val="26"/>
        </w:rPr>
      </w:pPr>
    </w:p>
    <w:p w:rsidR="00503B2F" w:rsidRPr="003C63B1" w:rsidRDefault="00484F91" w:rsidP="0019251E">
      <w:pPr>
        <w:spacing w:line="360" w:lineRule="auto"/>
        <w:rPr>
          <w:sz w:val="26"/>
        </w:rPr>
      </w:pPr>
      <w:bookmarkStart w:id="1" w:name="_GoBack"/>
      <w:r>
        <w:rPr>
          <w:noProof/>
        </w:rPr>
        <w:drawing>
          <wp:anchor distT="0" distB="0" distL="114300" distR="114300" simplePos="0" relativeHeight="251659264" behindDoc="1" locked="0" layoutInCell="1" allowOverlap="1" wp14:anchorId="03F56688" wp14:editId="786B1AE6">
            <wp:simplePos x="0" y="0"/>
            <wp:positionH relativeFrom="column">
              <wp:posOffset>3243580</wp:posOffset>
            </wp:positionH>
            <wp:positionV relativeFrom="paragraph">
              <wp:posOffset>29210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6652C6">
        <w:rPr>
          <w:sz w:val="26"/>
          <w:szCs w:val="26"/>
        </w:rPr>
        <w:tab/>
      </w:r>
      <w:r w:rsidR="006652C6">
        <w:rPr>
          <w:sz w:val="26"/>
          <w:szCs w:val="26"/>
        </w:rPr>
        <w:tab/>
      </w:r>
      <w:r w:rsidR="00FF14E7">
        <w:rPr>
          <w:sz w:val="26"/>
          <w:szCs w:val="26"/>
        </w:rPr>
        <w:t xml:space="preserve"> </w:t>
      </w:r>
      <w:r w:rsidR="005D74D6">
        <w:rPr>
          <w:sz w:val="26"/>
          <w:szCs w:val="26"/>
        </w:rPr>
        <w:tab/>
      </w:r>
      <w:r w:rsidR="005A05BB">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ORDER ADOPTED:</w:t>
      </w:r>
      <w:r w:rsidR="00FF14E7">
        <w:rPr>
          <w:sz w:val="26"/>
        </w:rPr>
        <w:t xml:space="preserve">  </w:t>
      </w:r>
      <w:r w:rsidR="00D74870">
        <w:rPr>
          <w:sz w:val="26"/>
        </w:rPr>
        <w:t>May 22, 2014</w:t>
      </w:r>
      <w:r w:rsidR="00FF14E7">
        <w:rPr>
          <w:sz w:val="26"/>
        </w:rPr>
        <w:t xml:space="preserve"> </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A17E19">
        <w:rPr>
          <w:sz w:val="26"/>
        </w:rPr>
        <w:t xml:space="preserve"> </w:t>
      </w:r>
      <w:r w:rsidR="00484F91">
        <w:rPr>
          <w:sz w:val="26"/>
        </w:rPr>
        <w:t>June 23, 2014</w:t>
      </w:r>
    </w:p>
    <w:p w:rsidR="009304FE" w:rsidRDefault="009304FE" w:rsidP="00503B2F">
      <w:pPr>
        <w:spacing w:line="360" w:lineRule="auto"/>
      </w:pP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850" w:rsidRDefault="00AB2850">
      <w:r>
        <w:separator/>
      </w:r>
    </w:p>
  </w:endnote>
  <w:endnote w:type="continuationSeparator" w:id="0">
    <w:p w:rsidR="00AB2850" w:rsidRDefault="00AB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020" w:rsidRDefault="002B1020"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020" w:rsidRDefault="002B1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020" w:rsidRDefault="002B1020"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F91">
      <w:rPr>
        <w:rStyle w:val="PageNumber"/>
        <w:noProof/>
      </w:rPr>
      <w:t>7</w:t>
    </w:r>
    <w:r>
      <w:rPr>
        <w:rStyle w:val="PageNumber"/>
      </w:rPr>
      <w:fldChar w:fldCharType="end"/>
    </w:r>
  </w:p>
  <w:p w:rsidR="002B1020" w:rsidRDefault="002B1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850" w:rsidRDefault="00AB2850">
      <w:r>
        <w:separator/>
      </w:r>
    </w:p>
  </w:footnote>
  <w:footnote w:type="continuationSeparator" w:id="0">
    <w:p w:rsidR="00AB2850" w:rsidRDefault="00AB2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067"/>
    <w:rsid w:val="00010322"/>
    <w:rsid w:val="0001099D"/>
    <w:rsid w:val="00011888"/>
    <w:rsid w:val="00012A95"/>
    <w:rsid w:val="00012EB0"/>
    <w:rsid w:val="00013B94"/>
    <w:rsid w:val="0001411C"/>
    <w:rsid w:val="0001414B"/>
    <w:rsid w:val="00014826"/>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D11"/>
    <w:rsid w:val="00026E4B"/>
    <w:rsid w:val="0002723A"/>
    <w:rsid w:val="0002744F"/>
    <w:rsid w:val="000275D6"/>
    <w:rsid w:val="00027EE5"/>
    <w:rsid w:val="000310BE"/>
    <w:rsid w:val="00031A0A"/>
    <w:rsid w:val="00031E93"/>
    <w:rsid w:val="00032D5F"/>
    <w:rsid w:val="00033CB2"/>
    <w:rsid w:val="0003588B"/>
    <w:rsid w:val="00035F25"/>
    <w:rsid w:val="000378DC"/>
    <w:rsid w:val="0004071F"/>
    <w:rsid w:val="000416ED"/>
    <w:rsid w:val="00043DF0"/>
    <w:rsid w:val="00044438"/>
    <w:rsid w:val="0004679E"/>
    <w:rsid w:val="000472A4"/>
    <w:rsid w:val="000510D0"/>
    <w:rsid w:val="000510FD"/>
    <w:rsid w:val="00053CED"/>
    <w:rsid w:val="000541A0"/>
    <w:rsid w:val="00054407"/>
    <w:rsid w:val="00054F7A"/>
    <w:rsid w:val="00055EF9"/>
    <w:rsid w:val="00057057"/>
    <w:rsid w:val="000573BD"/>
    <w:rsid w:val="000610F9"/>
    <w:rsid w:val="00061284"/>
    <w:rsid w:val="00061850"/>
    <w:rsid w:val="000629CD"/>
    <w:rsid w:val="000634BD"/>
    <w:rsid w:val="0006387C"/>
    <w:rsid w:val="0006405C"/>
    <w:rsid w:val="00065DB6"/>
    <w:rsid w:val="00066E55"/>
    <w:rsid w:val="000673D1"/>
    <w:rsid w:val="00067DC8"/>
    <w:rsid w:val="00070FF8"/>
    <w:rsid w:val="00070FFD"/>
    <w:rsid w:val="000711D9"/>
    <w:rsid w:val="000716A0"/>
    <w:rsid w:val="000719EF"/>
    <w:rsid w:val="00072883"/>
    <w:rsid w:val="0007305F"/>
    <w:rsid w:val="000731DA"/>
    <w:rsid w:val="00073C25"/>
    <w:rsid w:val="00075161"/>
    <w:rsid w:val="00075677"/>
    <w:rsid w:val="0007596A"/>
    <w:rsid w:val="00076F62"/>
    <w:rsid w:val="000777D8"/>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437"/>
    <w:rsid w:val="000A6EB3"/>
    <w:rsid w:val="000A770A"/>
    <w:rsid w:val="000A7F96"/>
    <w:rsid w:val="000B2688"/>
    <w:rsid w:val="000B2B80"/>
    <w:rsid w:val="000B3FB4"/>
    <w:rsid w:val="000B4F29"/>
    <w:rsid w:val="000B5487"/>
    <w:rsid w:val="000B5DF8"/>
    <w:rsid w:val="000B633E"/>
    <w:rsid w:val="000B71E3"/>
    <w:rsid w:val="000B77E2"/>
    <w:rsid w:val="000B7E7F"/>
    <w:rsid w:val="000C2546"/>
    <w:rsid w:val="000C4BFD"/>
    <w:rsid w:val="000C608B"/>
    <w:rsid w:val="000C6C92"/>
    <w:rsid w:val="000C742F"/>
    <w:rsid w:val="000D0BAC"/>
    <w:rsid w:val="000D0D75"/>
    <w:rsid w:val="000D1965"/>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6E92"/>
    <w:rsid w:val="000F7F57"/>
    <w:rsid w:val="0010013C"/>
    <w:rsid w:val="001006F0"/>
    <w:rsid w:val="00100B90"/>
    <w:rsid w:val="00100BF3"/>
    <w:rsid w:val="00101745"/>
    <w:rsid w:val="001026AA"/>
    <w:rsid w:val="00103A52"/>
    <w:rsid w:val="00104645"/>
    <w:rsid w:val="001048B3"/>
    <w:rsid w:val="00105084"/>
    <w:rsid w:val="001050C5"/>
    <w:rsid w:val="00105104"/>
    <w:rsid w:val="00105193"/>
    <w:rsid w:val="00106537"/>
    <w:rsid w:val="00110A16"/>
    <w:rsid w:val="001112D8"/>
    <w:rsid w:val="0011244B"/>
    <w:rsid w:val="0011311C"/>
    <w:rsid w:val="001133C8"/>
    <w:rsid w:val="00113917"/>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2C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30"/>
    <w:rsid w:val="00147415"/>
    <w:rsid w:val="00150989"/>
    <w:rsid w:val="001509E0"/>
    <w:rsid w:val="0015662E"/>
    <w:rsid w:val="001572C5"/>
    <w:rsid w:val="0016005F"/>
    <w:rsid w:val="001606BC"/>
    <w:rsid w:val="00160F0A"/>
    <w:rsid w:val="0016115A"/>
    <w:rsid w:val="0016244B"/>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77E31"/>
    <w:rsid w:val="00180E89"/>
    <w:rsid w:val="001811B8"/>
    <w:rsid w:val="001827DB"/>
    <w:rsid w:val="00183D96"/>
    <w:rsid w:val="00185B5E"/>
    <w:rsid w:val="001865B9"/>
    <w:rsid w:val="00186887"/>
    <w:rsid w:val="00187BC6"/>
    <w:rsid w:val="0019214E"/>
    <w:rsid w:val="0019251E"/>
    <w:rsid w:val="0019318F"/>
    <w:rsid w:val="00193EF0"/>
    <w:rsid w:val="001941E0"/>
    <w:rsid w:val="00194C5B"/>
    <w:rsid w:val="00197920"/>
    <w:rsid w:val="00197C2F"/>
    <w:rsid w:val="00197F3D"/>
    <w:rsid w:val="001A0516"/>
    <w:rsid w:val="001A06F7"/>
    <w:rsid w:val="001A090E"/>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622C"/>
    <w:rsid w:val="001B7A05"/>
    <w:rsid w:val="001C3402"/>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472"/>
    <w:rsid w:val="001D70A6"/>
    <w:rsid w:val="001D7137"/>
    <w:rsid w:val="001E05C6"/>
    <w:rsid w:val="001E0B29"/>
    <w:rsid w:val="001E19BC"/>
    <w:rsid w:val="001E1A53"/>
    <w:rsid w:val="001E2CFB"/>
    <w:rsid w:val="001E2ED9"/>
    <w:rsid w:val="001E3574"/>
    <w:rsid w:val="001E3854"/>
    <w:rsid w:val="001E4225"/>
    <w:rsid w:val="001E5B8E"/>
    <w:rsid w:val="001F0488"/>
    <w:rsid w:val="001F3BF4"/>
    <w:rsid w:val="001F3C68"/>
    <w:rsid w:val="001F4194"/>
    <w:rsid w:val="001F49F1"/>
    <w:rsid w:val="001F5074"/>
    <w:rsid w:val="001F55D5"/>
    <w:rsid w:val="001F5F40"/>
    <w:rsid w:val="001F75D6"/>
    <w:rsid w:val="001F79C6"/>
    <w:rsid w:val="001F7B55"/>
    <w:rsid w:val="00200D0C"/>
    <w:rsid w:val="00203F27"/>
    <w:rsid w:val="00205242"/>
    <w:rsid w:val="00205B95"/>
    <w:rsid w:val="0020640C"/>
    <w:rsid w:val="00206D03"/>
    <w:rsid w:val="00207453"/>
    <w:rsid w:val="002074D3"/>
    <w:rsid w:val="0020784E"/>
    <w:rsid w:val="00210868"/>
    <w:rsid w:val="00210BB0"/>
    <w:rsid w:val="0021126F"/>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312F"/>
    <w:rsid w:val="00264ABB"/>
    <w:rsid w:val="002652DF"/>
    <w:rsid w:val="00265BD8"/>
    <w:rsid w:val="0026727E"/>
    <w:rsid w:val="00271322"/>
    <w:rsid w:val="00271DE6"/>
    <w:rsid w:val="002723CB"/>
    <w:rsid w:val="00273450"/>
    <w:rsid w:val="0027458E"/>
    <w:rsid w:val="00274EC0"/>
    <w:rsid w:val="002753EE"/>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975BF"/>
    <w:rsid w:val="002A0E82"/>
    <w:rsid w:val="002A3250"/>
    <w:rsid w:val="002A3A6E"/>
    <w:rsid w:val="002A3AC8"/>
    <w:rsid w:val="002A5399"/>
    <w:rsid w:val="002A5564"/>
    <w:rsid w:val="002A740E"/>
    <w:rsid w:val="002A782B"/>
    <w:rsid w:val="002B0089"/>
    <w:rsid w:val="002B03EA"/>
    <w:rsid w:val="002B1020"/>
    <w:rsid w:val="002B31AD"/>
    <w:rsid w:val="002B3767"/>
    <w:rsid w:val="002B4B0D"/>
    <w:rsid w:val="002B6B0C"/>
    <w:rsid w:val="002B7BA6"/>
    <w:rsid w:val="002C011D"/>
    <w:rsid w:val="002C116F"/>
    <w:rsid w:val="002C2FCD"/>
    <w:rsid w:val="002C4014"/>
    <w:rsid w:val="002C4311"/>
    <w:rsid w:val="002C5DB6"/>
    <w:rsid w:val="002C61A7"/>
    <w:rsid w:val="002C6681"/>
    <w:rsid w:val="002C7CB2"/>
    <w:rsid w:val="002D08E2"/>
    <w:rsid w:val="002D0BD9"/>
    <w:rsid w:val="002D13F6"/>
    <w:rsid w:val="002D33E8"/>
    <w:rsid w:val="002D4AE4"/>
    <w:rsid w:val="002D5216"/>
    <w:rsid w:val="002D5C5B"/>
    <w:rsid w:val="002D650D"/>
    <w:rsid w:val="002D6FE5"/>
    <w:rsid w:val="002D775A"/>
    <w:rsid w:val="002E00A3"/>
    <w:rsid w:val="002E0503"/>
    <w:rsid w:val="002E17C9"/>
    <w:rsid w:val="002E1CA7"/>
    <w:rsid w:val="002E3288"/>
    <w:rsid w:val="002E4908"/>
    <w:rsid w:val="002E6F2D"/>
    <w:rsid w:val="002E7206"/>
    <w:rsid w:val="002F0238"/>
    <w:rsid w:val="002F14FA"/>
    <w:rsid w:val="002F3B92"/>
    <w:rsid w:val="002F4D5E"/>
    <w:rsid w:val="002F50FB"/>
    <w:rsid w:val="002F6563"/>
    <w:rsid w:val="0030054D"/>
    <w:rsid w:val="00300C9D"/>
    <w:rsid w:val="00301735"/>
    <w:rsid w:val="00301857"/>
    <w:rsid w:val="00303915"/>
    <w:rsid w:val="0030494F"/>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0A61"/>
    <w:rsid w:val="00321AF8"/>
    <w:rsid w:val="00322A65"/>
    <w:rsid w:val="0032388C"/>
    <w:rsid w:val="00324417"/>
    <w:rsid w:val="00324791"/>
    <w:rsid w:val="00324B2C"/>
    <w:rsid w:val="00324E5B"/>
    <w:rsid w:val="00325440"/>
    <w:rsid w:val="0032579A"/>
    <w:rsid w:val="0032615A"/>
    <w:rsid w:val="00326A17"/>
    <w:rsid w:val="00327CBE"/>
    <w:rsid w:val="00330392"/>
    <w:rsid w:val="003309FF"/>
    <w:rsid w:val="0033198B"/>
    <w:rsid w:val="00333EEC"/>
    <w:rsid w:val="003342FF"/>
    <w:rsid w:val="0033589A"/>
    <w:rsid w:val="00337C48"/>
    <w:rsid w:val="00337DFD"/>
    <w:rsid w:val="00340B42"/>
    <w:rsid w:val="00342149"/>
    <w:rsid w:val="003428C1"/>
    <w:rsid w:val="003440BD"/>
    <w:rsid w:val="00344581"/>
    <w:rsid w:val="00344C0C"/>
    <w:rsid w:val="003459E2"/>
    <w:rsid w:val="00346964"/>
    <w:rsid w:val="003471B4"/>
    <w:rsid w:val="00350442"/>
    <w:rsid w:val="00350B3E"/>
    <w:rsid w:val="00352BC7"/>
    <w:rsid w:val="00353BBC"/>
    <w:rsid w:val="00353F42"/>
    <w:rsid w:val="0035474E"/>
    <w:rsid w:val="00354EEE"/>
    <w:rsid w:val="00356A26"/>
    <w:rsid w:val="00356C30"/>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30A"/>
    <w:rsid w:val="00381C7A"/>
    <w:rsid w:val="00383324"/>
    <w:rsid w:val="00383585"/>
    <w:rsid w:val="003843BB"/>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480"/>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6B0"/>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3939"/>
    <w:rsid w:val="003F5CC4"/>
    <w:rsid w:val="003F6034"/>
    <w:rsid w:val="00400A4D"/>
    <w:rsid w:val="0040233B"/>
    <w:rsid w:val="004023F4"/>
    <w:rsid w:val="00402479"/>
    <w:rsid w:val="004051BE"/>
    <w:rsid w:val="00406D11"/>
    <w:rsid w:val="00411FED"/>
    <w:rsid w:val="00412EFE"/>
    <w:rsid w:val="004140BA"/>
    <w:rsid w:val="004144EB"/>
    <w:rsid w:val="004144EE"/>
    <w:rsid w:val="004146BE"/>
    <w:rsid w:val="00414855"/>
    <w:rsid w:val="00415460"/>
    <w:rsid w:val="00415483"/>
    <w:rsid w:val="00415A5E"/>
    <w:rsid w:val="0041704E"/>
    <w:rsid w:val="00417CCE"/>
    <w:rsid w:val="00421E3B"/>
    <w:rsid w:val="004246D3"/>
    <w:rsid w:val="00425391"/>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3AB1"/>
    <w:rsid w:val="00484F91"/>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C7BCC"/>
    <w:rsid w:val="004D08F5"/>
    <w:rsid w:val="004D12A1"/>
    <w:rsid w:val="004D311C"/>
    <w:rsid w:val="004D34A0"/>
    <w:rsid w:val="004D362A"/>
    <w:rsid w:val="004D3C08"/>
    <w:rsid w:val="004D55FA"/>
    <w:rsid w:val="004D5A16"/>
    <w:rsid w:val="004D5B29"/>
    <w:rsid w:val="004D5E02"/>
    <w:rsid w:val="004D5F70"/>
    <w:rsid w:val="004D75C4"/>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241"/>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942"/>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11A3"/>
    <w:rsid w:val="00542F46"/>
    <w:rsid w:val="00543297"/>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73FC"/>
    <w:rsid w:val="00567F85"/>
    <w:rsid w:val="00572F46"/>
    <w:rsid w:val="00580871"/>
    <w:rsid w:val="0058183A"/>
    <w:rsid w:val="00584D1A"/>
    <w:rsid w:val="005850E9"/>
    <w:rsid w:val="00585605"/>
    <w:rsid w:val="00585FF4"/>
    <w:rsid w:val="00586EBE"/>
    <w:rsid w:val="00590A8E"/>
    <w:rsid w:val="005921ED"/>
    <w:rsid w:val="00592536"/>
    <w:rsid w:val="00592CAB"/>
    <w:rsid w:val="00593628"/>
    <w:rsid w:val="00593636"/>
    <w:rsid w:val="0059500A"/>
    <w:rsid w:val="00596A48"/>
    <w:rsid w:val="005A05BB"/>
    <w:rsid w:val="005A08BE"/>
    <w:rsid w:val="005A098A"/>
    <w:rsid w:val="005A3BEF"/>
    <w:rsid w:val="005A3CB8"/>
    <w:rsid w:val="005A4358"/>
    <w:rsid w:val="005A4F7D"/>
    <w:rsid w:val="005A5F10"/>
    <w:rsid w:val="005A6293"/>
    <w:rsid w:val="005A6378"/>
    <w:rsid w:val="005A69E2"/>
    <w:rsid w:val="005A6C7B"/>
    <w:rsid w:val="005A6E7C"/>
    <w:rsid w:val="005B01F2"/>
    <w:rsid w:val="005B4F29"/>
    <w:rsid w:val="005B5378"/>
    <w:rsid w:val="005B5F54"/>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3735"/>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261"/>
    <w:rsid w:val="00603D1C"/>
    <w:rsid w:val="00603EE2"/>
    <w:rsid w:val="00604B46"/>
    <w:rsid w:val="00607554"/>
    <w:rsid w:val="00607CD1"/>
    <w:rsid w:val="00610EBF"/>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B89"/>
    <w:rsid w:val="00623C44"/>
    <w:rsid w:val="00625470"/>
    <w:rsid w:val="00625C7F"/>
    <w:rsid w:val="006301EB"/>
    <w:rsid w:val="006313B8"/>
    <w:rsid w:val="00631505"/>
    <w:rsid w:val="006327F5"/>
    <w:rsid w:val="0063491D"/>
    <w:rsid w:val="006355D5"/>
    <w:rsid w:val="00636992"/>
    <w:rsid w:val="00640D08"/>
    <w:rsid w:val="00640D3D"/>
    <w:rsid w:val="00642706"/>
    <w:rsid w:val="00642A13"/>
    <w:rsid w:val="00642A8F"/>
    <w:rsid w:val="006437DA"/>
    <w:rsid w:val="00643ECB"/>
    <w:rsid w:val="0064401B"/>
    <w:rsid w:val="0064422C"/>
    <w:rsid w:val="00644D7F"/>
    <w:rsid w:val="00645170"/>
    <w:rsid w:val="006451ED"/>
    <w:rsid w:val="00645E6F"/>
    <w:rsid w:val="00650DDA"/>
    <w:rsid w:val="0065242B"/>
    <w:rsid w:val="00652638"/>
    <w:rsid w:val="00653FDD"/>
    <w:rsid w:val="0065458B"/>
    <w:rsid w:val="00654A2F"/>
    <w:rsid w:val="00654DC2"/>
    <w:rsid w:val="00655AC4"/>
    <w:rsid w:val="00656B00"/>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6E21"/>
    <w:rsid w:val="00667712"/>
    <w:rsid w:val="006706A5"/>
    <w:rsid w:val="006709E7"/>
    <w:rsid w:val="0067105F"/>
    <w:rsid w:val="00671138"/>
    <w:rsid w:val="0067116A"/>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05A4"/>
    <w:rsid w:val="006B1632"/>
    <w:rsid w:val="006B23FF"/>
    <w:rsid w:val="006B247F"/>
    <w:rsid w:val="006B3C0B"/>
    <w:rsid w:val="006B460D"/>
    <w:rsid w:val="006B59EF"/>
    <w:rsid w:val="006C052C"/>
    <w:rsid w:val="006C0F2D"/>
    <w:rsid w:val="006C2D84"/>
    <w:rsid w:val="006C44B9"/>
    <w:rsid w:val="006C56A5"/>
    <w:rsid w:val="006C58A2"/>
    <w:rsid w:val="006C5BFF"/>
    <w:rsid w:val="006C5D46"/>
    <w:rsid w:val="006C5DAF"/>
    <w:rsid w:val="006C65F1"/>
    <w:rsid w:val="006D0207"/>
    <w:rsid w:val="006D04EE"/>
    <w:rsid w:val="006D1F73"/>
    <w:rsid w:val="006D250A"/>
    <w:rsid w:val="006D3169"/>
    <w:rsid w:val="006D590F"/>
    <w:rsid w:val="006D60A4"/>
    <w:rsid w:val="006D6E56"/>
    <w:rsid w:val="006E0548"/>
    <w:rsid w:val="006E0ACD"/>
    <w:rsid w:val="006E19CA"/>
    <w:rsid w:val="006E270D"/>
    <w:rsid w:val="006E3777"/>
    <w:rsid w:val="006E50DF"/>
    <w:rsid w:val="006E50F1"/>
    <w:rsid w:val="006E6BDF"/>
    <w:rsid w:val="006E7B1A"/>
    <w:rsid w:val="006F0018"/>
    <w:rsid w:val="006F1FCB"/>
    <w:rsid w:val="006F30B1"/>
    <w:rsid w:val="006F32C7"/>
    <w:rsid w:val="006F381F"/>
    <w:rsid w:val="006F4482"/>
    <w:rsid w:val="006F45BC"/>
    <w:rsid w:val="006F472E"/>
    <w:rsid w:val="006F59DE"/>
    <w:rsid w:val="00700664"/>
    <w:rsid w:val="00700E59"/>
    <w:rsid w:val="00701FAC"/>
    <w:rsid w:val="0070213C"/>
    <w:rsid w:val="00702BEE"/>
    <w:rsid w:val="00702EF7"/>
    <w:rsid w:val="00704460"/>
    <w:rsid w:val="007047B6"/>
    <w:rsid w:val="00704A66"/>
    <w:rsid w:val="007052E1"/>
    <w:rsid w:val="0070698C"/>
    <w:rsid w:val="00706A32"/>
    <w:rsid w:val="007078B7"/>
    <w:rsid w:val="00710D58"/>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18BF"/>
    <w:rsid w:val="00732C4E"/>
    <w:rsid w:val="00733D05"/>
    <w:rsid w:val="0073478E"/>
    <w:rsid w:val="00734F7F"/>
    <w:rsid w:val="00735921"/>
    <w:rsid w:val="00736CA8"/>
    <w:rsid w:val="00737C3A"/>
    <w:rsid w:val="00737D14"/>
    <w:rsid w:val="00737F05"/>
    <w:rsid w:val="00740762"/>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1DA2"/>
    <w:rsid w:val="007631E0"/>
    <w:rsid w:val="00765781"/>
    <w:rsid w:val="00766353"/>
    <w:rsid w:val="00773BDD"/>
    <w:rsid w:val="00774460"/>
    <w:rsid w:val="00776EC9"/>
    <w:rsid w:val="00780296"/>
    <w:rsid w:val="00780707"/>
    <w:rsid w:val="00780972"/>
    <w:rsid w:val="00780E2F"/>
    <w:rsid w:val="00781C27"/>
    <w:rsid w:val="00787B2C"/>
    <w:rsid w:val="00787B36"/>
    <w:rsid w:val="00787C7F"/>
    <w:rsid w:val="00787D24"/>
    <w:rsid w:val="00791EEE"/>
    <w:rsid w:val="007946EB"/>
    <w:rsid w:val="0079543C"/>
    <w:rsid w:val="00795F8D"/>
    <w:rsid w:val="00796AEA"/>
    <w:rsid w:val="007A1316"/>
    <w:rsid w:val="007A1DC5"/>
    <w:rsid w:val="007A20AD"/>
    <w:rsid w:val="007A28CD"/>
    <w:rsid w:val="007A35C4"/>
    <w:rsid w:val="007A5D05"/>
    <w:rsid w:val="007A5E2B"/>
    <w:rsid w:val="007A7331"/>
    <w:rsid w:val="007A7415"/>
    <w:rsid w:val="007B0CB0"/>
    <w:rsid w:val="007B116D"/>
    <w:rsid w:val="007B1A13"/>
    <w:rsid w:val="007B1F99"/>
    <w:rsid w:val="007B27DF"/>
    <w:rsid w:val="007B3A36"/>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52B4"/>
    <w:rsid w:val="007E65B1"/>
    <w:rsid w:val="007F0FF4"/>
    <w:rsid w:val="007F2683"/>
    <w:rsid w:val="007F2956"/>
    <w:rsid w:val="007F2E32"/>
    <w:rsid w:val="007F6A11"/>
    <w:rsid w:val="008002AA"/>
    <w:rsid w:val="00800389"/>
    <w:rsid w:val="008015EA"/>
    <w:rsid w:val="008018EF"/>
    <w:rsid w:val="0080230D"/>
    <w:rsid w:val="008036FD"/>
    <w:rsid w:val="0080383D"/>
    <w:rsid w:val="00807429"/>
    <w:rsid w:val="00810827"/>
    <w:rsid w:val="008127D6"/>
    <w:rsid w:val="0081411E"/>
    <w:rsid w:val="00814E45"/>
    <w:rsid w:val="00815155"/>
    <w:rsid w:val="00815360"/>
    <w:rsid w:val="00817DA7"/>
    <w:rsid w:val="0082161C"/>
    <w:rsid w:val="00821B16"/>
    <w:rsid w:val="00823378"/>
    <w:rsid w:val="008243DF"/>
    <w:rsid w:val="0082459D"/>
    <w:rsid w:val="00824CEF"/>
    <w:rsid w:val="00824CFF"/>
    <w:rsid w:val="008254AB"/>
    <w:rsid w:val="00826480"/>
    <w:rsid w:val="00830148"/>
    <w:rsid w:val="008316AD"/>
    <w:rsid w:val="00831855"/>
    <w:rsid w:val="00832D13"/>
    <w:rsid w:val="00835315"/>
    <w:rsid w:val="00835AEB"/>
    <w:rsid w:val="00836BE5"/>
    <w:rsid w:val="00840D0F"/>
    <w:rsid w:val="0084200E"/>
    <w:rsid w:val="00842A84"/>
    <w:rsid w:val="00842FDE"/>
    <w:rsid w:val="008445D4"/>
    <w:rsid w:val="008446F1"/>
    <w:rsid w:val="00846FF0"/>
    <w:rsid w:val="00847CD0"/>
    <w:rsid w:val="00854B56"/>
    <w:rsid w:val="00855374"/>
    <w:rsid w:val="0085728C"/>
    <w:rsid w:val="008575F5"/>
    <w:rsid w:val="00857A42"/>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2F45"/>
    <w:rsid w:val="008835E3"/>
    <w:rsid w:val="00883F04"/>
    <w:rsid w:val="00884452"/>
    <w:rsid w:val="00886E1B"/>
    <w:rsid w:val="008905D7"/>
    <w:rsid w:val="0089109E"/>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631F"/>
    <w:rsid w:val="008A7133"/>
    <w:rsid w:val="008A7AE9"/>
    <w:rsid w:val="008B0C5E"/>
    <w:rsid w:val="008B1D85"/>
    <w:rsid w:val="008B24E5"/>
    <w:rsid w:val="008B270A"/>
    <w:rsid w:val="008B3920"/>
    <w:rsid w:val="008B496B"/>
    <w:rsid w:val="008B5B9D"/>
    <w:rsid w:val="008B64EC"/>
    <w:rsid w:val="008B68C6"/>
    <w:rsid w:val="008B6F16"/>
    <w:rsid w:val="008B6F4B"/>
    <w:rsid w:val="008C0156"/>
    <w:rsid w:val="008C0189"/>
    <w:rsid w:val="008C0257"/>
    <w:rsid w:val="008C12FB"/>
    <w:rsid w:val="008C2607"/>
    <w:rsid w:val="008C465E"/>
    <w:rsid w:val="008C4CE4"/>
    <w:rsid w:val="008C500B"/>
    <w:rsid w:val="008C674C"/>
    <w:rsid w:val="008C6787"/>
    <w:rsid w:val="008C73D6"/>
    <w:rsid w:val="008D0C62"/>
    <w:rsid w:val="008D20C1"/>
    <w:rsid w:val="008D2CD6"/>
    <w:rsid w:val="008D4939"/>
    <w:rsid w:val="008D50C8"/>
    <w:rsid w:val="008D78F0"/>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5880"/>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013"/>
    <w:rsid w:val="00963876"/>
    <w:rsid w:val="00964CD3"/>
    <w:rsid w:val="00966051"/>
    <w:rsid w:val="0097032D"/>
    <w:rsid w:val="00970E28"/>
    <w:rsid w:val="00973088"/>
    <w:rsid w:val="00974568"/>
    <w:rsid w:val="0097493A"/>
    <w:rsid w:val="0097619C"/>
    <w:rsid w:val="009765DF"/>
    <w:rsid w:val="00976E8C"/>
    <w:rsid w:val="00977973"/>
    <w:rsid w:val="00981F79"/>
    <w:rsid w:val="009834E9"/>
    <w:rsid w:val="00983A72"/>
    <w:rsid w:val="00984C2E"/>
    <w:rsid w:val="009850EF"/>
    <w:rsid w:val="009868FC"/>
    <w:rsid w:val="00986D78"/>
    <w:rsid w:val="00987FE0"/>
    <w:rsid w:val="00990566"/>
    <w:rsid w:val="00991A16"/>
    <w:rsid w:val="00991AA5"/>
    <w:rsid w:val="00993BEE"/>
    <w:rsid w:val="009946D3"/>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4703"/>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67DD"/>
    <w:rsid w:val="009F00E2"/>
    <w:rsid w:val="009F43C3"/>
    <w:rsid w:val="009F4C44"/>
    <w:rsid w:val="009F61A9"/>
    <w:rsid w:val="009F61B8"/>
    <w:rsid w:val="009F6A19"/>
    <w:rsid w:val="00A01C5F"/>
    <w:rsid w:val="00A020B4"/>
    <w:rsid w:val="00A02F3C"/>
    <w:rsid w:val="00A03358"/>
    <w:rsid w:val="00A04207"/>
    <w:rsid w:val="00A043FE"/>
    <w:rsid w:val="00A044A3"/>
    <w:rsid w:val="00A0471E"/>
    <w:rsid w:val="00A05916"/>
    <w:rsid w:val="00A05AA6"/>
    <w:rsid w:val="00A06192"/>
    <w:rsid w:val="00A07065"/>
    <w:rsid w:val="00A10886"/>
    <w:rsid w:val="00A11861"/>
    <w:rsid w:val="00A1266A"/>
    <w:rsid w:val="00A13810"/>
    <w:rsid w:val="00A1387B"/>
    <w:rsid w:val="00A1389B"/>
    <w:rsid w:val="00A1622A"/>
    <w:rsid w:val="00A16E6B"/>
    <w:rsid w:val="00A16EEB"/>
    <w:rsid w:val="00A17E19"/>
    <w:rsid w:val="00A20575"/>
    <w:rsid w:val="00A208EB"/>
    <w:rsid w:val="00A2114F"/>
    <w:rsid w:val="00A2216E"/>
    <w:rsid w:val="00A228C1"/>
    <w:rsid w:val="00A22F5A"/>
    <w:rsid w:val="00A23508"/>
    <w:rsid w:val="00A2370B"/>
    <w:rsid w:val="00A23F13"/>
    <w:rsid w:val="00A25457"/>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3FE6"/>
    <w:rsid w:val="00A441EC"/>
    <w:rsid w:val="00A4716C"/>
    <w:rsid w:val="00A50430"/>
    <w:rsid w:val="00A50DA6"/>
    <w:rsid w:val="00A511E6"/>
    <w:rsid w:val="00A52978"/>
    <w:rsid w:val="00A52C86"/>
    <w:rsid w:val="00A53130"/>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7A75"/>
    <w:rsid w:val="00A77CC0"/>
    <w:rsid w:val="00A80B08"/>
    <w:rsid w:val="00A81E64"/>
    <w:rsid w:val="00A8239A"/>
    <w:rsid w:val="00A82AD7"/>
    <w:rsid w:val="00A8326A"/>
    <w:rsid w:val="00A8367E"/>
    <w:rsid w:val="00A84536"/>
    <w:rsid w:val="00A84FC0"/>
    <w:rsid w:val="00A8510A"/>
    <w:rsid w:val="00A85226"/>
    <w:rsid w:val="00A857A7"/>
    <w:rsid w:val="00A860D4"/>
    <w:rsid w:val="00A92240"/>
    <w:rsid w:val="00A92D24"/>
    <w:rsid w:val="00A9350D"/>
    <w:rsid w:val="00A940EA"/>
    <w:rsid w:val="00A94442"/>
    <w:rsid w:val="00A944A8"/>
    <w:rsid w:val="00A94FA2"/>
    <w:rsid w:val="00A96F48"/>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2850"/>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E04"/>
    <w:rsid w:val="00AC6F04"/>
    <w:rsid w:val="00AC7080"/>
    <w:rsid w:val="00AC7204"/>
    <w:rsid w:val="00AD07F3"/>
    <w:rsid w:val="00AD1FB6"/>
    <w:rsid w:val="00AD20E2"/>
    <w:rsid w:val="00AD22B6"/>
    <w:rsid w:val="00AD2ADC"/>
    <w:rsid w:val="00AD2B54"/>
    <w:rsid w:val="00AD3053"/>
    <w:rsid w:val="00AD46E9"/>
    <w:rsid w:val="00AD5C38"/>
    <w:rsid w:val="00AD76C7"/>
    <w:rsid w:val="00AE2494"/>
    <w:rsid w:val="00AE2B63"/>
    <w:rsid w:val="00AE2D37"/>
    <w:rsid w:val="00AE2D7B"/>
    <w:rsid w:val="00AE402B"/>
    <w:rsid w:val="00AE646E"/>
    <w:rsid w:val="00AE655A"/>
    <w:rsid w:val="00AE796E"/>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4127"/>
    <w:rsid w:val="00B24658"/>
    <w:rsid w:val="00B2631A"/>
    <w:rsid w:val="00B2634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B1B"/>
    <w:rsid w:val="00B531F1"/>
    <w:rsid w:val="00B547FB"/>
    <w:rsid w:val="00B555ED"/>
    <w:rsid w:val="00B55B97"/>
    <w:rsid w:val="00B56E5D"/>
    <w:rsid w:val="00B5729D"/>
    <w:rsid w:val="00B5735F"/>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0A8C"/>
    <w:rsid w:val="00BA188B"/>
    <w:rsid w:val="00BA4A48"/>
    <w:rsid w:val="00BA4EA6"/>
    <w:rsid w:val="00BA657A"/>
    <w:rsid w:val="00BA7B9D"/>
    <w:rsid w:val="00BA7BD2"/>
    <w:rsid w:val="00BA7C42"/>
    <w:rsid w:val="00BB0832"/>
    <w:rsid w:val="00BB1257"/>
    <w:rsid w:val="00BB14EE"/>
    <w:rsid w:val="00BB1B41"/>
    <w:rsid w:val="00BB25C7"/>
    <w:rsid w:val="00BB276B"/>
    <w:rsid w:val="00BB354F"/>
    <w:rsid w:val="00BB36A8"/>
    <w:rsid w:val="00BB4228"/>
    <w:rsid w:val="00BB4825"/>
    <w:rsid w:val="00BB48C7"/>
    <w:rsid w:val="00BB5B0A"/>
    <w:rsid w:val="00BB63AF"/>
    <w:rsid w:val="00BB700A"/>
    <w:rsid w:val="00BB7187"/>
    <w:rsid w:val="00BC061A"/>
    <w:rsid w:val="00BC0BCB"/>
    <w:rsid w:val="00BC108B"/>
    <w:rsid w:val="00BC12B6"/>
    <w:rsid w:val="00BC2DCC"/>
    <w:rsid w:val="00BC2DF0"/>
    <w:rsid w:val="00BC321A"/>
    <w:rsid w:val="00BC3F05"/>
    <w:rsid w:val="00BC45CB"/>
    <w:rsid w:val="00BC4D98"/>
    <w:rsid w:val="00BC5C7E"/>
    <w:rsid w:val="00BD1AD4"/>
    <w:rsid w:val="00BD1E93"/>
    <w:rsid w:val="00BD1F85"/>
    <w:rsid w:val="00BD20ED"/>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110B"/>
    <w:rsid w:val="00BF1F05"/>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F84"/>
    <w:rsid w:val="00C2391E"/>
    <w:rsid w:val="00C26422"/>
    <w:rsid w:val="00C26763"/>
    <w:rsid w:val="00C267C0"/>
    <w:rsid w:val="00C26C7C"/>
    <w:rsid w:val="00C32484"/>
    <w:rsid w:val="00C3269F"/>
    <w:rsid w:val="00C334D7"/>
    <w:rsid w:val="00C33C89"/>
    <w:rsid w:val="00C33ED1"/>
    <w:rsid w:val="00C34D03"/>
    <w:rsid w:val="00C36E14"/>
    <w:rsid w:val="00C4047F"/>
    <w:rsid w:val="00C41F4A"/>
    <w:rsid w:val="00C45326"/>
    <w:rsid w:val="00C45358"/>
    <w:rsid w:val="00C45513"/>
    <w:rsid w:val="00C4681F"/>
    <w:rsid w:val="00C51391"/>
    <w:rsid w:val="00C56CDC"/>
    <w:rsid w:val="00C56DC5"/>
    <w:rsid w:val="00C577BF"/>
    <w:rsid w:val="00C60421"/>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51C"/>
    <w:rsid w:val="00C95721"/>
    <w:rsid w:val="00C96027"/>
    <w:rsid w:val="00C96BC5"/>
    <w:rsid w:val="00C975B8"/>
    <w:rsid w:val="00C97BC9"/>
    <w:rsid w:val="00C97FC8"/>
    <w:rsid w:val="00CA0724"/>
    <w:rsid w:val="00CA1972"/>
    <w:rsid w:val="00CA1C47"/>
    <w:rsid w:val="00CA3612"/>
    <w:rsid w:val="00CA372D"/>
    <w:rsid w:val="00CA3FCC"/>
    <w:rsid w:val="00CA4C2D"/>
    <w:rsid w:val="00CA574C"/>
    <w:rsid w:val="00CA617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C7EF4"/>
    <w:rsid w:val="00CD0016"/>
    <w:rsid w:val="00CD1C84"/>
    <w:rsid w:val="00CD24A8"/>
    <w:rsid w:val="00CD2881"/>
    <w:rsid w:val="00CD2EDC"/>
    <w:rsid w:val="00CD32A8"/>
    <w:rsid w:val="00CD38B6"/>
    <w:rsid w:val="00CD5D7F"/>
    <w:rsid w:val="00CD7494"/>
    <w:rsid w:val="00CD74E7"/>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9C3"/>
    <w:rsid w:val="00CF0BAF"/>
    <w:rsid w:val="00CF167D"/>
    <w:rsid w:val="00CF1884"/>
    <w:rsid w:val="00CF1B89"/>
    <w:rsid w:val="00CF241F"/>
    <w:rsid w:val="00CF4910"/>
    <w:rsid w:val="00CF5A26"/>
    <w:rsid w:val="00CF5CE6"/>
    <w:rsid w:val="00CF610C"/>
    <w:rsid w:val="00CF6857"/>
    <w:rsid w:val="00D00F16"/>
    <w:rsid w:val="00D01C1F"/>
    <w:rsid w:val="00D025A0"/>
    <w:rsid w:val="00D0441F"/>
    <w:rsid w:val="00D04F78"/>
    <w:rsid w:val="00D05208"/>
    <w:rsid w:val="00D05704"/>
    <w:rsid w:val="00D06C90"/>
    <w:rsid w:val="00D10F18"/>
    <w:rsid w:val="00D11139"/>
    <w:rsid w:val="00D11D66"/>
    <w:rsid w:val="00D11EF2"/>
    <w:rsid w:val="00D12493"/>
    <w:rsid w:val="00D12E44"/>
    <w:rsid w:val="00D141F3"/>
    <w:rsid w:val="00D14BE7"/>
    <w:rsid w:val="00D14D79"/>
    <w:rsid w:val="00D14EF9"/>
    <w:rsid w:val="00D15AE9"/>
    <w:rsid w:val="00D21282"/>
    <w:rsid w:val="00D21CD0"/>
    <w:rsid w:val="00D222D0"/>
    <w:rsid w:val="00D2292C"/>
    <w:rsid w:val="00D229F9"/>
    <w:rsid w:val="00D2377A"/>
    <w:rsid w:val="00D23D51"/>
    <w:rsid w:val="00D24A7F"/>
    <w:rsid w:val="00D272D3"/>
    <w:rsid w:val="00D27568"/>
    <w:rsid w:val="00D30E85"/>
    <w:rsid w:val="00D325CD"/>
    <w:rsid w:val="00D32B20"/>
    <w:rsid w:val="00D33BAD"/>
    <w:rsid w:val="00D33F51"/>
    <w:rsid w:val="00D3501F"/>
    <w:rsid w:val="00D36224"/>
    <w:rsid w:val="00D37800"/>
    <w:rsid w:val="00D40999"/>
    <w:rsid w:val="00D416AA"/>
    <w:rsid w:val="00D41FF6"/>
    <w:rsid w:val="00D4491E"/>
    <w:rsid w:val="00D45FDF"/>
    <w:rsid w:val="00D50742"/>
    <w:rsid w:val="00D50EE4"/>
    <w:rsid w:val="00D53BB6"/>
    <w:rsid w:val="00D540B2"/>
    <w:rsid w:val="00D54954"/>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4870"/>
    <w:rsid w:val="00D753D6"/>
    <w:rsid w:val="00D7563C"/>
    <w:rsid w:val="00D75B68"/>
    <w:rsid w:val="00D75DD0"/>
    <w:rsid w:val="00D76810"/>
    <w:rsid w:val="00D76EF3"/>
    <w:rsid w:val="00D80A47"/>
    <w:rsid w:val="00D81263"/>
    <w:rsid w:val="00D83927"/>
    <w:rsid w:val="00D84342"/>
    <w:rsid w:val="00D848FA"/>
    <w:rsid w:val="00D85E86"/>
    <w:rsid w:val="00D867A5"/>
    <w:rsid w:val="00D90AB8"/>
    <w:rsid w:val="00D923E5"/>
    <w:rsid w:val="00D92798"/>
    <w:rsid w:val="00D942D5"/>
    <w:rsid w:val="00D94DB6"/>
    <w:rsid w:val="00D964B5"/>
    <w:rsid w:val="00D97D9B"/>
    <w:rsid w:val="00DA1938"/>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327"/>
    <w:rsid w:val="00DE06B7"/>
    <w:rsid w:val="00DE06E8"/>
    <w:rsid w:val="00DE0726"/>
    <w:rsid w:val="00DE167F"/>
    <w:rsid w:val="00DE1F57"/>
    <w:rsid w:val="00DE3207"/>
    <w:rsid w:val="00DE4D90"/>
    <w:rsid w:val="00DE5066"/>
    <w:rsid w:val="00DE5D05"/>
    <w:rsid w:val="00DE6CE8"/>
    <w:rsid w:val="00DE6DAB"/>
    <w:rsid w:val="00DE7AB3"/>
    <w:rsid w:val="00DF0036"/>
    <w:rsid w:val="00DF0724"/>
    <w:rsid w:val="00DF2BFF"/>
    <w:rsid w:val="00DF4141"/>
    <w:rsid w:val="00DF4AA9"/>
    <w:rsid w:val="00DF5404"/>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372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645"/>
    <w:rsid w:val="00E60D4F"/>
    <w:rsid w:val="00E614A7"/>
    <w:rsid w:val="00E61A14"/>
    <w:rsid w:val="00E61A27"/>
    <w:rsid w:val="00E62B3A"/>
    <w:rsid w:val="00E62BE3"/>
    <w:rsid w:val="00E631AE"/>
    <w:rsid w:val="00E63A60"/>
    <w:rsid w:val="00E64049"/>
    <w:rsid w:val="00E64CEB"/>
    <w:rsid w:val="00E64DB9"/>
    <w:rsid w:val="00E65353"/>
    <w:rsid w:val="00E72523"/>
    <w:rsid w:val="00E73C65"/>
    <w:rsid w:val="00E740B5"/>
    <w:rsid w:val="00E741A1"/>
    <w:rsid w:val="00E743EC"/>
    <w:rsid w:val="00E74D5E"/>
    <w:rsid w:val="00E77ADD"/>
    <w:rsid w:val="00E80EA3"/>
    <w:rsid w:val="00E83AD0"/>
    <w:rsid w:val="00E849FB"/>
    <w:rsid w:val="00E84AE9"/>
    <w:rsid w:val="00E856B7"/>
    <w:rsid w:val="00E865EA"/>
    <w:rsid w:val="00E90B9F"/>
    <w:rsid w:val="00E912EB"/>
    <w:rsid w:val="00E91331"/>
    <w:rsid w:val="00E91896"/>
    <w:rsid w:val="00E9272A"/>
    <w:rsid w:val="00E93FDD"/>
    <w:rsid w:val="00E9423B"/>
    <w:rsid w:val="00E95165"/>
    <w:rsid w:val="00E966E3"/>
    <w:rsid w:val="00E968B2"/>
    <w:rsid w:val="00E97BC1"/>
    <w:rsid w:val="00EA086B"/>
    <w:rsid w:val="00EA1B47"/>
    <w:rsid w:val="00EA1F3A"/>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66C"/>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7B1"/>
    <w:rsid w:val="00ED1FAA"/>
    <w:rsid w:val="00ED3390"/>
    <w:rsid w:val="00ED3CE7"/>
    <w:rsid w:val="00ED64E6"/>
    <w:rsid w:val="00ED6560"/>
    <w:rsid w:val="00ED6EB2"/>
    <w:rsid w:val="00ED785A"/>
    <w:rsid w:val="00ED7F27"/>
    <w:rsid w:val="00EE198A"/>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13F8"/>
    <w:rsid w:val="00F12408"/>
    <w:rsid w:val="00F12DC2"/>
    <w:rsid w:val="00F1303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84E"/>
    <w:rsid w:val="00F50C10"/>
    <w:rsid w:val="00F50F89"/>
    <w:rsid w:val="00F524DC"/>
    <w:rsid w:val="00F52C7E"/>
    <w:rsid w:val="00F54ECE"/>
    <w:rsid w:val="00F550EA"/>
    <w:rsid w:val="00F55BED"/>
    <w:rsid w:val="00F5729E"/>
    <w:rsid w:val="00F5789A"/>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3726"/>
    <w:rsid w:val="00F945B3"/>
    <w:rsid w:val="00F948A6"/>
    <w:rsid w:val="00F95BA3"/>
    <w:rsid w:val="00F96208"/>
    <w:rsid w:val="00F96664"/>
    <w:rsid w:val="00F974E7"/>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361"/>
    <w:rsid w:val="00FE0478"/>
    <w:rsid w:val="00FE0C89"/>
    <w:rsid w:val="00FE3446"/>
    <w:rsid w:val="00FE3E56"/>
    <w:rsid w:val="00FE4072"/>
    <w:rsid w:val="00FE4512"/>
    <w:rsid w:val="00FE479B"/>
    <w:rsid w:val="00FE63DF"/>
    <w:rsid w:val="00FE7460"/>
    <w:rsid w:val="00FE7B3B"/>
    <w:rsid w:val="00FF0555"/>
    <w:rsid w:val="00FF0F23"/>
    <w:rsid w:val="00FF14E7"/>
    <w:rsid w:val="00FF296D"/>
    <w:rsid w:val="00FF3335"/>
    <w:rsid w:val="00FF3F67"/>
    <w:rsid w:val="00FF4547"/>
    <w:rsid w:val="00FF48E8"/>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A4AC-ABFE-4073-99B4-E123241A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7</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66</cp:revision>
  <cp:lastPrinted>2014-06-23T11:59:00Z</cp:lastPrinted>
  <dcterms:created xsi:type="dcterms:W3CDTF">2014-06-06T20:07:00Z</dcterms:created>
  <dcterms:modified xsi:type="dcterms:W3CDTF">2014-06-23T11:59:00Z</dcterms:modified>
</cp:coreProperties>
</file>