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99A" w:rsidRPr="00E22703" w:rsidRDefault="00DF499A" w:rsidP="00DF499A">
      <w:pPr>
        <w:jc w:val="center"/>
        <w:rPr>
          <w:b/>
          <w:bCs/>
        </w:rPr>
      </w:pPr>
      <w:r w:rsidRPr="00E22703">
        <w:rPr>
          <w:b/>
          <w:bCs/>
        </w:rPr>
        <w:t>BEFORE THE</w:t>
      </w:r>
    </w:p>
    <w:p w:rsidR="00DF499A" w:rsidRDefault="00DF499A" w:rsidP="00DF499A">
      <w:pPr>
        <w:jc w:val="center"/>
        <w:rPr>
          <w:b/>
          <w:bCs/>
        </w:rPr>
      </w:pPr>
      <w:r w:rsidRPr="00E22703">
        <w:rPr>
          <w:b/>
          <w:bCs/>
        </w:rPr>
        <w:t>PENNSYLVANIA PUBLIC UTILITY COMMISSION</w:t>
      </w:r>
    </w:p>
    <w:p w:rsidR="00DF499A" w:rsidRDefault="00DF499A" w:rsidP="00EE4B90">
      <w:pPr>
        <w:rPr>
          <w:bCs/>
        </w:rPr>
      </w:pPr>
    </w:p>
    <w:p w:rsidR="00EE4B90" w:rsidRPr="00555AB2" w:rsidRDefault="00EE4B90" w:rsidP="00EE4B90">
      <w:pPr>
        <w:rPr>
          <w:bCs/>
        </w:rPr>
      </w:pPr>
    </w:p>
    <w:p w:rsidR="00DF499A" w:rsidRPr="00555AB2" w:rsidRDefault="00DF499A" w:rsidP="00DF499A">
      <w:pPr>
        <w:rPr>
          <w:bCs/>
        </w:rPr>
      </w:pPr>
    </w:p>
    <w:p w:rsidR="00DF499A" w:rsidRPr="009235F5" w:rsidRDefault="00DF499A" w:rsidP="00B3178B">
      <w:pPr>
        <w:tabs>
          <w:tab w:val="left" w:pos="5220"/>
        </w:tabs>
      </w:pPr>
      <w:r w:rsidRPr="009235F5">
        <w:t>Joint Petition for Generic Investigation or</w:t>
      </w:r>
      <w:r w:rsidRPr="009235F5">
        <w:tab/>
        <w:t>:</w:t>
      </w:r>
    </w:p>
    <w:p w:rsidR="00DF499A" w:rsidRPr="009235F5" w:rsidRDefault="00DF499A" w:rsidP="00B3178B">
      <w:pPr>
        <w:tabs>
          <w:tab w:val="left" w:pos="5220"/>
        </w:tabs>
      </w:pPr>
      <w:r w:rsidRPr="009235F5">
        <w:t>Rulemaking Regarding “Gas-On-Gas” Competition</w:t>
      </w:r>
      <w:r w:rsidRPr="009235F5">
        <w:tab/>
        <w:t>:</w:t>
      </w:r>
      <w:r w:rsidRPr="009235F5">
        <w:tab/>
      </w:r>
      <w:r w:rsidR="00EE4B90">
        <w:tab/>
      </w:r>
      <w:r w:rsidR="00B3178B">
        <w:tab/>
      </w:r>
      <w:r w:rsidRPr="009235F5">
        <w:t>P-2011-2277868</w:t>
      </w:r>
    </w:p>
    <w:p w:rsidR="00DF499A" w:rsidRPr="009235F5" w:rsidRDefault="00DF499A" w:rsidP="00B3178B">
      <w:pPr>
        <w:tabs>
          <w:tab w:val="left" w:pos="5220"/>
        </w:tabs>
      </w:pPr>
      <w:r w:rsidRPr="009235F5">
        <w:t>Between Jurisdictional Natural Gas Distribution</w:t>
      </w:r>
      <w:r w:rsidRPr="009235F5">
        <w:tab/>
        <w:t>:</w:t>
      </w:r>
    </w:p>
    <w:p w:rsidR="00DF499A" w:rsidRPr="009235F5" w:rsidRDefault="00DF499A" w:rsidP="00B3178B">
      <w:pPr>
        <w:tabs>
          <w:tab w:val="left" w:pos="5220"/>
        </w:tabs>
      </w:pPr>
      <w:r w:rsidRPr="009235F5">
        <w:t>Companies</w:t>
      </w:r>
      <w:r w:rsidRPr="009235F5">
        <w:tab/>
        <w:t>:</w:t>
      </w:r>
    </w:p>
    <w:p w:rsidR="00DF499A" w:rsidRPr="009235F5" w:rsidRDefault="00DF499A" w:rsidP="00B3178B">
      <w:pPr>
        <w:tabs>
          <w:tab w:val="left" w:pos="5220"/>
        </w:tabs>
      </w:pPr>
      <w:r w:rsidRPr="009235F5">
        <w:tab/>
        <w:t>:</w:t>
      </w:r>
    </w:p>
    <w:p w:rsidR="00DF499A" w:rsidRPr="009235F5" w:rsidRDefault="00DF499A" w:rsidP="00B3178B">
      <w:pPr>
        <w:tabs>
          <w:tab w:val="left" w:pos="5220"/>
        </w:tabs>
      </w:pPr>
      <w:r w:rsidRPr="009235F5">
        <w:t xml:space="preserve">Generic Investigation Regarding Gas-On-Gas </w:t>
      </w:r>
      <w:r w:rsidRPr="009235F5">
        <w:tab/>
        <w:t>:</w:t>
      </w:r>
    </w:p>
    <w:p w:rsidR="00DF499A" w:rsidRPr="009235F5" w:rsidRDefault="00DF499A" w:rsidP="00B3178B">
      <w:pPr>
        <w:tabs>
          <w:tab w:val="left" w:pos="5220"/>
        </w:tabs>
      </w:pPr>
      <w:r w:rsidRPr="009235F5">
        <w:t xml:space="preserve">Competition </w:t>
      </w:r>
      <w:proofErr w:type="gramStart"/>
      <w:r w:rsidRPr="009235F5">
        <w:t>Between</w:t>
      </w:r>
      <w:proofErr w:type="gramEnd"/>
      <w:r w:rsidRPr="009235F5">
        <w:t xml:space="preserve"> Jurisdictional Natural</w:t>
      </w:r>
      <w:r w:rsidRPr="009235F5">
        <w:tab/>
        <w:t>:</w:t>
      </w:r>
      <w:r w:rsidRPr="009235F5">
        <w:tab/>
      </w:r>
      <w:r w:rsidR="00EE4B90">
        <w:tab/>
      </w:r>
      <w:r w:rsidR="00B3178B">
        <w:tab/>
      </w:r>
      <w:r w:rsidRPr="009235F5">
        <w:t>I-2012-2320323</w:t>
      </w:r>
    </w:p>
    <w:p w:rsidR="00DF499A" w:rsidRPr="009235F5" w:rsidRDefault="00DF499A" w:rsidP="00B3178B">
      <w:pPr>
        <w:tabs>
          <w:tab w:val="left" w:pos="5220"/>
        </w:tabs>
      </w:pPr>
      <w:r w:rsidRPr="009235F5">
        <w:t>Gas Distribution Companies</w:t>
      </w:r>
      <w:r w:rsidRPr="009235F5">
        <w:tab/>
        <w:t>:</w:t>
      </w:r>
    </w:p>
    <w:p w:rsidR="00DF499A" w:rsidRPr="009235F5" w:rsidRDefault="00DF499A" w:rsidP="00EE4B90"/>
    <w:p w:rsidR="00DF499A" w:rsidRPr="009235F5" w:rsidRDefault="00DF499A" w:rsidP="00DF499A"/>
    <w:p w:rsidR="00FB61D2" w:rsidRDefault="00FB61D2" w:rsidP="00EE4B90"/>
    <w:p w:rsidR="0033077F" w:rsidRPr="00B3178B" w:rsidRDefault="0033077F" w:rsidP="00FB61D2">
      <w:pPr>
        <w:jc w:val="center"/>
        <w:rPr>
          <w:b/>
          <w:u w:val="single"/>
        </w:rPr>
      </w:pPr>
      <w:r w:rsidRPr="00B3178B">
        <w:rPr>
          <w:b/>
          <w:u w:val="single"/>
        </w:rPr>
        <w:t>RECOMMENDED DECISION</w:t>
      </w:r>
    </w:p>
    <w:p w:rsidR="0033077F" w:rsidRDefault="0033077F" w:rsidP="00EE4B90">
      <w:pPr>
        <w:jc w:val="center"/>
        <w:rPr>
          <w:b/>
        </w:rPr>
      </w:pPr>
    </w:p>
    <w:p w:rsidR="00357B7E" w:rsidRDefault="00357B7E" w:rsidP="00FB61D2">
      <w:pPr>
        <w:jc w:val="center"/>
        <w:rPr>
          <w:b/>
        </w:rPr>
      </w:pPr>
    </w:p>
    <w:p w:rsidR="0033077F" w:rsidRDefault="0033077F" w:rsidP="00FB61D2">
      <w:pPr>
        <w:jc w:val="center"/>
      </w:pPr>
      <w:r>
        <w:t>Before</w:t>
      </w:r>
    </w:p>
    <w:p w:rsidR="0033077F" w:rsidRDefault="00DF499A" w:rsidP="00FB61D2">
      <w:pPr>
        <w:jc w:val="center"/>
      </w:pPr>
      <w:r>
        <w:t>Elizabeth H. Barnes</w:t>
      </w:r>
    </w:p>
    <w:p w:rsidR="00E27A8A" w:rsidRDefault="0033077F" w:rsidP="00FB61D2">
      <w:pPr>
        <w:jc w:val="center"/>
      </w:pPr>
      <w:r>
        <w:t>Administrative Law Judge</w:t>
      </w:r>
    </w:p>
    <w:p w:rsidR="00E27A8A" w:rsidRDefault="00E27A8A" w:rsidP="00EE4B90">
      <w:pPr>
        <w:jc w:val="center"/>
      </w:pPr>
    </w:p>
    <w:p w:rsidR="00357B7E" w:rsidRDefault="00357B7E" w:rsidP="00FB61D2">
      <w:pPr>
        <w:jc w:val="center"/>
      </w:pPr>
    </w:p>
    <w:p w:rsidR="007F240A" w:rsidRPr="00B3178B" w:rsidRDefault="00CC00E7" w:rsidP="00B3178B">
      <w:pPr>
        <w:spacing w:line="360" w:lineRule="auto"/>
        <w:jc w:val="center"/>
        <w:rPr>
          <w:b/>
        </w:rPr>
      </w:pPr>
      <w:r>
        <w:rPr>
          <w:b/>
        </w:rPr>
        <w:br w:type="page"/>
      </w:r>
      <w:r w:rsidR="00211D6A" w:rsidRPr="00B3178B">
        <w:rPr>
          <w:u w:val="single"/>
        </w:rPr>
        <w:lastRenderedPageBreak/>
        <w:t>INTRODUCTION</w:t>
      </w:r>
    </w:p>
    <w:p w:rsidR="005E169B" w:rsidRDefault="005E169B" w:rsidP="00B3178B">
      <w:pPr>
        <w:spacing w:line="360" w:lineRule="auto"/>
        <w:ind w:firstLine="720"/>
      </w:pPr>
    </w:p>
    <w:p w:rsidR="00F74464" w:rsidRPr="00F74464" w:rsidRDefault="007F240A" w:rsidP="00B3178B">
      <w:pPr>
        <w:spacing w:line="360" w:lineRule="auto"/>
        <w:rPr>
          <w:szCs w:val="23"/>
        </w:rPr>
      </w:pPr>
      <w:r>
        <w:tab/>
      </w:r>
      <w:r w:rsidR="00354D97">
        <w:tab/>
      </w:r>
      <w:r w:rsidR="00F74464" w:rsidRPr="00F74464">
        <w:t>Equitable Gas Company, LLC (Equitable), Peoples Natural Gas Company LLC (Peoples), Peoples TWP LLC (Peoples TWP</w:t>
      </w:r>
      <w:r w:rsidR="0000235D">
        <w:t xml:space="preserve"> or PTWP</w:t>
      </w:r>
      <w:r w:rsidR="00F74464" w:rsidRPr="00F74464">
        <w:t>) and Columbia Gas of Pennsylvania, Inc. (Columbia) (collectively, Flex Rate NGDCs) are four natural gas distribution companies (NGDCs)</w:t>
      </w:r>
      <w:r>
        <w:t>, which distribute</w:t>
      </w:r>
      <w:r w:rsidR="00F74464" w:rsidRPr="00F74464">
        <w:t xml:space="preserve"> natural gas </w:t>
      </w:r>
      <w:r>
        <w:t>in</w:t>
      </w:r>
      <w:r w:rsidR="00F74464" w:rsidRPr="00F74464">
        <w:t xml:space="preserve"> overlapping service territories in western Pennsylvania. </w:t>
      </w:r>
      <w:r w:rsidR="00354D97">
        <w:t xml:space="preserve"> </w:t>
      </w:r>
      <w:r w:rsidR="00F74464" w:rsidRPr="00F74464">
        <w:t>The overlapping service territories endure as remnants of original incorporation of the predecessors of Flex Rate NGDCs</w:t>
      </w:r>
      <w:r w:rsidR="00F74464" w:rsidRPr="00F74464">
        <w:rPr>
          <w:szCs w:val="23"/>
        </w:rPr>
        <w:t xml:space="preserve"> pursuant to the Pennsylvania Natural Gas Companies Act of May 2</w:t>
      </w:r>
      <w:r w:rsidR="00A207F9">
        <w:rPr>
          <w:szCs w:val="23"/>
        </w:rPr>
        <w:t>9, 1885 (</w:t>
      </w:r>
      <w:r w:rsidR="00F74464" w:rsidRPr="00F74464">
        <w:rPr>
          <w:szCs w:val="23"/>
        </w:rPr>
        <w:t xml:space="preserve">1885 Act), and amendments and charters filed pursuant to the 1885 Act, prior to the </w:t>
      </w:r>
      <w:r w:rsidR="00F74464" w:rsidRPr="00F74464">
        <w:t xml:space="preserve">formation of the </w:t>
      </w:r>
      <w:r w:rsidR="00F74464" w:rsidRPr="00F74464">
        <w:rPr>
          <w:szCs w:val="23"/>
        </w:rPr>
        <w:t xml:space="preserve">Public Service Commission in 1913, the predecessor to the </w:t>
      </w:r>
      <w:r>
        <w:rPr>
          <w:szCs w:val="23"/>
        </w:rPr>
        <w:t>Pennsylvania Public Utility Commission (</w:t>
      </w:r>
      <w:r w:rsidR="00F74464" w:rsidRPr="00F74464">
        <w:rPr>
          <w:szCs w:val="23"/>
        </w:rPr>
        <w:t>PUC</w:t>
      </w:r>
      <w:r>
        <w:rPr>
          <w:szCs w:val="23"/>
        </w:rPr>
        <w:t xml:space="preserve"> or Commission)</w:t>
      </w:r>
      <w:r w:rsidR="00F74464" w:rsidRPr="00F74464">
        <w:rPr>
          <w:szCs w:val="23"/>
        </w:rPr>
        <w:t xml:space="preserve">. </w:t>
      </w:r>
      <w:r w:rsidR="00F94C1C">
        <w:rPr>
          <w:szCs w:val="23"/>
        </w:rPr>
        <w:t xml:space="preserve"> </w:t>
      </w:r>
      <w:r w:rsidR="00F74464" w:rsidRPr="00F74464">
        <w:rPr>
          <w:szCs w:val="23"/>
        </w:rPr>
        <w:t xml:space="preserve">The Flex Rate NGDCs’ predecessors began to provide local distribution in the overlapping areas in the late 1800s </w:t>
      </w:r>
      <w:r w:rsidR="00852731">
        <w:rPr>
          <w:szCs w:val="23"/>
        </w:rPr>
        <w:t>– early </w:t>
      </w:r>
      <w:r w:rsidR="00F74464" w:rsidRPr="00F74464">
        <w:rPr>
          <w:szCs w:val="23"/>
        </w:rPr>
        <w:t xml:space="preserve">1900s, and the </w:t>
      </w:r>
      <w:r w:rsidR="00F74464" w:rsidRPr="00F74464">
        <w:t>Flex Rate NGDCs</w:t>
      </w:r>
      <w:r w:rsidR="00F74464" w:rsidRPr="00F74464">
        <w:rPr>
          <w:szCs w:val="23"/>
        </w:rPr>
        <w:t xml:space="preserve"> continue to do so today.</w:t>
      </w:r>
    </w:p>
    <w:p w:rsidR="00F74464" w:rsidRPr="00F74464" w:rsidRDefault="00F74464" w:rsidP="00F74464">
      <w:pPr>
        <w:pStyle w:val="Default"/>
        <w:spacing w:line="360" w:lineRule="auto"/>
        <w:rPr>
          <w:szCs w:val="23"/>
        </w:rPr>
      </w:pPr>
    </w:p>
    <w:p w:rsidR="00F74464" w:rsidRPr="00F74464" w:rsidRDefault="007F240A" w:rsidP="00F74464">
      <w:pPr>
        <w:pStyle w:val="Default"/>
        <w:spacing w:line="360" w:lineRule="auto"/>
        <w:rPr>
          <w:szCs w:val="23"/>
        </w:rPr>
      </w:pPr>
      <w:r>
        <w:rPr>
          <w:szCs w:val="23"/>
        </w:rPr>
        <w:tab/>
      </w:r>
      <w:r>
        <w:rPr>
          <w:szCs w:val="23"/>
        </w:rPr>
        <w:tab/>
      </w:r>
      <w:r w:rsidR="00F74464" w:rsidRPr="00F74464">
        <w:rPr>
          <w:szCs w:val="23"/>
        </w:rPr>
        <w:t>The practice of providing natural gas distribution to overlapping service territories is commonly referred to as gas-on-gas competition.</w:t>
      </w:r>
      <w:r w:rsidR="00F74464" w:rsidRPr="00F74464">
        <w:rPr>
          <w:rStyle w:val="FootnoteReference"/>
          <w:szCs w:val="23"/>
        </w:rPr>
        <w:footnoteReference w:id="1"/>
      </w:r>
      <w:r w:rsidR="00F74464" w:rsidRPr="00F74464">
        <w:rPr>
          <w:szCs w:val="23"/>
        </w:rPr>
        <w:t xml:space="preserve"> </w:t>
      </w:r>
      <w:r w:rsidR="001D12D2">
        <w:rPr>
          <w:szCs w:val="23"/>
        </w:rPr>
        <w:t xml:space="preserve"> </w:t>
      </w:r>
      <w:r w:rsidR="00F74464" w:rsidRPr="00F74464">
        <w:rPr>
          <w:szCs w:val="23"/>
        </w:rPr>
        <w:t xml:space="preserve">The Commission approves the maximum rates, fees and other charges that NGDCs charge for natural gas distribution. </w:t>
      </w:r>
      <w:r w:rsidR="001D12D2">
        <w:rPr>
          <w:szCs w:val="23"/>
        </w:rPr>
        <w:t xml:space="preserve"> </w:t>
      </w:r>
      <w:r w:rsidR="00F74464" w:rsidRPr="00F74464">
        <w:rPr>
          <w:szCs w:val="23"/>
        </w:rPr>
        <w:t>The practice of gas-on-gas competition allows NGDCs to negotiate distribution rates with individual nonresidential customers that are below the approved maximum tariff rate established by the Commission.</w:t>
      </w:r>
      <w:r w:rsidR="00F74464" w:rsidRPr="00F74464">
        <w:rPr>
          <w:rStyle w:val="FootnoteReference"/>
          <w:szCs w:val="23"/>
        </w:rPr>
        <w:footnoteReference w:id="2"/>
      </w:r>
      <w:r w:rsidR="00F74464" w:rsidRPr="00F74464">
        <w:rPr>
          <w:szCs w:val="23"/>
        </w:rPr>
        <w:t xml:space="preserve"> </w:t>
      </w:r>
      <w:r w:rsidR="00644ABB">
        <w:rPr>
          <w:szCs w:val="23"/>
        </w:rPr>
        <w:t xml:space="preserve"> </w:t>
      </w:r>
      <w:r w:rsidR="00F74464" w:rsidRPr="00F74464">
        <w:rPr>
          <w:szCs w:val="23"/>
        </w:rPr>
        <w:t>Flex Rate NGDCs are incentivized, with Commission approval, to compete for individual nonresidential customers by offering individual nonresidential customers natural gas distribution at prices less than the approved maximum tariff rate.</w:t>
      </w:r>
      <w:r w:rsidR="00F74464" w:rsidRPr="00F74464">
        <w:rPr>
          <w:rStyle w:val="FootnoteReference"/>
          <w:szCs w:val="23"/>
        </w:rPr>
        <w:footnoteReference w:id="3"/>
      </w:r>
      <w:r w:rsidR="00C0339A">
        <w:rPr>
          <w:szCs w:val="23"/>
        </w:rPr>
        <w:t xml:space="preserve"> </w:t>
      </w:r>
      <w:r w:rsidR="00F74464" w:rsidRPr="00F74464">
        <w:rPr>
          <w:szCs w:val="23"/>
        </w:rPr>
        <w:t xml:space="preserve"> Flex Rate NGDCs also compete in terms of quality of service and by offering other incentives.</w:t>
      </w:r>
    </w:p>
    <w:p w:rsidR="00F74464" w:rsidRPr="00F74464" w:rsidRDefault="00F74464" w:rsidP="00C0339A">
      <w:pPr>
        <w:pStyle w:val="Default"/>
        <w:tabs>
          <w:tab w:val="left" w:pos="2130"/>
        </w:tabs>
        <w:spacing w:line="360" w:lineRule="auto"/>
        <w:rPr>
          <w:szCs w:val="23"/>
        </w:rPr>
      </w:pPr>
    </w:p>
    <w:p w:rsidR="00F74464" w:rsidRPr="00F74464" w:rsidRDefault="007F240A" w:rsidP="00F74464">
      <w:pPr>
        <w:pStyle w:val="Default"/>
        <w:spacing w:line="360" w:lineRule="auto"/>
        <w:rPr>
          <w:szCs w:val="23"/>
        </w:rPr>
      </w:pPr>
      <w:r>
        <w:rPr>
          <w:szCs w:val="23"/>
        </w:rPr>
        <w:tab/>
      </w:r>
      <w:r>
        <w:rPr>
          <w:szCs w:val="23"/>
        </w:rPr>
        <w:tab/>
      </w:r>
      <w:r w:rsidR="00F74464" w:rsidRPr="00F74464">
        <w:rPr>
          <w:szCs w:val="23"/>
        </w:rPr>
        <w:t>Revenue shortfalls result from Flex Rate NGDCs providing service at a rate to individual nonresidential customers (also known as flex customers) that is discounted relative to the full tariff rate.</w:t>
      </w:r>
      <w:r w:rsidR="00F74464" w:rsidRPr="00F74464">
        <w:rPr>
          <w:rStyle w:val="FootnoteReference"/>
          <w:szCs w:val="23"/>
        </w:rPr>
        <w:footnoteReference w:id="4"/>
      </w:r>
      <w:r w:rsidR="00F74464" w:rsidRPr="00F74464">
        <w:rPr>
          <w:szCs w:val="23"/>
        </w:rPr>
        <w:t xml:space="preserve"> </w:t>
      </w:r>
      <w:r w:rsidR="00D5336C">
        <w:rPr>
          <w:szCs w:val="23"/>
        </w:rPr>
        <w:t xml:space="preserve"> </w:t>
      </w:r>
      <w:r w:rsidR="00F74464" w:rsidRPr="00F74464">
        <w:rPr>
          <w:szCs w:val="23"/>
        </w:rPr>
        <w:t>The revenue shortfall that results is commonly referred to as a “Discount Adjustment.”</w:t>
      </w:r>
      <w:r w:rsidR="00F74464" w:rsidRPr="00F74464">
        <w:rPr>
          <w:rStyle w:val="FootnoteReference"/>
          <w:szCs w:val="23"/>
        </w:rPr>
        <w:footnoteReference w:id="5"/>
      </w:r>
      <w:r w:rsidR="00F74464" w:rsidRPr="00F74464">
        <w:rPr>
          <w:szCs w:val="23"/>
        </w:rPr>
        <w:t xml:space="preserve"> </w:t>
      </w:r>
      <w:r w:rsidR="00D5336C">
        <w:rPr>
          <w:szCs w:val="23"/>
        </w:rPr>
        <w:t xml:space="preserve"> </w:t>
      </w:r>
      <w:r w:rsidR="00F74464" w:rsidRPr="00F74464">
        <w:rPr>
          <w:szCs w:val="23"/>
        </w:rPr>
        <w:t xml:space="preserve">Customers that are not provided discounted rates make up for the revenue shortfall. </w:t>
      </w:r>
      <w:r w:rsidR="00D5336C">
        <w:rPr>
          <w:szCs w:val="23"/>
        </w:rPr>
        <w:t xml:space="preserve"> </w:t>
      </w:r>
      <w:r w:rsidR="00F74464" w:rsidRPr="00F74464">
        <w:rPr>
          <w:szCs w:val="23"/>
        </w:rPr>
        <w:t>They are “captive customers.”</w:t>
      </w:r>
    </w:p>
    <w:p w:rsidR="00F74464" w:rsidRPr="00F74464" w:rsidRDefault="00F74464" w:rsidP="00F74464">
      <w:pPr>
        <w:pStyle w:val="Default"/>
        <w:spacing w:line="360" w:lineRule="auto"/>
        <w:rPr>
          <w:szCs w:val="23"/>
        </w:rPr>
      </w:pPr>
    </w:p>
    <w:p w:rsidR="00A27F13" w:rsidRDefault="007F240A" w:rsidP="00A27F13">
      <w:pPr>
        <w:pStyle w:val="Default"/>
        <w:spacing w:line="360" w:lineRule="auto"/>
        <w:rPr>
          <w:szCs w:val="23"/>
        </w:rPr>
      </w:pPr>
      <w:r>
        <w:rPr>
          <w:szCs w:val="23"/>
        </w:rPr>
        <w:tab/>
      </w:r>
      <w:r w:rsidR="00DA1AA5">
        <w:rPr>
          <w:szCs w:val="23"/>
        </w:rPr>
        <w:tab/>
      </w:r>
      <w:r w:rsidR="00A27F13">
        <w:rPr>
          <w:szCs w:val="23"/>
        </w:rPr>
        <w:t>Gas-on-gas discounting occurs in four NGDCs’ ser</w:t>
      </w:r>
      <w:r w:rsidR="00B3178B">
        <w:rPr>
          <w:szCs w:val="23"/>
        </w:rPr>
        <w:t>vice territories, including: 1) </w:t>
      </w:r>
      <w:r w:rsidR="00A27F13">
        <w:rPr>
          <w:szCs w:val="23"/>
        </w:rPr>
        <w:t xml:space="preserve">Columbia; 2) Equitable; 3) Peoples; and 4) PTWP.  </w:t>
      </w:r>
      <w:r w:rsidR="00A27F13" w:rsidRPr="00F74464">
        <w:rPr>
          <w:szCs w:val="23"/>
        </w:rPr>
        <w:t>Equitable merged with Peoples/PTW</w:t>
      </w:r>
      <w:r w:rsidR="00A27F13">
        <w:rPr>
          <w:szCs w:val="23"/>
        </w:rPr>
        <w:t xml:space="preserve">P during the course of this proceeding; however, despite this merger, discounting has not yet been eliminated in those service territories and flex discount rates are extended through contract terms, some ending December 31, 2016 and some ending December 31, 2018.  Regarding the earlier Peoples/PTWP merger, flex rate discounts are extended at least through December 31, 2016.  OSBA St. No. 1 at 5-6.  Regarding the Peoples/Equitable merger, the parties agreed to extend existing flex rate discounts to customers lying in both Peoples/PTWP and Equitable service territories through December 31, 2018, or through the end of the contract by its own terms, whichever is later.  </w:t>
      </w:r>
      <w:proofErr w:type="gramStart"/>
      <w:r w:rsidR="00A27F13">
        <w:rPr>
          <w:szCs w:val="23"/>
        </w:rPr>
        <w:t>OSBA Statement No. 1 at 6.</w:t>
      </w:r>
      <w:proofErr w:type="gramEnd"/>
    </w:p>
    <w:p w:rsidR="00A27F13" w:rsidRDefault="00A27F13" w:rsidP="00A27F13">
      <w:pPr>
        <w:pStyle w:val="Default"/>
        <w:spacing w:line="360" w:lineRule="auto"/>
        <w:rPr>
          <w:szCs w:val="23"/>
        </w:rPr>
      </w:pPr>
    </w:p>
    <w:p w:rsidR="00A27F13" w:rsidRDefault="00A27F13" w:rsidP="00B3178B">
      <w:pPr>
        <w:pStyle w:val="Default"/>
        <w:spacing w:line="360" w:lineRule="auto"/>
      </w:pPr>
      <w:r>
        <w:rPr>
          <w:szCs w:val="23"/>
        </w:rPr>
        <w:tab/>
      </w:r>
      <w:r>
        <w:rPr>
          <w:szCs w:val="23"/>
        </w:rPr>
        <w:tab/>
        <w:t xml:space="preserve">Thus, these mergers have had no immediate impact upon customers with respect to gas-on-gas discounting.  </w:t>
      </w:r>
      <w:r>
        <w:t xml:space="preserve">Approximately 401 commercial and industrial customers located in western Pennsylvania are located in territories served by two or more natural gas distribution companies.  OSBA St. No. 1, p. 5.  Gas-on-gas discounting involves 15.8 Bcf per year of gas.  The competing NGDCs discount their tariff rates in order to retain current customers or induce prospective large customers to switch service.   If Peoples’ and </w:t>
      </w:r>
      <w:proofErr w:type="spellStart"/>
      <w:r w:rsidR="00A037EB">
        <w:t>Equitable’s</w:t>
      </w:r>
      <w:proofErr w:type="spellEnd"/>
      <w:r>
        <w:t xml:space="preserve"> discounting were eliminated, the issue would affect 74 instead of 401 commercial customers in Pennsylvania and would involve $4.3 million instead of $19 million in annual shortfall revenue which is apparently the burden of the current captive customers in these territories to bear.  Further, the amount of gas at issue would be reduced from 15.8 Bcf to 4.9 </w:t>
      </w:r>
      <w:r w:rsidR="00A037EB">
        <w:t xml:space="preserve">Bcf </w:t>
      </w:r>
      <w:r>
        <w:t>per year of gas.  OSBA St. No. 1 at 5-6.</w:t>
      </w:r>
    </w:p>
    <w:p w:rsidR="00C43C58" w:rsidRPr="00F74464" w:rsidRDefault="00C43C58" w:rsidP="00B3178B">
      <w:pPr>
        <w:pStyle w:val="Default"/>
        <w:spacing w:line="360" w:lineRule="auto"/>
        <w:rPr>
          <w:szCs w:val="23"/>
        </w:rPr>
      </w:pPr>
    </w:p>
    <w:p w:rsidR="007F240A" w:rsidRPr="00B3178B" w:rsidRDefault="007F240A" w:rsidP="00B3178B">
      <w:pPr>
        <w:spacing w:line="360" w:lineRule="auto"/>
        <w:jc w:val="center"/>
        <w:rPr>
          <w:u w:val="single"/>
        </w:rPr>
      </w:pPr>
      <w:r w:rsidRPr="00B3178B">
        <w:rPr>
          <w:u w:val="single"/>
        </w:rPr>
        <w:t>HISTORY OF THE PROCEEDING</w:t>
      </w:r>
    </w:p>
    <w:p w:rsidR="00F74464" w:rsidRPr="00F74464" w:rsidRDefault="00F74464" w:rsidP="00B3178B">
      <w:pPr>
        <w:pStyle w:val="Default"/>
        <w:spacing w:line="360" w:lineRule="auto"/>
      </w:pPr>
    </w:p>
    <w:p w:rsidR="00F74464" w:rsidRDefault="00F74464" w:rsidP="00B3178B">
      <w:pPr>
        <w:spacing w:line="360" w:lineRule="auto"/>
        <w:ind w:firstLine="1440"/>
      </w:pPr>
      <w:r w:rsidRPr="00F74464">
        <w:t xml:space="preserve">This generic investigation arose from settlement agreements with </w:t>
      </w:r>
      <w:r w:rsidRPr="00F74464">
        <w:rPr>
          <w:szCs w:val="23"/>
        </w:rPr>
        <w:t xml:space="preserve">Flex Rate NGDCs </w:t>
      </w:r>
      <w:r w:rsidRPr="00F74464">
        <w:t xml:space="preserve">who uniformly agreed that it was appropriate to address gas-on-gas competition in one proceeding. </w:t>
      </w:r>
      <w:r w:rsidR="00C052B8">
        <w:t xml:space="preserve"> </w:t>
      </w:r>
      <w:r w:rsidRPr="00F74464">
        <w:t xml:space="preserve">Accordingly, </w:t>
      </w:r>
      <w:r w:rsidR="0000235D">
        <w:t>o</w:t>
      </w:r>
      <w:r>
        <w:t>n December 8, 2011, the Bureau of Investigation and Enforcement (</w:t>
      </w:r>
      <w:r w:rsidR="009C01A7">
        <w:t>B</w:t>
      </w:r>
      <w:r>
        <w:t>I&amp;E</w:t>
      </w:r>
      <w:r w:rsidR="009C01A7">
        <w:t xml:space="preserve"> or I&amp;E</w:t>
      </w:r>
      <w:r>
        <w:t xml:space="preserve">), the Office of Consumer Advocate (OCA), Office of Small Business Advocate (OSBA), Peoples TWP LLC </w:t>
      </w:r>
      <w:r w:rsidR="002E0838">
        <w:t xml:space="preserve">(Peoples TWP) </w:t>
      </w:r>
      <w:r>
        <w:t>and Peoples Natural Gas Company (Peoples)(together “Joint Petitioners”) jointly filed a petition in which they requested the Commission institute an investigation or rulemaking proceeding to address dist</w:t>
      </w:r>
      <w:r w:rsidR="00C052B8">
        <w:t xml:space="preserve">ribution base rate discounting </w:t>
      </w:r>
      <w:r>
        <w:t>among natural gas distribution companies (NGDCs) with overlapping service territories, often referred to as “gas-on-gas” competition.</w:t>
      </w:r>
    </w:p>
    <w:p w:rsidR="00F74464" w:rsidRPr="00F74464" w:rsidRDefault="00F74464" w:rsidP="00F74464">
      <w:pPr>
        <w:pStyle w:val="Default"/>
        <w:spacing w:line="360" w:lineRule="auto"/>
      </w:pPr>
    </w:p>
    <w:p w:rsidR="00F74464" w:rsidRPr="00F74464" w:rsidRDefault="00F74464" w:rsidP="00F74464">
      <w:pPr>
        <w:spacing w:line="360" w:lineRule="auto"/>
        <w:ind w:firstLine="1440"/>
      </w:pPr>
      <w:r>
        <w:t xml:space="preserve">On December 28, 2011, the Industrial Energy Consumers of Pennsylvania (IECPA) filed an Answer not opposing an investigation or rulemaking regarding gas-on-gas competition, asserting that current public policy supports the continued use of customer-specific discount rates based on overlapping NGDC service territories.  </w:t>
      </w:r>
      <w:r w:rsidRPr="00F74464">
        <w:t>Columbia filed a petition to intervene on March 19, 2012.</w:t>
      </w:r>
    </w:p>
    <w:p w:rsidR="00F74464" w:rsidRPr="00F74464" w:rsidRDefault="00F74464" w:rsidP="00F74464">
      <w:pPr>
        <w:pStyle w:val="Default"/>
        <w:spacing w:line="360" w:lineRule="auto"/>
      </w:pPr>
    </w:p>
    <w:p w:rsidR="00F74464" w:rsidRPr="00F74464" w:rsidRDefault="00F74464" w:rsidP="00F74464">
      <w:pPr>
        <w:pStyle w:val="Default"/>
        <w:spacing w:line="360" w:lineRule="auto"/>
      </w:pPr>
      <w:r>
        <w:tab/>
      </w:r>
      <w:r>
        <w:tab/>
      </w:r>
      <w:r w:rsidRPr="00F74464">
        <w:t>On July 25, 2012, the Commission issued a Secretarial Letter directing the Office of Administrative Law Judge</w:t>
      </w:r>
      <w:r>
        <w:t xml:space="preserve"> (OALJ)</w:t>
      </w:r>
      <w:r w:rsidRPr="00F74464">
        <w:t xml:space="preserve"> to initiate a generic proceeding to address “the issues related to an NGDC’s flexing of distribution rates to meet the lower rates from other NGDCs and the treatment of flexed revenues for ratemaking purposes in future ratemaking proceedings.”</w:t>
      </w:r>
      <w:r w:rsidRPr="00F74464">
        <w:rPr>
          <w:rStyle w:val="FootnoteReference"/>
        </w:rPr>
        <w:footnoteReference w:id="6"/>
      </w:r>
      <w:r w:rsidRPr="00F74464">
        <w:t xml:space="preserve"> </w:t>
      </w:r>
      <w:r w:rsidR="00025B1E">
        <w:t xml:space="preserve"> </w:t>
      </w:r>
      <w:r w:rsidRPr="00F74464">
        <w:t>The Commission invited other parties to file interventions in order to participate in the proceeding.</w:t>
      </w:r>
    </w:p>
    <w:p w:rsidR="00F74464" w:rsidRPr="00F74464" w:rsidRDefault="00F74464" w:rsidP="00F74464">
      <w:pPr>
        <w:pStyle w:val="Default"/>
        <w:spacing w:line="360" w:lineRule="auto"/>
      </w:pPr>
    </w:p>
    <w:p w:rsidR="00F74464" w:rsidRPr="00F74464" w:rsidRDefault="00F74464" w:rsidP="00F74464">
      <w:pPr>
        <w:pStyle w:val="Default"/>
        <w:spacing w:line="360" w:lineRule="auto"/>
      </w:pPr>
      <w:r>
        <w:tab/>
      </w:r>
      <w:r>
        <w:tab/>
        <w:t>Petitions to Intervene</w:t>
      </w:r>
      <w:r w:rsidRPr="00F74464">
        <w:t xml:space="preserve"> were subsequently filed by UGI Utilities, Inc. – Gas Division, UGI Penn Natural Gas, Inc. and UGI Central Penn Gas, Inc. (collectively UGI Distribution Companies) on August 9, 2012</w:t>
      </w:r>
      <w:r>
        <w:t>;</w:t>
      </w:r>
      <w:r w:rsidRPr="00F74464">
        <w:t xml:space="preserve"> National Fuel Gas Distribution Corporation (NFGD</w:t>
      </w:r>
      <w:r w:rsidR="00E406D8">
        <w:t xml:space="preserve"> or National Fuel</w:t>
      </w:r>
      <w:r w:rsidRPr="00F74464">
        <w:t>) on August 15, 2012; the Pennsylvania State University (PSU) on Aug</w:t>
      </w:r>
      <w:r w:rsidR="00843852">
        <w:t xml:space="preserve">ust 17, </w:t>
      </w:r>
      <w:r w:rsidRPr="00F74464">
        <w:t>2012; PECO Energy Company (PECO) on Augus</w:t>
      </w:r>
      <w:r w:rsidR="00D407E5">
        <w:t>t 22, 2012; Equitable on August 23, </w:t>
      </w:r>
      <w:r w:rsidRPr="00F74464">
        <w:t>2012; and IECPA on August 28, 2012.</w:t>
      </w:r>
    </w:p>
    <w:p w:rsidR="00F74464" w:rsidRPr="00F74464" w:rsidRDefault="00F74464" w:rsidP="00F74464">
      <w:pPr>
        <w:pStyle w:val="Default"/>
        <w:spacing w:line="360" w:lineRule="auto"/>
      </w:pPr>
    </w:p>
    <w:p w:rsidR="00F74464" w:rsidRDefault="00F74464" w:rsidP="00F74464">
      <w:pPr>
        <w:pStyle w:val="Default"/>
        <w:spacing w:line="360" w:lineRule="auto"/>
      </w:pPr>
      <w:r>
        <w:tab/>
      </w:r>
      <w:r>
        <w:tab/>
      </w:r>
      <w:r w:rsidRPr="00F74464">
        <w:t xml:space="preserve">On August 9, 2012, the Commission issued a Notice that an initial prehearing conference would be held in the investigation on August 31, 2012. </w:t>
      </w:r>
      <w:r w:rsidR="00024B10">
        <w:t xml:space="preserve"> </w:t>
      </w:r>
      <w:r w:rsidR="007F240A">
        <w:t>I</w:t>
      </w:r>
      <w:r w:rsidRPr="00F74464">
        <w:t xml:space="preserve"> issued a Prehearing Conference Order on August 23, 2012. </w:t>
      </w:r>
    </w:p>
    <w:p w:rsidR="007F240A" w:rsidRDefault="007F240A" w:rsidP="007F240A">
      <w:pPr>
        <w:spacing w:line="360" w:lineRule="auto"/>
      </w:pPr>
      <w:r>
        <w:tab/>
      </w:r>
      <w:r>
        <w:tab/>
        <w:t>On August 31, 2012, a Prehearing Conference was held; however, the parties disputed the Commission’s intended scope of the generic investigation.  Thereafter, on December 11, 2012, I issued an Order determining that the investigation should include an analysis of the full impact of flexing distribution rates in order to address whether gas-on-gas competition should be allowed to continue, and if so, whether any modifications to the current practice were necessary.</w:t>
      </w:r>
    </w:p>
    <w:p w:rsidR="007F240A" w:rsidRDefault="007F240A" w:rsidP="007F240A">
      <w:pPr>
        <w:spacing w:line="360" w:lineRule="auto"/>
      </w:pPr>
    </w:p>
    <w:p w:rsidR="00F74464" w:rsidRPr="00F74464" w:rsidRDefault="007F240A" w:rsidP="00F74464">
      <w:pPr>
        <w:pStyle w:val="Default"/>
        <w:spacing w:line="360" w:lineRule="auto"/>
      </w:pPr>
      <w:r>
        <w:tab/>
      </w:r>
      <w:r>
        <w:tab/>
      </w:r>
      <w:r w:rsidR="00F74464" w:rsidRPr="00F74464">
        <w:t xml:space="preserve">An initial prehearing conference </w:t>
      </w:r>
      <w:r>
        <w:t>took place</w:t>
      </w:r>
      <w:r w:rsidR="00F74464" w:rsidRPr="00F74464">
        <w:t xml:space="preserve"> on August 31, 2012 to discuss the proposed procedural and substantive scope of the instant proceeding.</w:t>
      </w:r>
      <w:r w:rsidR="00402BCF">
        <w:t xml:space="preserve"> </w:t>
      </w:r>
      <w:r w:rsidR="00F74464" w:rsidRPr="00F74464">
        <w:t xml:space="preserve"> By prehearing order dated August 31, 2012, </w:t>
      </w:r>
      <w:r>
        <w:t xml:space="preserve">the parties were </w:t>
      </w:r>
      <w:r w:rsidR="00F74464" w:rsidRPr="00F74464">
        <w:t xml:space="preserve">directed to file formal comments regarding the scope of the generic investigation and the exact issues to be involved. </w:t>
      </w:r>
      <w:r w:rsidR="00402BCF">
        <w:t xml:space="preserve"> </w:t>
      </w:r>
      <w:r w:rsidR="00F74464" w:rsidRPr="00F74464">
        <w:t>Comments</w:t>
      </w:r>
      <w:r w:rsidR="00402BCF">
        <w:t xml:space="preserve"> as to the scope were filed by </w:t>
      </w:r>
      <w:r w:rsidR="00F74464" w:rsidRPr="00F74464">
        <w:t>OCA, OSBA, BI&amp;E, IECPA, Equitable, Columbia and PSU on October 1, 2012 and by NFGD on October 3, 2012.</w:t>
      </w:r>
      <w:r w:rsidR="009C01A7">
        <w:t xml:space="preserve">  Peoples addressed the scope in its prehearing conference memorandum.</w:t>
      </w:r>
    </w:p>
    <w:p w:rsidR="00F74464" w:rsidRPr="00F74464" w:rsidRDefault="00F74464" w:rsidP="00F74464">
      <w:pPr>
        <w:pStyle w:val="Default"/>
        <w:spacing w:line="360" w:lineRule="auto"/>
      </w:pPr>
    </w:p>
    <w:p w:rsidR="00F74464" w:rsidRPr="00F74464" w:rsidRDefault="007F240A" w:rsidP="00F74464">
      <w:pPr>
        <w:pStyle w:val="Default"/>
        <w:spacing w:line="360" w:lineRule="auto"/>
      </w:pPr>
      <w:r>
        <w:tab/>
      </w:r>
      <w:r>
        <w:tab/>
      </w:r>
      <w:r w:rsidR="00F74464" w:rsidRPr="00F74464">
        <w:t>A Petition to Intervene was filed by Pennsylvania Independent Oil &amp; Gas Producer’s Association (PIOGA) on November 30, 2012.</w:t>
      </w:r>
    </w:p>
    <w:p w:rsidR="00F74464" w:rsidRPr="00F74464" w:rsidRDefault="00F74464" w:rsidP="00F74464">
      <w:pPr>
        <w:pStyle w:val="Default"/>
        <w:spacing w:line="360" w:lineRule="auto"/>
      </w:pPr>
    </w:p>
    <w:p w:rsidR="00F74464" w:rsidRPr="00F74464" w:rsidRDefault="007F240A" w:rsidP="00F74464">
      <w:pPr>
        <w:pStyle w:val="Default"/>
        <w:spacing w:line="360" w:lineRule="auto"/>
      </w:pPr>
      <w:r>
        <w:tab/>
      </w:r>
      <w:r>
        <w:tab/>
      </w:r>
      <w:r w:rsidR="00F74464" w:rsidRPr="00F74464">
        <w:t>By Order dated December 11, 2012,</w:t>
      </w:r>
      <w:r w:rsidR="00211D6A">
        <w:t xml:space="preserve"> I</w:t>
      </w:r>
      <w:r w:rsidR="00F74464" w:rsidRPr="00F74464">
        <w:t xml:space="preserve"> determined that the investigation should include an analysis of the full impact of flexing distribution rates in order to address whether gas-on-gas competition should be allowed to continue, and if so, whether any modifications to the current practice are necessary. </w:t>
      </w:r>
      <w:r w:rsidR="00F52536">
        <w:t xml:space="preserve"> </w:t>
      </w:r>
      <w:r w:rsidR="00F74464" w:rsidRPr="00F74464">
        <w:t>The Order also directed a further Prehearing Conference to be held on January 24, 2013.</w:t>
      </w:r>
    </w:p>
    <w:p w:rsidR="00F74464" w:rsidRPr="00F74464" w:rsidRDefault="00F74464" w:rsidP="00F74464">
      <w:pPr>
        <w:pStyle w:val="Default"/>
        <w:spacing w:line="360" w:lineRule="auto"/>
      </w:pPr>
    </w:p>
    <w:p w:rsidR="00F74464" w:rsidRPr="00F74464" w:rsidRDefault="007F240A" w:rsidP="00F74464">
      <w:pPr>
        <w:pStyle w:val="Default"/>
        <w:spacing w:line="360" w:lineRule="auto"/>
      </w:pPr>
      <w:r>
        <w:tab/>
      </w:r>
      <w:r>
        <w:tab/>
      </w:r>
      <w:r w:rsidR="00F74464" w:rsidRPr="00F74464">
        <w:t>Duquesne Light Company (Duquesne) filed a P</w:t>
      </w:r>
      <w:r w:rsidR="00B3178B">
        <w:t xml:space="preserve">etition to Intervene on January 4, </w:t>
      </w:r>
      <w:r w:rsidR="00F74464" w:rsidRPr="00F74464">
        <w:t>2013.</w:t>
      </w:r>
    </w:p>
    <w:p w:rsidR="00F74464" w:rsidRPr="00F74464" w:rsidRDefault="00F74464" w:rsidP="00F74464">
      <w:pPr>
        <w:pStyle w:val="Default"/>
        <w:spacing w:line="360" w:lineRule="auto"/>
      </w:pPr>
    </w:p>
    <w:p w:rsidR="00F74464" w:rsidRPr="00F74464" w:rsidRDefault="007F240A" w:rsidP="00F74464">
      <w:pPr>
        <w:pStyle w:val="Default"/>
        <w:spacing w:line="360" w:lineRule="auto"/>
      </w:pPr>
      <w:r>
        <w:tab/>
      </w:r>
      <w:r>
        <w:tab/>
      </w:r>
      <w:r w:rsidR="00F74464" w:rsidRPr="00F74464">
        <w:t xml:space="preserve">On January 23, 2013, Peoples filed a Motion to Hold Proceeding in Abeyance Pending Final Action in the Proposed Acquisition of Equitable by Peoples (Abeyance Motion). </w:t>
      </w:r>
      <w:r w:rsidR="000615B4">
        <w:t xml:space="preserve"> </w:t>
      </w:r>
      <w:r w:rsidR="00F74464" w:rsidRPr="00F74464">
        <w:t>Second Prehearing Memoranda were served by Peoples/Peoples TWP, OSBA and UGI on January 23, 2013.</w:t>
      </w:r>
    </w:p>
    <w:p w:rsidR="00F74464" w:rsidRPr="00F74464" w:rsidRDefault="007F240A" w:rsidP="00F74464">
      <w:pPr>
        <w:pStyle w:val="Default"/>
        <w:spacing w:line="360" w:lineRule="auto"/>
      </w:pPr>
      <w:r>
        <w:tab/>
      </w:r>
      <w:r>
        <w:tab/>
      </w:r>
      <w:r w:rsidR="00F74464" w:rsidRPr="00F74464">
        <w:t xml:space="preserve">A procedural schedule was developed at the second prehearing conference held on January 24, 2013. </w:t>
      </w:r>
      <w:r w:rsidR="005C4420">
        <w:t xml:space="preserve"> </w:t>
      </w:r>
      <w:r w:rsidR="00F74464" w:rsidRPr="00F74464">
        <w:t xml:space="preserve">By written Order dated January 25, 2013, </w:t>
      </w:r>
      <w:r w:rsidR="00211D6A">
        <w:t>I</w:t>
      </w:r>
      <w:r w:rsidR="00F74464" w:rsidRPr="00F74464">
        <w:t xml:space="preserve"> modified certain discovery rules, denied a request by Peoples to hold OSBA discovery in abeyance pending resolution of Peoples’ Abeyance Motion, directed that Answers to Peoples’ Abeyance Motion be filed by February 1, 2013, and granted the petitions to intervene of PIOGA and Duquesne. Answers to Peoples’ Abeyance Motion were filed by OCA, OSBA and IECPA on February 1, 2013. </w:t>
      </w:r>
      <w:r w:rsidR="005C4420">
        <w:t xml:space="preserve"> </w:t>
      </w:r>
      <w:r w:rsidR="00F74464" w:rsidRPr="00F74464">
        <w:t>PIOGA and Peoples TWP filed letter answers in support of Peoples’ Abeyanc</w:t>
      </w:r>
      <w:r w:rsidR="00B3178B">
        <w:t xml:space="preserve">e Motion on February </w:t>
      </w:r>
      <w:r w:rsidR="005C4420">
        <w:t>1,</w:t>
      </w:r>
      <w:r w:rsidR="00B3178B">
        <w:t xml:space="preserve"> </w:t>
      </w:r>
      <w:r w:rsidR="00F74464" w:rsidRPr="00F74464">
        <w:t>2013.</w:t>
      </w:r>
    </w:p>
    <w:p w:rsidR="00F74464" w:rsidRPr="00F74464" w:rsidRDefault="00F74464" w:rsidP="00F74464">
      <w:pPr>
        <w:pStyle w:val="Default"/>
        <w:spacing w:line="360" w:lineRule="auto"/>
      </w:pPr>
    </w:p>
    <w:p w:rsidR="00F74464" w:rsidRPr="00F74464" w:rsidRDefault="007F240A" w:rsidP="00F74464">
      <w:pPr>
        <w:pStyle w:val="Default"/>
        <w:spacing w:line="360" w:lineRule="auto"/>
      </w:pPr>
      <w:r>
        <w:tab/>
      </w:r>
      <w:r>
        <w:tab/>
      </w:r>
      <w:r w:rsidR="00F74464" w:rsidRPr="00F74464">
        <w:t xml:space="preserve">By Scheduling Order dated February 5, 2013, </w:t>
      </w:r>
      <w:r>
        <w:t>I</w:t>
      </w:r>
      <w:r w:rsidR="00F74464" w:rsidRPr="00F74464">
        <w:t xml:space="preserve"> denied Peoples’ Abeyance Motion, set a procedural schedule for the proceeding, and addressed miscellaneous procedural matters.</w:t>
      </w:r>
    </w:p>
    <w:p w:rsidR="00F74464" w:rsidRPr="00F74464" w:rsidRDefault="00F74464" w:rsidP="00F74464">
      <w:pPr>
        <w:pStyle w:val="Default"/>
        <w:spacing w:line="360" w:lineRule="auto"/>
      </w:pPr>
    </w:p>
    <w:p w:rsidR="00F74464" w:rsidRPr="00F74464" w:rsidRDefault="007F240A" w:rsidP="00F74464">
      <w:pPr>
        <w:pStyle w:val="Default"/>
        <w:spacing w:line="360" w:lineRule="auto"/>
      </w:pPr>
      <w:r>
        <w:tab/>
      </w:r>
      <w:r>
        <w:tab/>
      </w:r>
      <w:r w:rsidR="00F74464" w:rsidRPr="00F74464">
        <w:t xml:space="preserve">On April 3, 2013, Peoples and Peoples TWP filed a Motion for Protective Order. </w:t>
      </w:r>
      <w:r w:rsidR="003B3B23">
        <w:t xml:space="preserve"> </w:t>
      </w:r>
      <w:r w:rsidR="00F74464" w:rsidRPr="00F74464">
        <w:t xml:space="preserve">A Joint Answer to the Motion was filed by BI&amp;E, OCA and OSBA on April 10, 2013. </w:t>
      </w:r>
      <w:r w:rsidR="003B3B23">
        <w:t xml:space="preserve"> </w:t>
      </w:r>
      <w:r w:rsidR="00F74464" w:rsidRPr="00F74464">
        <w:t>In the Joint Answer</w:t>
      </w:r>
      <w:r w:rsidR="00A037EB">
        <w:t>,</w:t>
      </w:r>
      <w:r w:rsidR="00F74464" w:rsidRPr="00F74464">
        <w:t xml:space="preserve"> BI&amp;E, OCA and OSBA requested an extension of the procedural schedule in the investigation by approximately two (2) months due to delays in the discovery process occurring as a result of disputes involving access to highly confidential information of a competitive nature. </w:t>
      </w:r>
      <w:r w:rsidR="003B3B23">
        <w:t xml:space="preserve"> </w:t>
      </w:r>
      <w:r w:rsidR="00F74464" w:rsidRPr="00F74464">
        <w:t xml:space="preserve">Answers to Peoples’ Motion were also filed by IECPA and PSU on April 10, 2013. </w:t>
      </w:r>
      <w:r w:rsidR="003B3B23">
        <w:t xml:space="preserve"> </w:t>
      </w:r>
      <w:r w:rsidR="00F74464" w:rsidRPr="00F74464">
        <w:t xml:space="preserve">On May 2, 2013, </w:t>
      </w:r>
      <w:r w:rsidR="00211D6A">
        <w:t>I</w:t>
      </w:r>
      <w:r w:rsidR="00F74464" w:rsidRPr="00F74464">
        <w:t xml:space="preserve"> issued a Protective Order containing special restrictions on access to highly confidential information of a competitive nature.</w:t>
      </w:r>
    </w:p>
    <w:p w:rsidR="00F74464" w:rsidRPr="00F74464" w:rsidRDefault="00F74464" w:rsidP="00F74464">
      <w:pPr>
        <w:pStyle w:val="Default"/>
        <w:spacing w:line="360" w:lineRule="auto"/>
      </w:pPr>
    </w:p>
    <w:p w:rsidR="00F74464" w:rsidRPr="00F74464" w:rsidRDefault="007F240A" w:rsidP="00F74464">
      <w:pPr>
        <w:pStyle w:val="Default"/>
        <w:spacing w:line="360" w:lineRule="auto"/>
      </w:pPr>
      <w:r>
        <w:tab/>
      </w:r>
      <w:r>
        <w:tab/>
      </w:r>
      <w:r w:rsidR="00F74464" w:rsidRPr="00F74464">
        <w:t xml:space="preserve">On May 15, 2013, Peoples/Peoples TWP and IECPA filed letters stating that they did not oppose the procedural schedule extension as requested by </w:t>
      </w:r>
      <w:r w:rsidR="00A037EB">
        <w:t xml:space="preserve">the Joint </w:t>
      </w:r>
      <w:r w:rsidR="00F74464" w:rsidRPr="00F74464">
        <w:t xml:space="preserve">Answer </w:t>
      </w:r>
      <w:r w:rsidR="00A037EB">
        <w:t xml:space="preserve">of </w:t>
      </w:r>
      <w:r w:rsidR="00F74464" w:rsidRPr="00F74464">
        <w:t xml:space="preserve">BI&amp;E, OCA and OSBA. </w:t>
      </w:r>
      <w:r w:rsidR="00034EE2">
        <w:t xml:space="preserve"> </w:t>
      </w:r>
      <w:r w:rsidR="00F74464" w:rsidRPr="00F74464">
        <w:t xml:space="preserve">The procedural schedule was amended and postponed by approximately two (2) months by Order dated May 16, 2013. </w:t>
      </w:r>
      <w:r w:rsidR="00034EE2">
        <w:t xml:space="preserve"> </w:t>
      </w:r>
      <w:r w:rsidR="00F74464" w:rsidRPr="00F74464">
        <w:t>A Notice issued by the Commission subsequently set evidentiary hearings for December 10-12, 2013.</w:t>
      </w:r>
    </w:p>
    <w:p w:rsidR="00F74464" w:rsidRPr="00F74464" w:rsidRDefault="00F74464" w:rsidP="00F74464">
      <w:pPr>
        <w:pStyle w:val="Default"/>
        <w:spacing w:line="360" w:lineRule="auto"/>
      </w:pPr>
    </w:p>
    <w:p w:rsidR="00F74464" w:rsidRPr="00F74464" w:rsidRDefault="007F240A" w:rsidP="00F74464">
      <w:pPr>
        <w:pStyle w:val="Default"/>
        <w:spacing w:line="360" w:lineRule="auto"/>
      </w:pPr>
      <w:r>
        <w:tab/>
      </w:r>
      <w:r>
        <w:tab/>
      </w:r>
      <w:r w:rsidR="001E33D5">
        <w:t>T</w:t>
      </w:r>
      <w:r w:rsidR="00F74464" w:rsidRPr="00F74464">
        <w:t>he parties exchanged direct, rebuttal and surrebuttal testimony pursuant to the revised procedural schedule.</w:t>
      </w:r>
    </w:p>
    <w:p w:rsidR="00F74464" w:rsidRPr="00F74464" w:rsidRDefault="00F74464" w:rsidP="00F74464">
      <w:pPr>
        <w:pStyle w:val="Default"/>
        <w:spacing w:line="360" w:lineRule="auto"/>
      </w:pPr>
    </w:p>
    <w:p w:rsidR="00F74464" w:rsidRPr="00F74464" w:rsidRDefault="007F240A" w:rsidP="00F74464">
      <w:pPr>
        <w:pStyle w:val="Default"/>
        <w:spacing w:line="360" w:lineRule="auto"/>
      </w:pPr>
      <w:r>
        <w:tab/>
      </w:r>
      <w:r>
        <w:tab/>
      </w:r>
      <w:r w:rsidR="00F74464" w:rsidRPr="00F74464">
        <w:t>IECPA filed a Motion for Clarification and Request for Expedited Consideration of the Protective Order on June 2</w:t>
      </w:r>
      <w:r w:rsidR="009C01A7">
        <w:t>4</w:t>
      </w:r>
      <w:r w:rsidR="00F74464" w:rsidRPr="00F74464">
        <w:t xml:space="preserve">, 2013. </w:t>
      </w:r>
      <w:r w:rsidR="00EF7C62">
        <w:t xml:space="preserve"> </w:t>
      </w:r>
      <w:r w:rsidR="00F74464" w:rsidRPr="00F74464">
        <w:t>Answers to IECPA’s Motion were filed by Peoples and Equitable on June 27, 2013 and Columbia on June 2</w:t>
      </w:r>
      <w:r w:rsidR="009C01A7">
        <w:t>7</w:t>
      </w:r>
      <w:r w:rsidR="00F74464" w:rsidRPr="00F74464">
        <w:t xml:space="preserve">, 2013. </w:t>
      </w:r>
      <w:r w:rsidR="00EF7C62">
        <w:t xml:space="preserve"> </w:t>
      </w:r>
      <w:r w:rsidR="00F74464" w:rsidRPr="00F74464">
        <w:t xml:space="preserve">By Order dated July 3, 2013, </w:t>
      </w:r>
      <w:r w:rsidR="00211D6A">
        <w:t>I</w:t>
      </w:r>
      <w:r w:rsidR="00924287">
        <w:t> </w:t>
      </w:r>
      <w:r w:rsidR="00F74464" w:rsidRPr="00F74464">
        <w:t>resolved IECPA’s Motion by clarifying the parties’ obligations under the Protective Order.</w:t>
      </w:r>
    </w:p>
    <w:p w:rsidR="00F74464" w:rsidRPr="00F74464" w:rsidRDefault="00F74464" w:rsidP="00F74464">
      <w:pPr>
        <w:pStyle w:val="Default"/>
        <w:spacing w:line="360" w:lineRule="auto"/>
      </w:pPr>
    </w:p>
    <w:p w:rsidR="00F74464" w:rsidRPr="00F74464" w:rsidRDefault="007F240A" w:rsidP="00F74464">
      <w:pPr>
        <w:pStyle w:val="Default"/>
        <w:spacing w:line="360" w:lineRule="auto"/>
      </w:pPr>
      <w:r>
        <w:tab/>
      </w:r>
      <w:r>
        <w:tab/>
      </w:r>
      <w:r w:rsidR="00F74464" w:rsidRPr="00F74464">
        <w:t>On July 18</w:t>
      </w:r>
      <w:r w:rsidR="002E0838">
        <w:t>,</w:t>
      </w:r>
      <w:r w:rsidR="00F74464" w:rsidRPr="00F74464">
        <w:t xml:space="preserve"> 2013, IECPA filed a Motion to </w:t>
      </w:r>
      <w:proofErr w:type="gramStart"/>
      <w:r w:rsidR="00F74464" w:rsidRPr="00F74464">
        <w:t>Compel</w:t>
      </w:r>
      <w:proofErr w:type="gramEnd"/>
      <w:r w:rsidR="00F74464" w:rsidRPr="00F74464">
        <w:t xml:space="preserve"> certain discovery responses by Peoples and Peoples TWP. </w:t>
      </w:r>
      <w:r w:rsidR="003A2BEE">
        <w:t xml:space="preserve"> </w:t>
      </w:r>
      <w:r w:rsidR="00F74464" w:rsidRPr="00F74464">
        <w:t>Peoples and Peoples TWP informed the Presiding Officer that the discovery dispute had been resolved, by letter filed July 23, 2013.</w:t>
      </w:r>
    </w:p>
    <w:p w:rsidR="00F74464" w:rsidRPr="00F74464" w:rsidRDefault="00F74464" w:rsidP="00F74464">
      <w:pPr>
        <w:pStyle w:val="Default"/>
        <w:spacing w:line="360" w:lineRule="auto"/>
      </w:pPr>
    </w:p>
    <w:p w:rsidR="00F74464" w:rsidRPr="00F74464" w:rsidRDefault="007F240A" w:rsidP="00F74464">
      <w:pPr>
        <w:pStyle w:val="Default"/>
        <w:spacing w:line="360" w:lineRule="auto"/>
      </w:pPr>
      <w:r>
        <w:tab/>
      </w:r>
      <w:r>
        <w:tab/>
      </w:r>
      <w:r w:rsidR="00F74464" w:rsidRPr="00F74464">
        <w:t xml:space="preserve">On July 25, 2013, Peoples filed a Motion to </w:t>
      </w:r>
      <w:proofErr w:type="gramStart"/>
      <w:r w:rsidR="00F74464" w:rsidRPr="00F74464">
        <w:t>Compel</w:t>
      </w:r>
      <w:proofErr w:type="gramEnd"/>
      <w:r w:rsidR="00F74464" w:rsidRPr="00F74464">
        <w:t xml:space="preserve"> certain discovery response</w:t>
      </w:r>
      <w:r w:rsidR="002E0838">
        <w:t>s</w:t>
      </w:r>
      <w:r w:rsidR="00F74464" w:rsidRPr="00F74464">
        <w:t xml:space="preserve"> by individual members of IECPA. IECPA filed an Answer on July 30, 2013. </w:t>
      </w:r>
      <w:r w:rsidR="003A2BEE">
        <w:t xml:space="preserve"> </w:t>
      </w:r>
      <w:r w:rsidR="00F74464" w:rsidRPr="00F74464">
        <w:t xml:space="preserve">By Order dated September 5, 2013, </w:t>
      </w:r>
      <w:r w:rsidR="00211D6A">
        <w:t>I</w:t>
      </w:r>
      <w:r w:rsidR="00F74464" w:rsidRPr="00F74464">
        <w:t xml:space="preserve"> directed IECPA to provide the discovery responses by September 20, 2013. </w:t>
      </w:r>
      <w:r w:rsidR="003A2BEE">
        <w:t xml:space="preserve"> </w:t>
      </w:r>
      <w:r w:rsidR="00F74464" w:rsidRPr="00F74464">
        <w:t xml:space="preserve">In response, IECPA filed a Petition for Interlocutory Review of a </w:t>
      </w:r>
      <w:r w:rsidR="00A037EB">
        <w:t>M</w:t>
      </w:r>
      <w:r w:rsidR="00F74464" w:rsidRPr="00F74464">
        <w:t xml:space="preserve">aterial Question on September 9, 2013, presenting new evidence regarding its status as a corporation. OSBA, Peoples and IECPA filed responsive briefs to IECPA’s Petition on September 16, 2013. </w:t>
      </w:r>
      <w:r w:rsidR="003A2BEE">
        <w:t xml:space="preserve"> </w:t>
      </w:r>
      <w:r w:rsidR="00F74464" w:rsidRPr="00F74464">
        <w:t xml:space="preserve">On September 18, 2013, IECPA filed a Motion to Stay its discovery obligations as directed by the Presiding Officer’s September 5, 2013 Order. </w:t>
      </w:r>
      <w:r w:rsidR="003A2BEE">
        <w:t xml:space="preserve"> </w:t>
      </w:r>
      <w:r w:rsidR="00F74464" w:rsidRPr="00F74464">
        <w:t xml:space="preserve">By Amended Order dated September 20, 2013, </w:t>
      </w:r>
      <w:r w:rsidR="00211D6A">
        <w:t>I</w:t>
      </w:r>
      <w:r w:rsidR="00F74464" w:rsidRPr="00F74464">
        <w:t xml:space="preserve"> </w:t>
      </w:r>
      <w:r w:rsidR="00F74464" w:rsidRPr="00F74464">
        <w:rPr>
          <w:i/>
        </w:rPr>
        <w:t>sua sponte</w:t>
      </w:r>
      <w:r w:rsidR="00F74464" w:rsidRPr="00F74464">
        <w:t xml:space="preserve"> treated IECPA’s Petition as a petition for reconsideration, </w:t>
      </w:r>
      <w:r w:rsidR="00211D6A">
        <w:t xml:space="preserve">and amended my </w:t>
      </w:r>
      <w:r w:rsidR="00F74464" w:rsidRPr="00F74464">
        <w:t xml:space="preserve">September 5, 2013 order in light of the new evidence presented by IECPA regarding its status as a corporation, </w:t>
      </w:r>
      <w:r w:rsidR="00211D6A">
        <w:t>denying</w:t>
      </w:r>
      <w:r w:rsidR="00F74464" w:rsidRPr="00F74464">
        <w:t xml:space="preserve"> Peoples’ Motion to Compel. </w:t>
      </w:r>
      <w:r w:rsidR="003A2BEE">
        <w:t xml:space="preserve"> </w:t>
      </w:r>
      <w:r w:rsidR="00F74464" w:rsidRPr="00F74464">
        <w:t xml:space="preserve">On September 23, 2013, OSBA filed an Objection to the Presiding Officer’s Amended Order. </w:t>
      </w:r>
      <w:r w:rsidR="003A2BEE">
        <w:t xml:space="preserve"> </w:t>
      </w:r>
      <w:r w:rsidR="00F74464" w:rsidRPr="00F74464">
        <w:t>No action was taken on OSBA’s objection.</w:t>
      </w:r>
      <w:r w:rsidR="00A037EB">
        <w:t xml:space="preserve">  Thus, it is denied.</w:t>
      </w:r>
    </w:p>
    <w:p w:rsidR="00F74464" w:rsidRPr="00F74464" w:rsidRDefault="00F74464" w:rsidP="00F74464">
      <w:pPr>
        <w:pStyle w:val="Default"/>
        <w:spacing w:line="360" w:lineRule="auto"/>
      </w:pPr>
    </w:p>
    <w:p w:rsidR="00F74464" w:rsidRPr="00F74464" w:rsidRDefault="007F240A" w:rsidP="00F74464">
      <w:pPr>
        <w:pStyle w:val="Default"/>
        <w:spacing w:line="360" w:lineRule="auto"/>
      </w:pPr>
      <w:r>
        <w:tab/>
      </w:r>
      <w:r>
        <w:tab/>
      </w:r>
      <w:r w:rsidR="00F74464" w:rsidRPr="00F74464">
        <w:t>Direct testimony and accompanying exhibits were served on August 8, 2013 by Peoples and Peoples TWP (Peoples/Peoples TWP St. No. 1 (</w:t>
      </w:r>
      <w:proofErr w:type="spellStart"/>
      <w:r w:rsidR="00F74464" w:rsidRPr="00F74464">
        <w:t>Gregorini</w:t>
      </w:r>
      <w:proofErr w:type="spellEnd"/>
      <w:r w:rsidR="00F74464" w:rsidRPr="00F74464">
        <w:t xml:space="preserve">)), OCA (OCA St. No. 1 (Watkins)), OSBA (OSBA St. No. 1 (Knecht)), BI&amp;E (BI&amp;E St. No. 1 (Cline)), Equitable (Equitable St. No. 1 (Scanlon)), and IECPA (IECPA St. No. 1 (Burgraff)). </w:t>
      </w:r>
      <w:r w:rsidR="00A34882">
        <w:t xml:space="preserve"> </w:t>
      </w:r>
      <w:r w:rsidR="00F74464" w:rsidRPr="00F74464">
        <w:t xml:space="preserve">Letters were filed on </w:t>
      </w:r>
      <w:r w:rsidR="009C01A7">
        <w:t>or about August 9, 2013</w:t>
      </w:r>
      <w:r w:rsidR="00F74464" w:rsidRPr="00F74464">
        <w:t xml:space="preserve"> by Columbia, UGI Distribution Companies, NFGD, Duquesne Light and PSU indicating that such parties would not be filing direct testimony.</w:t>
      </w:r>
    </w:p>
    <w:p w:rsidR="00F74464" w:rsidRPr="00F74464" w:rsidRDefault="00F74464" w:rsidP="00F74464">
      <w:pPr>
        <w:pStyle w:val="Default"/>
        <w:spacing w:line="360" w:lineRule="auto"/>
      </w:pPr>
    </w:p>
    <w:p w:rsidR="00F74464" w:rsidRPr="00F74464" w:rsidRDefault="007F240A" w:rsidP="00F74464">
      <w:pPr>
        <w:pStyle w:val="Default"/>
        <w:spacing w:line="360" w:lineRule="auto"/>
      </w:pPr>
      <w:r>
        <w:tab/>
      </w:r>
      <w:r>
        <w:tab/>
      </w:r>
      <w:r w:rsidR="00F74464" w:rsidRPr="00F74464">
        <w:t>Rebuttal testimony and accompanying exhibits were served on October 17, 2013 by Peoples and Peoples TWP (Peoples/Peoples TWP St. No. 1-R (</w:t>
      </w:r>
      <w:proofErr w:type="spellStart"/>
      <w:r w:rsidR="00F74464" w:rsidRPr="00F74464">
        <w:t>Gregorini</w:t>
      </w:r>
      <w:proofErr w:type="spellEnd"/>
      <w:r w:rsidR="00F74464" w:rsidRPr="00F74464">
        <w:t>)), OCA (OCA St. No. 1-R (Watkins)), OSBA (OSBA St. No. 2 (Knecht)), BI&amp;E (BI&amp;E St. No. 1-R (Cline)), Equitable (Equitable St. No. 1R (Scanlon)), IECPA (IECPA St. No. 1R (Burgraff)), Columbia (Columbia St. No. 1R (Krajovic)), PSU (PSU St. No. 1 (Crist)) and NFGD (NFGD St. No. 1 (Meinl)).</w:t>
      </w:r>
    </w:p>
    <w:p w:rsidR="00F74464" w:rsidRPr="00F74464" w:rsidRDefault="00F74464" w:rsidP="00F74464">
      <w:pPr>
        <w:pStyle w:val="Default"/>
        <w:spacing w:line="360" w:lineRule="auto"/>
      </w:pPr>
    </w:p>
    <w:p w:rsidR="00F74464" w:rsidRPr="00F74464" w:rsidRDefault="007F240A" w:rsidP="00F74464">
      <w:pPr>
        <w:pStyle w:val="Default"/>
        <w:spacing w:line="360" w:lineRule="auto"/>
        <w:rPr>
          <w:u w:val="single"/>
        </w:rPr>
      </w:pPr>
      <w:r>
        <w:tab/>
      </w:r>
      <w:r>
        <w:tab/>
      </w:r>
      <w:r w:rsidR="00F74464" w:rsidRPr="00F74464">
        <w:t>Surrebuttal testimony and accompanying e</w:t>
      </w:r>
      <w:r w:rsidR="00924287">
        <w:t xml:space="preserve">xhibits were served on November 23, </w:t>
      </w:r>
      <w:r w:rsidR="00F74464" w:rsidRPr="00F74464">
        <w:t>2013 by Peoples and Peoples TWP (Peoples/Peoples TWP St. No. 1-S (</w:t>
      </w:r>
      <w:proofErr w:type="spellStart"/>
      <w:r w:rsidR="00F74464" w:rsidRPr="00F74464">
        <w:t>Gregorini</w:t>
      </w:r>
      <w:proofErr w:type="spellEnd"/>
      <w:r w:rsidR="00F74464" w:rsidRPr="00F74464">
        <w:t>)), OCA (OCA St. No. 1-S (Watkins)), OSBA (OSBA St. No. 3 (Knecht)), BI&amp;E (BI&amp;E St. No. 1-SR (Cline)), IECPA (IECPA St. No. 1-S (Burgraff)) and Columbia (Co</w:t>
      </w:r>
      <w:r w:rsidR="002F7588">
        <w:t>lumbia St. No. 1-SR (Krajovic)).</w:t>
      </w:r>
    </w:p>
    <w:p w:rsidR="00F74464" w:rsidRPr="00F74464" w:rsidRDefault="00F74464" w:rsidP="00F74464">
      <w:pPr>
        <w:pStyle w:val="Default"/>
        <w:spacing w:line="360" w:lineRule="auto"/>
      </w:pPr>
    </w:p>
    <w:p w:rsidR="00F74464" w:rsidRPr="00F74464" w:rsidRDefault="00D964E2" w:rsidP="00F74464">
      <w:pPr>
        <w:pStyle w:val="Default"/>
        <w:spacing w:line="360" w:lineRule="auto"/>
      </w:pPr>
      <w:r>
        <w:tab/>
      </w:r>
      <w:r>
        <w:tab/>
      </w:r>
      <w:r w:rsidR="00F74464" w:rsidRPr="00F74464">
        <w:t>On December 10, 2013,</w:t>
      </w:r>
      <w:r w:rsidR="00211D6A">
        <w:t xml:space="preserve"> </w:t>
      </w:r>
      <w:r w:rsidR="00F74464" w:rsidRPr="00F74464">
        <w:t>a</w:t>
      </w:r>
      <w:r w:rsidR="00211D6A">
        <w:t>n evidentiary</w:t>
      </w:r>
      <w:r w:rsidR="00F74464" w:rsidRPr="00F74464">
        <w:t xml:space="preserve"> hearing </w:t>
      </w:r>
      <w:r w:rsidR="00211D6A">
        <w:t>was held at which time I</w:t>
      </w:r>
      <w:r w:rsidR="00EE588B">
        <w:t xml:space="preserve"> approved </w:t>
      </w:r>
      <w:r w:rsidR="00F74464" w:rsidRPr="00F74464">
        <w:t xml:space="preserve">the </w:t>
      </w:r>
      <w:r w:rsidR="007A202A" w:rsidRPr="00F74464">
        <w:t>parties’</w:t>
      </w:r>
      <w:r w:rsidR="00F74464" w:rsidRPr="00F74464">
        <w:t xml:space="preserve"> stipulation to </w:t>
      </w:r>
      <w:r w:rsidR="00211D6A">
        <w:t>move</w:t>
      </w:r>
      <w:r w:rsidR="00F74464" w:rsidRPr="00F74464">
        <w:t xml:space="preserve"> all pre-served testimony and associated exhibits into the record and to waive cross-examination. </w:t>
      </w:r>
      <w:r w:rsidR="00EE588B">
        <w:t xml:space="preserve"> </w:t>
      </w:r>
      <w:r w:rsidR="00211D6A">
        <w:t xml:space="preserve">I </w:t>
      </w:r>
      <w:r w:rsidR="00F74464" w:rsidRPr="00F74464">
        <w:t xml:space="preserve">directed that the record be held open until February 14, 2014 in order for a statement from Peoples to be filed regarding the closing of Peoples’ acquisition of Equitable. </w:t>
      </w:r>
      <w:r w:rsidR="00EE588B">
        <w:t xml:space="preserve"> </w:t>
      </w:r>
      <w:r w:rsidR="00F74464" w:rsidRPr="00F74464">
        <w:t>Peoples and Peoples TWP filed a Motion to Admit Peoples/Peoples TWP Statement No. 1-Supp. (</w:t>
      </w:r>
      <w:proofErr w:type="spellStart"/>
      <w:r w:rsidR="00F74464" w:rsidRPr="00F74464">
        <w:t>Gregorini</w:t>
      </w:r>
      <w:proofErr w:type="spellEnd"/>
      <w:r w:rsidR="00F74464" w:rsidRPr="00F74464">
        <w:t xml:space="preserve">) into evidence on January 23, 2014. </w:t>
      </w:r>
      <w:r w:rsidR="00EE588B">
        <w:t xml:space="preserve"> </w:t>
      </w:r>
      <w:r w:rsidR="00F74464" w:rsidRPr="00F74464">
        <w:t>Statement No. 1-Supp was unopposed and states that, on December 17, 2013, Equitable merged with Peoples with Peoples being the surviving legal entity.</w:t>
      </w:r>
    </w:p>
    <w:p w:rsidR="00F74464" w:rsidRPr="00F74464" w:rsidRDefault="00F74464" w:rsidP="00F74464">
      <w:pPr>
        <w:pStyle w:val="Default"/>
        <w:spacing w:line="360" w:lineRule="auto"/>
      </w:pPr>
    </w:p>
    <w:p w:rsidR="00F74464" w:rsidRPr="00F74464" w:rsidRDefault="00D964E2" w:rsidP="00F74464">
      <w:pPr>
        <w:pStyle w:val="Default"/>
        <w:spacing w:line="360" w:lineRule="auto"/>
      </w:pPr>
      <w:r>
        <w:tab/>
      </w:r>
      <w:r>
        <w:tab/>
        <w:t>I</w:t>
      </w:r>
      <w:r w:rsidR="00F74464" w:rsidRPr="00F74464">
        <w:t xml:space="preserve">n response to a January 23, 2014 email request from BI&amp;E, OCA and OSBA, </w:t>
      </w:r>
      <w:r>
        <w:t xml:space="preserve">I </w:t>
      </w:r>
      <w:r w:rsidR="00F74464" w:rsidRPr="00F74464">
        <w:t xml:space="preserve">issued an Amended Scheduling Order dated January 23, 2014 extending the briefing schedule by two (2) weeks to give the parties additional time for settlement discussions. </w:t>
      </w:r>
      <w:r w:rsidR="00B73D11">
        <w:t xml:space="preserve"> </w:t>
      </w:r>
      <w:r w:rsidR="00F74464" w:rsidRPr="00F74464">
        <w:t xml:space="preserve">In response to a February 7, 2014 email request from OCA, the </w:t>
      </w:r>
      <w:r w:rsidR="00A037EB">
        <w:t>P</w:t>
      </w:r>
      <w:r w:rsidR="00F74464" w:rsidRPr="00F74464">
        <w:t xml:space="preserve">residing Officer issued a Second Amended Scheduling Order, dated February 7, 2014, extending the briefing schedule by an additional two weeks to give the </w:t>
      </w:r>
      <w:proofErr w:type="gramStart"/>
      <w:r w:rsidR="00F74464" w:rsidRPr="00F74464">
        <w:t>parties</w:t>
      </w:r>
      <w:proofErr w:type="gramEnd"/>
      <w:r w:rsidR="00F74464" w:rsidRPr="00F74464">
        <w:t xml:space="preserve"> additional time for settlement discussions.</w:t>
      </w:r>
    </w:p>
    <w:p w:rsidR="00F74464" w:rsidRPr="00F74464" w:rsidRDefault="00F74464" w:rsidP="00F74464">
      <w:pPr>
        <w:pStyle w:val="Default"/>
        <w:spacing w:line="360" w:lineRule="auto"/>
      </w:pPr>
    </w:p>
    <w:p w:rsidR="00F74464" w:rsidRPr="00F74464" w:rsidRDefault="000A5053" w:rsidP="00F74464">
      <w:pPr>
        <w:pStyle w:val="Default"/>
        <w:spacing w:line="360" w:lineRule="auto"/>
      </w:pPr>
      <w:r>
        <w:tab/>
      </w:r>
      <w:r>
        <w:tab/>
      </w:r>
      <w:r w:rsidR="00F74464" w:rsidRPr="00F74464">
        <w:t>Main Briefs were filed on February 25, 2014 by Peoples/Peoples TWP, BI&amp;E, OCA, OSBA and IECPA.</w:t>
      </w:r>
    </w:p>
    <w:p w:rsidR="00F74464" w:rsidRPr="00F74464" w:rsidRDefault="00F74464" w:rsidP="00F74464">
      <w:pPr>
        <w:pStyle w:val="Default"/>
        <w:spacing w:line="360" w:lineRule="auto"/>
      </w:pPr>
    </w:p>
    <w:p w:rsidR="007F240A" w:rsidRDefault="000A5053" w:rsidP="00DE3120">
      <w:pPr>
        <w:spacing w:line="360" w:lineRule="auto"/>
      </w:pPr>
      <w:r>
        <w:tab/>
      </w:r>
      <w:r>
        <w:tab/>
      </w:r>
      <w:r w:rsidR="00F74464" w:rsidRPr="00F74464">
        <w:t>Reply Briefs were filed on March 12, 2014 by Peoples/Peoples TWP, BI&amp;E, OCA, OSBA, IECPA, PSU and NFGD.</w:t>
      </w:r>
      <w:r w:rsidR="007F240A">
        <w:t xml:space="preserve">  The record closed on March 12, 2014.</w:t>
      </w:r>
    </w:p>
    <w:p w:rsidR="00F74464" w:rsidRPr="00F74464" w:rsidRDefault="00F74464" w:rsidP="00DE3120">
      <w:pPr>
        <w:pStyle w:val="Default"/>
        <w:spacing w:line="360" w:lineRule="auto"/>
      </w:pPr>
    </w:p>
    <w:p w:rsidR="0033077F" w:rsidRPr="00924287" w:rsidRDefault="0033077F" w:rsidP="00DE3120">
      <w:pPr>
        <w:spacing w:line="360" w:lineRule="auto"/>
        <w:ind w:left="360" w:hanging="360"/>
        <w:jc w:val="center"/>
        <w:rPr>
          <w:u w:val="single"/>
        </w:rPr>
      </w:pPr>
      <w:r w:rsidRPr="00924287">
        <w:rPr>
          <w:u w:val="single"/>
        </w:rPr>
        <w:t>FINDINGS OF FACT</w:t>
      </w:r>
    </w:p>
    <w:p w:rsidR="0033077F" w:rsidRDefault="0033077F" w:rsidP="00DE3120">
      <w:pPr>
        <w:spacing w:line="360" w:lineRule="auto"/>
        <w:rPr>
          <w:u w:val="single"/>
        </w:rPr>
      </w:pPr>
    </w:p>
    <w:p w:rsidR="00F660E6" w:rsidRDefault="0033077F" w:rsidP="00DE3120">
      <w:pPr>
        <w:spacing w:line="360" w:lineRule="auto"/>
        <w:rPr>
          <w:szCs w:val="23"/>
        </w:rPr>
      </w:pPr>
      <w:r>
        <w:tab/>
      </w:r>
      <w:r>
        <w:tab/>
      </w:r>
      <w:r w:rsidR="0084113C" w:rsidRPr="00017E3A">
        <w:t>1</w:t>
      </w:r>
      <w:r w:rsidR="0084113C">
        <w:t>.</w:t>
      </w:r>
      <w:r w:rsidR="000A5053">
        <w:tab/>
      </w:r>
      <w:r w:rsidR="00F660E6">
        <w:rPr>
          <w:szCs w:val="23"/>
        </w:rPr>
        <w:t xml:space="preserve">Gas-on-gas discounting occurs in four NGDCs’ service territories, including: 1) Columbia; 2) Equitable; 3) Peoples; and 4) PTWP.  </w:t>
      </w:r>
      <w:r w:rsidR="006725AF">
        <w:rPr>
          <w:szCs w:val="23"/>
        </w:rPr>
        <w:t>OSBA St. No. 1 at 5-6.</w:t>
      </w:r>
    </w:p>
    <w:p w:rsidR="00F660E6" w:rsidRDefault="00F660E6" w:rsidP="005918DF">
      <w:pPr>
        <w:spacing w:line="360" w:lineRule="auto"/>
        <w:rPr>
          <w:szCs w:val="23"/>
        </w:rPr>
      </w:pPr>
    </w:p>
    <w:p w:rsidR="00F660E6" w:rsidRDefault="00F660E6" w:rsidP="005918DF">
      <w:pPr>
        <w:spacing w:line="360" w:lineRule="auto"/>
        <w:rPr>
          <w:szCs w:val="23"/>
        </w:rPr>
      </w:pPr>
      <w:r>
        <w:rPr>
          <w:szCs w:val="23"/>
        </w:rPr>
        <w:tab/>
      </w:r>
      <w:r>
        <w:rPr>
          <w:szCs w:val="23"/>
        </w:rPr>
        <w:tab/>
        <w:t>2.</w:t>
      </w:r>
      <w:r>
        <w:rPr>
          <w:szCs w:val="23"/>
        </w:rPr>
        <w:tab/>
      </w:r>
      <w:r w:rsidRPr="00F74464">
        <w:rPr>
          <w:szCs w:val="23"/>
        </w:rPr>
        <w:t>Equitable merged with Peoples/PTW</w:t>
      </w:r>
      <w:r>
        <w:rPr>
          <w:szCs w:val="23"/>
        </w:rPr>
        <w:t>P during the course of this proceeding; however, despite this merger, discounting has not yet been eliminated in those service territories and flex discount rates are extended through contract terms, some ending December 31, 2016 and some ending December 31, 2018.</w:t>
      </w:r>
      <w:r w:rsidR="006725AF">
        <w:rPr>
          <w:szCs w:val="23"/>
        </w:rPr>
        <w:t xml:space="preserve">  OSBA St. No. 1 at 5-6.</w:t>
      </w:r>
    </w:p>
    <w:p w:rsidR="00F660E6" w:rsidRDefault="00F660E6" w:rsidP="005918DF">
      <w:pPr>
        <w:spacing w:line="360" w:lineRule="auto"/>
        <w:rPr>
          <w:szCs w:val="23"/>
        </w:rPr>
      </w:pPr>
    </w:p>
    <w:p w:rsidR="00F660E6" w:rsidRDefault="00F660E6" w:rsidP="005918DF">
      <w:pPr>
        <w:spacing w:line="360" w:lineRule="auto"/>
        <w:rPr>
          <w:szCs w:val="23"/>
        </w:rPr>
      </w:pPr>
      <w:r>
        <w:rPr>
          <w:szCs w:val="23"/>
        </w:rPr>
        <w:tab/>
      </w:r>
      <w:r>
        <w:rPr>
          <w:szCs w:val="23"/>
        </w:rPr>
        <w:tab/>
      </w:r>
      <w:r w:rsidR="00366A9D">
        <w:rPr>
          <w:szCs w:val="23"/>
        </w:rPr>
        <w:t>3.</w:t>
      </w:r>
      <w:r w:rsidR="00366A9D">
        <w:rPr>
          <w:szCs w:val="23"/>
        </w:rPr>
        <w:tab/>
      </w:r>
      <w:r>
        <w:rPr>
          <w:szCs w:val="23"/>
        </w:rPr>
        <w:t xml:space="preserve">Regarding the earlier Peoples/PTWP merger, flex rate discounts are extended at least through December 31, 2016.  </w:t>
      </w:r>
      <w:r w:rsidR="006725AF">
        <w:rPr>
          <w:szCs w:val="23"/>
        </w:rPr>
        <w:t>OSBA St. No. 1 at 5-6.</w:t>
      </w:r>
    </w:p>
    <w:p w:rsidR="00F660E6" w:rsidRDefault="00F660E6" w:rsidP="005918DF">
      <w:pPr>
        <w:spacing w:line="360" w:lineRule="auto"/>
        <w:rPr>
          <w:szCs w:val="23"/>
        </w:rPr>
      </w:pPr>
    </w:p>
    <w:p w:rsidR="00F660E6" w:rsidRDefault="00F660E6" w:rsidP="00F660E6">
      <w:pPr>
        <w:pStyle w:val="Default"/>
        <w:spacing w:line="360" w:lineRule="auto"/>
        <w:rPr>
          <w:szCs w:val="23"/>
        </w:rPr>
      </w:pPr>
      <w:r>
        <w:rPr>
          <w:szCs w:val="23"/>
        </w:rPr>
        <w:tab/>
      </w:r>
      <w:r>
        <w:rPr>
          <w:szCs w:val="23"/>
        </w:rPr>
        <w:tab/>
        <w:t>4.</w:t>
      </w:r>
      <w:r>
        <w:rPr>
          <w:szCs w:val="23"/>
        </w:rPr>
        <w:tab/>
        <w:t>Regarding the Peoples/Equitable merger, the parties agreed to extend existing flex rate discounts to customers lying in both Peoples/PTWP and Equitable service territories through December 31, 2018, or through the end of the contract by its own terms, whichever is later.  OSBA St</w:t>
      </w:r>
      <w:r w:rsidR="006725AF">
        <w:rPr>
          <w:szCs w:val="23"/>
        </w:rPr>
        <w:t xml:space="preserve">. </w:t>
      </w:r>
      <w:r>
        <w:rPr>
          <w:szCs w:val="23"/>
        </w:rPr>
        <w:t>No. 1 at 6.</w:t>
      </w:r>
    </w:p>
    <w:p w:rsidR="00F660E6" w:rsidRDefault="00F660E6" w:rsidP="00F660E6">
      <w:pPr>
        <w:pStyle w:val="Default"/>
        <w:spacing w:line="360" w:lineRule="auto"/>
        <w:rPr>
          <w:szCs w:val="23"/>
        </w:rPr>
      </w:pPr>
    </w:p>
    <w:p w:rsidR="005918DF" w:rsidRDefault="00F660E6" w:rsidP="005918DF">
      <w:pPr>
        <w:spacing w:line="360" w:lineRule="auto"/>
      </w:pPr>
      <w:r>
        <w:rPr>
          <w:szCs w:val="23"/>
        </w:rPr>
        <w:tab/>
      </w:r>
      <w:r>
        <w:rPr>
          <w:szCs w:val="23"/>
        </w:rPr>
        <w:tab/>
        <w:t>5.</w:t>
      </w:r>
      <w:r>
        <w:rPr>
          <w:szCs w:val="23"/>
        </w:rPr>
        <w:tab/>
      </w:r>
      <w:r w:rsidR="005918DF">
        <w:t>Approximately 401 commercial and industrial customers located in western Pennsylvania are located in territories served by two or more natural gas distribution companies.  OSBA St. No. 1, p. 5.</w:t>
      </w:r>
    </w:p>
    <w:p w:rsidR="005918DF" w:rsidRDefault="005918DF" w:rsidP="005918DF">
      <w:pPr>
        <w:spacing w:line="360" w:lineRule="auto"/>
      </w:pPr>
    </w:p>
    <w:p w:rsidR="005918DF" w:rsidRDefault="005918DF" w:rsidP="005918DF">
      <w:pPr>
        <w:spacing w:line="360" w:lineRule="auto"/>
      </w:pPr>
      <w:r>
        <w:tab/>
      </w:r>
      <w:r>
        <w:tab/>
      </w:r>
      <w:r w:rsidR="00F660E6">
        <w:t>6</w:t>
      </w:r>
      <w:r>
        <w:t>.</w:t>
      </w:r>
      <w:r>
        <w:tab/>
      </w:r>
      <w:r w:rsidR="00F660E6">
        <w:t>The initial purpose of t</w:t>
      </w:r>
      <w:r>
        <w:t>he competing NGDCs discount</w:t>
      </w:r>
      <w:r w:rsidR="00F660E6">
        <w:t>ing</w:t>
      </w:r>
      <w:r>
        <w:t xml:space="preserve"> their tariff</w:t>
      </w:r>
      <w:r w:rsidR="00F660E6">
        <w:t xml:space="preserve"> </w:t>
      </w:r>
      <w:r>
        <w:t>rates</w:t>
      </w:r>
      <w:r w:rsidR="00F660E6">
        <w:t xml:space="preserve"> was</w:t>
      </w:r>
      <w:r>
        <w:t xml:space="preserve"> in order to retain current customers or induce prospective large customers to switch service.</w:t>
      </w:r>
      <w:r w:rsidR="006725AF">
        <w:t xml:space="preserve">  </w:t>
      </w:r>
    </w:p>
    <w:p w:rsidR="005918DF" w:rsidRDefault="005918DF" w:rsidP="005918DF">
      <w:pPr>
        <w:spacing w:line="360" w:lineRule="auto"/>
      </w:pPr>
    </w:p>
    <w:p w:rsidR="005918DF" w:rsidRDefault="005918DF" w:rsidP="005918DF">
      <w:pPr>
        <w:spacing w:line="360" w:lineRule="auto"/>
      </w:pPr>
      <w:r>
        <w:tab/>
      </w:r>
      <w:r>
        <w:tab/>
      </w:r>
      <w:r w:rsidR="00F660E6">
        <w:t>7</w:t>
      </w:r>
      <w:r>
        <w:t>.</w:t>
      </w:r>
      <w:r>
        <w:tab/>
        <w:t xml:space="preserve">Approximately $19.0 million in revenues lost due to rate flexing practice, </w:t>
      </w:r>
      <w:r w:rsidR="002E0838">
        <w:t>are</w:t>
      </w:r>
      <w:r>
        <w:t xml:space="preserve"> not borne by the NGDC, but </w:t>
      </w:r>
      <w:r w:rsidR="002E0838">
        <w:t>are</w:t>
      </w:r>
      <w:r>
        <w:t xml:space="preserve"> shifted to the utility’s captive customers who have no choice in NGDC.</w:t>
      </w:r>
      <w:r w:rsidR="006725AF">
        <w:t xml:space="preserve">  </w:t>
      </w:r>
      <w:r w:rsidR="006725AF">
        <w:rPr>
          <w:szCs w:val="23"/>
        </w:rPr>
        <w:t>OSBA St. No. 1 at 5-6.</w:t>
      </w:r>
    </w:p>
    <w:p w:rsidR="000A5053" w:rsidRDefault="006725AF" w:rsidP="005918DF">
      <w:pPr>
        <w:spacing w:line="360" w:lineRule="auto"/>
      </w:pPr>
      <w:r>
        <w:tab/>
      </w:r>
      <w:r>
        <w:tab/>
      </w:r>
      <w:r w:rsidR="00F660E6">
        <w:t>8</w:t>
      </w:r>
      <w:r w:rsidR="00DA1AA5">
        <w:t>.</w:t>
      </w:r>
      <w:r w:rsidR="00DA1AA5">
        <w:tab/>
        <w:t>Despite the merger between Peoples/Peoples TWP and Equitable, discounting continues in these service territories through December 31, 201</w:t>
      </w:r>
      <w:r w:rsidR="00A27F13">
        <w:t>8</w:t>
      </w:r>
      <w:r w:rsidR="00DA1AA5">
        <w:t>.</w:t>
      </w:r>
      <w:r>
        <w:t xml:space="preserve">  </w:t>
      </w:r>
      <w:r w:rsidR="00020F38">
        <w:rPr>
          <w:szCs w:val="23"/>
        </w:rPr>
        <w:t>OSBA St. No. 1 at </w:t>
      </w:r>
      <w:r>
        <w:rPr>
          <w:szCs w:val="23"/>
        </w:rPr>
        <w:t>5-6.</w:t>
      </w:r>
    </w:p>
    <w:p w:rsidR="00DA1AA5" w:rsidRDefault="00DA1AA5" w:rsidP="005918DF">
      <w:pPr>
        <w:spacing w:line="360" w:lineRule="auto"/>
      </w:pPr>
    </w:p>
    <w:p w:rsidR="00F660E6" w:rsidRDefault="00DA1AA5" w:rsidP="00F660E6">
      <w:pPr>
        <w:spacing w:line="360" w:lineRule="auto"/>
      </w:pPr>
      <w:r>
        <w:tab/>
      </w:r>
      <w:r>
        <w:tab/>
      </w:r>
      <w:r w:rsidR="00F660E6">
        <w:t>9</w:t>
      </w:r>
      <w:r>
        <w:t>.</w:t>
      </w:r>
      <w:r>
        <w:tab/>
        <w:t>If discounting were eliminated in the merged territories of Peoples/Peoples TWP and Equitable, then 401 discounted customers would be reduced to 74 and $19 million in revenues lost would be reduced to $4.3 million annually</w:t>
      </w:r>
      <w:r w:rsidR="00F660E6">
        <w:t xml:space="preserve"> which is apparently the burden of the current captive customers in these territories to bear.  OSBA St. No. 1 at 5-6.</w:t>
      </w:r>
    </w:p>
    <w:p w:rsidR="00F660E6" w:rsidRDefault="00F660E6" w:rsidP="00F660E6">
      <w:pPr>
        <w:spacing w:line="360" w:lineRule="auto"/>
      </w:pPr>
    </w:p>
    <w:p w:rsidR="00F660E6" w:rsidRDefault="00F660E6" w:rsidP="00F660E6">
      <w:pPr>
        <w:spacing w:line="360" w:lineRule="auto"/>
      </w:pPr>
      <w:r>
        <w:tab/>
      </w:r>
      <w:r>
        <w:tab/>
        <w:t>10.</w:t>
      </w:r>
      <w:r>
        <w:tab/>
        <w:t xml:space="preserve">If discounting were eliminated in the merged territories of Peoples/ Peoples TWP and Equitable, then the amount of gas at issue would be reduced from </w:t>
      </w:r>
      <w:r w:rsidR="005529E6">
        <w:t xml:space="preserve">approximately </w:t>
      </w:r>
      <w:r>
        <w:t>15.8 Bcf to 4.9</w:t>
      </w:r>
      <w:r w:rsidR="005529E6">
        <w:t xml:space="preserve"> Bcf</w:t>
      </w:r>
      <w:r>
        <w:t xml:space="preserve"> per year of gas.  OSBA St. No. 1 at 5-6.</w:t>
      </w:r>
    </w:p>
    <w:p w:rsidR="00F57F72" w:rsidRDefault="00F57F72" w:rsidP="00FB61D2">
      <w:pPr>
        <w:spacing w:line="360" w:lineRule="auto"/>
      </w:pPr>
    </w:p>
    <w:p w:rsidR="0033077F" w:rsidRPr="00924287" w:rsidRDefault="0033077F" w:rsidP="00BC447C">
      <w:pPr>
        <w:spacing w:line="360" w:lineRule="auto"/>
        <w:jc w:val="center"/>
      </w:pPr>
      <w:r w:rsidRPr="00924287">
        <w:rPr>
          <w:u w:val="single"/>
        </w:rPr>
        <w:t>DISCUSSION</w:t>
      </w:r>
    </w:p>
    <w:p w:rsidR="0033077F" w:rsidRDefault="0033077F" w:rsidP="00FB61D2">
      <w:pPr>
        <w:spacing w:line="360" w:lineRule="auto"/>
        <w:jc w:val="center"/>
        <w:rPr>
          <w:u w:val="single"/>
        </w:rPr>
      </w:pPr>
    </w:p>
    <w:p w:rsidR="00943E75" w:rsidRDefault="00FE72D8" w:rsidP="00943E75">
      <w:pPr>
        <w:spacing w:line="360" w:lineRule="auto"/>
        <w:rPr>
          <w:color w:val="000000"/>
        </w:rPr>
      </w:pPr>
      <w:r>
        <w:rPr>
          <w:color w:val="000000"/>
        </w:rPr>
        <w:tab/>
      </w:r>
      <w:r>
        <w:rPr>
          <w:color w:val="000000"/>
        </w:rPr>
        <w:tab/>
      </w:r>
      <w:r w:rsidR="00943E75" w:rsidRPr="00C80301">
        <w:rPr>
          <w:color w:val="000000"/>
        </w:rPr>
        <w:t xml:space="preserve">The subject matter of this Investigation presents issues which are mostly policy, set against a legal backdrop.  The Commission itself is the policy-making body here, and my primary role is to gather, organize and present the positions of the parties for the Commission’s consideration, couched in terms of applicable law.  </w:t>
      </w:r>
      <w:r w:rsidR="00943E75">
        <w:rPr>
          <w:color w:val="000000"/>
        </w:rPr>
        <w:t>However, since the Commission stated in its Letter dated July 25, 2012, that the matter was assigned to OALJ “for disposition and resolution” I am interpreting that phrase to mean a recommendation is requested by the Commission rather than just a report.</w:t>
      </w:r>
    </w:p>
    <w:p w:rsidR="00943E75" w:rsidRDefault="00943E75" w:rsidP="00943E75">
      <w:pPr>
        <w:spacing w:line="360" w:lineRule="auto"/>
        <w:ind w:firstLine="720"/>
        <w:rPr>
          <w:color w:val="000000"/>
        </w:rPr>
      </w:pPr>
    </w:p>
    <w:p w:rsidR="00943E75" w:rsidRPr="00B57D96" w:rsidRDefault="00FE72D8" w:rsidP="00943E75">
      <w:pPr>
        <w:spacing w:line="360" w:lineRule="auto"/>
        <w:ind w:firstLine="720"/>
      </w:pPr>
      <w:r w:rsidRPr="00C80301">
        <w:rPr>
          <w:color w:val="000000"/>
        </w:rPr>
        <w:tab/>
      </w:r>
      <w:r w:rsidR="00943E75">
        <w:t>T</w:t>
      </w:r>
      <w:r w:rsidR="00943E75" w:rsidRPr="00DA1AA5">
        <w:t>his generic investigation deals only with gas-on-gas discounting and not with other forms of discounting</w:t>
      </w:r>
      <w:r w:rsidR="00943E75">
        <w:t>.</w:t>
      </w:r>
      <w:r w:rsidR="00943E75" w:rsidRPr="00B57D96">
        <w:t xml:space="preserve">  Discounting for pipeline bypass, alternative fuel, and economic development was not part of the scope of this generic investigation and should continue without modification.</w:t>
      </w:r>
    </w:p>
    <w:p w:rsidR="00943E75" w:rsidRDefault="00943E75" w:rsidP="00FE72D8">
      <w:pPr>
        <w:spacing w:line="360" w:lineRule="auto"/>
        <w:rPr>
          <w:color w:val="000000"/>
        </w:rPr>
      </w:pPr>
    </w:p>
    <w:p w:rsidR="00FE72D8" w:rsidRPr="0003271B" w:rsidRDefault="00943E75" w:rsidP="00FE72D8">
      <w:pPr>
        <w:spacing w:line="360" w:lineRule="auto"/>
      </w:pPr>
      <w:r>
        <w:rPr>
          <w:color w:val="000000"/>
        </w:rPr>
        <w:tab/>
      </w:r>
      <w:r>
        <w:rPr>
          <w:color w:val="000000"/>
        </w:rPr>
        <w:tab/>
      </w:r>
      <w:r w:rsidR="00FE72D8" w:rsidRPr="00C80301">
        <w:rPr>
          <w:color w:val="000000"/>
        </w:rPr>
        <w:t xml:space="preserve">The </w:t>
      </w:r>
      <w:r w:rsidR="00FE72D8">
        <w:rPr>
          <w:color w:val="000000"/>
        </w:rPr>
        <w:t xml:space="preserve">main </w:t>
      </w:r>
      <w:r w:rsidR="00FE72D8" w:rsidRPr="00C80301">
        <w:rPr>
          <w:color w:val="000000"/>
        </w:rPr>
        <w:t>issues are</w:t>
      </w:r>
      <w:r w:rsidR="00FE72D8" w:rsidRPr="00777872">
        <w:rPr>
          <w:b/>
        </w:rPr>
        <w:t xml:space="preserve"> </w:t>
      </w:r>
      <w:r w:rsidR="00FE72D8" w:rsidRPr="00777872">
        <w:t xml:space="preserve">whether </w:t>
      </w:r>
      <w:r w:rsidR="00FE72D8">
        <w:t>g</w:t>
      </w:r>
      <w:r w:rsidR="00FE72D8" w:rsidRPr="00777872">
        <w:t>as</w:t>
      </w:r>
      <w:r w:rsidR="00FE72D8">
        <w:t>-</w:t>
      </w:r>
      <w:r w:rsidR="00FE72D8" w:rsidRPr="00777872">
        <w:t>on</w:t>
      </w:r>
      <w:r w:rsidR="00FE72D8">
        <w:t>-g</w:t>
      </w:r>
      <w:r w:rsidR="00FE72D8" w:rsidRPr="00777872">
        <w:t xml:space="preserve">as </w:t>
      </w:r>
      <w:r w:rsidR="00FE72D8">
        <w:t>r</w:t>
      </w:r>
      <w:r w:rsidR="00FE72D8" w:rsidRPr="00777872">
        <w:t xml:space="preserve">ate </w:t>
      </w:r>
      <w:r w:rsidR="00FE72D8">
        <w:t>d</w:t>
      </w:r>
      <w:r w:rsidR="00FE72D8" w:rsidRPr="00777872">
        <w:t xml:space="preserve">iscounting </w:t>
      </w:r>
      <w:r w:rsidR="00FE72D8">
        <w:t>s</w:t>
      </w:r>
      <w:r w:rsidR="00FE72D8" w:rsidRPr="00777872">
        <w:t xml:space="preserve">hould </w:t>
      </w:r>
      <w:r w:rsidR="00FE72D8">
        <w:t>be d</w:t>
      </w:r>
      <w:r w:rsidR="00FE72D8" w:rsidRPr="00777872">
        <w:t>iscontinued</w:t>
      </w:r>
      <w:r w:rsidR="00FE72D8" w:rsidRPr="00777872">
        <w:rPr>
          <w:color w:val="000000"/>
        </w:rPr>
        <w:t xml:space="preserve">; </w:t>
      </w:r>
      <w:r w:rsidR="00FE72D8">
        <w:rPr>
          <w:color w:val="000000"/>
        </w:rPr>
        <w:t>and</w:t>
      </w:r>
      <w:r w:rsidR="00FE72D8" w:rsidRPr="00777872">
        <w:rPr>
          <w:color w:val="000000"/>
        </w:rPr>
        <w:t xml:space="preserve"> </w:t>
      </w:r>
      <w:r w:rsidR="00FE72D8">
        <w:rPr>
          <w:color w:val="000000"/>
        </w:rPr>
        <w:t>i</w:t>
      </w:r>
      <w:r w:rsidR="00FE72D8" w:rsidRPr="00777872">
        <w:t xml:space="preserve">f so, </w:t>
      </w:r>
      <w:r w:rsidR="00DA1AA5">
        <w:t xml:space="preserve">by what deadline and </w:t>
      </w:r>
      <w:r w:rsidR="00FE72D8" w:rsidRPr="00777872">
        <w:t>what method should be used</w:t>
      </w:r>
      <w:r w:rsidR="0086183F">
        <w:t xml:space="preserve"> to phase it out</w:t>
      </w:r>
      <w:r w:rsidR="00FE72D8">
        <w:t>.  A</w:t>
      </w:r>
      <w:r w:rsidR="00FE72D8" w:rsidRPr="00777872">
        <w:t xml:space="preserve">lternatively, should </w:t>
      </w:r>
      <w:r w:rsidR="0086183F">
        <w:t>the current discounting</w:t>
      </w:r>
      <w:r w:rsidR="00FE72D8" w:rsidRPr="00777872">
        <w:t xml:space="preserve"> </w:t>
      </w:r>
      <w:r w:rsidR="00550E68">
        <w:t>be</w:t>
      </w:r>
      <w:r w:rsidR="00FE72D8" w:rsidRPr="00777872">
        <w:t xml:space="preserve"> allowed to continue</w:t>
      </w:r>
      <w:r w:rsidR="00FE72D8">
        <w:t xml:space="preserve"> </w:t>
      </w:r>
      <w:r w:rsidR="00550E68">
        <w:t xml:space="preserve">but in a modified form </w:t>
      </w:r>
      <w:r w:rsidR="00FE72D8">
        <w:t xml:space="preserve">as </w:t>
      </w:r>
      <w:r w:rsidR="0086183F">
        <w:t xml:space="preserve">proposed by </w:t>
      </w:r>
      <w:r w:rsidR="00FE72D8">
        <w:t>Peoples</w:t>
      </w:r>
      <w:r w:rsidR="00303857">
        <w:t xml:space="preserve"> in their </w:t>
      </w:r>
      <w:r w:rsidR="00FE72D8">
        <w:t>Main Brief, Appendices A and B</w:t>
      </w:r>
      <w:r w:rsidR="00FE72D8" w:rsidRPr="00777872">
        <w:t>.</w:t>
      </w:r>
    </w:p>
    <w:p w:rsidR="00FE72D8" w:rsidRDefault="00FE72D8" w:rsidP="00FE72D8">
      <w:pPr>
        <w:spacing w:line="360" w:lineRule="auto"/>
      </w:pPr>
    </w:p>
    <w:p w:rsidR="00997793" w:rsidRDefault="00997793" w:rsidP="00997793">
      <w:pPr>
        <w:spacing w:line="360" w:lineRule="auto"/>
        <w:ind w:left="720" w:firstLine="720"/>
      </w:pPr>
      <w:r>
        <w:t>The p</w:t>
      </w:r>
      <w:r w:rsidR="001E33D5">
        <w:t>arties’</w:t>
      </w:r>
      <w:r>
        <w:t xml:space="preserve"> positions regarding the</w:t>
      </w:r>
      <w:r w:rsidR="00FE72D8">
        <w:t>se</w:t>
      </w:r>
      <w:r>
        <w:t xml:space="preserve"> key issues are summarized as follows:</w:t>
      </w:r>
    </w:p>
    <w:p w:rsidR="0033077F" w:rsidRDefault="0033077F" w:rsidP="002E653F">
      <w:pPr>
        <w:spacing w:line="360" w:lineRule="auto"/>
      </w:pPr>
    </w:p>
    <w:p w:rsidR="001E33D5" w:rsidRDefault="001E33D5" w:rsidP="002E653F">
      <w:pPr>
        <w:spacing w:line="360" w:lineRule="auto"/>
      </w:pPr>
      <w:r w:rsidRPr="00B47CB5">
        <w:rPr>
          <w:b/>
          <w:u w:val="single"/>
        </w:rPr>
        <w:t>OCA</w:t>
      </w:r>
    </w:p>
    <w:p w:rsidR="001E33D5" w:rsidRDefault="001E33D5" w:rsidP="002E653F">
      <w:pPr>
        <w:spacing w:line="360" w:lineRule="auto"/>
      </w:pPr>
    </w:p>
    <w:p w:rsidR="001E33D5" w:rsidRDefault="001E33D5" w:rsidP="00A207F9">
      <w:pPr>
        <w:spacing w:line="360" w:lineRule="auto"/>
      </w:pPr>
      <w:r>
        <w:tab/>
      </w:r>
      <w:r>
        <w:tab/>
        <w:t xml:space="preserve">OCA argues </w:t>
      </w:r>
      <w:r w:rsidR="0003271B">
        <w:t>g</w:t>
      </w:r>
      <w:r>
        <w:t>as</w:t>
      </w:r>
      <w:r w:rsidR="0003271B">
        <w:t>-</w:t>
      </w:r>
      <w:r>
        <w:t>on</w:t>
      </w:r>
      <w:r w:rsidR="0003271B">
        <w:t>-g</w:t>
      </w:r>
      <w:r>
        <w:t>as</w:t>
      </w:r>
      <w:r w:rsidR="0003271B">
        <w:t xml:space="preserve"> r</w:t>
      </w:r>
      <w:r>
        <w:t xml:space="preserve">ate </w:t>
      </w:r>
      <w:r w:rsidR="0003271B">
        <w:t>d</w:t>
      </w:r>
      <w:r>
        <w:t>iscounting should be discontinued because it is discriminatory towards residential customers who are not eligible for these discounts.  Additionally, many smaller businesses are not eligible for these discounts.</w:t>
      </w:r>
    </w:p>
    <w:p w:rsidR="0086183F" w:rsidRPr="00997793" w:rsidRDefault="0086183F" w:rsidP="00A207F9">
      <w:pPr>
        <w:spacing w:line="360" w:lineRule="auto"/>
      </w:pPr>
    </w:p>
    <w:p w:rsidR="00FA02D2" w:rsidRDefault="00FA02D2" w:rsidP="00924287">
      <w:pPr>
        <w:spacing w:line="360" w:lineRule="auto"/>
      </w:pPr>
      <w:r>
        <w:tab/>
      </w:r>
      <w:r w:rsidR="00A207F9">
        <w:tab/>
        <w:t>OCA contends that g</w:t>
      </w:r>
      <w:r>
        <w:t>as-on-gas rate discounting is only a benefit to a select few large commercial and industrial (C&amp;I) customers who happen to be located in the right spot.  To all other ratepayers, including all the other large C&amp;I customers who are not so fortuitously located, gas-on-gas discounting is harmful and creates unnecessary added expenses for monopoly service due to the discounts extracted by this select few customers.</w:t>
      </w:r>
    </w:p>
    <w:p w:rsidR="00A207F9" w:rsidRDefault="00A207F9" w:rsidP="00A207F9">
      <w:pPr>
        <w:spacing w:line="360" w:lineRule="auto"/>
        <w:ind w:firstLine="720"/>
        <w:jc w:val="both"/>
      </w:pPr>
    </w:p>
    <w:p w:rsidR="00FA02D2" w:rsidRDefault="00A037EB" w:rsidP="00924287">
      <w:pPr>
        <w:spacing w:line="360" w:lineRule="auto"/>
        <w:ind w:firstLine="720"/>
      </w:pPr>
      <w:r>
        <w:tab/>
      </w:r>
      <w:r w:rsidR="00FA02D2">
        <w:t>OCA witness Watkins testified as to whether captive ratepayers are better off under the current form of gas-on-gas discounting, by stating:</w:t>
      </w:r>
    </w:p>
    <w:p w:rsidR="000A5E5E" w:rsidRDefault="000A5E5E" w:rsidP="000A5E5E">
      <w:pPr>
        <w:spacing w:line="360" w:lineRule="auto"/>
        <w:ind w:firstLine="720"/>
        <w:jc w:val="both"/>
      </w:pPr>
    </w:p>
    <w:p w:rsidR="00FA02D2" w:rsidRDefault="00FA02D2" w:rsidP="009E4161">
      <w:pPr>
        <w:ind w:left="1440" w:right="1440"/>
        <w:jc w:val="both"/>
      </w:pPr>
      <w:proofErr w:type="gramStart"/>
      <w:r>
        <w:t>Absolutely not.</w:t>
      </w:r>
      <w:proofErr w:type="gramEnd"/>
      <w:r>
        <w:t xml:space="preserve">  These gas-on-gas discounted rate customers must receive their natural gas distribution service from one of the regulated NGDCs in Pennsylvania.  Therefore, if for instance, Equitable were to argue that its captive customers are better off with some revenue contribution from Customer A than if that customer’s business is lost to People’s, and People’s argues that its captive customers are better off with revenue contributions from Customer B than if that customer’s business is lost to Equitable, it becomes a circular, nonsensical argument.  Under current practices, the only thing that is achieved is that Customers A and B are able to enjoy subsidized rates at the expense of </w:t>
      </w:r>
      <w:proofErr w:type="spellStart"/>
      <w:r w:rsidR="00A037EB">
        <w:t>Equitable’s</w:t>
      </w:r>
      <w:proofErr w:type="spellEnd"/>
      <w:r>
        <w:t xml:space="preserve"> and People’s collective captive ratepayers.</w:t>
      </w:r>
    </w:p>
    <w:p w:rsidR="00FA02D2" w:rsidRDefault="00FA02D2" w:rsidP="009E4161">
      <w:pPr>
        <w:ind w:left="1440" w:right="1440"/>
        <w:jc w:val="both"/>
      </w:pPr>
    </w:p>
    <w:p w:rsidR="00A207F9" w:rsidRDefault="00FA02D2" w:rsidP="00A207F9">
      <w:pPr>
        <w:spacing w:line="480" w:lineRule="auto"/>
        <w:jc w:val="both"/>
      </w:pPr>
      <w:proofErr w:type="gramStart"/>
      <w:r>
        <w:t>OCA St. 1 at 16.</w:t>
      </w:r>
      <w:proofErr w:type="gramEnd"/>
    </w:p>
    <w:p w:rsidR="009E4161" w:rsidRDefault="009E4161" w:rsidP="0086183F">
      <w:pPr>
        <w:autoSpaceDE w:val="0"/>
        <w:autoSpaceDN w:val="0"/>
        <w:adjustRightInd w:val="0"/>
        <w:spacing w:line="360" w:lineRule="auto"/>
      </w:pPr>
    </w:p>
    <w:p w:rsidR="00312F9F" w:rsidRDefault="00312F9F" w:rsidP="0086183F">
      <w:pPr>
        <w:autoSpaceDE w:val="0"/>
        <w:autoSpaceDN w:val="0"/>
        <w:adjustRightInd w:val="0"/>
        <w:spacing w:line="360" w:lineRule="auto"/>
      </w:pPr>
      <w:r>
        <w:tab/>
      </w:r>
      <w:r>
        <w:tab/>
        <w:t>OCA argues that gas-on-gas discounting is unlike other flex rate practices.  Unlike gas-on-gas discount customers who switch from one NGDC’s to another NGDC’s distribution system, other flex rate customers have the ability to leave the distribution system.  Customers with dual fuel capability can leave the natural gas distribution system entirely by switching to an alternative fuel, based on capital investments that customer has already made in such facilities.  Customers with pipeline bypass capability can leave the natural gas distribution system entirely by making the necessary investment in facilities to take service directly from the pipeline.  Customers seeking economic development rates can effectively leave the natural gas distribution system entirely by moving to another state, closing their facilities or shifting production elsewhere.  Providing gas-on-gas discounts does not prevent a customer from leaving the distribution system.  It only keeps the customer on the current NGDC’s distribution system or entices the customer to jump to the neighboring NGDC’s distribution system.</w:t>
      </w:r>
    </w:p>
    <w:p w:rsidR="0086183F" w:rsidRDefault="0086183F" w:rsidP="0086183F">
      <w:pPr>
        <w:autoSpaceDE w:val="0"/>
        <w:autoSpaceDN w:val="0"/>
        <w:adjustRightInd w:val="0"/>
        <w:spacing w:line="360" w:lineRule="auto"/>
      </w:pPr>
    </w:p>
    <w:p w:rsidR="00312F9F" w:rsidRDefault="0086183F" w:rsidP="0086183F">
      <w:pPr>
        <w:autoSpaceDE w:val="0"/>
        <w:autoSpaceDN w:val="0"/>
        <w:adjustRightInd w:val="0"/>
        <w:spacing w:line="360" w:lineRule="auto"/>
      </w:pPr>
      <w:r>
        <w:tab/>
      </w:r>
      <w:r>
        <w:tab/>
      </w:r>
      <w:r w:rsidR="00312F9F">
        <w:t xml:space="preserve">According to OCA, unlike other legitimate forms of flex rates, gas-on-gas discounting is contrary to the public interest.  </w:t>
      </w:r>
      <w:r w:rsidR="00DA1AA5">
        <w:t>OCA advocates a 3 – 5 year transition period to eliminate the rate discounting.</w:t>
      </w:r>
      <w:r w:rsidR="00B96540" w:rsidRPr="00B96540">
        <w:t xml:space="preserve"> </w:t>
      </w:r>
      <w:r w:rsidR="00702E81">
        <w:t xml:space="preserve"> </w:t>
      </w:r>
      <w:r w:rsidR="00B96540">
        <w:t xml:space="preserve">OCA proposes </w:t>
      </w:r>
      <w:r w:rsidR="00B96540" w:rsidRPr="00DA1AA5">
        <w:t>eliminat</w:t>
      </w:r>
      <w:r w:rsidR="00B96540">
        <w:t>ing</w:t>
      </w:r>
      <w:r w:rsidR="00B96540" w:rsidRPr="00DA1AA5">
        <w:t xml:space="preserve"> completely the duplication of NGDC facilities</w:t>
      </w:r>
      <w:r w:rsidR="00B96540">
        <w:t xml:space="preserve"> and</w:t>
      </w:r>
      <w:r w:rsidR="00B96540" w:rsidRPr="00DA1AA5">
        <w:t xml:space="preserve"> to create specific and exclusive service areas in Western Pennsylvania for each NGDC.  OCA St. No. 1, 21:13-18.</w:t>
      </w:r>
    </w:p>
    <w:p w:rsidR="00B95DEE" w:rsidRDefault="00B95DEE" w:rsidP="00A90AC4">
      <w:pPr>
        <w:spacing w:line="360" w:lineRule="auto"/>
        <w:rPr>
          <w:b/>
          <w:u w:val="single"/>
        </w:rPr>
      </w:pPr>
    </w:p>
    <w:p w:rsidR="001E33D5" w:rsidRDefault="001E33D5" w:rsidP="00B95DEE">
      <w:pPr>
        <w:spacing w:line="360" w:lineRule="auto"/>
        <w:rPr>
          <w:b/>
          <w:u w:val="single"/>
        </w:rPr>
      </w:pPr>
      <w:r>
        <w:rPr>
          <w:b/>
          <w:u w:val="single"/>
        </w:rPr>
        <w:t>OSBA</w:t>
      </w:r>
    </w:p>
    <w:p w:rsidR="001E33D5" w:rsidRDefault="001E33D5" w:rsidP="00A90AC4">
      <w:pPr>
        <w:spacing w:line="360" w:lineRule="auto"/>
        <w:rPr>
          <w:b/>
          <w:u w:val="single"/>
        </w:rPr>
      </w:pPr>
    </w:p>
    <w:p w:rsidR="001E33D5" w:rsidRDefault="001E33D5" w:rsidP="000A5053">
      <w:pPr>
        <w:spacing w:line="360" w:lineRule="auto"/>
      </w:pPr>
      <w:r w:rsidRPr="00997793">
        <w:tab/>
      </w:r>
      <w:r w:rsidRPr="00997793">
        <w:tab/>
      </w:r>
      <w:r>
        <w:t xml:space="preserve">OSBA believes the rate discounting should be discontinued </w:t>
      </w:r>
      <w:r w:rsidR="00924287">
        <w:t xml:space="preserve">by December 31, </w:t>
      </w:r>
      <w:r w:rsidR="00A456DD">
        <w:t>2016</w:t>
      </w:r>
      <w:r w:rsidR="000B1F92">
        <w:t>,</w:t>
      </w:r>
      <w:r w:rsidR="00A456DD">
        <w:t xml:space="preserve"> </w:t>
      </w:r>
      <w:r>
        <w:t xml:space="preserve">because it is price discrimination and violates ratemaking rules and regulations.  </w:t>
      </w:r>
      <w:r w:rsidR="00A456DD">
        <w:t xml:space="preserve">OSBA Statement No. 1 at p. 7.  </w:t>
      </w:r>
      <w:r w:rsidR="000B1F92">
        <w:t>This termination date coincides with some existing termination dates for flex discounting contracts, but not al</w:t>
      </w:r>
      <w:r w:rsidR="00163E6F">
        <w:t>l existing contracts.  December 31, </w:t>
      </w:r>
      <w:r w:rsidR="000B1F92">
        <w:t>2016 is two years earlier than the natural contract termination date of some existing flex rate contracts of December 31, 2018.  OSBA argues in favor of a shorter transition period because</w:t>
      </w:r>
      <w:r>
        <w:t xml:space="preserve"> there is no social or economic benefit and this discrimination </w:t>
      </w:r>
      <w:r w:rsidR="009C01A7">
        <w:t xml:space="preserve">is </w:t>
      </w:r>
      <w:r>
        <w:t>based upon</w:t>
      </w:r>
      <w:r w:rsidR="000B1F92">
        <w:t xml:space="preserve"> the</w:t>
      </w:r>
      <w:r>
        <w:t xml:space="preserve"> location of large businesses and NGDC service territories.</w:t>
      </w:r>
    </w:p>
    <w:p w:rsidR="00743068" w:rsidRDefault="00743068" w:rsidP="00E8517A">
      <w:pPr>
        <w:spacing w:line="360" w:lineRule="auto"/>
        <w:ind w:firstLine="720"/>
      </w:pPr>
    </w:p>
    <w:p w:rsidR="002F227A" w:rsidRPr="00596AC5" w:rsidRDefault="00E8517A" w:rsidP="00E8517A">
      <w:pPr>
        <w:spacing w:line="360" w:lineRule="auto"/>
        <w:ind w:firstLine="720"/>
      </w:pPr>
      <w:r>
        <w:tab/>
      </w:r>
      <w:r w:rsidR="002F227A" w:rsidRPr="00596AC5">
        <w:t xml:space="preserve">OSBA </w:t>
      </w:r>
      <w:r>
        <w:t>argues that the</w:t>
      </w:r>
      <w:r w:rsidR="002F227A" w:rsidRPr="00596AC5">
        <w:t xml:space="preserve"> practice of discounting rates for favored customers, where rates are based not on differences in cost to serve, but solely on whether a customer’s geographical location permits it to be served by more than one NGDC, is not actual competition.  Because it is not competition and does not therefore afford the benefits of competition, gas-on-gas discounting results in discriminatory rates that cannot be justified.</w:t>
      </w:r>
    </w:p>
    <w:p w:rsidR="00743068" w:rsidRDefault="00743068" w:rsidP="00E8517A">
      <w:pPr>
        <w:spacing w:line="360" w:lineRule="auto"/>
        <w:ind w:firstLine="720"/>
      </w:pPr>
    </w:p>
    <w:p w:rsidR="00E8517A" w:rsidRDefault="00743068" w:rsidP="00E8517A">
      <w:pPr>
        <w:spacing w:line="360" w:lineRule="auto"/>
        <w:ind w:firstLine="720"/>
      </w:pPr>
      <w:r>
        <w:tab/>
      </w:r>
      <w:r w:rsidR="00E8517A">
        <w:t xml:space="preserve">OSBA avers </w:t>
      </w:r>
      <w:r w:rsidR="002F227A" w:rsidRPr="00596AC5">
        <w:t>this Investigation is not about flex rates for customers who (a) have interstate pipeline bypass opportunities, (b) have the option to relocate business out of the Commonwealth, (c) offer an attractive economic development opportunity, or (d) have lower cost alternative fuel options (together, “Competitive Options”).  Unlike gas-on-gas discounting, flexing rates for customers with Competitive Options can provide a net benefit to ratepayers, and OSBA supports continuation of this important ratemaking technique.  However, because these policies are not at issue in this proceeding, any arguments that eliminating gas-on-gas “competition” will result in an outflow of manufacturing activity from Western Pennsylvania are without foundation and irrelevant.</w:t>
      </w:r>
    </w:p>
    <w:p w:rsidR="002F227A" w:rsidRPr="00596AC5" w:rsidRDefault="002F227A" w:rsidP="00E8517A">
      <w:pPr>
        <w:spacing w:line="360" w:lineRule="auto"/>
        <w:ind w:firstLine="720"/>
      </w:pPr>
    </w:p>
    <w:p w:rsidR="002F227A" w:rsidRPr="00596AC5" w:rsidRDefault="00743068" w:rsidP="00E8517A">
      <w:pPr>
        <w:spacing w:line="360" w:lineRule="auto"/>
        <w:ind w:firstLine="720"/>
      </w:pPr>
      <w:r>
        <w:tab/>
      </w:r>
      <w:r w:rsidR="00E8517A">
        <w:t>OSBA contends</w:t>
      </w:r>
      <w:r w:rsidR="002F227A" w:rsidRPr="00596AC5">
        <w:t>: (1) gas-on-gas discounting is not competition and is not beneficial to customers; (2) public utility law and recent Commission decisions do not support gas-on-gas discounting; (3) gas-on-gas discounting is not consistent with ratemaking principles; (4) gas-on-gas discounts are fundamentally distinguishable from other flex rate offerings in response to real competition threats; and (5) a change in the discriminatory policy of gas-on-gas discounting is warranted whether or not circumstances have changed in Western Pennsylvania.</w:t>
      </w:r>
    </w:p>
    <w:p w:rsidR="00E8517A" w:rsidRDefault="00E8517A" w:rsidP="00E8517A">
      <w:pPr>
        <w:spacing w:line="360" w:lineRule="auto"/>
        <w:ind w:firstLine="720"/>
      </w:pPr>
    </w:p>
    <w:p w:rsidR="00843852" w:rsidRDefault="00743068" w:rsidP="00E8517A">
      <w:pPr>
        <w:spacing w:line="360" w:lineRule="auto"/>
        <w:ind w:firstLine="720"/>
      </w:pPr>
      <w:r>
        <w:tab/>
      </w:r>
      <w:r w:rsidR="002F227A" w:rsidRPr="00596AC5">
        <w:t xml:space="preserve">The OSBA believes that gas-on-gas discounting should be phased out over as short a time period as is practicable and that, going forward, NGDCs should be permitted to compete for customers in overlapping service territories solely on the basis of their regular tariff rates.  However, if the Commission determines that gas-on-gas discounting should continue, but should be modified, the OSBA disagrees with the recommendations made by all parties with the </w:t>
      </w:r>
      <w:r w:rsidR="00843852">
        <w:br w:type="page"/>
      </w:r>
    </w:p>
    <w:p w:rsidR="002F227A" w:rsidRDefault="002F227A" w:rsidP="00843852">
      <w:pPr>
        <w:spacing w:line="360" w:lineRule="auto"/>
      </w:pPr>
      <w:proofErr w:type="gramStart"/>
      <w:r w:rsidRPr="00596AC5">
        <w:t>exception</w:t>
      </w:r>
      <w:proofErr w:type="gramEnd"/>
      <w:r w:rsidRPr="00596AC5">
        <w:t xml:space="preserve"> of the proposal made by Peoples</w:t>
      </w:r>
      <w:r w:rsidR="0003271B">
        <w:t xml:space="preserve"> </w:t>
      </w:r>
      <w:r w:rsidRPr="00596AC5">
        <w:t>in its Main Brief (“Proposal”).</w:t>
      </w:r>
      <w:r w:rsidRPr="00596AC5">
        <w:rPr>
          <w:rStyle w:val="FootnoteReference"/>
        </w:rPr>
        <w:footnoteReference w:id="7"/>
      </w:r>
      <w:r w:rsidR="00AA22A6">
        <w:t xml:space="preserve">  </w:t>
      </w:r>
      <w:r w:rsidRPr="00596AC5">
        <w:t xml:space="preserve">The OSBA </w:t>
      </w:r>
      <w:r w:rsidR="001D2F2A">
        <w:t>a</w:t>
      </w:r>
      <w:r w:rsidRPr="00596AC5">
        <w:t>gree</w:t>
      </w:r>
      <w:r w:rsidR="001D2F2A">
        <w:t>s</w:t>
      </w:r>
      <w:r w:rsidRPr="00596AC5">
        <w:t xml:space="preserve"> that the Proposal is a compromise that would achieve the OSBA’s aims of reducing the net subsidies currently required from captive customers, provided that all of the “Potential Acceptable Options” described in Appendix B of Peoples/PTWP’s Main Brief are adopted.</w:t>
      </w:r>
    </w:p>
    <w:p w:rsidR="002F227A" w:rsidRPr="00596AC5" w:rsidRDefault="002F227A" w:rsidP="00E8517A">
      <w:pPr>
        <w:spacing w:line="360" w:lineRule="auto"/>
        <w:ind w:firstLine="720"/>
        <w:rPr>
          <w:b/>
        </w:rPr>
      </w:pPr>
    </w:p>
    <w:p w:rsidR="0003271B" w:rsidRDefault="002F227A" w:rsidP="008831FA">
      <w:pPr>
        <w:spacing w:line="360" w:lineRule="auto"/>
        <w:ind w:firstLine="1440"/>
      </w:pPr>
      <w:r w:rsidRPr="00596AC5">
        <w:t>However, if gas-on-gas discounts are not permitted and all customers must pay full tariff rates, the overall Pennsylvania NGDC customer base benefits (with the exception of the gas-on-gas customers who have received the subsidies for many years).</w:t>
      </w:r>
    </w:p>
    <w:p w:rsidR="0003271B" w:rsidRDefault="0003271B" w:rsidP="00E8517A">
      <w:pPr>
        <w:spacing w:line="360" w:lineRule="auto"/>
        <w:ind w:firstLine="720"/>
      </w:pPr>
    </w:p>
    <w:p w:rsidR="00372271" w:rsidRDefault="002F227A" w:rsidP="00B95D67">
      <w:pPr>
        <w:spacing w:line="360" w:lineRule="auto"/>
        <w:ind w:firstLine="1440"/>
      </w:pPr>
      <w:r w:rsidRPr="00596AC5">
        <w:t xml:space="preserve">The </w:t>
      </w:r>
      <w:r w:rsidR="001D2F2A">
        <w:t xml:space="preserve">OSBA </w:t>
      </w:r>
      <w:r w:rsidRPr="00596AC5">
        <w:t>offer</w:t>
      </w:r>
      <w:r w:rsidR="0003271B">
        <w:t>ed</w:t>
      </w:r>
      <w:r w:rsidRPr="00596AC5">
        <w:t xml:space="preserve"> a hypothetical example to illustrate this.  In that example, a customer could take service from either Columbia (tariff rate of $424,000 annually) or PTWP (tariff rate of $529,000 annually).  If gas-on-gas discounts are permitted, the gas-on-gas customer would accept a discounted rate of $100,000 annually to take service from PTWP.  In contrast, if gas-on-gas discounts are prohibited, the gas-on-gas customer will presumably choose to take service from Columbia, the lower cost option at $424,000 annually.  Although PTWP ratepayers will experience an incremental cost of $100,000 (the discounted rate the gas-on-gas customer would pay if such discounts were not prohibited), there is a benefit of $424,000 to regular Columbia ratepayers or a </w:t>
      </w:r>
      <w:r w:rsidR="0003271B">
        <w:t>net</w:t>
      </w:r>
      <w:r w:rsidRPr="00596AC5">
        <w:t xml:space="preserve"> benefit to the overall customer base of regular ratepayers of $324,000.  This example illustrates how the argument that gas-on-gas discounts benefit all customers is simply wrong.  These discounts result in a net cost to Pennsylvania NGDC ratepayers, not a net benefit.  </w:t>
      </w:r>
      <w:r w:rsidR="00743068">
        <w:t>Thus, g</w:t>
      </w:r>
      <w:r w:rsidRPr="00596AC5">
        <w:t xml:space="preserve">as-on-gas discounts are undeniably beneficial to the customers who receive them, but this does not justify their continuation at the expense of other ratepayers.  </w:t>
      </w:r>
      <w:r w:rsidR="001D2F2A" w:rsidRPr="00596AC5">
        <w:t>OSBA’s Main Brief at pp. 14-15</w:t>
      </w:r>
      <w:r w:rsidR="001D2F2A">
        <w:t>.</w:t>
      </w:r>
    </w:p>
    <w:p w:rsidR="00372271" w:rsidRDefault="00372271" w:rsidP="00E8517A">
      <w:pPr>
        <w:spacing w:line="360" w:lineRule="auto"/>
        <w:ind w:firstLine="720"/>
      </w:pPr>
    </w:p>
    <w:p w:rsidR="002F227A" w:rsidRDefault="00B95D67" w:rsidP="00B95D67">
      <w:pPr>
        <w:spacing w:line="360" w:lineRule="auto"/>
        <w:ind w:firstLine="1440"/>
      </w:pPr>
      <w:r>
        <w:br w:type="page"/>
      </w:r>
      <w:r w:rsidR="00372271">
        <w:t xml:space="preserve">OSBA </w:t>
      </w:r>
      <w:r w:rsidR="002F227A" w:rsidRPr="00596AC5">
        <w:t>requests that the Commission:</w:t>
      </w:r>
    </w:p>
    <w:p w:rsidR="00372271" w:rsidRPr="00596AC5" w:rsidRDefault="00372271" w:rsidP="00E8517A">
      <w:pPr>
        <w:spacing w:line="360" w:lineRule="auto"/>
        <w:ind w:firstLine="720"/>
      </w:pPr>
    </w:p>
    <w:p w:rsidR="002F227A" w:rsidRPr="00596AC5" w:rsidRDefault="002F227A" w:rsidP="00B95D67">
      <w:pPr>
        <w:pStyle w:val="ListParagraph"/>
        <w:numPr>
          <w:ilvl w:val="0"/>
          <w:numId w:val="14"/>
        </w:numPr>
        <w:autoSpaceDE w:val="0"/>
        <w:autoSpaceDN w:val="0"/>
        <w:adjustRightInd w:val="0"/>
        <w:spacing w:line="360" w:lineRule="auto"/>
        <w:ind w:left="1440" w:firstLine="0"/>
      </w:pPr>
      <w:r w:rsidRPr="00596AC5">
        <w:t>Prohibit NGDCs from entering into new agreements or renewing existing agreements that offer a below regular tariff rate to obtain or retain a customer that has the option of taking service from another NGDC, but does not have real competitive supply options such as interstate pipeline bypass, alternative fuel capability, or local gas supply; and</w:t>
      </w:r>
    </w:p>
    <w:p w:rsidR="002F227A" w:rsidRDefault="002F227A" w:rsidP="00B95D67">
      <w:pPr>
        <w:pStyle w:val="ListParagraph"/>
        <w:numPr>
          <w:ilvl w:val="0"/>
          <w:numId w:val="14"/>
        </w:numPr>
        <w:autoSpaceDE w:val="0"/>
        <w:autoSpaceDN w:val="0"/>
        <w:adjustRightInd w:val="0"/>
        <w:spacing w:line="360" w:lineRule="auto"/>
        <w:ind w:left="1440" w:firstLine="0"/>
      </w:pPr>
      <w:r w:rsidRPr="00596AC5">
        <w:t>Permit NGDCs to recover the revenue shortfall in base rates proceedings of existing discount agreements, but only through such agreements’ current expiration date or December 31, 2016, whichever is earlier; or</w:t>
      </w:r>
    </w:p>
    <w:p w:rsidR="002F227A" w:rsidRPr="00513F4A" w:rsidRDefault="002F227A" w:rsidP="00B95D67">
      <w:pPr>
        <w:pStyle w:val="ListParagraph"/>
        <w:numPr>
          <w:ilvl w:val="0"/>
          <w:numId w:val="14"/>
        </w:numPr>
        <w:autoSpaceDE w:val="0"/>
        <w:autoSpaceDN w:val="0"/>
        <w:adjustRightInd w:val="0"/>
        <w:spacing w:line="360" w:lineRule="auto"/>
        <w:ind w:left="1440" w:firstLine="0"/>
      </w:pPr>
      <w:r w:rsidRPr="00513F4A">
        <w:t>Alternatively, if the Commission determines that gas-on-gas discounting should continue in a modified way, adopt the Proposal presented by Peoples/PTWP including all of the “Potential Acceptable Options” described in Appendix B of Peoples/PTWP’s Main Brief.</w:t>
      </w:r>
    </w:p>
    <w:p w:rsidR="001E33D5" w:rsidRPr="00843852" w:rsidRDefault="001E33D5" w:rsidP="00B95D67">
      <w:pPr>
        <w:spacing w:line="360" w:lineRule="auto"/>
      </w:pPr>
    </w:p>
    <w:p w:rsidR="00B95D67" w:rsidRDefault="001E33D5" w:rsidP="00B95D67">
      <w:pPr>
        <w:spacing w:line="360" w:lineRule="auto"/>
        <w:rPr>
          <w:b/>
          <w:u w:val="single"/>
        </w:rPr>
      </w:pPr>
      <w:r w:rsidRPr="00455ACD">
        <w:rPr>
          <w:b/>
          <w:u w:val="single"/>
        </w:rPr>
        <w:t>I&amp;E</w:t>
      </w:r>
    </w:p>
    <w:p w:rsidR="00B95D67" w:rsidRPr="00843852" w:rsidRDefault="00B95D67" w:rsidP="00B95D67">
      <w:pPr>
        <w:spacing w:line="360" w:lineRule="auto"/>
      </w:pPr>
    </w:p>
    <w:p w:rsidR="00623287" w:rsidRPr="00DA1AA5" w:rsidRDefault="001E33D5" w:rsidP="00B95D67">
      <w:pPr>
        <w:pStyle w:val="Heading2"/>
        <w:spacing w:before="0" w:after="0" w:line="360" w:lineRule="auto"/>
        <w:ind w:firstLine="1440"/>
        <w:rPr>
          <w:rFonts w:ascii="Times New Roman" w:hAnsi="Times New Roman"/>
          <w:b w:val="0"/>
          <w:i w:val="0"/>
          <w:sz w:val="24"/>
          <w:szCs w:val="24"/>
        </w:rPr>
      </w:pPr>
      <w:r w:rsidRPr="00DA1AA5">
        <w:rPr>
          <w:rFonts w:ascii="Times New Roman" w:hAnsi="Times New Roman"/>
          <w:b w:val="0"/>
          <w:i w:val="0"/>
          <w:sz w:val="24"/>
          <w:szCs w:val="24"/>
        </w:rPr>
        <w:t xml:space="preserve">I&amp;E </w:t>
      </w:r>
      <w:proofErr w:type="gramStart"/>
      <w:r w:rsidRPr="00DA1AA5">
        <w:rPr>
          <w:rFonts w:ascii="Times New Roman" w:hAnsi="Times New Roman"/>
          <w:b w:val="0"/>
          <w:i w:val="0"/>
          <w:sz w:val="24"/>
          <w:szCs w:val="24"/>
        </w:rPr>
        <w:t>contends</w:t>
      </w:r>
      <w:proofErr w:type="gramEnd"/>
      <w:r w:rsidRPr="00DA1AA5">
        <w:rPr>
          <w:rFonts w:ascii="Times New Roman" w:hAnsi="Times New Roman"/>
          <w:b w:val="0"/>
          <w:i w:val="0"/>
          <w:sz w:val="24"/>
          <w:szCs w:val="24"/>
        </w:rPr>
        <w:t xml:space="preserve"> the rate discounting should end because the cost of offering a rate at a discount to large industrial users is levied upon the captive ratepayers who do not qualify for the discounts.</w:t>
      </w:r>
      <w:r w:rsidR="000A5053" w:rsidRPr="00DA1AA5">
        <w:rPr>
          <w:rFonts w:ascii="Times New Roman" w:hAnsi="Times New Roman"/>
          <w:b w:val="0"/>
          <w:i w:val="0"/>
          <w:sz w:val="24"/>
          <w:szCs w:val="24"/>
        </w:rPr>
        <w:t xml:space="preserve">  </w:t>
      </w:r>
      <w:bookmarkStart w:id="0" w:name="_Toc382316560"/>
      <w:r w:rsidR="00743068" w:rsidRPr="00DA1AA5">
        <w:rPr>
          <w:rFonts w:ascii="Times New Roman" w:hAnsi="Times New Roman"/>
          <w:b w:val="0"/>
          <w:i w:val="0"/>
          <w:sz w:val="24"/>
          <w:szCs w:val="24"/>
        </w:rPr>
        <w:t>I&amp;E argues: 1) r</w:t>
      </w:r>
      <w:r w:rsidR="00FA02D2" w:rsidRPr="00DA1AA5">
        <w:rPr>
          <w:rFonts w:ascii="Times New Roman" w:hAnsi="Times New Roman"/>
          <w:b w:val="0"/>
          <w:i w:val="0"/>
          <w:sz w:val="24"/>
          <w:szCs w:val="24"/>
        </w:rPr>
        <w:t xml:space="preserve">atepayer </w:t>
      </w:r>
      <w:r w:rsidR="00743068" w:rsidRPr="00DA1AA5">
        <w:rPr>
          <w:rFonts w:ascii="Times New Roman" w:hAnsi="Times New Roman"/>
          <w:b w:val="0"/>
          <w:i w:val="0"/>
          <w:sz w:val="24"/>
          <w:szCs w:val="24"/>
        </w:rPr>
        <w:t>f</w:t>
      </w:r>
      <w:r w:rsidR="00FA02D2" w:rsidRPr="00DA1AA5">
        <w:rPr>
          <w:rFonts w:ascii="Times New Roman" w:hAnsi="Times New Roman"/>
          <w:b w:val="0"/>
          <w:i w:val="0"/>
          <w:sz w:val="24"/>
          <w:szCs w:val="24"/>
        </w:rPr>
        <w:t xml:space="preserve">unded </w:t>
      </w:r>
      <w:r w:rsidR="00743068" w:rsidRPr="00DA1AA5">
        <w:rPr>
          <w:rFonts w:ascii="Times New Roman" w:hAnsi="Times New Roman"/>
          <w:b w:val="0"/>
          <w:i w:val="0"/>
          <w:sz w:val="24"/>
          <w:szCs w:val="24"/>
        </w:rPr>
        <w:t>g</w:t>
      </w:r>
      <w:r w:rsidR="00FA02D2" w:rsidRPr="00DA1AA5">
        <w:rPr>
          <w:rFonts w:ascii="Times New Roman" w:hAnsi="Times New Roman"/>
          <w:b w:val="0"/>
          <w:i w:val="0"/>
          <w:sz w:val="24"/>
          <w:szCs w:val="24"/>
        </w:rPr>
        <w:t>as-</w:t>
      </w:r>
      <w:r w:rsidR="00743068" w:rsidRPr="00DA1AA5">
        <w:rPr>
          <w:rFonts w:ascii="Times New Roman" w:hAnsi="Times New Roman"/>
          <w:b w:val="0"/>
          <w:i w:val="0"/>
          <w:sz w:val="24"/>
          <w:szCs w:val="24"/>
        </w:rPr>
        <w:t>o</w:t>
      </w:r>
      <w:r w:rsidR="00FA02D2" w:rsidRPr="00DA1AA5">
        <w:rPr>
          <w:rFonts w:ascii="Times New Roman" w:hAnsi="Times New Roman"/>
          <w:b w:val="0"/>
          <w:i w:val="0"/>
          <w:sz w:val="24"/>
          <w:szCs w:val="24"/>
        </w:rPr>
        <w:t>n-</w:t>
      </w:r>
      <w:r w:rsidR="00743068" w:rsidRPr="00DA1AA5">
        <w:rPr>
          <w:rFonts w:ascii="Times New Roman" w:hAnsi="Times New Roman"/>
          <w:b w:val="0"/>
          <w:i w:val="0"/>
          <w:sz w:val="24"/>
          <w:szCs w:val="24"/>
        </w:rPr>
        <w:t>g</w:t>
      </w:r>
      <w:r w:rsidR="00FA02D2" w:rsidRPr="00DA1AA5">
        <w:rPr>
          <w:rFonts w:ascii="Times New Roman" w:hAnsi="Times New Roman"/>
          <w:b w:val="0"/>
          <w:i w:val="0"/>
          <w:sz w:val="24"/>
          <w:szCs w:val="24"/>
        </w:rPr>
        <w:t xml:space="preserve">as </w:t>
      </w:r>
      <w:r w:rsidR="0003271B" w:rsidRPr="00DA1AA5">
        <w:rPr>
          <w:rFonts w:ascii="Times New Roman" w:hAnsi="Times New Roman"/>
          <w:b w:val="0"/>
          <w:i w:val="0"/>
          <w:sz w:val="24"/>
          <w:szCs w:val="24"/>
        </w:rPr>
        <w:t>c</w:t>
      </w:r>
      <w:r w:rsidR="00FA02D2" w:rsidRPr="00DA1AA5">
        <w:rPr>
          <w:rFonts w:ascii="Times New Roman" w:hAnsi="Times New Roman"/>
          <w:b w:val="0"/>
          <w:i w:val="0"/>
          <w:sz w:val="24"/>
          <w:szCs w:val="24"/>
        </w:rPr>
        <w:t xml:space="preserve">ompetition is </w:t>
      </w:r>
      <w:r w:rsidR="00743068" w:rsidRPr="00DA1AA5">
        <w:rPr>
          <w:rFonts w:ascii="Times New Roman" w:hAnsi="Times New Roman"/>
          <w:b w:val="0"/>
          <w:i w:val="0"/>
          <w:sz w:val="24"/>
          <w:szCs w:val="24"/>
        </w:rPr>
        <w:t>n</w:t>
      </w:r>
      <w:r w:rsidR="00FA02D2" w:rsidRPr="00DA1AA5">
        <w:rPr>
          <w:rFonts w:ascii="Times New Roman" w:hAnsi="Times New Roman"/>
          <w:b w:val="0"/>
          <w:i w:val="0"/>
          <w:sz w:val="24"/>
          <w:szCs w:val="24"/>
        </w:rPr>
        <w:t xml:space="preserve">ot in the </w:t>
      </w:r>
      <w:r w:rsidR="00743068" w:rsidRPr="00DA1AA5">
        <w:rPr>
          <w:rFonts w:ascii="Times New Roman" w:hAnsi="Times New Roman"/>
          <w:b w:val="0"/>
          <w:i w:val="0"/>
          <w:sz w:val="24"/>
          <w:szCs w:val="24"/>
        </w:rPr>
        <w:t>p</w:t>
      </w:r>
      <w:r w:rsidR="00FA02D2" w:rsidRPr="00DA1AA5">
        <w:rPr>
          <w:rFonts w:ascii="Times New Roman" w:hAnsi="Times New Roman"/>
          <w:b w:val="0"/>
          <w:i w:val="0"/>
          <w:sz w:val="24"/>
          <w:szCs w:val="24"/>
        </w:rPr>
        <w:t xml:space="preserve">ublic </w:t>
      </w:r>
      <w:r w:rsidR="00743068" w:rsidRPr="00DA1AA5">
        <w:rPr>
          <w:rFonts w:ascii="Times New Roman" w:hAnsi="Times New Roman"/>
          <w:b w:val="0"/>
          <w:i w:val="0"/>
          <w:sz w:val="24"/>
          <w:szCs w:val="24"/>
        </w:rPr>
        <w:t>i</w:t>
      </w:r>
      <w:r w:rsidR="00FA02D2" w:rsidRPr="00DA1AA5">
        <w:rPr>
          <w:rFonts w:ascii="Times New Roman" w:hAnsi="Times New Roman"/>
          <w:b w:val="0"/>
          <w:i w:val="0"/>
          <w:sz w:val="24"/>
          <w:szCs w:val="24"/>
        </w:rPr>
        <w:t>nterest</w:t>
      </w:r>
      <w:bookmarkEnd w:id="0"/>
      <w:r w:rsidR="00743068" w:rsidRPr="00DA1AA5">
        <w:rPr>
          <w:rFonts w:ascii="Times New Roman" w:hAnsi="Times New Roman"/>
          <w:b w:val="0"/>
          <w:i w:val="0"/>
          <w:sz w:val="24"/>
          <w:szCs w:val="24"/>
        </w:rPr>
        <w:t xml:space="preserve">; </w:t>
      </w:r>
      <w:r w:rsidR="00623287" w:rsidRPr="00DA1AA5">
        <w:rPr>
          <w:rFonts w:ascii="Times New Roman" w:hAnsi="Times New Roman"/>
          <w:b w:val="0"/>
          <w:i w:val="0"/>
          <w:sz w:val="24"/>
          <w:szCs w:val="24"/>
        </w:rPr>
        <w:t>2) s</w:t>
      </w:r>
      <w:r w:rsidR="001D2F2A" w:rsidRPr="00DA1AA5">
        <w:rPr>
          <w:rFonts w:ascii="Times New Roman" w:hAnsi="Times New Roman"/>
          <w:b w:val="0"/>
          <w:i w:val="0"/>
          <w:sz w:val="24"/>
          <w:szCs w:val="24"/>
        </w:rPr>
        <w:t xml:space="preserve">ound </w:t>
      </w:r>
      <w:r w:rsidR="00623287" w:rsidRPr="00DA1AA5">
        <w:rPr>
          <w:rFonts w:ascii="Times New Roman" w:hAnsi="Times New Roman"/>
          <w:b w:val="0"/>
          <w:i w:val="0"/>
          <w:sz w:val="24"/>
          <w:szCs w:val="24"/>
        </w:rPr>
        <w:t>r</w:t>
      </w:r>
      <w:r w:rsidR="001D2F2A" w:rsidRPr="00DA1AA5">
        <w:rPr>
          <w:rFonts w:ascii="Times New Roman" w:hAnsi="Times New Roman"/>
          <w:b w:val="0"/>
          <w:i w:val="0"/>
          <w:sz w:val="24"/>
          <w:szCs w:val="24"/>
        </w:rPr>
        <w:t xml:space="preserve">atemaking </w:t>
      </w:r>
      <w:r w:rsidR="00623287" w:rsidRPr="00DA1AA5">
        <w:rPr>
          <w:rFonts w:ascii="Times New Roman" w:hAnsi="Times New Roman"/>
          <w:b w:val="0"/>
          <w:i w:val="0"/>
          <w:sz w:val="24"/>
          <w:szCs w:val="24"/>
        </w:rPr>
        <w:t>p</w:t>
      </w:r>
      <w:r w:rsidR="001D2F2A" w:rsidRPr="00DA1AA5">
        <w:rPr>
          <w:rFonts w:ascii="Times New Roman" w:hAnsi="Times New Roman"/>
          <w:b w:val="0"/>
          <w:i w:val="0"/>
          <w:sz w:val="24"/>
          <w:szCs w:val="24"/>
        </w:rPr>
        <w:t xml:space="preserve">rinciples </w:t>
      </w:r>
      <w:r w:rsidR="00623287" w:rsidRPr="00DA1AA5">
        <w:rPr>
          <w:rFonts w:ascii="Times New Roman" w:hAnsi="Times New Roman"/>
          <w:b w:val="0"/>
          <w:i w:val="0"/>
          <w:sz w:val="24"/>
          <w:szCs w:val="24"/>
        </w:rPr>
        <w:t>d</w:t>
      </w:r>
      <w:r w:rsidR="001D2F2A" w:rsidRPr="00DA1AA5">
        <w:rPr>
          <w:rFonts w:ascii="Times New Roman" w:hAnsi="Times New Roman"/>
          <w:b w:val="0"/>
          <w:i w:val="0"/>
          <w:sz w:val="24"/>
          <w:szCs w:val="24"/>
        </w:rPr>
        <w:t xml:space="preserve">o </w:t>
      </w:r>
      <w:r w:rsidR="00623287" w:rsidRPr="00DA1AA5">
        <w:rPr>
          <w:rFonts w:ascii="Times New Roman" w:hAnsi="Times New Roman"/>
          <w:b w:val="0"/>
          <w:i w:val="0"/>
          <w:sz w:val="24"/>
          <w:szCs w:val="24"/>
        </w:rPr>
        <w:t>n</w:t>
      </w:r>
      <w:r w:rsidR="001D2F2A" w:rsidRPr="00DA1AA5">
        <w:rPr>
          <w:rFonts w:ascii="Times New Roman" w:hAnsi="Times New Roman"/>
          <w:b w:val="0"/>
          <w:i w:val="0"/>
          <w:sz w:val="24"/>
          <w:szCs w:val="24"/>
        </w:rPr>
        <w:t xml:space="preserve">ot </w:t>
      </w:r>
      <w:r w:rsidR="00623287" w:rsidRPr="00DA1AA5">
        <w:rPr>
          <w:rFonts w:ascii="Times New Roman" w:hAnsi="Times New Roman"/>
          <w:b w:val="0"/>
          <w:i w:val="0"/>
          <w:sz w:val="24"/>
          <w:szCs w:val="24"/>
        </w:rPr>
        <w:t>s</w:t>
      </w:r>
      <w:r w:rsidR="001D2F2A" w:rsidRPr="00DA1AA5">
        <w:rPr>
          <w:rFonts w:ascii="Times New Roman" w:hAnsi="Times New Roman"/>
          <w:b w:val="0"/>
          <w:i w:val="0"/>
          <w:sz w:val="24"/>
          <w:szCs w:val="24"/>
        </w:rPr>
        <w:t xml:space="preserve">upport the </w:t>
      </w:r>
      <w:r w:rsidR="00623287" w:rsidRPr="00DA1AA5">
        <w:rPr>
          <w:rFonts w:ascii="Times New Roman" w:hAnsi="Times New Roman"/>
          <w:b w:val="0"/>
          <w:i w:val="0"/>
          <w:sz w:val="24"/>
          <w:szCs w:val="24"/>
        </w:rPr>
        <w:t>c</w:t>
      </w:r>
      <w:r w:rsidR="001D2F2A" w:rsidRPr="00DA1AA5">
        <w:rPr>
          <w:rFonts w:ascii="Times New Roman" w:hAnsi="Times New Roman"/>
          <w:b w:val="0"/>
          <w:i w:val="0"/>
          <w:sz w:val="24"/>
          <w:szCs w:val="24"/>
        </w:rPr>
        <w:t xml:space="preserve">ontinuation of </w:t>
      </w:r>
      <w:r w:rsidR="00623287" w:rsidRPr="00DA1AA5">
        <w:rPr>
          <w:rFonts w:ascii="Times New Roman" w:hAnsi="Times New Roman"/>
          <w:b w:val="0"/>
          <w:i w:val="0"/>
          <w:sz w:val="24"/>
          <w:szCs w:val="24"/>
        </w:rPr>
        <w:t>r</w:t>
      </w:r>
      <w:r w:rsidR="001D2F2A" w:rsidRPr="00DA1AA5">
        <w:rPr>
          <w:rFonts w:ascii="Times New Roman" w:hAnsi="Times New Roman"/>
          <w:b w:val="0"/>
          <w:i w:val="0"/>
          <w:sz w:val="24"/>
          <w:szCs w:val="24"/>
        </w:rPr>
        <w:t xml:space="preserve">atepayer </w:t>
      </w:r>
      <w:r w:rsidR="00623287" w:rsidRPr="00DA1AA5">
        <w:rPr>
          <w:rFonts w:ascii="Times New Roman" w:hAnsi="Times New Roman"/>
          <w:b w:val="0"/>
          <w:i w:val="0"/>
          <w:sz w:val="24"/>
          <w:szCs w:val="24"/>
        </w:rPr>
        <w:t>f</w:t>
      </w:r>
      <w:r w:rsidR="001D2F2A" w:rsidRPr="00DA1AA5">
        <w:rPr>
          <w:rFonts w:ascii="Times New Roman" w:hAnsi="Times New Roman"/>
          <w:b w:val="0"/>
          <w:i w:val="0"/>
          <w:sz w:val="24"/>
          <w:szCs w:val="24"/>
        </w:rPr>
        <w:t xml:space="preserve">unded </w:t>
      </w:r>
      <w:r w:rsidR="00623287" w:rsidRPr="00DA1AA5">
        <w:rPr>
          <w:rFonts w:ascii="Times New Roman" w:hAnsi="Times New Roman"/>
          <w:b w:val="0"/>
          <w:i w:val="0"/>
          <w:sz w:val="24"/>
          <w:szCs w:val="24"/>
        </w:rPr>
        <w:t>g</w:t>
      </w:r>
      <w:r w:rsidR="001D2F2A" w:rsidRPr="00DA1AA5">
        <w:rPr>
          <w:rFonts w:ascii="Times New Roman" w:hAnsi="Times New Roman"/>
          <w:b w:val="0"/>
          <w:i w:val="0"/>
          <w:sz w:val="24"/>
          <w:szCs w:val="24"/>
        </w:rPr>
        <w:t>as-</w:t>
      </w:r>
      <w:r w:rsidR="00623287" w:rsidRPr="00DA1AA5">
        <w:rPr>
          <w:rFonts w:ascii="Times New Roman" w:hAnsi="Times New Roman"/>
          <w:b w:val="0"/>
          <w:i w:val="0"/>
          <w:sz w:val="24"/>
          <w:szCs w:val="24"/>
        </w:rPr>
        <w:t>o</w:t>
      </w:r>
      <w:r w:rsidR="001D2F2A" w:rsidRPr="00DA1AA5">
        <w:rPr>
          <w:rFonts w:ascii="Times New Roman" w:hAnsi="Times New Roman"/>
          <w:b w:val="0"/>
          <w:i w:val="0"/>
          <w:sz w:val="24"/>
          <w:szCs w:val="24"/>
        </w:rPr>
        <w:t>n-</w:t>
      </w:r>
      <w:r w:rsidR="00623287" w:rsidRPr="00DA1AA5">
        <w:rPr>
          <w:rFonts w:ascii="Times New Roman" w:hAnsi="Times New Roman"/>
          <w:b w:val="0"/>
          <w:i w:val="0"/>
          <w:sz w:val="24"/>
          <w:szCs w:val="24"/>
        </w:rPr>
        <w:t>g</w:t>
      </w:r>
      <w:r w:rsidR="001D2F2A" w:rsidRPr="00DA1AA5">
        <w:rPr>
          <w:rFonts w:ascii="Times New Roman" w:hAnsi="Times New Roman"/>
          <w:b w:val="0"/>
          <w:i w:val="0"/>
          <w:sz w:val="24"/>
          <w:szCs w:val="24"/>
        </w:rPr>
        <w:t xml:space="preserve">as </w:t>
      </w:r>
      <w:r w:rsidR="00623287" w:rsidRPr="00DA1AA5">
        <w:rPr>
          <w:rFonts w:ascii="Times New Roman" w:hAnsi="Times New Roman"/>
          <w:b w:val="0"/>
          <w:i w:val="0"/>
          <w:sz w:val="24"/>
          <w:szCs w:val="24"/>
        </w:rPr>
        <w:t>c</w:t>
      </w:r>
      <w:r w:rsidR="001D2F2A" w:rsidRPr="00DA1AA5">
        <w:rPr>
          <w:rFonts w:ascii="Times New Roman" w:hAnsi="Times New Roman"/>
          <w:b w:val="0"/>
          <w:i w:val="0"/>
          <w:sz w:val="24"/>
          <w:szCs w:val="24"/>
        </w:rPr>
        <w:t>ompetition</w:t>
      </w:r>
      <w:r w:rsidR="00623287" w:rsidRPr="00DA1AA5">
        <w:rPr>
          <w:rFonts w:ascii="Times New Roman" w:hAnsi="Times New Roman"/>
          <w:b w:val="0"/>
          <w:i w:val="0"/>
          <w:sz w:val="24"/>
          <w:szCs w:val="24"/>
        </w:rPr>
        <w:t>;</w:t>
      </w:r>
      <w:r w:rsidR="001D2F2A" w:rsidRPr="00DA1AA5">
        <w:rPr>
          <w:rFonts w:ascii="Times New Roman" w:hAnsi="Times New Roman"/>
          <w:b w:val="0"/>
          <w:i w:val="0"/>
          <w:sz w:val="24"/>
          <w:szCs w:val="24"/>
        </w:rPr>
        <w:t xml:space="preserve"> </w:t>
      </w:r>
      <w:r w:rsidR="00623287" w:rsidRPr="00DA1AA5">
        <w:rPr>
          <w:rFonts w:ascii="Times New Roman" w:hAnsi="Times New Roman"/>
          <w:b w:val="0"/>
          <w:i w:val="0"/>
          <w:sz w:val="24"/>
          <w:szCs w:val="24"/>
        </w:rPr>
        <w:t>3) a</w:t>
      </w:r>
      <w:r w:rsidR="001D2F2A" w:rsidRPr="00DA1AA5">
        <w:rPr>
          <w:rFonts w:ascii="Times New Roman" w:hAnsi="Times New Roman"/>
          <w:b w:val="0"/>
          <w:i w:val="0"/>
          <w:sz w:val="24"/>
          <w:szCs w:val="24"/>
        </w:rPr>
        <w:t xml:space="preserve"> </w:t>
      </w:r>
      <w:r w:rsidR="00623287" w:rsidRPr="00DA1AA5">
        <w:rPr>
          <w:rFonts w:ascii="Times New Roman" w:hAnsi="Times New Roman"/>
          <w:b w:val="0"/>
          <w:i w:val="0"/>
          <w:sz w:val="24"/>
          <w:szCs w:val="24"/>
        </w:rPr>
        <w:t>r</w:t>
      </w:r>
      <w:r w:rsidR="001D2F2A" w:rsidRPr="00DA1AA5">
        <w:rPr>
          <w:rFonts w:ascii="Times New Roman" w:hAnsi="Times New Roman"/>
          <w:b w:val="0"/>
          <w:i w:val="0"/>
          <w:sz w:val="24"/>
          <w:szCs w:val="24"/>
        </w:rPr>
        <w:t xml:space="preserve">easonable </w:t>
      </w:r>
      <w:r w:rsidR="00623287" w:rsidRPr="00DA1AA5">
        <w:rPr>
          <w:rFonts w:ascii="Times New Roman" w:hAnsi="Times New Roman"/>
          <w:b w:val="0"/>
          <w:i w:val="0"/>
          <w:sz w:val="24"/>
          <w:szCs w:val="24"/>
        </w:rPr>
        <w:t>t</w:t>
      </w:r>
      <w:r w:rsidR="001D2F2A" w:rsidRPr="00DA1AA5">
        <w:rPr>
          <w:rFonts w:ascii="Times New Roman" w:hAnsi="Times New Roman"/>
          <w:b w:val="0"/>
          <w:i w:val="0"/>
          <w:sz w:val="24"/>
          <w:szCs w:val="24"/>
        </w:rPr>
        <w:t xml:space="preserve">ransition </w:t>
      </w:r>
      <w:r w:rsidR="00623287" w:rsidRPr="00DA1AA5">
        <w:rPr>
          <w:rFonts w:ascii="Times New Roman" w:hAnsi="Times New Roman"/>
          <w:b w:val="0"/>
          <w:i w:val="0"/>
          <w:sz w:val="24"/>
          <w:szCs w:val="24"/>
        </w:rPr>
        <w:t>p</w:t>
      </w:r>
      <w:r w:rsidR="001D2F2A" w:rsidRPr="00DA1AA5">
        <w:rPr>
          <w:rFonts w:ascii="Times New Roman" w:hAnsi="Times New Roman"/>
          <w:b w:val="0"/>
          <w:i w:val="0"/>
          <w:sz w:val="24"/>
          <w:szCs w:val="24"/>
        </w:rPr>
        <w:t xml:space="preserve">eriod </w:t>
      </w:r>
      <w:r w:rsidR="00623287" w:rsidRPr="00DA1AA5">
        <w:rPr>
          <w:rFonts w:ascii="Times New Roman" w:hAnsi="Times New Roman"/>
          <w:b w:val="0"/>
          <w:i w:val="0"/>
          <w:sz w:val="24"/>
          <w:szCs w:val="24"/>
        </w:rPr>
        <w:t>d</w:t>
      </w:r>
      <w:r w:rsidR="001D2F2A" w:rsidRPr="00DA1AA5">
        <w:rPr>
          <w:rFonts w:ascii="Times New Roman" w:hAnsi="Times New Roman"/>
          <w:b w:val="0"/>
          <w:i w:val="0"/>
          <w:sz w:val="24"/>
          <w:szCs w:val="24"/>
        </w:rPr>
        <w:t xml:space="preserve">oes </w:t>
      </w:r>
      <w:r w:rsidR="00623287" w:rsidRPr="00DA1AA5">
        <w:rPr>
          <w:rFonts w:ascii="Times New Roman" w:hAnsi="Times New Roman"/>
          <w:b w:val="0"/>
          <w:i w:val="0"/>
          <w:sz w:val="24"/>
          <w:szCs w:val="24"/>
        </w:rPr>
        <w:t>n</w:t>
      </w:r>
      <w:r w:rsidR="001D2F2A" w:rsidRPr="00DA1AA5">
        <w:rPr>
          <w:rFonts w:ascii="Times New Roman" w:hAnsi="Times New Roman"/>
          <w:b w:val="0"/>
          <w:i w:val="0"/>
          <w:sz w:val="24"/>
          <w:szCs w:val="24"/>
        </w:rPr>
        <w:t xml:space="preserve">ot </w:t>
      </w:r>
      <w:r w:rsidR="00623287" w:rsidRPr="00DA1AA5">
        <w:rPr>
          <w:rFonts w:ascii="Times New Roman" w:hAnsi="Times New Roman"/>
          <w:b w:val="0"/>
          <w:i w:val="0"/>
          <w:sz w:val="24"/>
          <w:szCs w:val="24"/>
        </w:rPr>
        <w:t>r</w:t>
      </w:r>
      <w:r w:rsidR="001D2F2A" w:rsidRPr="00DA1AA5">
        <w:rPr>
          <w:rFonts w:ascii="Times New Roman" w:hAnsi="Times New Roman"/>
          <w:b w:val="0"/>
          <w:i w:val="0"/>
          <w:sz w:val="24"/>
          <w:szCs w:val="24"/>
        </w:rPr>
        <w:t xml:space="preserve">equire </w:t>
      </w:r>
      <w:r w:rsidR="00623287" w:rsidRPr="00DA1AA5">
        <w:rPr>
          <w:rFonts w:ascii="Times New Roman" w:hAnsi="Times New Roman"/>
          <w:b w:val="0"/>
          <w:i w:val="0"/>
          <w:sz w:val="24"/>
          <w:szCs w:val="24"/>
        </w:rPr>
        <w:t>e</w:t>
      </w:r>
      <w:r w:rsidR="001D2F2A" w:rsidRPr="00DA1AA5">
        <w:rPr>
          <w:rFonts w:ascii="Times New Roman" w:hAnsi="Times New Roman"/>
          <w:b w:val="0"/>
          <w:i w:val="0"/>
          <w:sz w:val="24"/>
          <w:szCs w:val="24"/>
        </w:rPr>
        <w:t xml:space="preserve">xpiration of </w:t>
      </w:r>
      <w:r w:rsidR="00623287" w:rsidRPr="00DA1AA5">
        <w:rPr>
          <w:rFonts w:ascii="Times New Roman" w:hAnsi="Times New Roman"/>
          <w:b w:val="0"/>
          <w:i w:val="0"/>
          <w:sz w:val="24"/>
          <w:szCs w:val="24"/>
        </w:rPr>
        <w:t>c</w:t>
      </w:r>
      <w:r w:rsidR="001D2F2A" w:rsidRPr="00DA1AA5">
        <w:rPr>
          <w:rFonts w:ascii="Times New Roman" w:hAnsi="Times New Roman"/>
          <w:b w:val="0"/>
          <w:i w:val="0"/>
          <w:sz w:val="24"/>
          <w:szCs w:val="24"/>
        </w:rPr>
        <w:t xml:space="preserve">urrent </w:t>
      </w:r>
      <w:r w:rsidR="00623287" w:rsidRPr="00DA1AA5">
        <w:rPr>
          <w:rFonts w:ascii="Times New Roman" w:hAnsi="Times New Roman"/>
          <w:b w:val="0"/>
          <w:i w:val="0"/>
          <w:sz w:val="24"/>
          <w:szCs w:val="24"/>
        </w:rPr>
        <w:t>f</w:t>
      </w:r>
      <w:r w:rsidR="001D2F2A" w:rsidRPr="00DA1AA5">
        <w:rPr>
          <w:rFonts w:ascii="Times New Roman" w:hAnsi="Times New Roman"/>
          <w:b w:val="0"/>
          <w:i w:val="0"/>
          <w:sz w:val="24"/>
          <w:szCs w:val="24"/>
        </w:rPr>
        <w:t xml:space="preserve">lex </w:t>
      </w:r>
      <w:r w:rsidR="00623287" w:rsidRPr="00DA1AA5">
        <w:rPr>
          <w:rFonts w:ascii="Times New Roman" w:hAnsi="Times New Roman"/>
          <w:b w:val="0"/>
          <w:i w:val="0"/>
          <w:sz w:val="24"/>
          <w:szCs w:val="24"/>
        </w:rPr>
        <w:t>a</w:t>
      </w:r>
      <w:r w:rsidR="001D2F2A" w:rsidRPr="00DA1AA5">
        <w:rPr>
          <w:rFonts w:ascii="Times New Roman" w:hAnsi="Times New Roman"/>
          <w:b w:val="0"/>
          <w:i w:val="0"/>
          <w:sz w:val="24"/>
          <w:szCs w:val="24"/>
        </w:rPr>
        <w:t xml:space="preserve">greements and </w:t>
      </w:r>
      <w:r w:rsidR="00623287" w:rsidRPr="00DA1AA5">
        <w:rPr>
          <w:rFonts w:ascii="Times New Roman" w:hAnsi="Times New Roman"/>
          <w:b w:val="0"/>
          <w:i w:val="0"/>
          <w:sz w:val="24"/>
          <w:szCs w:val="24"/>
        </w:rPr>
        <w:t>b</w:t>
      </w:r>
      <w:r w:rsidR="001D2F2A" w:rsidRPr="00DA1AA5">
        <w:rPr>
          <w:rFonts w:ascii="Times New Roman" w:hAnsi="Times New Roman"/>
          <w:b w:val="0"/>
          <w:i w:val="0"/>
          <w:sz w:val="24"/>
          <w:szCs w:val="24"/>
        </w:rPr>
        <w:t xml:space="preserve">ase </w:t>
      </w:r>
      <w:r w:rsidR="00623287" w:rsidRPr="00DA1AA5">
        <w:rPr>
          <w:rFonts w:ascii="Times New Roman" w:hAnsi="Times New Roman"/>
          <w:b w:val="0"/>
          <w:i w:val="0"/>
          <w:sz w:val="24"/>
          <w:szCs w:val="24"/>
        </w:rPr>
        <w:t>r</w:t>
      </w:r>
      <w:r w:rsidR="001D2F2A" w:rsidRPr="00DA1AA5">
        <w:rPr>
          <w:rFonts w:ascii="Times New Roman" w:hAnsi="Times New Roman"/>
          <w:b w:val="0"/>
          <w:i w:val="0"/>
          <w:sz w:val="24"/>
          <w:szCs w:val="24"/>
        </w:rPr>
        <w:t xml:space="preserve">ate </w:t>
      </w:r>
      <w:r w:rsidR="00623287" w:rsidRPr="00DA1AA5">
        <w:rPr>
          <w:rFonts w:ascii="Times New Roman" w:hAnsi="Times New Roman"/>
          <w:b w:val="0"/>
          <w:i w:val="0"/>
          <w:sz w:val="24"/>
          <w:szCs w:val="24"/>
        </w:rPr>
        <w:t>f</w:t>
      </w:r>
      <w:r w:rsidR="001D2F2A" w:rsidRPr="00DA1AA5">
        <w:rPr>
          <w:rFonts w:ascii="Times New Roman" w:hAnsi="Times New Roman"/>
          <w:b w:val="0"/>
          <w:i w:val="0"/>
          <w:sz w:val="24"/>
          <w:szCs w:val="24"/>
        </w:rPr>
        <w:t>ilings</w:t>
      </w:r>
      <w:r w:rsidR="00623287" w:rsidRPr="00DA1AA5">
        <w:rPr>
          <w:rFonts w:ascii="Times New Roman" w:hAnsi="Times New Roman"/>
          <w:b w:val="0"/>
          <w:i w:val="0"/>
          <w:sz w:val="24"/>
          <w:szCs w:val="24"/>
        </w:rPr>
        <w:t xml:space="preserve">; </w:t>
      </w:r>
      <w:r w:rsidR="00F3326B" w:rsidRPr="00DA1AA5">
        <w:rPr>
          <w:rFonts w:ascii="Times New Roman" w:hAnsi="Times New Roman"/>
          <w:b w:val="0"/>
          <w:i w:val="0"/>
          <w:sz w:val="24"/>
          <w:szCs w:val="24"/>
        </w:rPr>
        <w:t xml:space="preserve">and </w:t>
      </w:r>
      <w:r w:rsidR="00623287" w:rsidRPr="00DA1AA5">
        <w:rPr>
          <w:rFonts w:ascii="Times New Roman" w:hAnsi="Times New Roman"/>
          <w:b w:val="0"/>
          <w:i w:val="0"/>
          <w:sz w:val="24"/>
          <w:szCs w:val="24"/>
        </w:rPr>
        <w:t>4) a reasonable transition period does not require expiration of current flex agreements and base rate filings.</w:t>
      </w:r>
    </w:p>
    <w:p w:rsidR="00FA02D2" w:rsidRPr="00DA1AA5" w:rsidRDefault="00FA02D2" w:rsidP="00DA1AA5">
      <w:pPr>
        <w:pStyle w:val="ListParagraph"/>
        <w:spacing w:line="360" w:lineRule="auto"/>
        <w:ind w:left="1800"/>
        <w:rPr>
          <w:szCs w:val="26"/>
        </w:rPr>
      </w:pPr>
    </w:p>
    <w:p w:rsidR="00FA02D2" w:rsidRPr="00DA1AA5" w:rsidRDefault="00FA02D2" w:rsidP="00B95D67">
      <w:pPr>
        <w:spacing w:line="360" w:lineRule="auto"/>
        <w:ind w:firstLine="1440"/>
        <w:rPr>
          <w:szCs w:val="26"/>
        </w:rPr>
      </w:pPr>
      <w:r w:rsidRPr="00DA1AA5">
        <w:rPr>
          <w:szCs w:val="26"/>
        </w:rPr>
        <w:t>I&amp;E agrees that in some limited instances  rate discounting and revenue shifting to captive customers is acceptable; however, it does not automatically follow that gas-on-gas competition is one of those instances.</w:t>
      </w:r>
    </w:p>
    <w:p w:rsidR="00FA02D2" w:rsidRPr="00DA1AA5" w:rsidRDefault="00FA02D2" w:rsidP="00FA02D2">
      <w:pPr>
        <w:pStyle w:val="ListParagraph"/>
        <w:spacing w:line="480" w:lineRule="auto"/>
        <w:ind w:left="0" w:firstLine="720"/>
        <w:rPr>
          <w:szCs w:val="26"/>
        </w:rPr>
      </w:pPr>
    </w:p>
    <w:p w:rsidR="00FA02D2" w:rsidRDefault="00324FF1" w:rsidP="00B95D67">
      <w:pPr>
        <w:pStyle w:val="ListParagraph"/>
        <w:spacing w:line="360" w:lineRule="auto"/>
        <w:ind w:left="0" w:firstLine="1440"/>
        <w:rPr>
          <w:szCs w:val="26"/>
        </w:rPr>
      </w:pPr>
      <w:r>
        <w:rPr>
          <w:szCs w:val="26"/>
        </w:rPr>
        <w:t xml:space="preserve">I&amp;E stated that if </w:t>
      </w:r>
      <w:r w:rsidR="00FA02D2" w:rsidRPr="00DA1AA5">
        <w:rPr>
          <w:szCs w:val="26"/>
        </w:rPr>
        <w:t>the Commission disagrees with I&amp;E’s recommendation to end ratepayer funded gas-on-gas competition, the proposal put forth in Peoples/PTWP’s Surrebuttal testimony as modified by Appendix B of its Main Brief presents the most workable solution and is vastly preferable to allowing the status quo to continue.</w:t>
      </w:r>
      <w:r w:rsidR="00FA02D2" w:rsidRPr="00DA1AA5">
        <w:rPr>
          <w:rStyle w:val="FootnoteReference"/>
          <w:szCs w:val="26"/>
        </w:rPr>
        <w:footnoteReference w:id="8"/>
      </w:r>
      <w:r w:rsidR="00FA02D2" w:rsidRPr="00DA1AA5">
        <w:rPr>
          <w:szCs w:val="26"/>
        </w:rPr>
        <w:t xml:space="preserve">  The proposal provides protection to ratepayers as it allows gas-on-gas competition to continue but in a modified form so that the tariffed rates set the floor for discounting.  Unlike the current form of competition where there is no limit to the discount, the Peoples/PTWP proposal permits NGDCs to reduce tariff rates only to the level required to meet the tariff rates of the competitor NGDC.  The revenue shortfall will continue to be recovered from captive customers; however, the amount will be significantly reduced given that there will be an established floor that the discount cannot go below.  Additionally, while the proposal allows existing gas-on-gas agreements to be honored for their existing terms, all new and renewal agreements will be subject to the new form of competition.  As such, the </w:t>
      </w:r>
      <w:r w:rsidR="00FA02D2" w:rsidRPr="008A296A">
        <w:rPr>
          <w:i/>
          <w:szCs w:val="26"/>
        </w:rPr>
        <w:t>status quo</w:t>
      </w:r>
      <w:r w:rsidR="00FA02D2" w:rsidRPr="00DA1AA5">
        <w:rPr>
          <w:szCs w:val="26"/>
        </w:rPr>
        <w:t xml:space="preserve"> of gas-on-gas competition will end immediately for all new contracts and will be fully extinguished once existing contracts have run their full terms.  Although I&amp;E prefers that ratepayer funded gas-on-gas competition end, the modified form of competition presented by Peoples/PTWP addresses I&amp;E’s concerns about the significant amount of discounts currently recovered from captive customers and transitions away from the status quo immediately rather than permitting it to continue for a prolonged period.</w:t>
      </w:r>
    </w:p>
    <w:p w:rsidR="00324FF1" w:rsidRPr="00DA1AA5" w:rsidRDefault="00324FF1" w:rsidP="00F3326B">
      <w:pPr>
        <w:pStyle w:val="ListParagraph"/>
        <w:spacing w:line="360" w:lineRule="auto"/>
        <w:ind w:left="0" w:firstLine="720"/>
        <w:rPr>
          <w:szCs w:val="26"/>
        </w:rPr>
      </w:pPr>
    </w:p>
    <w:p w:rsidR="001E33D5" w:rsidRPr="00DA1AA5" w:rsidRDefault="001E33D5" w:rsidP="00AF67AE">
      <w:pPr>
        <w:spacing w:line="360" w:lineRule="auto"/>
        <w:rPr>
          <w:b/>
          <w:u w:val="single"/>
        </w:rPr>
      </w:pPr>
      <w:r w:rsidRPr="00DA1AA5">
        <w:rPr>
          <w:b/>
          <w:u w:val="single"/>
        </w:rPr>
        <w:t xml:space="preserve">Peoples, Equitable, and Peoples </w:t>
      </w:r>
      <w:r w:rsidR="007A202A" w:rsidRPr="00DA1AA5">
        <w:rPr>
          <w:b/>
          <w:u w:val="single"/>
        </w:rPr>
        <w:t>Twp.</w:t>
      </w:r>
      <w:r w:rsidRPr="00DA1AA5">
        <w:rPr>
          <w:b/>
          <w:u w:val="single"/>
        </w:rPr>
        <w:t xml:space="preserve"> LLC</w:t>
      </w:r>
    </w:p>
    <w:p w:rsidR="00FA02D2" w:rsidRPr="00DA1AA5" w:rsidRDefault="00FA02D2" w:rsidP="00AF67AE">
      <w:pPr>
        <w:spacing w:line="360" w:lineRule="auto"/>
        <w:ind w:left="1440" w:hanging="720"/>
        <w:rPr>
          <w:u w:val="single"/>
        </w:rPr>
      </w:pPr>
    </w:p>
    <w:p w:rsidR="00E13864" w:rsidRDefault="00324FF1" w:rsidP="00324FF1">
      <w:pPr>
        <w:spacing w:line="360" w:lineRule="auto"/>
        <w:ind w:firstLine="720"/>
      </w:pPr>
      <w:r>
        <w:tab/>
      </w:r>
      <w:r w:rsidR="00FA02D2" w:rsidRPr="00DA1AA5">
        <w:t xml:space="preserve">The Peoples Proposal </w:t>
      </w:r>
      <w:r w:rsidR="00E969E2" w:rsidRPr="00DA1AA5">
        <w:t>offers a compromise</w:t>
      </w:r>
      <w:r w:rsidR="0070582A">
        <w:t xml:space="preserve"> position </w:t>
      </w:r>
      <w:r w:rsidR="0070582A" w:rsidRPr="00DA1AA5">
        <w:t>between</w:t>
      </w:r>
      <w:r w:rsidR="00FA02D2" w:rsidRPr="00DA1AA5">
        <w:t xml:space="preserve"> the competing interests of the advocates of the </w:t>
      </w:r>
      <w:r w:rsidR="00FA02D2" w:rsidRPr="00DA1AA5">
        <w:rPr>
          <w:i/>
        </w:rPr>
        <w:t>status quo</w:t>
      </w:r>
      <w:r w:rsidR="00FA02D2" w:rsidRPr="00DA1AA5">
        <w:t xml:space="preserve"> and the advocates of the complete elimination of gas-on-gas competition.  </w:t>
      </w:r>
      <w:proofErr w:type="gramStart"/>
      <w:r>
        <w:t>Peoples</w:t>
      </w:r>
      <w:proofErr w:type="gramEnd"/>
      <w:r>
        <w:t xml:space="preserve"> advocates </w:t>
      </w:r>
      <w:r w:rsidR="00FA02D2" w:rsidRPr="00DA1AA5">
        <w:t xml:space="preserve">gas-on-gas competition has deep historic roots in Western Pennsylvania that cannot simply be displaced by regulatory fiat.  </w:t>
      </w:r>
      <w:r w:rsidR="00FA02D2" w:rsidRPr="00DA1AA5">
        <w:rPr>
          <w:i/>
        </w:rPr>
        <w:t>See</w:t>
      </w:r>
      <w:r w:rsidR="00FA02D2" w:rsidRPr="00DA1AA5">
        <w:t xml:space="preserve"> Peoples/Peoples TWP Main Brief, 20-21; Peoples/Peoples TWP St. No. 1, 15:9-19</w:t>
      </w:r>
      <w:r w:rsidR="0070582A">
        <w:t xml:space="preserve">. </w:t>
      </w:r>
      <w:r w:rsidR="00FA02D2" w:rsidRPr="00DA1AA5">
        <w:t xml:space="preserve"> </w:t>
      </w:r>
      <w:proofErr w:type="gramStart"/>
      <w:r w:rsidR="0070582A">
        <w:t>Peoples contends</w:t>
      </w:r>
      <w:proofErr w:type="gramEnd"/>
      <w:r w:rsidR="00303857">
        <w:t xml:space="preserve"> that</w:t>
      </w:r>
      <w:r w:rsidR="00FA02D2" w:rsidRPr="00DA1AA5">
        <w:t xml:space="preserve"> customers and NGDCs have made substantial business investments in reliance upon the existence of some form of competition for natural gas transportation service.  </w:t>
      </w:r>
      <w:r w:rsidR="00FA02D2" w:rsidRPr="00DA1AA5">
        <w:rPr>
          <w:i/>
        </w:rPr>
        <w:t>See</w:t>
      </w:r>
      <w:r w:rsidR="00FA02D2" w:rsidRPr="00DA1AA5">
        <w:t xml:space="preserve"> Peoples/Peoples TWP Main Brief, 6-9</w:t>
      </w:r>
      <w:r w:rsidR="0070582A">
        <w:t>.</w:t>
      </w:r>
      <w:r w:rsidR="00E13864">
        <w:t xml:space="preserve">  </w:t>
      </w:r>
      <w:r>
        <w:t xml:space="preserve">However, Peoples admits </w:t>
      </w:r>
      <w:r w:rsidR="00FA02D2" w:rsidRPr="00DA1AA5">
        <w:t xml:space="preserve">that the current form of discounting produces inequities between customers.  </w:t>
      </w:r>
      <w:proofErr w:type="gramStart"/>
      <w:r w:rsidR="00FA02D2" w:rsidRPr="00DA1AA5">
        <w:t>Peoples/Peoples TWP St. No. 1, 15:9-19</w:t>
      </w:r>
      <w:r w:rsidR="00E13864">
        <w:t>.</w:t>
      </w:r>
      <w:proofErr w:type="gramEnd"/>
    </w:p>
    <w:p w:rsidR="00324FF1" w:rsidRDefault="00324FF1" w:rsidP="00324FF1">
      <w:pPr>
        <w:spacing w:line="360" w:lineRule="auto"/>
        <w:ind w:firstLine="720"/>
      </w:pPr>
    </w:p>
    <w:p w:rsidR="00FA02D2" w:rsidRPr="00DA1AA5" w:rsidRDefault="00324FF1" w:rsidP="00324FF1">
      <w:pPr>
        <w:spacing w:line="360" w:lineRule="auto"/>
        <w:ind w:firstLine="720"/>
      </w:pPr>
      <w:r>
        <w:tab/>
      </w:r>
      <w:r w:rsidR="00FA02D2" w:rsidRPr="00DA1AA5">
        <w:t xml:space="preserve">Under the Peoples Proposal, gas-on-gas competition would be permitted to continue.  NGDCs would be permitted to compete on non-rate/non-price factors or bases -- which may include, but are not limited to, service quality, tariffed terms and conditions of service, and access to reliable and low-cost gas supplies.  NGDCs would also be permitted to compete on price, subject to certain reasonable limitations designed to mitigate the most obvious problem of the current form of gas-on-gas competition — </w:t>
      </w:r>
      <w:r w:rsidR="00FA02D2" w:rsidRPr="00DA1AA5">
        <w:rPr>
          <w:i/>
        </w:rPr>
        <w:t>i.e.</w:t>
      </w:r>
      <w:r w:rsidR="00FA02D2" w:rsidRPr="00DA1AA5">
        <w:t>, the lack of a reasonable floor on the level of discount that an NGDC may offer to a customer.</w:t>
      </w:r>
    </w:p>
    <w:p w:rsidR="00550E68" w:rsidRDefault="00550E68" w:rsidP="00324FF1">
      <w:pPr>
        <w:spacing w:line="360" w:lineRule="auto"/>
        <w:ind w:firstLine="720"/>
      </w:pPr>
    </w:p>
    <w:p w:rsidR="00FA02D2" w:rsidRPr="00DA1AA5" w:rsidRDefault="00550E68" w:rsidP="00324FF1">
      <w:pPr>
        <w:spacing w:line="360" w:lineRule="auto"/>
        <w:ind w:firstLine="720"/>
      </w:pPr>
      <w:r>
        <w:tab/>
      </w:r>
      <w:r w:rsidR="00FA02D2" w:rsidRPr="00DA1AA5">
        <w:t>Under the Peoples Proposal, an NGDC could compete without limitation at its non-discounted tariffed rates.  NGDCs would also be permitted to compete at discounted rates under the following terms and conditions:</w:t>
      </w:r>
    </w:p>
    <w:p w:rsidR="0070582A" w:rsidRDefault="0070582A" w:rsidP="00C8576F">
      <w:pPr>
        <w:spacing w:line="360" w:lineRule="auto"/>
        <w:ind w:left="720" w:right="720" w:firstLine="720"/>
        <w:jc w:val="both"/>
      </w:pPr>
    </w:p>
    <w:p w:rsidR="00FA02D2" w:rsidRPr="00DA1AA5" w:rsidRDefault="00FA02D2" w:rsidP="00FA02D2">
      <w:pPr>
        <w:ind w:left="720" w:right="720" w:firstLine="720"/>
        <w:jc w:val="both"/>
      </w:pPr>
      <w:r w:rsidRPr="00DA1AA5">
        <w:t>1.</w:t>
      </w:r>
      <w:r w:rsidRPr="00DA1AA5">
        <w:tab/>
        <w:t>There shall be no new and renewal gas-on-gas discount agreements, except as provided in Paragraphs 3 and 4 below.</w:t>
      </w:r>
    </w:p>
    <w:p w:rsidR="00FA02D2" w:rsidRPr="00DA1AA5" w:rsidRDefault="00FA02D2" w:rsidP="00FA02D2">
      <w:pPr>
        <w:ind w:left="720" w:right="720" w:firstLine="720"/>
        <w:jc w:val="both"/>
      </w:pPr>
    </w:p>
    <w:p w:rsidR="00FA02D2" w:rsidRPr="00DA1AA5" w:rsidRDefault="00FA02D2" w:rsidP="00FA02D2">
      <w:pPr>
        <w:ind w:left="720" w:right="720" w:firstLine="720"/>
        <w:jc w:val="both"/>
      </w:pPr>
      <w:r w:rsidRPr="00DA1AA5">
        <w:t>2.</w:t>
      </w:r>
      <w:r w:rsidRPr="00DA1AA5">
        <w:tab/>
        <w:t>All existing gas-on-gas discount agreements shall be honored for their existing terms without modification.  An NGDC shall be permitted to recover the discount adjustment associated with the existing agreement in future base rate cases, if the NGDC demonstrates that the discount has been prudently awarded and is reasonable.</w:t>
      </w:r>
    </w:p>
    <w:p w:rsidR="00FA02D2" w:rsidRPr="00DA1AA5" w:rsidRDefault="00FA02D2" w:rsidP="00FA02D2">
      <w:pPr>
        <w:ind w:left="720" w:right="720" w:firstLine="720"/>
        <w:jc w:val="both"/>
      </w:pPr>
    </w:p>
    <w:p w:rsidR="00FA02D2" w:rsidRPr="00DA1AA5" w:rsidRDefault="00FA02D2" w:rsidP="00FA02D2">
      <w:pPr>
        <w:ind w:left="720" w:right="720" w:firstLine="720"/>
        <w:jc w:val="both"/>
      </w:pPr>
      <w:r w:rsidRPr="00DA1AA5">
        <w:t>3.</w:t>
      </w:r>
      <w:r w:rsidRPr="00DA1AA5">
        <w:tab/>
        <w:t>For all new and renewal gas-on-gas discount agreements beginning on the date of entry of the Commission’s final order implementing this statement of policy, an NGDC may offer a discount in order to meet a competitor NGDC’s non-discounted tariffed rate.  Such a discount may be offered only to an existing or former customer of the NGDC or to a potential customer associated with new development; and may not be offered to a customer of a competitor NGDC unless such customer was formerly served at that service location by the offering NGDC.  A competing NGDC may not offer a rate below the lowest non-discounted tariffed rate available to a customer, even if the NGDC is willing to forgo recovery of a discount adjust</w:t>
      </w:r>
      <w:r w:rsidR="00C8576F">
        <w:t>ment in future base rate cases.</w:t>
      </w:r>
    </w:p>
    <w:p w:rsidR="00FA02D2" w:rsidRPr="00DA1AA5" w:rsidRDefault="00FA02D2" w:rsidP="00FA02D2">
      <w:pPr>
        <w:ind w:left="720" w:right="720" w:firstLine="720"/>
        <w:jc w:val="both"/>
      </w:pPr>
    </w:p>
    <w:p w:rsidR="00FA02D2" w:rsidRPr="00DA1AA5" w:rsidRDefault="00FA02D2" w:rsidP="00FA02D2">
      <w:pPr>
        <w:ind w:left="720" w:right="720" w:firstLine="720"/>
        <w:jc w:val="both"/>
      </w:pPr>
      <w:r w:rsidRPr="00DA1AA5">
        <w:t>4.</w:t>
      </w:r>
      <w:r w:rsidRPr="00DA1AA5">
        <w:tab/>
        <w:t>The term for any such rate discount agreement shall not exceed five years; provided however that there shall be no restriction on the term if the agreement contains a provision requiring the reexamination and resetting of the discounted rate consistent with the requirements of paragraph 3 on a no-less-frequent basis than every five years.</w:t>
      </w:r>
    </w:p>
    <w:p w:rsidR="00FA02D2" w:rsidRPr="00DA1AA5" w:rsidRDefault="00FA02D2" w:rsidP="00FA02D2">
      <w:pPr>
        <w:ind w:left="720" w:right="720" w:firstLine="720"/>
        <w:jc w:val="both"/>
      </w:pPr>
    </w:p>
    <w:p w:rsidR="00FA02D2" w:rsidRPr="00DA1AA5" w:rsidRDefault="00FA02D2" w:rsidP="00FA02D2">
      <w:pPr>
        <w:ind w:left="720" w:right="720" w:firstLine="720"/>
        <w:jc w:val="both"/>
      </w:pPr>
      <w:r w:rsidRPr="00DA1AA5">
        <w:t>5.</w:t>
      </w:r>
      <w:r w:rsidRPr="00DA1AA5">
        <w:tab/>
        <w:t xml:space="preserve">An NGDC shall be permitted to recover the discount adjustment in future base rate cases for any discount that is necessary to meet the non-discounted tariffed rate of a competitive </w:t>
      </w:r>
      <w:proofErr w:type="gramStart"/>
      <w:r w:rsidRPr="00DA1AA5">
        <w:t>NGDC,</w:t>
      </w:r>
      <w:proofErr w:type="gramEnd"/>
      <w:r w:rsidRPr="00DA1AA5">
        <w:t xml:space="preserve"> if the NGDC demonstrates that the discount has been prudently awarded and is reasonable.</w:t>
      </w:r>
    </w:p>
    <w:p w:rsidR="00FA02D2" w:rsidRPr="00DA1AA5" w:rsidRDefault="00FA02D2" w:rsidP="00FA02D2">
      <w:pPr>
        <w:ind w:left="720" w:right="720" w:firstLine="720"/>
        <w:jc w:val="both"/>
      </w:pPr>
    </w:p>
    <w:p w:rsidR="00FA02D2" w:rsidRPr="00DA1AA5" w:rsidRDefault="00FA02D2" w:rsidP="00FA02D2">
      <w:pPr>
        <w:ind w:left="720" w:right="720" w:firstLine="720"/>
        <w:jc w:val="both"/>
      </w:pPr>
      <w:r w:rsidRPr="00DA1AA5">
        <w:t>6.</w:t>
      </w:r>
      <w:r w:rsidRPr="00DA1AA5">
        <w:tab/>
        <w:t>In order for an NGDC to offer gas-on-gas discounts prospectively, the NGDC must obtain a Commission finding or determination in its next base rate case and future base rate proceedings that the new rates are within a range that reasonably reflects cost of service.</w:t>
      </w:r>
    </w:p>
    <w:p w:rsidR="00FA02D2" w:rsidRPr="00DA1AA5" w:rsidRDefault="00FA02D2" w:rsidP="00FA02D2">
      <w:pPr>
        <w:ind w:left="720" w:right="720" w:firstLine="720"/>
        <w:jc w:val="both"/>
      </w:pPr>
    </w:p>
    <w:p w:rsidR="00FA02D2" w:rsidRPr="00DA1AA5" w:rsidRDefault="00FA02D2" w:rsidP="00FA02D2">
      <w:pPr>
        <w:ind w:left="720" w:right="720" w:firstLine="720"/>
        <w:jc w:val="both"/>
      </w:pPr>
      <w:r w:rsidRPr="00DA1AA5">
        <w:t>7.</w:t>
      </w:r>
      <w:r w:rsidRPr="00DA1AA5">
        <w:tab/>
        <w:t>An NGDC which provides a gas-on-gas discount shall maintain reasonable records relating to each gas-on-gas discount customer demonstrating that a competitive NGDC actually exists, that the customer could have chosen service from a competitive NGDC without a prohibitive connection expense, and that the discounted rate represents the maximum amount that could be achieved from that customer.</w:t>
      </w:r>
    </w:p>
    <w:p w:rsidR="0070582A" w:rsidRPr="00DE3120" w:rsidRDefault="0070582A" w:rsidP="00BD69C4">
      <w:pPr>
        <w:spacing w:line="360" w:lineRule="auto"/>
      </w:pPr>
    </w:p>
    <w:p w:rsidR="001E33D5" w:rsidRPr="00EA0E91" w:rsidRDefault="001E33D5" w:rsidP="00BD69C4">
      <w:pPr>
        <w:spacing w:line="360" w:lineRule="auto"/>
        <w:rPr>
          <w:b/>
          <w:u w:val="single"/>
        </w:rPr>
      </w:pPr>
      <w:r w:rsidRPr="00EA0E91">
        <w:rPr>
          <w:b/>
          <w:u w:val="single"/>
        </w:rPr>
        <w:t>National Fuel</w:t>
      </w:r>
    </w:p>
    <w:p w:rsidR="001E33D5" w:rsidRPr="00DE3120" w:rsidRDefault="001E33D5" w:rsidP="00BD69C4">
      <w:pPr>
        <w:spacing w:line="360" w:lineRule="auto"/>
        <w:contextualSpacing/>
      </w:pPr>
    </w:p>
    <w:p w:rsidR="001E33D5" w:rsidRDefault="001E33D5" w:rsidP="00BD69C4">
      <w:pPr>
        <w:spacing w:line="360" w:lineRule="auto"/>
        <w:contextualSpacing/>
      </w:pPr>
      <w:r>
        <w:rPr>
          <w:b/>
        </w:rPr>
        <w:tab/>
      </w:r>
      <w:r>
        <w:rPr>
          <w:b/>
        </w:rPr>
        <w:tab/>
      </w:r>
      <w:r>
        <w:t xml:space="preserve">National Fuel </w:t>
      </w:r>
      <w:r w:rsidR="00EA0DCF">
        <w:t xml:space="preserve">does not currently engage in any gas-on-gas competition and has not done so for a number of years.  National Fuel endorses Peoples Proposal as it offers the least </w:t>
      </w:r>
      <w:r w:rsidR="00550E68">
        <w:t>disruption to</w:t>
      </w:r>
      <w:r w:rsidR="00EA0DCF">
        <w:t xml:space="preserve"> the diminished </w:t>
      </w:r>
      <w:r w:rsidR="00EA0DCF" w:rsidRPr="00965302">
        <w:rPr>
          <w:i/>
        </w:rPr>
        <w:t>status quo</w:t>
      </w:r>
      <w:r w:rsidR="00EA0DCF">
        <w:t>, the smallest adverse effect on customers and the most modest expenditure of the resources of the Commission and stakeholders in this case and is the wisest course of action to follow.  National Fuel avers the more immediate and rigid remedies supported by OCA, I&amp; E and OSBA will create stranded costs and economic disruption for which the utilities will suffer shortfalls if they decide to compete.  Additionally, hardship may be experienced by large business customers that relied upon the discounts in making business decisions.</w:t>
      </w:r>
    </w:p>
    <w:p w:rsidR="00EA0DCF" w:rsidRDefault="00EA0DCF" w:rsidP="001E33D5">
      <w:pPr>
        <w:spacing w:line="360" w:lineRule="auto"/>
        <w:contextualSpacing/>
      </w:pPr>
    </w:p>
    <w:p w:rsidR="00EA0DCF" w:rsidRDefault="00EA0DCF" w:rsidP="001E33D5">
      <w:pPr>
        <w:spacing w:line="360" w:lineRule="auto"/>
        <w:contextualSpacing/>
      </w:pPr>
      <w:r>
        <w:tab/>
      </w:r>
      <w:r>
        <w:tab/>
        <w:t>National Fuel argues the IECPA and PSU fail to realize some limits must be placed on gas-on-gas competition because this competition represents artificially low rates for some few customers that are improperly subsidized by the rest.  National Fuel believes it is equitable to permit a utility that offered discounted rates for gas-on-gas competition to continue to recover the cost of such discounted rates through the term of the contracts.</w:t>
      </w:r>
    </w:p>
    <w:p w:rsidR="001E33D5" w:rsidRPr="00997793" w:rsidRDefault="001E33D5" w:rsidP="001E33D5">
      <w:pPr>
        <w:spacing w:line="360" w:lineRule="auto"/>
        <w:contextualSpacing/>
      </w:pPr>
    </w:p>
    <w:p w:rsidR="001E33D5" w:rsidRDefault="00314519" w:rsidP="00BD69C4">
      <w:pPr>
        <w:spacing w:line="360" w:lineRule="auto"/>
      </w:pPr>
      <w:r>
        <w:rPr>
          <w:b/>
        </w:rPr>
        <w:br w:type="page"/>
      </w:r>
      <w:r w:rsidR="001E33D5">
        <w:rPr>
          <w:b/>
          <w:u w:val="single"/>
        </w:rPr>
        <w:t>Columbia Gas</w:t>
      </w:r>
    </w:p>
    <w:p w:rsidR="000A5053" w:rsidRPr="0044471F" w:rsidRDefault="000A5053" w:rsidP="00BD69C4">
      <w:pPr>
        <w:spacing w:line="360" w:lineRule="auto"/>
      </w:pPr>
    </w:p>
    <w:p w:rsidR="001E33D5" w:rsidRPr="0044471F" w:rsidRDefault="000A5053" w:rsidP="00BD69C4">
      <w:pPr>
        <w:spacing w:line="360" w:lineRule="auto"/>
      </w:pPr>
      <w:r w:rsidRPr="0044471F">
        <w:tab/>
      </w:r>
      <w:r w:rsidRPr="0044471F">
        <w:tab/>
      </w:r>
      <w:r w:rsidR="001E33D5" w:rsidRPr="0044471F">
        <w:t>Columbia Gas argues the current flex rates should remain in effect for the duration of the contract terms it holds with its customers.  A Commission imposed sunset date for the discounting of rates prior to the natural termination dates of these contracts is unlawful.</w:t>
      </w:r>
      <w:r w:rsidR="00EA0DCF" w:rsidRPr="0044471F">
        <w:t xml:space="preserve">  Columbia also endorses the Peoples Proposal.</w:t>
      </w:r>
    </w:p>
    <w:p w:rsidR="001E33D5" w:rsidRPr="00DE3120" w:rsidRDefault="001E33D5" w:rsidP="00BD69C4">
      <w:pPr>
        <w:spacing w:line="360" w:lineRule="auto"/>
      </w:pPr>
    </w:p>
    <w:p w:rsidR="00F27540" w:rsidRDefault="001E33D5" w:rsidP="00BD69C4">
      <w:pPr>
        <w:spacing w:line="360" w:lineRule="auto"/>
        <w:rPr>
          <w:b/>
          <w:u w:val="single"/>
        </w:rPr>
      </w:pPr>
      <w:r w:rsidRPr="0044471F">
        <w:rPr>
          <w:b/>
          <w:u w:val="single"/>
        </w:rPr>
        <w:t>IECPA</w:t>
      </w:r>
    </w:p>
    <w:p w:rsidR="00F27540" w:rsidRPr="00DE3120" w:rsidRDefault="00F27540" w:rsidP="00BD69C4">
      <w:pPr>
        <w:spacing w:line="360" w:lineRule="auto"/>
      </w:pPr>
    </w:p>
    <w:p w:rsidR="0028587A" w:rsidRDefault="00F27540" w:rsidP="00BD69C4">
      <w:pPr>
        <w:spacing w:line="360" w:lineRule="auto"/>
      </w:pPr>
      <w:r>
        <w:tab/>
      </w:r>
      <w:r w:rsidR="001E33D5" w:rsidRPr="0044471F">
        <w:tab/>
      </w:r>
      <w:r w:rsidR="001E33D5" w:rsidRPr="00F27540">
        <w:t xml:space="preserve">IECPA advocates the </w:t>
      </w:r>
      <w:r w:rsidR="001E33D5" w:rsidRPr="00A522C7">
        <w:rPr>
          <w:i/>
        </w:rPr>
        <w:t>status quo</w:t>
      </w:r>
      <w:r w:rsidR="001E33D5" w:rsidRPr="00F27540">
        <w:t xml:space="preserve"> should continue as the IECPA represents large industrial users, some of which enjoy the benefit of the flex pricing.  IECPA offers no compromise position.</w:t>
      </w:r>
      <w:r w:rsidRPr="00F27540">
        <w:t xml:space="preserve"> </w:t>
      </w:r>
      <w:r w:rsidR="005E20D1">
        <w:t xml:space="preserve"> </w:t>
      </w:r>
      <w:r w:rsidR="00A522C7">
        <w:t>IECPA contends that t</w:t>
      </w:r>
      <w:r w:rsidRPr="00F27540">
        <w:t xml:space="preserve">he </w:t>
      </w:r>
      <w:r w:rsidR="00A522C7">
        <w:t>statutory advocates’ r</w:t>
      </w:r>
      <w:r w:rsidRPr="00F27540">
        <w:t xml:space="preserve">eliance on </w:t>
      </w:r>
      <w:r w:rsidR="00A522C7">
        <w:t>p</w:t>
      </w:r>
      <w:r w:rsidRPr="00F27540">
        <w:t xml:space="preserve">recedent to </w:t>
      </w:r>
      <w:r w:rsidR="00A522C7">
        <w:t>s</w:t>
      </w:r>
      <w:r w:rsidRPr="00F27540">
        <w:t xml:space="preserve">upport the </w:t>
      </w:r>
      <w:r w:rsidR="00A522C7">
        <w:t>e</w:t>
      </w:r>
      <w:r w:rsidRPr="00F27540">
        <w:t xml:space="preserve">limination of </w:t>
      </w:r>
      <w:r w:rsidR="00A522C7">
        <w:t>g</w:t>
      </w:r>
      <w:r w:rsidRPr="00F27540">
        <w:t>as-on-</w:t>
      </w:r>
      <w:r w:rsidR="00A522C7">
        <w:t>g</w:t>
      </w:r>
      <w:r w:rsidRPr="00F27540">
        <w:t xml:space="preserve">as </w:t>
      </w:r>
      <w:r w:rsidR="00A522C7">
        <w:t>c</w:t>
      </w:r>
      <w:r w:rsidRPr="00F27540">
        <w:t xml:space="preserve">ompetition is </w:t>
      </w:r>
      <w:r w:rsidR="00A522C7">
        <w:t>m</w:t>
      </w:r>
      <w:r w:rsidRPr="00F27540">
        <w:t>isplaced</w:t>
      </w:r>
      <w:r w:rsidR="00A522C7">
        <w:t xml:space="preserve"> as these discounted rates are analogous to other discounted rates and should be preserved.  IECPA contends Peoples incorrectly aver that the Peoples/Equitable merger eliminates the necessity for gas-on-gas competition discounted rates. </w:t>
      </w:r>
      <w:r w:rsidRPr="00F27540">
        <w:t xml:space="preserve"> </w:t>
      </w:r>
      <w:r w:rsidR="00A522C7">
        <w:t>IECPA avers that e</w:t>
      </w:r>
      <w:r w:rsidRPr="00F27540">
        <w:t xml:space="preserve">liminating </w:t>
      </w:r>
      <w:r w:rsidR="00A522C7">
        <w:t>g</w:t>
      </w:r>
      <w:r w:rsidRPr="00F27540">
        <w:t>as-on-</w:t>
      </w:r>
      <w:r w:rsidR="00A522C7">
        <w:t>g</w:t>
      </w:r>
      <w:r w:rsidRPr="00F27540">
        <w:t xml:space="preserve">as </w:t>
      </w:r>
      <w:r w:rsidR="00A522C7">
        <w:t>r</w:t>
      </w:r>
      <w:r w:rsidRPr="00F27540">
        <w:t xml:space="preserve">ates </w:t>
      </w:r>
      <w:r w:rsidR="00A522C7">
        <w:t>c</w:t>
      </w:r>
      <w:r w:rsidRPr="00F27540">
        <w:t xml:space="preserve">ould </w:t>
      </w:r>
      <w:r w:rsidR="00A522C7">
        <w:t>c</w:t>
      </w:r>
      <w:r w:rsidRPr="00F27540">
        <w:t xml:space="preserve">reate </w:t>
      </w:r>
      <w:r w:rsidR="00A522C7">
        <w:t>h</w:t>
      </w:r>
      <w:r w:rsidRPr="00F27540">
        <w:t xml:space="preserve">armful </w:t>
      </w:r>
      <w:r w:rsidR="00A522C7">
        <w:t>e</w:t>
      </w:r>
      <w:r w:rsidRPr="00F27540">
        <w:t xml:space="preserve">conomic </w:t>
      </w:r>
      <w:r w:rsidR="00A522C7">
        <w:t>c</w:t>
      </w:r>
      <w:r w:rsidRPr="00F27540">
        <w:t xml:space="preserve">onsequences for </w:t>
      </w:r>
      <w:r w:rsidR="00A522C7">
        <w:t>c</w:t>
      </w:r>
      <w:r w:rsidRPr="00F27540">
        <w:t xml:space="preserve">urrent </w:t>
      </w:r>
      <w:r w:rsidR="00A522C7">
        <w:t>g</w:t>
      </w:r>
      <w:r w:rsidRPr="00F27540">
        <w:t>as-on-</w:t>
      </w:r>
      <w:r w:rsidR="00A522C7">
        <w:t>g</w:t>
      </w:r>
      <w:r w:rsidRPr="00F27540">
        <w:t xml:space="preserve">as </w:t>
      </w:r>
      <w:r w:rsidR="00A522C7">
        <w:t>c</w:t>
      </w:r>
      <w:r w:rsidRPr="00F27540">
        <w:t>ustomers.</w:t>
      </w:r>
    </w:p>
    <w:p w:rsidR="0028587A" w:rsidRDefault="0028587A" w:rsidP="0028587A">
      <w:pPr>
        <w:spacing w:line="360" w:lineRule="auto"/>
      </w:pPr>
    </w:p>
    <w:p w:rsidR="00FA02D2" w:rsidRPr="0028587A" w:rsidRDefault="0044471F" w:rsidP="0028587A">
      <w:pPr>
        <w:spacing w:line="360" w:lineRule="auto"/>
        <w:ind w:firstLine="1440"/>
      </w:pPr>
      <w:r w:rsidRPr="0028587A">
        <w:t xml:space="preserve">IECPA argues that gas-on-gas competition is consistent with ratemaking principles and provides benefits to all customer classes.  </w:t>
      </w:r>
      <w:r w:rsidR="00FA02D2" w:rsidRPr="0028587A">
        <w:t xml:space="preserve">The existence of gas-on-gas discounts in no way causes smaller rate classes to pay excessive and unduly discriminatory rates.  </w:t>
      </w:r>
      <w:r w:rsidR="00A522C7" w:rsidRPr="0028587A">
        <w:t>IECPA contends that t</w:t>
      </w:r>
      <w:r w:rsidR="00FA02D2" w:rsidRPr="0028587A">
        <w:t xml:space="preserve">he State Advocates ignore evidence that sets forth a foundation for proving that distribution rates for the Large C&amp;I customer class exceed their cost of service, despite the inclusion of Large C&amp;I customers in the class who receive gas-on-gas discounts. </w:t>
      </w:r>
      <w:r w:rsidR="0028587A">
        <w:t xml:space="preserve"> </w:t>
      </w:r>
      <w:r w:rsidR="00FA02D2" w:rsidRPr="0028587A">
        <w:t>IECPA M.B., p. 14.  IECPA</w:t>
      </w:r>
      <w:r w:rsidR="00F27540" w:rsidRPr="0028587A">
        <w:t xml:space="preserve"> contend</w:t>
      </w:r>
      <w:r w:rsidR="00A522C7" w:rsidRPr="0028587A">
        <w:t>s</w:t>
      </w:r>
      <w:r w:rsidR="00F27540" w:rsidRPr="0028587A">
        <w:t xml:space="preserve"> that in </w:t>
      </w:r>
      <w:r w:rsidR="00FA02D2" w:rsidRPr="0028587A">
        <w:t xml:space="preserve">Peoples' most recent </w:t>
      </w:r>
      <w:r w:rsidR="00FA02D2" w:rsidRPr="0028587A">
        <w:rPr>
          <w:lang w:eastAsia="x-none"/>
        </w:rPr>
        <w:t>base rate</w:t>
      </w:r>
      <w:r w:rsidR="00FA02D2" w:rsidRPr="0028587A">
        <w:t xml:space="preserve"> case, the entire Large C&amp;I customer class, including those customers paying discounted rates due to gas-on-gas competition, is currently paying distribution rates that exceed its cost of service while residential and small commercial classes are paying distribution rates below their cost of service.</w:t>
      </w:r>
      <w:r w:rsidR="00FA02D2" w:rsidRPr="0028587A">
        <w:rPr>
          <w:rStyle w:val="FootnoteReference"/>
        </w:rPr>
        <w:footnoteReference w:id="9"/>
      </w:r>
      <w:r w:rsidR="00FA02D2" w:rsidRPr="0028587A">
        <w:t xml:space="preserve">  Id. </w:t>
      </w:r>
      <w:r w:rsidR="0028587A">
        <w:t xml:space="preserve"> </w:t>
      </w:r>
      <w:r w:rsidR="00FA02D2" w:rsidRPr="0028587A">
        <w:t>Because residential and small commercial classes are currently benefiting from below cost of service rates, it is unreasonable for the State Advocates to contend that these classes are subject to unduly discriminatory rates.</w:t>
      </w:r>
      <w:r w:rsidR="00FA02D2" w:rsidRPr="0028587A">
        <w:rPr>
          <w:rStyle w:val="FootnoteReference"/>
        </w:rPr>
        <w:footnoteReference w:id="10"/>
      </w:r>
    </w:p>
    <w:p w:rsidR="0044471F" w:rsidRDefault="0044471F" w:rsidP="005D2CD4">
      <w:pPr>
        <w:spacing w:line="360" w:lineRule="auto"/>
        <w:ind w:firstLine="720"/>
        <w:jc w:val="both"/>
      </w:pPr>
    </w:p>
    <w:p w:rsidR="00FA02D2" w:rsidRPr="0044471F" w:rsidRDefault="0044471F" w:rsidP="00DE3120">
      <w:pPr>
        <w:spacing w:line="360" w:lineRule="auto"/>
        <w:ind w:firstLine="720"/>
      </w:pPr>
      <w:r>
        <w:tab/>
      </w:r>
      <w:proofErr w:type="gramStart"/>
      <w:r w:rsidR="00F27540">
        <w:t>Peoples contends</w:t>
      </w:r>
      <w:proofErr w:type="gramEnd"/>
      <w:r w:rsidR="00F27540">
        <w:t xml:space="preserve"> that a</w:t>
      </w:r>
      <w:r w:rsidR="00FA02D2" w:rsidRPr="0044471F">
        <w:t xml:space="preserve">lthough discounts are offered to Large C&amp;I customers due to gas-on-gas competition, these discounts do not result in rates for captive customers that violate the Public Utility Code. </w:t>
      </w:r>
      <w:r w:rsidR="005D2CD4">
        <w:t xml:space="preserve"> </w:t>
      </w:r>
      <w:proofErr w:type="gramStart"/>
      <w:r w:rsidR="00FA02D2" w:rsidRPr="0044471F">
        <w:t>Section 1304 of the Public Utility Code states, in relevant part, that "no public utility shall establish or maintain any unreasonable difference as to rates, either as between localities or as betwe</w:t>
      </w:r>
      <w:r w:rsidR="005D2CD4">
        <w:t>en classes of service."</w:t>
      </w:r>
      <w:proofErr w:type="gramEnd"/>
      <w:r w:rsidR="005D2CD4">
        <w:t xml:space="preserve">  </w:t>
      </w:r>
      <w:proofErr w:type="gramStart"/>
      <w:r w:rsidR="005D2CD4">
        <w:t>66 Pa.</w:t>
      </w:r>
      <w:r w:rsidR="00FA02D2" w:rsidRPr="0044471F">
        <w:t>C.S.</w:t>
      </w:r>
      <w:proofErr w:type="gramEnd"/>
      <w:r w:rsidR="00FA02D2" w:rsidRPr="0044471F">
        <w:t xml:space="preserve"> § 1304</w:t>
      </w:r>
      <w:r w:rsidR="00D47F08">
        <w:t>.</w:t>
      </w:r>
      <w:r w:rsidR="00FA02D2" w:rsidRPr="0044471F">
        <w:t xml:space="preserve">  Gas-on-gas rates would only violate this statute if the State Advocates could show that the differences in rates created by gas-on-gas competition are "unreasonable."  As long as the Large C&amp;I customer class, including those customers who pay gas-on-gas rates, is remitting rates above its cost of service, any difference between the rates of the Large C&amp;I customer class and smaller customer classes may hardly be considered "unreasonable."</w:t>
      </w:r>
    </w:p>
    <w:p w:rsidR="0070582A" w:rsidRDefault="0070582A" w:rsidP="0044471F">
      <w:pPr>
        <w:spacing w:line="360" w:lineRule="auto"/>
        <w:ind w:firstLine="720"/>
        <w:jc w:val="both"/>
      </w:pPr>
    </w:p>
    <w:p w:rsidR="00FA02D2" w:rsidRPr="0044471F" w:rsidRDefault="0070582A" w:rsidP="00DE3120">
      <w:pPr>
        <w:spacing w:line="360" w:lineRule="auto"/>
        <w:ind w:firstLine="720"/>
      </w:pPr>
      <w:r>
        <w:tab/>
      </w:r>
      <w:r w:rsidR="00FA02D2" w:rsidRPr="0044471F">
        <w:t xml:space="preserve">To that end, price discrimination is considered just and reasonable when there is a legitimate ratemaking principle that justifies the discrimination.  IECPA M.B., p. 15; </w:t>
      </w:r>
      <w:r w:rsidR="00FA02D2" w:rsidRPr="0044471F">
        <w:rPr>
          <w:i/>
        </w:rPr>
        <w:t xml:space="preserve">see also </w:t>
      </w:r>
      <w:r w:rsidR="00FA02D2" w:rsidRPr="0044471F">
        <w:t>PSU M.B., p. 6.  With respect to gas-on-gas competition, a number of legitimate ratemaking principles, including value of service and proximity to a competitive service alternative, justify its continuation and any price discrimination that it creates.</w:t>
      </w:r>
      <w:r w:rsidR="00FA02D2" w:rsidRPr="0044471F">
        <w:rPr>
          <w:rStyle w:val="FootnoteReference"/>
        </w:rPr>
        <w:footnoteReference w:id="11"/>
      </w:r>
      <w:r w:rsidR="00FA02D2" w:rsidRPr="0044471F">
        <w:t xml:space="preserve">  IECPA M.B., p. 15.  When determining a gas-on-gas rate, NGDCs will identify the value a customer contributes to their system and determine the highest rate it may charge the customer without losing the customer to a competitor NGDC.  </w:t>
      </w:r>
      <w:r w:rsidR="00FA02D2" w:rsidRPr="0044471F">
        <w:rPr>
          <w:i/>
        </w:rPr>
        <w:t>Id.</w:t>
      </w:r>
      <w:r w:rsidR="00FA02D2" w:rsidRPr="0044471F">
        <w:t xml:space="preserve"> at 12-13.  Because gas-on-gas competition is based on Large C&amp;I customers' assessed value to the system, any price discrimination that results is just and reasonable.  </w:t>
      </w:r>
      <w:r w:rsidR="00FA02D2" w:rsidRPr="0044471F">
        <w:rPr>
          <w:i/>
        </w:rPr>
        <w:t>Id.</w:t>
      </w:r>
      <w:r w:rsidR="00FA02D2" w:rsidRPr="0044471F">
        <w:t xml:space="preserve"> at 15-16.</w:t>
      </w:r>
    </w:p>
    <w:p w:rsidR="0070582A" w:rsidRDefault="0070582A" w:rsidP="0044471F">
      <w:pPr>
        <w:spacing w:line="360" w:lineRule="auto"/>
        <w:ind w:firstLine="720"/>
        <w:jc w:val="both"/>
      </w:pPr>
    </w:p>
    <w:p w:rsidR="00FA02D2" w:rsidRPr="0044471F" w:rsidRDefault="0070582A" w:rsidP="00DE3120">
      <w:pPr>
        <w:spacing w:line="360" w:lineRule="auto"/>
        <w:ind w:firstLine="720"/>
      </w:pPr>
      <w:r>
        <w:tab/>
      </w:r>
      <w:r w:rsidR="00E13864">
        <w:t xml:space="preserve">IECPA argues that </w:t>
      </w:r>
      <w:r w:rsidR="00FA02D2" w:rsidRPr="0044471F">
        <w:t>smaller customer classes receive a benefit from the continued retention of gas-on-gas customers on their NGDC systems.</w:t>
      </w:r>
      <w:r w:rsidR="00FA02D2" w:rsidRPr="0044471F">
        <w:rPr>
          <w:rStyle w:val="FootnoteReference"/>
        </w:rPr>
        <w:footnoteReference w:id="12"/>
      </w:r>
      <w:r w:rsidR="00FA02D2" w:rsidRPr="0044471F">
        <w:t xml:space="preserve">  In general, if a gas-on-gas customer leaves an NGDC system, the NGDC's overall revenue will decrease more than its costs.  </w:t>
      </w:r>
      <w:proofErr w:type="gramStart"/>
      <w:r w:rsidR="00FA02D2" w:rsidRPr="0044471F">
        <w:rPr>
          <w:i/>
        </w:rPr>
        <w:t>Id.</w:t>
      </w:r>
      <w:r w:rsidR="00FA02D2" w:rsidRPr="0044471F">
        <w:t xml:space="preserve"> at 8.</w:t>
      </w:r>
      <w:proofErr w:type="gramEnd"/>
      <w:r w:rsidR="00FA02D2" w:rsidRPr="0044471F">
        <w:t xml:space="preserve">  As a result, as long as the gas-on-gas customer is paying more than its incremental costs of service, which is the norm, all other customers of the system are better off retaining the customer than losing the customer to a competitor NGDC.</w:t>
      </w:r>
      <w:r w:rsidR="00FA02D2" w:rsidRPr="0044471F">
        <w:rPr>
          <w:rStyle w:val="FootnoteReference"/>
        </w:rPr>
        <w:footnoteReference w:id="13"/>
      </w:r>
      <w:r w:rsidR="00FA02D2" w:rsidRPr="0044471F">
        <w:t xml:space="preserve">  </w:t>
      </w:r>
      <w:r w:rsidR="00FA02D2" w:rsidRPr="0044471F">
        <w:rPr>
          <w:i/>
        </w:rPr>
        <w:t>See id.</w:t>
      </w:r>
      <w:r w:rsidR="00FA02D2" w:rsidRPr="0044471F">
        <w:t xml:space="preserve"> </w:t>
      </w:r>
      <w:proofErr w:type="gramStart"/>
      <w:r w:rsidR="00FA02D2" w:rsidRPr="0044471F">
        <w:t>at</w:t>
      </w:r>
      <w:proofErr w:type="gramEnd"/>
      <w:r w:rsidR="00FA02D2" w:rsidRPr="0044471F">
        <w:t xml:space="preserve"> 8-9.  For this reason, other NGDC customers are benefited rather than harmed by the presence of gas-on-gas customers.</w:t>
      </w:r>
    </w:p>
    <w:p w:rsidR="0070582A" w:rsidRDefault="0070582A" w:rsidP="0044471F">
      <w:pPr>
        <w:spacing w:line="360" w:lineRule="auto"/>
        <w:ind w:firstLine="720"/>
        <w:jc w:val="both"/>
      </w:pPr>
    </w:p>
    <w:p w:rsidR="00FA02D2" w:rsidRDefault="00A522C7" w:rsidP="00113134">
      <w:pPr>
        <w:spacing w:line="360" w:lineRule="auto"/>
        <w:ind w:firstLine="720"/>
        <w:jc w:val="both"/>
      </w:pPr>
      <w:r>
        <w:t>Specifically the IECPA requests the following</w:t>
      </w:r>
      <w:r w:rsidR="00FA02D2">
        <w:t>:</w:t>
      </w:r>
    </w:p>
    <w:p w:rsidR="00113134" w:rsidRDefault="00113134" w:rsidP="00113134">
      <w:pPr>
        <w:spacing w:line="360" w:lineRule="auto"/>
        <w:ind w:firstLine="720"/>
        <w:jc w:val="both"/>
      </w:pPr>
    </w:p>
    <w:p w:rsidR="00FA02D2" w:rsidRPr="00A522C7" w:rsidRDefault="00FA02D2" w:rsidP="00113134">
      <w:pPr>
        <w:pStyle w:val="Heading5"/>
        <w:spacing w:before="0" w:after="0" w:line="360" w:lineRule="auto"/>
        <w:ind w:left="1440" w:hanging="720"/>
        <w:jc w:val="both"/>
        <w:rPr>
          <w:rFonts w:ascii="Times New Roman" w:hAnsi="Times New Roman"/>
          <w:b w:val="0"/>
          <w:i w:val="0"/>
          <w:sz w:val="24"/>
          <w:szCs w:val="24"/>
        </w:rPr>
      </w:pPr>
      <w:r w:rsidRPr="00A522C7">
        <w:rPr>
          <w:rFonts w:ascii="Times New Roman" w:hAnsi="Times New Roman"/>
          <w:b w:val="0"/>
          <w:i w:val="0"/>
          <w:sz w:val="24"/>
          <w:szCs w:val="24"/>
        </w:rPr>
        <w:t>(i)</w:t>
      </w:r>
      <w:r w:rsidRPr="00A522C7">
        <w:rPr>
          <w:rFonts w:ascii="Times New Roman" w:hAnsi="Times New Roman"/>
          <w:b w:val="0"/>
          <w:i w:val="0"/>
          <w:sz w:val="24"/>
          <w:szCs w:val="24"/>
        </w:rPr>
        <w:tab/>
        <w:t>Gas-on-gas competition should continue without modification; and</w:t>
      </w:r>
    </w:p>
    <w:p w:rsidR="00FA02D2" w:rsidRDefault="00FA02D2" w:rsidP="00113134">
      <w:pPr>
        <w:tabs>
          <w:tab w:val="left" w:pos="1440"/>
        </w:tabs>
        <w:spacing w:line="360" w:lineRule="auto"/>
        <w:ind w:left="1440" w:hanging="720"/>
        <w:jc w:val="both"/>
      </w:pPr>
      <w:r w:rsidRPr="00A522C7">
        <w:t>(ii)</w:t>
      </w:r>
      <w:r w:rsidRPr="00A522C7">
        <w:tab/>
        <w:t>As indicated in IECPA's Main Brief, to the extent gas-on-gas competition is</w:t>
      </w:r>
      <w:r>
        <w:t xml:space="preserve"> modified or </w:t>
      </w:r>
      <w:proofErr w:type="gramStart"/>
      <w:r>
        <w:t>eliminat</w:t>
      </w:r>
      <w:r w:rsidR="00A037EB">
        <w:t>ed</w:t>
      </w:r>
      <w:r>
        <w:t>,</w:t>
      </w:r>
      <w:proofErr w:type="gramEnd"/>
      <w:r>
        <w:t xml:space="preserve"> the transition away from gas-on-gas rates should include the following elements:</w:t>
      </w:r>
    </w:p>
    <w:p w:rsidR="00FA02D2" w:rsidRDefault="00FA02D2" w:rsidP="00113134">
      <w:pPr>
        <w:tabs>
          <w:tab w:val="left" w:pos="1440"/>
        </w:tabs>
        <w:spacing w:line="360" w:lineRule="auto"/>
        <w:ind w:left="1440" w:hanging="720"/>
        <w:jc w:val="both"/>
      </w:pPr>
      <w:r>
        <w:tab/>
      </w:r>
      <w:r>
        <w:tab/>
        <w:t xml:space="preserve">(1) </w:t>
      </w:r>
      <w:proofErr w:type="gramStart"/>
      <w:r>
        <w:t>all</w:t>
      </w:r>
      <w:proofErr w:type="gramEnd"/>
      <w:r>
        <w:t xml:space="preserve"> gas-on-gas contracts should be preserved until their expiration </w:t>
      </w:r>
      <w:r>
        <w:tab/>
        <w:t>dates,</w:t>
      </w:r>
    </w:p>
    <w:p w:rsidR="00FA02D2" w:rsidRDefault="00FA02D2" w:rsidP="00113134">
      <w:pPr>
        <w:tabs>
          <w:tab w:val="left" w:pos="1440"/>
        </w:tabs>
        <w:spacing w:line="360" w:lineRule="auto"/>
        <w:ind w:left="1440" w:hanging="720"/>
        <w:jc w:val="both"/>
      </w:pPr>
      <w:r>
        <w:tab/>
      </w:r>
      <w:r>
        <w:tab/>
        <w:t xml:space="preserve">(2) </w:t>
      </w:r>
      <w:proofErr w:type="gramStart"/>
      <w:r>
        <w:t>all</w:t>
      </w:r>
      <w:proofErr w:type="gramEnd"/>
      <w:r>
        <w:t xml:space="preserve"> overlapping NGDCs should conduct base rate cases to determine </w:t>
      </w:r>
      <w:r>
        <w:tab/>
        <w:t>just and reasonable rates for former gas-on-gas customers, and</w:t>
      </w:r>
    </w:p>
    <w:p w:rsidR="00FA02D2" w:rsidRDefault="00FA02D2" w:rsidP="00113134">
      <w:pPr>
        <w:tabs>
          <w:tab w:val="left" w:pos="1440"/>
        </w:tabs>
        <w:spacing w:line="360" w:lineRule="auto"/>
        <w:ind w:left="1440" w:hanging="720"/>
        <w:jc w:val="both"/>
      </w:pPr>
      <w:r>
        <w:tab/>
      </w:r>
      <w:r>
        <w:tab/>
        <w:t xml:space="preserve">(3) </w:t>
      </w:r>
      <w:proofErr w:type="gramStart"/>
      <w:r>
        <w:t>a</w:t>
      </w:r>
      <w:proofErr w:type="gramEnd"/>
      <w:r>
        <w:t xml:space="preserve"> reasonable transition period between the expiration of gas-on-gas </w:t>
      </w:r>
      <w:r>
        <w:tab/>
        <w:t xml:space="preserve">rates and tariff rates should be imposed. </w:t>
      </w:r>
    </w:p>
    <w:p w:rsidR="009C01A7" w:rsidRPr="00113134" w:rsidRDefault="009C01A7" w:rsidP="00113134">
      <w:pPr>
        <w:spacing w:line="360" w:lineRule="auto"/>
        <w:rPr>
          <w:b/>
        </w:rPr>
      </w:pPr>
    </w:p>
    <w:p w:rsidR="001E33D5" w:rsidRDefault="001E33D5" w:rsidP="001E33D5">
      <w:pPr>
        <w:spacing w:line="360" w:lineRule="auto"/>
        <w:rPr>
          <w:b/>
          <w:u w:val="single"/>
        </w:rPr>
      </w:pPr>
      <w:r w:rsidRPr="00455ACD">
        <w:rPr>
          <w:b/>
          <w:u w:val="single"/>
        </w:rPr>
        <w:t>PSU</w:t>
      </w:r>
    </w:p>
    <w:p w:rsidR="001E33D5" w:rsidRDefault="001E33D5" w:rsidP="00654CC6">
      <w:pPr>
        <w:spacing w:line="360" w:lineRule="auto"/>
        <w:rPr>
          <w:b/>
          <w:u w:val="single"/>
        </w:rPr>
      </w:pPr>
    </w:p>
    <w:p w:rsidR="00FA02D2" w:rsidRDefault="001E33D5" w:rsidP="00CF6CC6">
      <w:pPr>
        <w:spacing w:line="360" w:lineRule="auto"/>
      </w:pPr>
      <w:r w:rsidRPr="001E33D5">
        <w:tab/>
      </w:r>
      <w:r w:rsidRPr="001E33D5">
        <w:tab/>
      </w:r>
      <w:r>
        <w:t>PSU is a customer of Columbia Gas, Peoples</w:t>
      </w:r>
      <w:r w:rsidR="00E13864">
        <w:t>,</w:t>
      </w:r>
      <w:r>
        <w:t xml:space="preserve"> and National Fuel in different </w:t>
      </w:r>
      <w:r w:rsidR="00E13864">
        <w:t>campus locations in</w:t>
      </w:r>
      <w:r>
        <w:t xml:space="preserve"> Pennsylvania.  PSU is in favor of flex offerings and desires the </w:t>
      </w:r>
      <w:r w:rsidRPr="0070582A">
        <w:rPr>
          <w:i/>
        </w:rPr>
        <w:t>status quo</w:t>
      </w:r>
      <w:r>
        <w:t xml:space="preserve"> to continue</w:t>
      </w:r>
      <w:r w:rsidR="002905EF">
        <w:t xml:space="preserve"> as it has for 30 years</w:t>
      </w:r>
      <w:r>
        <w:t>.</w:t>
      </w:r>
      <w:r w:rsidR="0070582A">
        <w:t xml:space="preserve">  PSU is not in favor of Peoples Proposal.  PSU argues that a</w:t>
      </w:r>
      <w:r w:rsidR="00FA02D2">
        <w:t xml:space="preserve"> utility’s ability to attract and/or retain businesses in Pennsylvania provides benefits to our Commonwealth’s citizens by providing jobs, and valuable income to both the local municipalities and the Commonwealth via taxes.  Additionally, all existing flex rate contracts should remain in effect thro</w:t>
      </w:r>
      <w:r w:rsidR="00654CC6">
        <w:t xml:space="preserve">ugh the term of the contract.  </w:t>
      </w:r>
      <w:r w:rsidR="00FA02D2">
        <w:t>Both businesses and utilities made significant economic and business decisions based on the certainty of those contracts and could be significantly harmed should those contracts be modified or abrogated.</w:t>
      </w:r>
    </w:p>
    <w:p w:rsidR="00FA02D2" w:rsidRDefault="0070582A" w:rsidP="00CF6CC6">
      <w:pPr>
        <w:spacing w:before="240" w:line="360" w:lineRule="auto"/>
        <w:jc w:val="both"/>
      </w:pPr>
      <w:r>
        <w:tab/>
      </w:r>
      <w:r w:rsidR="002905EF">
        <w:tab/>
      </w:r>
      <w:r w:rsidR="00FA02D2">
        <w:t>PSU takes service under a flex rate for an eligible account but does not do so for many other accounts for which its rates bear its share of the flex discounts to other customers.  Therefore, PSU</w:t>
      </w:r>
      <w:r>
        <w:t xml:space="preserve"> claims its</w:t>
      </w:r>
      <w:r w:rsidR="00FA02D2">
        <w:t>’ perspective comes from both sides of this issue.</w:t>
      </w:r>
    </w:p>
    <w:p w:rsidR="00E13864" w:rsidRDefault="00E13864" w:rsidP="00CF6CC6">
      <w:pPr>
        <w:spacing w:line="360" w:lineRule="auto"/>
        <w:jc w:val="both"/>
      </w:pPr>
    </w:p>
    <w:p w:rsidR="00FA02D2" w:rsidRDefault="00E13864" w:rsidP="00241861">
      <w:pPr>
        <w:spacing w:line="360" w:lineRule="auto"/>
      </w:pPr>
      <w:r>
        <w:tab/>
      </w:r>
      <w:r>
        <w:tab/>
      </w:r>
      <w:r w:rsidR="00FA02D2">
        <w:t>PSU witness James Crist, who was actively involved in the genesis of the “gas wars” and many gas-on-gas competitive issues,</w:t>
      </w:r>
      <w:r w:rsidR="00FA02D2">
        <w:rPr>
          <w:rStyle w:val="FootnoteReference"/>
        </w:rPr>
        <w:footnoteReference w:id="14"/>
      </w:r>
      <w:r w:rsidR="00FA02D2">
        <w:t xml:space="preserve"> testified:</w:t>
      </w:r>
    </w:p>
    <w:p w:rsidR="00241861" w:rsidRDefault="00241861" w:rsidP="00241861">
      <w:pPr>
        <w:spacing w:line="360" w:lineRule="auto"/>
      </w:pPr>
    </w:p>
    <w:p w:rsidR="00FA02D2" w:rsidRDefault="00FA02D2" w:rsidP="00FA02D2">
      <w:pPr>
        <w:ind w:left="1440" w:right="1440"/>
        <w:jc w:val="both"/>
      </w:pPr>
      <w:r w:rsidRPr="0058398B">
        <w:t xml:space="preserve">From a ratemaking perspective, all customer classes benefit from the ability of a utility to retain a customer on its system without closing its doors or moving off the system, to either a nearby utility or out of Pennsylvania altogether.  Mr. </w:t>
      </w:r>
      <w:proofErr w:type="spellStart"/>
      <w:r w:rsidRPr="0058398B">
        <w:t>Gregorini</w:t>
      </w:r>
      <w:proofErr w:type="spellEnd"/>
      <w:r w:rsidRPr="0058398B">
        <w:t xml:space="preserve"> explained in his testimony (Peoples/Peoples TWP Statement No. 1) that utilities collect information from a competitively situated customer to determine the maximum amount it can charge the customer yet still retain the patronage of that customer.  Because the utility has the closest relationship to its customers than other parties in this case, except those who actually represent customers such as Ms. Meyer Burgraff and </w:t>
      </w:r>
      <w:proofErr w:type="gramStart"/>
      <w:r w:rsidRPr="0058398B">
        <w:t>myself</w:t>
      </w:r>
      <w:proofErr w:type="gramEnd"/>
      <w:r w:rsidRPr="0058398B">
        <w:t xml:space="preserve">, it is in a knowledgeable position to determine the appropriate rate through negotiation with the customer.  The discounted rate offered to the customer is always about the incremental cost to serve the customer according to Mr. </w:t>
      </w:r>
      <w:proofErr w:type="spellStart"/>
      <w:r w:rsidRPr="0058398B">
        <w:t>Gregorini</w:t>
      </w:r>
      <w:proofErr w:type="spellEnd"/>
      <w:r w:rsidRPr="0058398B">
        <w:t>, and this makes a positive contribution to the fixed costs requirements of the utility and provides benefits to all customers.</w:t>
      </w:r>
      <w:r>
        <w:rPr>
          <w:rStyle w:val="FootnoteReference"/>
        </w:rPr>
        <w:footnoteReference w:id="15"/>
      </w:r>
    </w:p>
    <w:p w:rsidR="00E13864" w:rsidRDefault="00E13864" w:rsidP="00241861">
      <w:pPr>
        <w:spacing w:line="360" w:lineRule="auto"/>
        <w:jc w:val="both"/>
      </w:pPr>
    </w:p>
    <w:p w:rsidR="00FA02D2" w:rsidRDefault="00E13864" w:rsidP="00241861">
      <w:pPr>
        <w:spacing w:line="360" w:lineRule="auto"/>
      </w:pPr>
      <w:r>
        <w:tab/>
      </w:r>
      <w:r>
        <w:tab/>
        <w:t xml:space="preserve">PSU argues that contrary </w:t>
      </w:r>
      <w:r w:rsidR="00FA02D2">
        <w:t>to claims by OCA, OSBA and I&amp;E, customers that receive flex rates should not lose the benefit that flex rates provide simply because they happen to be situated in a location that has overlapping territories</w:t>
      </w:r>
      <w:r>
        <w:t xml:space="preserve"> because</w:t>
      </w:r>
      <w:r w:rsidR="00FA02D2">
        <w:t xml:space="preserve"> other customers also receive the benefit of a large customer’s load being retained on the system, thus reducing overall costs and rates for everyone.</w:t>
      </w:r>
    </w:p>
    <w:p w:rsidR="002905EF" w:rsidRDefault="002905EF" w:rsidP="002905EF">
      <w:pPr>
        <w:spacing w:line="360" w:lineRule="auto"/>
        <w:jc w:val="both"/>
        <w:rPr>
          <w:b/>
        </w:rPr>
      </w:pPr>
    </w:p>
    <w:p w:rsidR="00FA02D2" w:rsidRDefault="002905EF" w:rsidP="00DE3120">
      <w:pPr>
        <w:spacing w:line="360" w:lineRule="auto"/>
      </w:pPr>
      <w:r>
        <w:rPr>
          <w:b/>
        </w:rPr>
        <w:tab/>
      </w:r>
      <w:r w:rsidRPr="002905EF">
        <w:tab/>
        <w:t>PSU argues that f</w:t>
      </w:r>
      <w:r w:rsidR="00FA02D2" w:rsidRPr="002905EF">
        <w:t>rom</w:t>
      </w:r>
      <w:r w:rsidR="00FA02D2" w:rsidRPr="00AB5964">
        <w:t xml:space="preserve"> a ratemaking perspective, all customer classes benefit from the ability of a utility to retain a </w:t>
      </w:r>
      <w:r w:rsidR="00FA02D2">
        <w:t xml:space="preserve">significant </w:t>
      </w:r>
      <w:r w:rsidR="00FA02D2" w:rsidRPr="00AB5964">
        <w:t>customer on its system.  By having a flex customer stay on the system, it lessens the overall cost of service to those other customers.  Anything a utility can do by use of flex rates to attract new business or retain businesses in Pennsylvania provides benefits to our Commonwealth by providing jobs, valuable income to local municipalities, and the Commonwealth via taxes.</w:t>
      </w:r>
    </w:p>
    <w:p w:rsidR="002905EF" w:rsidRDefault="002905EF" w:rsidP="002905EF">
      <w:pPr>
        <w:spacing w:line="360" w:lineRule="auto"/>
        <w:jc w:val="both"/>
      </w:pPr>
    </w:p>
    <w:p w:rsidR="00FA02D2" w:rsidRDefault="002905EF" w:rsidP="00DE3120">
      <w:pPr>
        <w:spacing w:line="360" w:lineRule="auto"/>
      </w:pPr>
      <w:r>
        <w:tab/>
      </w:r>
      <w:r w:rsidR="00FA02D2">
        <w:tab/>
      </w:r>
      <w:r>
        <w:t xml:space="preserve">PSU criticizes the </w:t>
      </w:r>
      <w:r w:rsidR="00FA02D2">
        <w:t>flex opponents</w:t>
      </w:r>
      <w:r>
        <w:t xml:space="preserve">, arguing they have not done </w:t>
      </w:r>
      <w:r w:rsidR="00FA02D2">
        <w:t xml:space="preserve">any empirical study or analysis that demonstrates eliminating flex will not have an adverse impact on Pennsylvania’s economy. </w:t>
      </w:r>
      <w:r w:rsidR="00AA3340">
        <w:t xml:space="preserve"> </w:t>
      </w:r>
      <w:r w:rsidR="00FA02D2">
        <w:t xml:space="preserve">They ignore that higher rates caused by eliminating flex competition will have an adverse trickle-down effect upon customers and students, respectively, of businesses and educational flex customers.  </w:t>
      </w:r>
      <w:r>
        <w:t>PSU asserts that it</w:t>
      </w:r>
      <w:r w:rsidR="00FA02D2">
        <w:t xml:space="preserve"> </w:t>
      </w:r>
      <w:r w:rsidR="00FA02D2" w:rsidRPr="00AB5964">
        <w:t>is</w:t>
      </w:r>
      <w:r w:rsidR="00FA02D2">
        <w:t xml:space="preserve"> particularly important </w:t>
      </w:r>
      <w:r w:rsidR="00FA02D2" w:rsidRPr="00AB5964">
        <w:t>for Pennsylvania’s large business, industrial and institutional customers</w:t>
      </w:r>
      <w:r w:rsidR="00FA02D2">
        <w:t>,</w:t>
      </w:r>
      <w:r w:rsidR="00FA02D2" w:rsidRPr="00AB5964">
        <w:t xml:space="preserve"> to have certainty</w:t>
      </w:r>
      <w:r w:rsidR="00FA02D2">
        <w:t xml:space="preserve"> regarding flex rate applicability for purposes of planning, budgeting, and making business decisions</w:t>
      </w:r>
      <w:r w:rsidR="00FA02D2" w:rsidRPr="00AB5964">
        <w:t xml:space="preserve">.  A lack of </w:t>
      </w:r>
      <w:r w:rsidR="00FA02D2">
        <w:t xml:space="preserve">flex rates, or a lack of </w:t>
      </w:r>
      <w:r w:rsidR="00FA02D2" w:rsidRPr="00AB5964">
        <w:t xml:space="preserve">certainty </w:t>
      </w:r>
      <w:r w:rsidR="00FA02D2">
        <w:t xml:space="preserve">and reliability regarding flex rates, </w:t>
      </w:r>
      <w:r w:rsidR="00FA02D2" w:rsidRPr="00AB5964">
        <w:t>will harm Pennsylvania’s economic development and the ability to attract and retain businesses and jobs</w:t>
      </w:r>
      <w:r w:rsidR="00FA02D2">
        <w:t>.</w:t>
      </w:r>
    </w:p>
    <w:p w:rsidR="002905EF" w:rsidRPr="00DE3120" w:rsidRDefault="002905EF" w:rsidP="00AA3340">
      <w:pPr>
        <w:autoSpaceDE w:val="0"/>
        <w:autoSpaceDN w:val="0"/>
        <w:adjustRightInd w:val="0"/>
        <w:spacing w:line="360" w:lineRule="auto"/>
        <w:jc w:val="center"/>
      </w:pPr>
    </w:p>
    <w:p w:rsidR="0086183F" w:rsidRPr="00DE3120" w:rsidRDefault="00C11908" w:rsidP="00AA3340">
      <w:pPr>
        <w:autoSpaceDE w:val="0"/>
        <w:autoSpaceDN w:val="0"/>
        <w:adjustRightInd w:val="0"/>
        <w:spacing w:line="360" w:lineRule="auto"/>
        <w:jc w:val="center"/>
        <w:rPr>
          <w:u w:val="single"/>
        </w:rPr>
      </w:pPr>
      <w:r w:rsidRPr="00DE3120">
        <w:rPr>
          <w:u w:val="single"/>
        </w:rPr>
        <w:t>R</w:t>
      </w:r>
      <w:r w:rsidR="00943E75" w:rsidRPr="00DE3120">
        <w:rPr>
          <w:u w:val="single"/>
        </w:rPr>
        <w:t>ECOMMENDATION</w:t>
      </w:r>
    </w:p>
    <w:p w:rsidR="00AA3340" w:rsidRPr="009A11AC" w:rsidRDefault="00AA3340" w:rsidP="00AA3340">
      <w:pPr>
        <w:autoSpaceDE w:val="0"/>
        <w:autoSpaceDN w:val="0"/>
        <w:adjustRightInd w:val="0"/>
        <w:spacing w:line="360" w:lineRule="auto"/>
        <w:jc w:val="center"/>
        <w:rPr>
          <w:b/>
          <w:u w:val="single"/>
        </w:rPr>
      </w:pPr>
    </w:p>
    <w:p w:rsidR="00C11908" w:rsidRDefault="009C01A7" w:rsidP="00AA3340">
      <w:pPr>
        <w:autoSpaceDE w:val="0"/>
        <w:autoSpaceDN w:val="0"/>
        <w:adjustRightInd w:val="0"/>
        <w:spacing w:line="360" w:lineRule="auto"/>
        <w:rPr>
          <w:b/>
          <w:u w:val="single"/>
        </w:rPr>
      </w:pPr>
      <w:r>
        <w:rPr>
          <w:b/>
          <w:u w:val="single"/>
        </w:rPr>
        <w:t xml:space="preserve">Primary Recommendation: </w:t>
      </w:r>
      <w:r w:rsidR="00C11908" w:rsidRPr="009A11AC">
        <w:rPr>
          <w:b/>
          <w:u w:val="single"/>
        </w:rPr>
        <w:t xml:space="preserve">Phase </w:t>
      </w:r>
      <w:proofErr w:type="gramStart"/>
      <w:r w:rsidR="00C11908" w:rsidRPr="009A11AC">
        <w:rPr>
          <w:b/>
          <w:u w:val="single"/>
        </w:rPr>
        <w:t>Out</w:t>
      </w:r>
      <w:proofErr w:type="gramEnd"/>
      <w:r w:rsidR="00C11908" w:rsidRPr="009A11AC">
        <w:rPr>
          <w:b/>
          <w:u w:val="single"/>
        </w:rPr>
        <w:t xml:space="preserve"> Gas-on-Gas Competition</w:t>
      </w:r>
    </w:p>
    <w:p w:rsidR="00AA3340" w:rsidRPr="009A11AC" w:rsidRDefault="00AA3340" w:rsidP="00AA3340">
      <w:pPr>
        <w:autoSpaceDE w:val="0"/>
        <w:autoSpaceDN w:val="0"/>
        <w:adjustRightInd w:val="0"/>
        <w:spacing w:line="360" w:lineRule="auto"/>
        <w:rPr>
          <w:b/>
          <w:u w:val="single"/>
        </w:rPr>
      </w:pPr>
    </w:p>
    <w:p w:rsidR="0086183F" w:rsidRDefault="0086183F" w:rsidP="00281FC9">
      <w:pPr>
        <w:spacing w:line="360" w:lineRule="auto"/>
        <w:ind w:firstLine="1440"/>
      </w:pPr>
      <w:r>
        <w:t>The Public Utility Code mandates as follows.</w:t>
      </w:r>
    </w:p>
    <w:p w:rsidR="00AA3340" w:rsidRDefault="00AA3340" w:rsidP="00AA3340">
      <w:pPr>
        <w:spacing w:line="360" w:lineRule="auto"/>
      </w:pPr>
    </w:p>
    <w:p w:rsidR="006725AF" w:rsidRDefault="006725AF" w:rsidP="00281FC9">
      <w:pPr>
        <w:ind w:left="2160" w:right="1440"/>
      </w:pPr>
      <w:r>
        <w:t>No public utility shall, as to rates, make or grant any unreasonable preference or advantage to any person, corporation, or municipal corporation, or subject any person, corporation, or municipal corporation to any unreason</w:t>
      </w:r>
      <w:r w:rsidR="00AA3340">
        <w:t>able prejudice or disadvantage.</w:t>
      </w:r>
    </w:p>
    <w:p w:rsidR="006725AF" w:rsidRDefault="006725AF" w:rsidP="00AA3340">
      <w:pPr>
        <w:ind w:left="1440" w:right="1440"/>
      </w:pPr>
    </w:p>
    <w:p w:rsidR="006725AF" w:rsidRDefault="006725AF" w:rsidP="00281FC9">
      <w:pPr>
        <w:spacing w:line="360" w:lineRule="auto"/>
        <w:ind w:left="1440" w:right="1440"/>
      </w:pPr>
      <w:proofErr w:type="gramStart"/>
      <w:r>
        <w:t>66 Pa.C.S.</w:t>
      </w:r>
      <w:proofErr w:type="gramEnd"/>
      <w:r>
        <w:t xml:space="preserve"> §1301, 1304.</w:t>
      </w:r>
    </w:p>
    <w:p w:rsidR="0086183F" w:rsidRDefault="0086183F" w:rsidP="009662FE">
      <w:pPr>
        <w:autoSpaceDE w:val="0"/>
        <w:autoSpaceDN w:val="0"/>
        <w:adjustRightInd w:val="0"/>
        <w:spacing w:line="360" w:lineRule="auto"/>
        <w:ind w:firstLine="1440"/>
        <w:rPr>
          <w:bCs/>
          <w:iCs/>
        </w:rPr>
      </w:pPr>
      <w:r>
        <w:tab/>
      </w:r>
      <w:r>
        <w:rPr>
          <w:bCs/>
          <w:iCs/>
        </w:rPr>
        <w:t>The Commission’s Regulations provide in relevant part:</w:t>
      </w:r>
    </w:p>
    <w:p w:rsidR="009662FE" w:rsidRDefault="009662FE" w:rsidP="009662FE">
      <w:pPr>
        <w:autoSpaceDE w:val="0"/>
        <w:autoSpaceDN w:val="0"/>
        <w:adjustRightInd w:val="0"/>
        <w:spacing w:line="360" w:lineRule="auto"/>
        <w:ind w:firstLine="1440"/>
        <w:rPr>
          <w:bCs/>
          <w:iCs/>
        </w:rPr>
      </w:pPr>
    </w:p>
    <w:p w:rsidR="0086183F" w:rsidRDefault="0086183F" w:rsidP="009662FE">
      <w:pPr>
        <w:pStyle w:val="Heading4"/>
        <w:spacing w:before="0" w:beforeAutospacing="0" w:after="0" w:afterAutospacing="0"/>
        <w:ind w:left="720" w:right="720" w:firstLine="720"/>
        <w:jc w:val="both"/>
        <w:rPr>
          <w:i/>
          <w:iCs/>
        </w:rPr>
      </w:pPr>
      <w:r w:rsidRPr="00310B05">
        <w:t>§ 60.1. </w:t>
      </w:r>
      <w:proofErr w:type="gramStart"/>
      <w:r w:rsidRPr="00310B05">
        <w:t>General.</w:t>
      </w:r>
      <w:proofErr w:type="gramEnd"/>
    </w:p>
    <w:p w:rsidR="0086183F" w:rsidRPr="00310B05" w:rsidRDefault="0086183F" w:rsidP="009662FE">
      <w:pPr>
        <w:spacing w:line="360" w:lineRule="auto"/>
        <w:jc w:val="both"/>
      </w:pPr>
    </w:p>
    <w:p w:rsidR="006725AF" w:rsidRDefault="006725AF" w:rsidP="009662FE">
      <w:pPr>
        <w:ind w:left="1440" w:right="720"/>
        <w:jc w:val="both"/>
      </w:pPr>
      <w:r w:rsidRPr="00310B05">
        <w:t xml:space="preserve">The transportation of natural gas by jurisdictional gas utilities is in the public interest. </w:t>
      </w:r>
      <w:r w:rsidR="00281FC9">
        <w:t xml:space="preserve"> </w:t>
      </w:r>
      <w:r w:rsidRPr="00310B05">
        <w:t xml:space="preserve">Transportation service should be provided under terms, conditions and rates which </w:t>
      </w:r>
      <w:r w:rsidRPr="00310B05">
        <w:rPr>
          <w:i/>
        </w:rPr>
        <w:t>minimize the shifting of costs to retail customers</w:t>
      </w:r>
      <w:r w:rsidRPr="00310B05">
        <w:t xml:space="preserve"> and provide the natural gas utility with an </w:t>
      </w:r>
      <w:r w:rsidRPr="00310B05">
        <w:rPr>
          <w:i/>
        </w:rPr>
        <w:t>opportunity to recover the fixed costs incurred to serve the transportation service customers.</w:t>
      </w:r>
      <w:r w:rsidRPr="00310B05">
        <w:t xml:space="preserve"> </w:t>
      </w:r>
      <w:r w:rsidR="00281FC9">
        <w:t xml:space="preserve"> </w:t>
      </w:r>
      <w:r w:rsidRPr="00310B05">
        <w:t>The development of Pennsylvania natural gas should be promoted, because it will achieve benefits that accrue to gas utilities and their customers.</w:t>
      </w:r>
    </w:p>
    <w:p w:rsidR="006725AF" w:rsidRDefault="006725AF" w:rsidP="009662FE">
      <w:pPr>
        <w:ind w:right="720"/>
        <w:jc w:val="both"/>
      </w:pPr>
    </w:p>
    <w:p w:rsidR="006725AF" w:rsidRDefault="00281FC9" w:rsidP="009662FE">
      <w:pPr>
        <w:spacing w:line="360" w:lineRule="auto"/>
        <w:ind w:left="1440"/>
        <w:jc w:val="both"/>
      </w:pPr>
      <w:r>
        <w:t>52 Pa.</w:t>
      </w:r>
      <w:r w:rsidR="006725AF">
        <w:t xml:space="preserve">Code </w:t>
      </w:r>
      <w:r w:rsidR="006725AF" w:rsidRPr="00310B05">
        <w:t>§</w:t>
      </w:r>
      <w:r w:rsidR="006725AF">
        <w:t xml:space="preserve"> 60.1</w:t>
      </w:r>
      <w:r>
        <w:t xml:space="preserve"> </w:t>
      </w:r>
      <w:r w:rsidR="006725AF">
        <w:t>(emphasis added).</w:t>
      </w:r>
      <w:r w:rsidR="006725AF">
        <w:rPr>
          <w:rStyle w:val="FootnoteReference"/>
        </w:rPr>
        <w:footnoteReference w:id="16"/>
      </w:r>
    </w:p>
    <w:p w:rsidR="00281FC9" w:rsidRDefault="00281FC9" w:rsidP="009662FE">
      <w:pPr>
        <w:spacing w:line="360" w:lineRule="auto"/>
        <w:jc w:val="both"/>
      </w:pPr>
    </w:p>
    <w:p w:rsidR="006725AF" w:rsidRPr="00BF712A" w:rsidRDefault="006725AF" w:rsidP="009662FE">
      <w:pPr>
        <w:pStyle w:val="Heading4"/>
        <w:spacing w:before="0" w:beforeAutospacing="0" w:after="0" w:afterAutospacing="0" w:line="360" w:lineRule="auto"/>
        <w:ind w:left="720" w:right="720" w:firstLine="720"/>
        <w:jc w:val="both"/>
        <w:rPr>
          <w:i/>
        </w:rPr>
      </w:pPr>
      <w:r w:rsidRPr="00BF712A">
        <w:t>§ 60.3. </w:t>
      </w:r>
      <w:proofErr w:type="gramStart"/>
      <w:r w:rsidRPr="00BF712A">
        <w:t>Eligibility for natural gas transportation service.</w:t>
      </w:r>
      <w:proofErr w:type="gramEnd"/>
    </w:p>
    <w:p w:rsidR="006725AF" w:rsidRPr="00BF712A" w:rsidRDefault="006725AF" w:rsidP="009662FE">
      <w:pPr>
        <w:spacing w:line="360" w:lineRule="auto"/>
        <w:jc w:val="both"/>
      </w:pPr>
    </w:p>
    <w:p w:rsidR="006725AF" w:rsidRDefault="006725AF" w:rsidP="009662FE">
      <w:pPr>
        <w:pStyle w:val="NormalWeb"/>
        <w:spacing w:before="0" w:beforeAutospacing="0" w:after="0" w:afterAutospacing="0"/>
        <w:ind w:left="1440" w:right="720"/>
        <w:jc w:val="both"/>
      </w:pPr>
      <w:r w:rsidRPr="00BF712A">
        <w:t xml:space="preserve"> (a)  Transportation service shall be provided without discrimination as to type and location of customer. </w:t>
      </w:r>
      <w:r w:rsidR="00281FC9">
        <w:t xml:space="preserve"> </w:t>
      </w:r>
      <w:r w:rsidRPr="00BF712A">
        <w:t xml:space="preserve">A natural gas utility shall state in its tariff the minimum volume of transported natural gas that entitles a customer to transportation service. </w:t>
      </w:r>
      <w:r w:rsidR="00281FC9">
        <w:t xml:space="preserve"> </w:t>
      </w:r>
      <w:r w:rsidRPr="00BF712A">
        <w:t xml:space="preserve">These volumes shall be set at a level which maximizes the number of customers that can receive transportation service while permitting the natural gas utility to effectively and efficiently manage its natural gas distribution system. </w:t>
      </w:r>
      <w:r w:rsidR="00281FC9">
        <w:t xml:space="preserve"> </w:t>
      </w:r>
      <w:r w:rsidRPr="00BF712A">
        <w:t>The minimum volume of transported natural gas that entitles a customer to transportation service may not be greater than 5,000 Mcf (thousand cubic feet) per customer or buyer group per year.</w:t>
      </w:r>
    </w:p>
    <w:p w:rsidR="006725AF" w:rsidRDefault="006725AF" w:rsidP="00281FC9">
      <w:pPr>
        <w:pStyle w:val="NormalWeb"/>
        <w:spacing w:before="0" w:beforeAutospacing="0" w:after="0" w:afterAutospacing="0"/>
        <w:ind w:right="720"/>
        <w:jc w:val="both"/>
      </w:pPr>
    </w:p>
    <w:p w:rsidR="006725AF" w:rsidRDefault="006725AF" w:rsidP="00281FC9">
      <w:pPr>
        <w:spacing w:line="480" w:lineRule="auto"/>
        <w:ind w:left="1440"/>
        <w:jc w:val="both"/>
      </w:pPr>
      <w:proofErr w:type="gramStart"/>
      <w:r>
        <w:t>52 Pa. Code § 60.3.</w:t>
      </w:r>
      <w:proofErr w:type="gramEnd"/>
    </w:p>
    <w:p w:rsidR="006725AF" w:rsidRDefault="006725AF" w:rsidP="00281FC9">
      <w:pPr>
        <w:spacing w:line="360" w:lineRule="auto"/>
        <w:jc w:val="both"/>
      </w:pPr>
    </w:p>
    <w:p w:rsidR="00C13BA8" w:rsidRPr="00DA1AA5" w:rsidRDefault="00C13BA8" w:rsidP="00C13BA8">
      <w:pPr>
        <w:spacing w:line="360" w:lineRule="auto"/>
        <w:ind w:firstLine="720"/>
        <w:rPr>
          <w:szCs w:val="26"/>
        </w:rPr>
      </w:pPr>
      <w:r>
        <w:rPr>
          <w:szCs w:val="26"/>
        </w:rPr>
        <w:tab/>
      </w:r>
      <w:r w:rsidRPr="00DA1AA5">
        <w:rPr>
          <w:szCs w:val="26"/>
        </w:rPr>
        <w:t>In the Peoples and Equitable 2005 purchased gas cost (PGC) proceedings the Commission found that it may be reasonable to shift discounts to captive PGC customers in certain circumstances, such as direct bypass and alternative fuels.</w:t>
      </w:r>
      <w:r w:rsidRPr="00DA1AA5">
        <w:rPr>
          <w:rStyle w:val="FootnoteReference"/>
          <w:szCs w:val="26"/>
        </w:rPr>
        <w:footnoteReference w:id="17"/>
      </w:r>
      <w:r w:rsidR="00281FC9">
        <w:rPr>
          <w:szCs w:val="26"/>
        </w:rPr>
        <w:t xml:space="preserve">  </w:t>
      </w:r>
      <w:r w:rsidRPr="00DA1AA5">
        <w:rPr>
          <w:szCs w:val="26"/>
        </w:rPr>
        <w:t>However, in those proceedings, the Commission expressly found that it was not appropriate to engage in such cost shifting due to gas-on-gas competition:</w:t>
      </w:r>
    </w:p>
    <w:p w:rsidR="00C13BA8" w:rsidRPr="00DA1AA5" w:rsidRDefault="00C13BA8" w:rsidP="00281FC9">
      <w:pPr>
        <w:spacing w:line="360" w:lineRule="auto"/>
        <w:ind w:firstLine="720"/>
        <w:rPr>
          <w:szCs w:val="26"/>
        </w:rPr>
      </w:pPr>
    </w:p>
    <w:p w:rsidR="00C13BA8" w:rsidRPr="00DA1AA5" w:rsidRDefault="00C13BA8" w:rsidP="00C13BA8">
      <w:pPr>
        <w:ind w:left="1440" w:right="1440"/>
        <w:rPr>
          <w:szCs w:val="26"/>
        </w:rPr>
      </w:pPr>
      <w:r w:rsidRPr="00DA1AA5">
        <w:rPr>
          <w:szCs w:val="26"/>
        </w:rPr>
        <w:t>It is unreasonable to allow a gas utility to transfer the costs of discounts in retainage and other gas delivery requirements to captive PGC customers where these costs were incurred in order to entice a customer from a jurisdictional NGDC or as a reaction to defend against another jurisdictional gas utility.</w:t>
      </w:r>
      <w:r w:rsidRPr="00DA1AA5">
        <w:rPr>
          <w:rStyle w:val="FootnoteReference"/>
          <w:szCs w:val="26"/>
        </w:rPr>
        <w:footnoteReference w:id="18"/>
      </w:r>
      <w:r w:rsidRPr="00DA1AA5">
        <w:rPr>
          <w:szCs w:val="26"/>
        </w:rPr>
        <w:t xml:space="preserve">  </w:t>
      </w:r>
    </w:p>
    <w:p w:rsidR="00C13BA8" w:rsidRPr="00DA1AA5" w:rsidRDefault="00C13BA8" w:rsidP="009662FE">
      <w:pPr>
        <w:spacing w:line="360" w:lineRule="auto"/>
        <w:rPr>
          <w:szCs w:val="26"/>
        </w:rPr>
      </w:pPr>
    </w:p>
    <w:p w:rsidR="00C13BA8" w:rsidRDefault="00C13BA8" w:rsidP="00C13BA8">
      <w:pPr>
        <w:spacing w:line="360" w:lineRule="auto"/>
        <w:rPr>
          <w:szCs w:val="26"/>
        </w:rPr>
      </w:pPr>
      <w:r w:rsidRPr="00DA1AA5">
        <w:rPr>
          <w:szCs w:val="26"/>
        </w:rPr>
        <w:t>Therefore, the fact that NGDCs set maximum rates and can discount those rates in certain circumstances does not support IECPA’s contention that gas-on-gas competition is one o</w:t>
      </w:r>
      <w:r w:rsidR="00281FC9">
        <w:rPr>
          <w:szCs w:val="26"/>
        </w:rPr>
        <w:t>f those approved circumstances.</w:t>
      </w:r>
    </w:p>
    <w:p w:rsidR="00C13BA8" w:rsidRPr="00DA1AA5" w:rsidRDefault="00C13BA8" w:rsidP="00C13BA8">
      <w:pPr>
        <w:spacing w:line="360" w:lineRule="auto"/>
        <w:rPr>
          <w:szCs w:val="26"/>
        </w:rPr>
      </w:pPr>
    </w:p>
    <w:p w:rsidR="00C13BA8" w:rsidRDefault="00C13BA8" w:rsidP="00281FC9">
      <w:pPr>
        <w:spacing w:line="360" w:lineRule="auto"/>
        <w:ind w:firstLine="1440"/>
        <w:rPr>
          <w:szCs w:val="26"/>
        </w:rPr>
      </w:pPr>
      <w:r w:rsidRPr="00DA1AA5">
        <w:rPr>
          <w:szCs w:val="26"/>
        </w:rPr>
        <w:t>Specifically, in the Equitable and Peoples 2005 PGC Orders, the Commission determined that discounts arising from gas-on-gas competition could not be recovered from captive customers, but articulated other circumstances where such discounting and cost</w:t>
      </w:r>
      <w:r w:rsidR="00281FC9">
        <w:rPr>
          <w:szCs w:val="26"/>
        </w:rPr>
        <w:t xml:space="preserve"> shifting could be appropriate:</w:t>
      </w:r>
    </w:p>
    <w:p w:rsidR="00281FC9" w:rsidRPr="00DA1AA5" w:rsidRDefault="00281FC9" w:rsidP="00281FC9">
      <w:pPr>
        <w:spacing w:line="360" w:lineRule="auto"/>
        <w:ind w:firstLine="1440"/>
        <w:rPr>
          <w:szCs w:val="26"/>
        </w:rPr>
      </w:pPr>
    </w:p>
    <w:p w:rsidR="00C13BA8" w:rsidRPr="00DA1AA5" w:rsidRDefault="00C13BA8" w:rsidP="00C13BA8">
      <w:pPr>
        <w:ind w:left="1440" w:right="1440"/>
        <w:rPr>
          <w:szCs w:val="26"/>
        </w:rPr>
      </w:pPr>
      <w:r w:rsidRPr="00DA1AA5">
        <w:rPr>
          <w:szCs w:val="26"/>
        </w:rPr>
        <w:t xml:space="preserve">Notwithstanding that we conclude that it is unreasonable to allow a utility to transfer the costs of discounts in waived retainage to PGC customers under the circumstances of gas on gas competition discussed, above, we believe that there are circumstances in which it may be reasonable to require captive PGC customers to bear the costs of discounted or waived gas delivery related charges incurred to retain throughput.  The circumstances may include instances in which a customer may obtain service by direct bypass, receive service through facilities which could not produce the system average retainage (company use/ unaccounted for gas) percentage, a competitive offer from a non-jurisdictional entity, economic development and job retention and instances where there is a </w:t>
      </w:r>
      <w:r w:rsidRPr="00DA1AA5">
        <w:rPr>
          <w:i/>
          <w:szCs w:val="26"/>
        </w:rPr>
        <w:t>bona fide</w:t>
      </w:r>
      <w:r w:rsidRPr="00DA1AA5">
        <w:rPr>
          <w:szCs w:val="26"/>
        </w:rPr>
        <w:t xml:space="preserve"> competitive offer from an alternative energy source.</w:t>
      </w:r>
      <w:r w:rsidRPr="00DA1AA5">
        <w:rPr>
          <w:rStyle w:val="FootnoteReference"/>
          <w:szCs w:val="26"/>
        </w:rPr>
        <w:footnoteReference w:id="19"/>
      </w:r>
    </w:p>
    <w:p w:rsidR="00C13BA8" w:rsidRPr="00DA1AA5" w:rsidRDefault="00C13BA8" w:rsidP="006F4E90">
      <w:pPr>
        <w:spacing w:line="360" w:lineRule="auto"/>
        <w:ind w:left="1440" w:right="1440"/>
        <w:rPr>
          <w:szCs w:val="26"/>
        </w:rPr>
      </w:pPr>
    </w:p>
    <w:p w:rsidR="00C13BA8" w:rsidRPr="00DA1AA5" w:rsidRDefault="00C13BA8" w:rsidP="00C13BA8">
      <w:pPr>
        <w:spacing w:line="360" w:lineRule="auto"/>
        <w:ind w:firstLine="720"/>
        <w:rPr>
          <w:szCs w:val="26"/>
        </w:rPr>
      </w:pPr>
      <w:r>
        <w:rPr>
          <w:szCs w:val="26"/>
        </w:rPr>
        <w:tab/>
      </w:r>
      <w:r w:rsidRPr="00DA1AA5">
        <w:rPr>
          <w:szCs w:val="26"/>
        </w:rPr>
        <w:t>As such, the Commission clearly and appropriately determined that it was improper for two regulated NGDCs to engage in such discounting, but recognized that such discounting was appropriate to keep a customer from leaving a regulated NGDC’s system for an unregulated entity.  This distinction is important because if a customer leaves a jurisdictional NGDC for an unregulated competitor, the NGDC and its regulated customers will lose the flex customer’s contribution to fixed costs entirely.  The opposite occurs in gas-on-gas competition because the flex customer will remain with a jurisdictional NGDC and will contribute to the fixed costs of a regulated distribution system; however, that contribution is significantly reduced because gas-on-gas competition allows the customer to pit two regulated NGDCs against each other in order to receive the largest discount.  Accordingly, contrary to IECPA’s position, the Commission has articulated that gas-on-gas discounting is not “equivalent” to discounting for bypass or alternative fuels and has correctly determined that revenue recovery from captive customers for gas-on-gas competition is not in the public interest.</w:t>
      </w:r>
    </w:p>
    <w:p w:rsidR="00C13BA8" w:rsidRPr="00DA1AA5" w:rsidRDefault="00C13BA8" w:rsidP="00C13BA8">
      <w:pPr>
        <w:pStyle w:val="ListParagraph"/>
        <w:spacing w:line="360" w:lineRule="auto"/>
        <w:ind w:left="0" w:firstLine="720"/>
        <w:rPr>
          <w:szCs w:val="26"/>
        </w:rPr>
      </w:pPr>
    </w:p>
    <w:p w:rsidR="006353B9" w:rsidRDefault="00C13BA8" w:rsidP="006353B9">
      <w:pPr>
        <w:autoSpaceDE w:val="0"/>
        <w:autoSpaceDN w:val="0"/>
        <w:adjustRightInd w:val="0"/>
        <w:spacing w:line="360" w:lineRule="auto"/>
        <w:rPr>
          <w:bCs/>
        </w:rPr>
      </w:pPr>
      <w:r>
        <w:tab/>
      </w:r>
      <w:r>
        <w:tab/>
      </w:r>
      <w:r w:rsidR="006353B9">
        <w:t xml:space="preserve">The Commission recently addressed the issue of gas-on-gas distribution competition in the </w:t>
      </w:r>
      <w:r w:rsidR="00CE356B">
        <w:t>merger/</w:t>
      </w:r>
      <w:r w:rsidR="006353B9">
        <w:t xml:space="preserve">acquisition </w:t>
      </w:r>
      <w:r w:rsidR="00CE356B">
        <w:t>between</w:t>
      </w:r>
      <w:r w:rsidR="006353B9">
        <w:t xml:space="preserve"> Peoples </w:t>
      </w:r>
      <w:r w:rsidR="00CE356B">
        <w:t>and</w:t>
      </w:r>
      <w:r w:rsidR="006353B9">
        <w:t xml:space="preserve"> Equitable, whereby the Commission reviewed all arguments for and against the continuation of gas-on-gas rate discounting.  </w:t>
      </w:r>
      <w:r w:rsidR="006353B9" w:rsidRPr="000368FA">
        <w:rPr>
          <w:u w:val="single"/>
        </w:rPr>
        <w:t>See</w:t>
      </w:r>
      <w:r w:rsidR="006353B9">
        <w:t xml:space="preserve">, </w:t>
      </w:r>
      <w:r w:rsidR="006353B9">
        <w:rPr>
          <w:u w:val="single"/>
        </w:rPr>
        <w:t>In re Equitable Resources, Inc.</w:t>
      </w:r>
      <w:r w:rsidR="006353B9">
        <w:t xml:space="preserve">, 2007 </w:t>
      </w:r>
      <w:r w:rsidR="006353B9" w:rsidRPr="00623E95">
        <w:rPr>
          <w:bCs/>
        </w:rPr>
        <w:t>P</w:t>
      </w:r>
      <w:r w:rsidR="006353B9">
        <w:rPr>
          <w:bCs/>
        </w:rPr>
        <w:t xml:space="preserve">A </w:t>
      </w:r>
      <w:r w:rsidR="006353B9" w:rsidRPr="00623E95">
        <w:rPr>
          <w:bCs/>
        </w:rPr>
        <w:t>PUC LEXIS 32</w:t>
      </w:r>
      <w:r w:rsidR="006353B9">
        <w:rPr>
          <w:bCs/>
        </w:rPr>
        <w:t xml:space="preserve"> (Apr. 13, 2007)</w:t>
      </w:r>
      <w:r w:rsidR="002559E5">
        <w:rPr>
          <w:bCs/>
        </w:rPr>
        <w:t xml:space="preserve"> </w:t>
      </w:r>
      <w:r w:rsidR="006353B9">
        <w:rPr>
          <w:bCs/>
        </w:rPr>
        <w:t>(</w:t>
      </w:r>
      <w:r w:rsidR="006353B9" w:rsidRPr="00623E95">
        <w:rPr>
          <w:bCs/>
          <w:u w:val="single"/>
        </w:rPr>
        <w:t>Equitable 2007</w:t>
      </w:r>
      <w:r w:rsidR="006353B9">
        <w:rPr>
          <w:bCs/>
        </w:rPr>
        <w:t>)</w:t>
      </w:r>
      <w:r w:rsidR="006353B9" w:rsidRPr="00623E95">
        <w:rPr>
          <w:bCs/>
        </w:rPr>
        <w:t>.</w:t>
      </w:r>
      <w:r w:rsidR="006353B9">
        <w:rPr>
          <w:bCs/>
        </w:rPr>
        <w:t xml:space="preserve">  In </w:t>
      </w:r>
      <w:r w:rsidR="006353B9" w:rsidRPr="00174F37">
        <w:rPr>
          <w:bCs/>
          <w:u w:val="single"/>
        </w:rPr>
        <w:t>Equitable 2007</w:t>
      </w:r>
      <w:r w:rsidR="006353B9">
        <w:rPr>
          <w:bCs/>
        </w:rPr>
        <w:t>, the Commission’s Final Order provided:</w:t>
      </w:r>
    </w:p>
    <w:p w:rsidR="006353B9" w:rsidRDefault="006353B9" w:rsidP="002559E5">
      <w:pPr>
        <w:autoSpaceDE w:val="0"/>
        <w:autoSpaceDN w:val="0"/>
        <w:adjustRightInd w:val="0"/>
        <w:spacing w:line="360" w:lineRule="auto"/>
        <w:rPr>
          <w:bCs/>
        </w:rPr>
      </w:pPr>
    </w:p>
    <w:p w:rsidR="006353B9" w:rsidRDefault="006353B9" w:rsidP="002E0838">
      <w:pPr>
        <w:autoSpaceDE w:val="0"/>
        <w:autoSpaceDN w:val="0"/>
        <w:adjustRightInd w:val="0"/>
        <w:ind w:left="1440" w:right="1440"/>
        <w:jc w:val="both"/>
      </w:pPr>
      <w:r w:rsidRPr="00174F37">
        <w:t xml:space="preserve">After a careful review of the record, we conclude that the economics of the elimination of gas-on-gas distribution competition is correctly presented by Equitable. Equitable witness, Dr. Hieronymus, characterized gas-on-gas distribution competition that creates rate discounts as a dead weight loss and wholly uneconomic. </w:t>
      </w:r>
      <w:r w:rsidR="002559E5">
        <w:t xml:space="preserve"> </w:t>
      </w:r>
      <w:r w:rsidRPr="00174F37">
        <w:t xml:space="preserve">Dr. Hieronymus also explained that with or without an actual merger, Equitable and Peoples will retain the ability and incentives they have today to provide economic development discounts. </w:t>
      </w:r>
      <w:r w:rsidR="002559E5">
        <w:t xml:space="preserve"> </w:t>
      </w:r>
      <w:r w:rsidRPr="00174F37">
        <w:t>Furthermore, Dr. Hieronymus concluded that maintenance of gas-on-gas distribution competition is poor public policy.</w:t>
      </w:r>
    </w:p>
    <w:p w:rsidR="006353B9" w:rsidRDefault="006353B9" w:rsidP="002559E5">
      <w:pPr>
        <w:autoSpaceDE w:val="0"/>
        <w:autoSpaceDN w:val="0"/>
        <w:adjustRightInd w:val="0"/>
        <w:ind w:right="720"/>
        <w:jc w:val="both"/>
      </w:pPr>
    </w:p>
    <w:p w:rsidR="006353B9" w:rsidRDefault="006353B9" w:rsidP="006353B9">
      <w:pPr>
        <w:autoSpaceDE w:val="0"/>
        <w:autoSpaceDN w:val="0"/>
        <w:adjustRightInd w:val="0"/>
        <w:ind w:right="720"/>
        <w:jc w:val="both"/>
      </w:pPr>
      <w:proofErr w:type="gramStart"/>
      <w:r w:rsidRPr="00174F37">
        <w:rPr>
          <w:u w:val="single"/>
        </w:rPr>
        <w:t>Equitable 2007</w:t>
      </w:r>
      <w:r>
        <w:t xml:space="preserve"> at *102 (internal citations omitted).</w:t>
      </w:r>
      <w:proofErr w:type="gramEnd"/>
    </w:p>
    <w:p w:rsidR="006353B9" w:rsidRDefault="006353B9" w:rsidP="00CE356B">
      <w:pPr>
        <w:autoSpaceDE w:val="0"/>
        <w:autoSpaceDN w:val="0"/>
        <w:adjustRightInd w:val="0"/>
        <w:spacing w:line="360" w:lineRule="auto"/>
        <w:ind w:right="720"/>
        <w:jc w:val="both"/>
      </w:pPr>
    </w:p>
    <w:p w:rsidR="006353B9" w:rsidRDefault="00CE356B" w:rsidP="00CE356B">
      <w:pPr>
        <w:autoSpaceDE w:val="0"/>
        <w:autoSpaceDN w:val="0"/>
        <w:adjustRightInd w:val="0"/>
        <w:spacing w:line="360" w:lineRule="auto"/>
        <w:ind w:firstLine="720"/>
      </w:pPr>
      <w:r>
        <w:tab/>
        <w:t>T</w:t>
      </w:r>
      <w:r w:rsidR="006353B9">
        <w:t xml:space="preserve">he Commission </w:t>
      </w:r>
      <w:r>
        <w:t xml:space="preserve">considered the testimony of </w:t>
      </w:r>
      <w:r w:rsidR="006353B9">
        <w:t>Dr. Hieronymus in 2007</w:t>
      </w:r>
      <w:r>
        <w:t xml:space="preserve"> and found that</w:t>
      </w:r>
      <w:r w:rsidR="006353B9">
        <w:t xml:space="preserve"> gas-on-gas rate discounting is “poor public policy”, “wholly uneconomic” and “a dead weight loss”.</w:t>
      </w:r>
    </w:p>
    <w:p w:rsidR="00CE356B" w:rsidRDefault="00CE356B" w:rsidP="00CE356B">
      <w:pPr>
        <w:autoSpaceDE w:val="0"/>
        <w:autoSpaceDN w:val="0"/>
        <w:adjustRightInd w:val="0"/>
        <w:spacing w:line="360" w:lineRule="auto"/>
        <w:ind w:firstLine="720"/>
      </w:pPr>
    </w:p>
    <w:p w:rsidR="0086183F" w:rsidRDefault="00CE356B" w:rsidP="00CE356B">
      <w:pPr>
        <w:spacing w:line="360" w:lineRule="auto"/>
      </w:pPr>
      <w:r>
        <w:tab/>
      </w:r>
      <w:r>
        <w:tab/>
        <w:t xml:space="preserve">Section 60.3 </w:t>
      </w:r>
      <w:r w:rsidR="0086183F">
        <w:t>provides that cost shifting to retail (captive) customers should be minimized, as NGDCs should seek to recover their fixed costs from transportation customers.  The current practice of gas-on-gas discounting where</w:t>
      </w:r>
      <w:r>
        <w:t>by</w:t>
      </w:r>
      <w:r w:rsidR="0086183F">
        <w:t xml:space="preserve"> millions of dollars of costs are shifted to captive customers annually, and “discount” customers pay only a minimal contribution to fixed costs appears to be inconsistent with the plain language and </w:t>
      </w:r>
      <w:r>
        <w:t xml:space="preserve">intent </w:t>
      </w:r>
      <w:r w:rsidR="0086183F">
        <w:t xml:space="preserve">of </w:t>
      </w:r>
      <w:r>
        <w:t>Section 60.3</w:t>
      </w:r>
      <w:r w:rsidR="0086183F">
        <w:t xml:space="preserve">. </w:t>
      </w:r>
      <w:r w:rsidR="00BC4CAC">
        <w:t xml:space="preserve"> </w:t>
      </w:r>
      <w:proofErr w:type="gramStart"/>
      <w:r w:rsidR="00BC4CAC">
        <w:t>52 Pa.</w:t>
      </w:r>
      <w:r w:rsidR="0086183F">
        <w:t xml:space="preserve">Code </w:t>
      </w:r>
      <w:r w:rsidR="0086183F" w:rsidRPr="00BF712A">
        <w:t>§</w:t>
      </w:r>
      <w:r w:rsidR="00BC4CAC">
        <w:t> </w:t>
      </w:r>
      <w:r w:rsidR="0086183F">
        <w:t>60.3</w:t>
      </w:r>
      <w:r w:rsidR="00BC4CAC">
        <w:t>.</w:t>
      </w:r>
      <w:proofErr w:type="gramEnd"/>
    </w:p>
    <w:p w:rsidR="0086183F" w:rsidRDefault="0086183F" w:rsidP="00CE356B">
      <w:pPr>
        <w:pStyle w:val="NormalWeb"/>
        <w:spacing w:before="0" w:beforeAutospacing="0" w:after="0" w:afterAutospacing="0" w:line="360" w:lineRule="auto"/>
        <w:jc w:val="both"/>
      </w:pPr>
    </w:p>
    <w:p w:rsidR="0086183F" w:rsidRDefault="0086183F" w:rsidP="00CE356B">
      <w:pPr>
        <w:pStyle w:val="NormalWeb"/>
        <w:spacing w:before="0" w:beforeAutospacing="0" w:after="0" w:afterAutospacing="0" w:line="360" w:lineRule="auto"/>
      </w:pPr>
      <w:r>
        <w:tab/>
      </w:r>
      <w:r>
        <w:tab/>
        <w:t>The Regulation</w:t>
      </w:r>
      <w:r w:rsidR="00CE356B">
        <w:t>s</w:t>
      </w:r>
      <w:r>
        <w:t xml:space="preserve"> provide for open access, non-discriminatory treatment and a goal of maximizing the number of customers who can participate.  Conversely, the current practice of gas-on-gas rate discounting </w:t>
      </w:r>
      <w:r w:rsidR="00CE356B">
        <w:t>appears to be</w:t>
      </w:r>
      <w:r>
        <w:t xml:space="preserve"> discriminatory and limited in participation to a select few C&amp;I customers who happen to be located in the right </w:t>
      </w:r>
      <w:r w:rsidR="00CE356B">
        <w:t>overlapping service location</w:t>
      </w:r>
      <w:r>
        <w:t xml:space="preserve">.  </w:t>
      </w:r>
      <w:r w:rsidR="00CE356B">
        <w:t xml:space="preserve">I am not persuaded by </w:t>
      </w:r>
      <w:r>
        <w:t>IECPA’s assertions</w:t>
      </w:r>
      <w:r w:rsidR="00CE356B">
        <w:t xml:space="preserve"> that</w:t>
      </w:r>
      <w:r>
        <w:t xml:space="preserve"> Chapter 60 provides support for the current practice of gas-on-gas discounting.</w:t>
      </w:r>
    </w:p>
    <w:p w:rsidR="0086183F" w:rsidRDefault="0086183F" w:rsidP="00CE356B">
      <w:pPr>
        <w:pStyle w:val="NormalWeb"/>
        <w:spacing w:before="0" w:beforeAutospacing="0" w:after="0" w:afterAutospacing="0" w:line="360" w:lineRule="auto"/>
        <w:ind w:firstLine="720"/>
        <w:jc w:val="both"/>
      </w:pPr>
    </w:p>
    <w:p w:rsidR="0086183F" w:rsidRDefault="0086183F" w:rsidP="00A36DF7">
      <w:pPr>
        <w:pStyle w:val="NormalWeb"/>
        <w:spacing w:before="0" w:beforeAutospacing="0" w:after="0" w:afterAutospacing="0" w:line="360" w:lineRule="auto"/>
        <w:ind w:firstLine="720"/>
      </w:pPr>
      <w:r>
        <w:tab/>
        <w:t xml:space="preserve">IECPA also cites the regulatory history that accompanied the implementation of Chapter 60 as further support for gas-on-gas discounting.  </w:t>
      </w:r>
      <w:proofErr w:type="gramStart"/>
      <w:r>
        <w:t>IECPA M.B. at 10.</w:t>
      </w:r>
      <w:proofErr w:type="gramEnd"/>
      <w:r>
        <w:t xml:space="preserve">  Specifically, IECPA cites a statement by the Commission as published in the </w:t>
      </w:r>
      <w:r w:rsidRPr="00CE356B">
        <w:rPr>
          <w:i/>
        </w:rPr>
        <w:t>Pennsylvania Bulletin</w:t>
      </w:r>
      <w:r>
        <w:t xml:space="preserve">, </w:t>
      </w:r>
      <w:r w:rsidR="00CE356B">
        <w:t>regarding</w:t>
      </w:r>
      <w:r>
        <w:t xml:space="preserve"> keeping customers on the NGDC’s system at a lower rate is preferable to losing the customer altogether.  </w:t>
      </w:r>
      <w:r w:rsidRPr="0043550C">
        <w:rPr>
          <w:u w:val="single"/>
        </w:rPr>
        <w:t>Id.</w:t>
      </w:r>
      <w:r>
        <w:t xml:space="preserve">  A review of the cited text, however, reveals that the portion of the statement quoted by IECPA was taken out of context.  The full statement provides that:</w:t>
      </w:r>
    </w:p>
    <w:p w:rsidR="00A36DF7" w:rsidRDefault="00A36DF7" w:rsidP="00A36DF7">
      <w:pPr>
        <w:pStyle w:val="NormalWeb"/>
        <w:spacing w:before="0" w:beforeAutospacing="0" w:after="0" w:afterAutospacing="0" w:line="360" w:lineRule="auto"/>
        <w:ind w:firstLine="720"/>
      </w:pPr>
    </w:p>
    <w:p w:rsidR="0086183F" w:rsidRDefault="0086183F" w:rsidP="002E0838">
      <w:pPr>
        <w:pStyle w:val="NormalWeb"/>
        <w:spacing w:before="0" w:beforeAutospacing="0" w:after="0" w:afterAutospacing="0"/>
        <w:ind w:left="1440" w:right="1440"/>
        <w:jc w:val="both"/>
      </w:pPr>
      <w:r>
        <w:t>Assuming that many of these customers are able to burn another type of fuel, it is preferable to keep these customers on the system, albeit at a lower rate, than to lose all contribution to the company’s fixed costs.</w:t>
      </w:r>
    </w:p>
    <w:p w:rsidR="0086183F" w:rsidRDefault="0086183F" w:rsidP="009662FE">
      <w:pPr>
        <w:pStyle w:val="NormalWeb"/>
        <w:spacing w:before="0" w:beforeAutospacing="0" w:after="0" w:afterAutospacing="0" w:line="360" w:lineRule="auto"/>
        <w:ind w:right="720"/>
        <w:jc w:val="both"/>
      </w:pPr>
    </w:p>
    <w:p w:rsidR="0086183F" w:rsidRDefault="0086183F" w:rsidP="00CE356B">
      <w:pPr>
        <w:pStyle w:val="NormalWeb"/>
        <w:spacing w:before="0" w:beforeAutospacing="0" w:after="0" w:afterAutospacing="0" w:line="360" w:lineRule="auto"/>
      </w:pPr>
      <w:proofErr w:type="gramStart"/>
      <w:r>
        <w:t xml:space="preserve">17 </w:t>
      </w:r>
      <w:r w:rsidRPr="00CE356B">
        <w:rPr>
          <w:i/>
        </w:rPr>
        <w:t>Pa.B</w:t>
      </w:r>
      <w:r>
        <w:t>.</w:t>
      </w:r>
      <w:proofErr w:type="gramEnd"/>
      <w:r>
        <w:t xml:space="preserve"> 548 (January 31, 1987).  </w:t>
      </w:r>
      <w:r w:rsidR="00CE356B">
        <w:t>This</w:t>
      </w:r>
      <w:r>
        <w:t xml:space="preserve"> quoted language </w:t>
      </w:r>
      <w:r w:rsidR="00CE356B">
        <w:t>refers</w:t>
      </w:r>
      <w:r>
        <w:t xml:space="preserve"> to customers with dual fuel capabilities, and </w:t>
      </w:r>
      <w:r w:rsidR="00C11908">
        <w:t xml:space="preserve">is </w:t>
      </w:r>
      <w:r>
        <w:t>not</w:t>
      </w:r>
      <w:r w:rsidR="00C11908">
        <w:t xml:space="preserve"> a </w:t>
      </w:r>
      <w:r>
        <w:t>general statement in support of gas-on-gas discounting.  Customers with dual fuel capability have the option to leave the natural gas distribution system entirely by utilizing whatever alternative source of fuel their particular infrastructure supports, such as fuel oil, propane or diesel.  Conversely, gas-on-gas customers must use the natural gas distribution system to take service fr</w:t>
      </w:r>
      <w:r w:rsidR="00C11908">
        <w:t>o</w:t>
      </w:r>
      <w:r>
        <w:t>m an NGDC.</w:t>
      </w:r>
    </w:p>
    <w:p w:rsidR="00C11908" w:rsidRDefault="00C11908" w:rsidP="00CE356B">
      <w:pPr>
        <w:pStyle w:val="NormalWeb"/>
        <w:spacing w:before="0" w:beforeAutospacing="0" w:after="0" w:afterAutospacing="0" w:line="360" w:lineRule="auto"/>
      </w:pPr>
    </w:p>
    <w:p w:rsidR="0086183F" w:rsidRDefault="0086183F" w:rsidP="00CA10DD">
      <w:pPr>
        <w:autoSpaceDE w:val="0"/>
        <w:autoSpaceDN w:val="0"/>
        <w:adjustRightInd w:val="0"/>
        <w:spacing w:line="360" w:lineRule="auto"/>
        <w:ind w:firstLine="1440"/>
        <w:jc w:val="both"/>
      </w:pPr>
      <w:r>
        <w:t xml:space="preserve">Dr. Hieronymus </w:t>
      </w:r>
      <w:r w:rsidR="00C11908">
        <w:t xml:space="preserve">testified </w:t>
      </w:r>
      <w:r>
        <w:t xml:space="preserve">in his Rebuttal Testimony in </w:t>
      </w:r>
      <w:r w:rsidRPr="001B0F4C">
        <w:rPr>
          <w:u w:val="single"/>
        </w:rPr>
        <w:t>Equitable 2007</w:t>
      </w:r>
      <w:r w:rsidR="001F33E4">
        <w:t>:</w:t>
      </w:r>
    </w:p>
    <w:p w:rsidR="001F33E4" w:rsidRDefault="001F33E4" w:rsidP="001F33E4">
      <w:pPr>
        <w:autoSpaceDE w:val="0"/>
        <w:autoSpaceDN w:val="0"/>
        <w:adjustRightInd w:val="0"/>
        <w:spacing w:line="360" w:lineRule="auto"/>
        <w:jc w:val="both"/>
      </w:pPr>
    </w:p>
    <w:p w:rsidR="0086183F" w:rsidRDefault="0086183F" w:rsidP="00CA10DD">
      <w:pPr>
        <w:autoSpaceDE w:val="0"/>
        <w:autoSpaceDN w:val="0"/>
        <w:adjustRightInd w:val="0"/>
        <w:ind w:left="1440" w:right="720"/>
        <w:jc w:val="both"/>
      </w:pPr>
      <w:proofErr w:type="gramStart"/>
      <w:r w:rsidRPr="00FD07FA">
        <w:t>Because gas-on-gas distribution competition is, in the vernacular of economists, a</w:t>
      </w:r>
      <w:r>
        <w:t xml:space="preserve"> </w:t>
      </w:r>
      <w:r w:rsidRPr="00FD07FA">
        <w:t>"negative sum game."</w:t>
      </w:r>
      <w:proofErr w:type="gramEnd"/>
      <w:r w:rsidRPr="00FD07FA">
        <w:t xml:space="preserve"> </w:t>
      </w:r>
      <w:r w:rsidR="001F33E4">
        <w:t xml:space="preserve"> </w:t>
      </w:r>
      <w:r w:rsidRPr="00FD07FA">
        <w:t>This means that participants, in this case all customers</w:t>
      </w:r>
      <w:r>
        <w:t xml:space="preserve"> </w:t>
      </w:r>
      <w:r w:rsidRPr="00FD07FA">
        <w:t xml:space="preserve">collectively, are harmed even though some customers benefit. </w:t>
      </w:r>
      <w:r w:rsidR="001F33E4">
        <w:t xml:space="preserve"> </w:t>
      </w:r>
      <w:r w:rsidRPr="00FD07FA">
        <w:t>Discounts given to</w:t>
      </w:r>
      <w:r>
        <w:t xml:space="preserve"> </w:t>
      </w:r>
      <w:r w:rsidRPr="00FD07FA">
        <w:t>favorably situated customers are not absorbed by the shareholders of the</w:t>
      </w:r>
      <w:r>
        <w:t xml:space="preserve"> </w:t>
      </w:r>
      <w:r w:rsidRPr="00FD07FA">
        <w:t xml:space="preserve">distribution utilities. </w:t>
      </w:r>
      <w:r w:rsidR="001F33E4">
        <w:t xml:space="preserve"> </w:t>
      </w:r>
      <w:r w:rsidRPr="00FD07FA">
        <w:t>Rather, via ratemaking processes (base rate cases and, for</w:t>
      </w:r>
      <w:r>
        <w:t xml:space="preserve"> </w:t>
      </w:r>
      <w:r w:rsidRPr="00FD07FA">
        <w:t>retainage discounts, purchased gas adjustment clause cases) such discounts are</w:t>
      </w:r>
      <w:r>
        <w:t xml:space="preserve"> </w:t>
      </w:r>
      <w:r w:rsidRPr="00FD07FA">
        <w:t xml:space="preserve">paid by other, less favored customers. </w:t>
      </w:r>
      <w:r w:rsidR="001F33E4">
        <w:t xml:space="preserve"> </w:t>
      </w:r>
      <w:r w:rsidRPr="00FD07FA">
        <w:t>If 20 percent of customers pay only half of</w:t>
      </w:r>
      <w:r>
        <w:t xml:space="preserve"> </w:t>
      </w:r>
      <w:r w:rsidRPr="00FD07FA">
        <w:t>their properly allocated costs of service, the remaining 80 percent necessarily</w:t>
      </w:r>
      <w:r>
        <w:t xml:space="preserve"> </w:t>
      </w:r>
      <w:r w:rsidRPr="00FD07FA">
        <w:t>make up the difference.</w:t>
      </w:r>
    </w:p>
    <w:p w:rsidR="0086183F" w:rsidRPr="00FD07FA" w:rsidRDefault="0086183F" w:rsidP="00CA10DD">
      <w:pPr>
        <w:autoSpaceDE w:val="0"/>
        <w:autoSpaceDN w:val="0"/>
        <w:adjustRightInd w:val="0"/>
        <w:ind w:left="1440" w:right="720"/>
        <w:jc w:val="both"/>
      </w:pPr>
    </w:p>
    <w:p w:rsidR="0086183F" w:rsidRDefault="0086183F" w:rsidP="00CA10DD">
      <w:pPr>
        <w:autoSpaceDE w:val="0"/>
        <w:autoSpaceDN w:val="0"/>
        <w:adjustRightInd w:val="0"/>
        <w:ind w:left="1440" w:right="720"/>
        <w:jc w:val="both"/>
      </w:pPr>
      <w:r w:rsidRPr="00FD07FA">
        <w:t>The division of the revenue requirement pie is a "zero sum game"- what one</w:t>
      </w:r>
      <w:r>
        <w:t xml:space="preserve"> </w:t>
      </w:r>
      <w:r w:rsidRPr="00FD07FA">
        <w:t xml:space="preserve">customer wins via discounts, others lose via higher tariff rates. </w:t>
      </w:r>
      <w:r w:rsidR="00CA10DD">
        <w:t xml:space="preserve"> </w:t>
      </w:r>
      <w:r w:rsidRPr="00FD07FA">
        <w:t>'What makes this a</w:t>
      </w:r>
      <w:r>
        <w:t xml:space="preserve"> </w:t>
      </w:r>
      <w:r w:rsidRPr="00FD07FA">
        <w:t>negative sum game is that the costs incurred to enable the competition that creates</w:t>
      </w:r>
      <w:r>
        <w:t xml:space="preserve"> </w:t>
      </w:r>
      <w:r w:rsidRPr="00FD07FA">
        <w:t>the need to grant discounts are themselves a dead weight loss and wholly</w:t>
      </w:r>
      <w:r>
        <w:t xml:space="preserve"> </w:t>
      </w:r>
      <w:r w:rsidRPr="00FD07FA">
        <w:t>uneconomic.</w:t>
      </w:r>
    </w:p>
    <w:p w:rsidR="0086183F" w:rsidRDefault="0086183F" w:rsidP="00CA10DD">
      <w:pPr>
        <w:autoSpaceDE w:val="0"/>
        <w:autoSpaceDN w:val="0"/>
        <w:adjustRightInd w:val="0"/>
        <w:ind w:right="720"/>
        <w:jc w:val="both"/>
      </w:pPr>
    </w:p>
    <w:p w:rsidR="0086183F" w:rsidRDefault="0086183F" w:rsidP="00CA10DD">
      <w:pPr>
        <w:autoSpaceDE w:val="0"/>
        <w:autoSpaceDN w:val="0"/>
        <w:adjustRightInd w:val="0"/>
        <w:ind w:left="1440" w:right="720"/>
        <w:jc w:val="both"/>
      </w:pPr>
      <w:r w:rsidRPr="001B0F4C">
        <w:t>In fact, the substitution of one distributor for the other creates no new revenues.</w:t>
      </w:r>
      <w:r>
        <w:t xml:space="preserve">  </w:t>
      </w:r>
      <w:r w:rsidRPr="001B0F4C">
        <w:t>Indeed, what is</w:t>
      </w:r>
      <w:r>
        <w:t xml:space="preserve"> l</w:t>
      </w:r>
      <w:r w:rsidRPr="001B0F4C">
        <w:t>ost by Equitable if Peoples gains a customer is almost assuredly</w:t>
      </w:r>
      <w:r>
        <w:t xml:space="preserve"> </w:t>
      </w:r>
      <w:r w:rsidRPr="001B0F4C">
        <w:t xml:space="preserve">more than Peoples gained (otherwise, the customer would not switch.). </w:t>
      </w:r>
      <w:r w:rsidR="00A16CFE">
        <w:t xml:space="preserve"> </w:t>
      </w:r>
      <w:r w:rsidRPr="001B0F4C">
        <w:t>Once the</w:t>
      </w:r>
      <w:r>
        <w:t xml:space="preserve"> </w:t>
      </w:r>
      <w:r w:rsidRPr="001B0F4C">
        <w:t xml:space="preserve">effects of the transaction are flowed through revenue requirements, </w:t>
      </w:r>
      <w:r w:rsidR="007A202A" w:rsidRPr="001B0F4C">
        <w:t>Equitable’ s</w:t>
      </w:r>
      <w:r>
        <w:t xml:space="preserve"> </w:t>
      </w:r>
      <w:r w:rsidRPr="001B0F4C">
        <w:t>remaining customers will lose the revenues previously garnered from the</w:t>
      </w:r>
      <w:r>
        <w:t xml:space="preserve"> </w:t>
      </w:r>
      <w:r w:rsidRPr="001B0F4C">
        <w:t>customer while Peoples customers will benefit from a smaller increment of</w:t>
      </w:r>
      <w:r>
        <w:t xml:space="preserve"> </w:t>
      </w:r>
      <w:r w:rsidRPr="001B0F4C">
        <w:t>revenues and bear the dead-weight loss of the incremental costs incurred to gain</w:t>
      </w:r>
      <w:r>
        <w:t xml:space="preserve"> </w:t>
      </w:r>
      <w:r w:rsidRPr="001B0F4C">
        <w:t xml:space="preserve">the customer. </w:t>
      </w:r>
      <w:r w:rsidR="00A16CFE">
        <w:t xml:space="preserve"> </w:t>
      </w:r>
      <w:r w:rsidRPr="001B0F4C">
        <w:t>For customers other than the customer who benefits, the loss will</w:t>
      </w:r>
      <w:r>
        <w:t xml:space="preserve"> </w:t>
      </w:r>
      <w:r w:rsidRPr="001B0F4C">
        <w:t>be equal to the cost of accessing the customer plus the additional discount that the</w:t>
      </w:r>
      <w:r>
        <w:t xml:space="preserve"> </w:t>
      </w:r>
      <w:r w:rsidRPr="001B0F4C">
        <w:t>customer was able to bargain for.</w:t>
      </w:r>
    </w:p>
    <w:p w:rsidR="0086183F" w:rsidRDefault="0086183F" w:rsidP="00A16CFE">
      <w:pPr>
        <w:autoSpaceDE w:val="0"/>
        <w:autoSpaceDN w:val="0"/>
        <w:adjustRightInd w:val="0"/>
        <w:ind w:right="720"/>
        <w:jc w:val="both"/>
      </w:pPr>
    </w:p>
    <w:p w:rsidR="0086183F" w:rsidRDefault="0086183F" w:rsidP="0086183F">
      <w:pPr>
        <w:autoSpaceDE w:val="0"/>
        <w:autoSpaceDN w:val="0"/>
        <w:adjustRightInd w:val="0"/>
        <w:ind w:right="720"/>
        <w:jc w:val="both"/>
      </w:pPr>
      <w:proofErr w:type="gramStart"/>
      <w:r>
        <w:t>I&amp;E Exh.</w:t>
      </w:r>
      <w:proofErr w:type="gramEnd"/>
      <w:r>
        <w:t xml:space="preserve"> </w:t>
      </w:r>
      <w:proofErr w:type="gramStart"/>
      <w:r>
        <w:t>No. 1 at 14, 16.</w:t>
      </w:r>
      <w:proofErr w:type="gramEnd"/>
    </w:p>
    <w:p w:rsidR="008A296A" w:rsidRDefault="008A296A" w:rsidP="00A16CFE">
      <w:pPr>
        <w:autoSpaceDE w:val="0"/>
        <w:autoSpaceDN w:val="0"/>
        <w:adjustRightInd w:val="0"/>
        <w:spacing w:line="360" w:lineRule="auto"/>
      </w:pPr>
    </w:p>
    <w:p w:rsidR="0086183F" w:rsidRDefault="0086183F" w:rsidP="00A16CFE">
      <w:pPr>
        <w:autoSpaceDE w:val="0"/>
        <w:autoSpaceDN w:val="0"/>
        <w:adjustRightInd w:val="0"/>
        <w:spacing w:line="360" w:lineRule="auto"/>
        <w:ind w:firstLine="720"/>
      </w:pPr>
      <w:r>
        <w:tab/>
      </w:r>
      <w:r w:rsidR="00C11908">
        <w:t xml:space="preserve">I agree with </w:t>
      </w:r>
      <w:r>
        <w:t>Dr. Hieronymus that gas-on-gas rate discounting creates winners and losers, enables large amounts of load to switch back and forth between NGDCs at the end of each “discount” contract period, creates no new revenues, but rather creates additional expense</w:t>
      </w:r>
      <w:r w:rsidR="00C11908">
        <w:t>.</w:t>
      </w:r>
      <w:r>
        <w:t xml:space="preserve">  I am persuaded by OSBA witness Robert Knecht who testified as to further differences between these flex rate practices, as follows:</w:t>
      </w:r>
    </w:p>
    <w:p w:rsidR="00A16CFE" w:rsidRDefault="00A16CFE" w:rsidP="00A16CFE">
      <w:pPr>
        <w:autoSpaceDE w:val="0"/>
        <w:autoSpaceDN w:val="0"/>
        <w:adjustRightInd w:val="0"/>
        <w:spacing w:line="360" w:lineRule="auto"/>
        <w:ind w:firstLine="720"/>
      </w:pPr>
    </w:p>
    <w:p w:rsidR="0086183F" w:rsidRDefault="0086183F" w:rsidP="002E0838">
      <w:pPr>
        <w:autoSpaceDE w:val="0"/>
        <w:autoSpaceDN w:val="0"/>
        <w:adjustRightInd w:val="0"/>
        <w:ind w:left="1440" w:right="1440"/>
        <w:jc w:val="both"/>
        <w:rPr>
          <w:snapToGrid w:val="0"/>
        </w:rPr>
      </w:pPr>
      <w:r>
        <w:rPr>
          <w:snapToGrid w:val="0"/>
        </w:rPr>
        <w:t>Gas-on-gas price discrimination is fundamentally different from the other forms of rate discounting cited by Ms. Burgraff because (a) the practice results in inefficient duplication of facilities, and (b) it does not preserve load that would otherwise be lost to Pennsylvania NGDCs.  The fundamental difference between gas-on-gas discounting and other discounting is that the other discounting techniques will retain margin revenues that would otherwise be lost to Pennsylvania customers, whereas gas-on-gas discounting reduces Pennsylvania NGDC margin revenues.</w:t>
      </w:r>
    </w:p>
    <w:p w:rsidR="0086183F" w:rsidRDefault="0086183F" w:rsidP="009662FE">
      <w:pPr>
        <w:autoSpaceDE w:val="0"/>
        <w:autoSpaceDN w:val="0"/>
        <w:adjustRightInd w:val="0"/>
        <w:spacing w:line="360" w:lineRule="auto"/>
        <w:ind w:right="720"/>
        <w:jc w:val="both"/>
        <w:rPr>
          <w:snapToGrid w:val="0"/>
        </w:rPr>
      </w:pPr>
    </w:p>
    <w:p w:rsidR="0086183F" w:rsidRDefault="0086183F" w:rsidP="00A16CFE">
      <w:pPr>
        <w:autoSpaceDE w:val="0"/>
        <w:autoSpaceDN w:val="0"/>
        <w:adjustRightInd w:val="0"/>
        <w:spacing w:line="360" w:lineRule="auto"/>
        <w:rPr>
          <w:snapToGrid w:val="0"/>
        </w:rPr>
      </w:pPr>
      <w:r>
        <w:rPr>
          <w:snapToGrid w:val="0"/>
        </w:rPr>
        <w:t>OSBA St. 3 at 7.  As Mr. Knecht additionally points out, gas-on-gas rate discounting works to perpetuate the existence of inefficient, duplicative distribution facilities.  Such a practice is not in the public interest</w:t>
      </w:r>
      <w:r w:rsidR="00C11908">
        <w:rPr>
          <w:snapToGrid w:val="0"/>
        </w:rPr>
        <w:t xml:space="preserve">.  I am further persuaded by the testimony of </w:t>
      </w:r>
      <w:r w:rsidR="00A16CFE">
        <w:rPr>
          <w:snapToGrid w:val="0"/>
        </w:rPr>
        <w:t>OCA witness Watkins:</w:t>
      </w:r>
    </w:p>
    <w:p w:rsidR="00A16CFE" w:rsidRDefault="00A16CFE" w:rsidP="00A16CFE">
      <w:pPr>
        <w:autoSpaceDE w:val="0"/>
        <w:autoSpaceDN w:val="0"/>
        <w:adjustRightInd w:val="0"/>
        <w:spacing w:line="360" w:lineRule="auto"/>
        <w:rPr>
          <w:snapToGrid w:val="0"/>
        </w:rPr>
      </w:pPr>
    </w:p>
    <w:p w:rsidR="0086183F" w:rsidRDefault="0086183F" w:rsidP="002E0838">
      <w:pPr>
        <w:autoSpaceDE w:val="0"/>
        <w:autoSpaceDN w:val="0"/>
        <w:adjustRightInd w:val="0"/>
        <w:ind w:left="1440" w:right="1440"/>
        <w:jc w:val="both"/>
      </w:pPr>
      <w:r>
        <w:t>It is well known that distribution utilities are considered natural monopolies and it has been the long-standing belief and practice of regulators that duplicative utility distribution facilities are not in the public interest such that regulation of monopoly providers will serve as a surrogate for effective competition and are deemed the most efficient utilization of society’s resources.  As such, the additional costs posed by duplicative facilities are considered a societal cost, or negative benefit.</w:t>
      </w:r>
    </w:p>
    <w:p w:rsidR="0086183F" w:rsidRDefault="0086183F" w:rsidP="0086183F">
      <w:pPr>
        <w:autoSpaceDE w:val="0"/>
        <w:autoSpaceDN w:val="0"/>
        <w:adjustRightInd w:val="0"/>
        <w:ind w:right="720"/>
        <w:jc w:val="both"/>
      </w:pPr>
    </w:p>
    <w:p w:rsidR="0086183F" w:rsidRDefault="0086183F" w:rsidP="0086183F">
      <w:pPr>
        <w:autoSpaceDE w:val="0"/>
        <w:autoSpaceDN w:val="0"/>
        <w:adjustRightInd w:val="0"/>
        <w:ind w:right="720"/>
        <w:jc w:val="both"/>
      </w:pPr>
      <w:r>
        <w:t>OCA St. 1 at 16-17.</w:t>
      </w:r>
    </w:p>
    <w:p w:rsidR="0086183F" w:rsidRDefault="0086183F" w:rsidP="00A16CFE">
      <w:pPr>
        <w:autoSpaceDE w:val="0"/>
        <w:autoSpaceDN w:val="0"/>
        <w:adjustRightInd w:val="0"/>
        <w:spacing w:line="360" w:lineRule="auto"/>
        <w:ind w:right="720"/>
        <w:jc w:val="both"/>
      </w:pPr>
    </w:p>
    <w:p w:rsidR="0086183F" w:rsidRDefault="0086183F" w:rsidP="00A16CFE">
      <w:pPr>
        <w:autoSpaceDE w:val="0"/>
        <w:autoSpaceDN w:val="0"/>
        <w:adjustRightInd w:val="0"/>
        <w:spacing w:line="360" w:lineRule="auto"/>
        <w:ind w:firstLine="1440"/>
      </w:pPr>
      <w:r>
        <w:t xml:space="preserve">Flex rates for dual fuel, bypass or economic development purposes can be used to further important public policy goals and the continuance of these practices is in the public interest.  Gas-on-gas rate discounting, however, </w:t>
      </w:r>
      <w:r w:rsidR="00C11908">
        <w:t>appears to be</w:t>
      </w:r>
      <w:r>
        <w:t xml:space="preserve"> discriminatory</w:t>
      </w:r>
      <w:r w:rsidR="00C11908">
        <w:t xml:space="preserve"> and</w:t>
      </w:r>
      <w:r>
        <w:t xml:space="preserve"> unfair</w:t>
      </w:r>
      <w:r w:rsidR="00C11908">
        <w:t xml:space="preserve"> to rate classes</w:t>
      </w:r>
      <w:r>
        <w:t>.</w:t>
      </w:r>
    </w:p>
    <w:p w:rsidR="0086183F" w:rsidRPr="005C5352" w:rsidRDefault="0086183F" w:rsidP="00CE356B">
      <w:pPr>
        <w:autoSpaceDE w:val="0"/>
        <w:autoSpaceDN w:val="0"/>
        <w:adjustRightInd w:val="0"/>
        <w:spacing w:line="360" w:lineRule="auto"/>
        <w:ind w:firstLine="720"/>
      </w:pPr>
    </w:p>
    <w:p w:rsidR="0086183F" w:rsidRDefault="0086183F" w:rsidP="00A16CFE">
      <w:pPr>
        <w:pStyle w:val="ListParagraph"/>
        <w:spacing w:line="360" w:lineRule="auto"/>
        <w:ind w:left="0" w:firstLine="1440"/>
        <w:rPr>
          <w:szCs w:val="26"/>
        </w:rPr>
      </w:pPr>
      <w:r w:rsidRPr="005C5352">
        <w:rPr>
          <w:szCs w:val="26"/>
        </w:rPr>
        <w:t>The Commission has already held that utilities should exercise great discretion when flexing rates for bypass and energy alternatives:</w:t>
      </w:r>
    </w:p>
    <w:p w:rsidR="00A16CFE" w:rsidRPr="005C5352" w:rsidRDefault="00A16CFE" w:rsidP="00A16CFE">
      <w:pPr>
        <w:pStyle w:val="ListParagraph"/>
        <w:spacing w:line="360" w:lineRule="auto"/>
        <w:ind w:left="0" w:firstLine="1440"/>
        <w:rPr>
          <w:szCs w:val="26"/>
        </w:rPr>
      </w:pPr>
    </w:p>
    <w:p w:rsidR="0086183F" w:rsidRPr="005C5352" w:rsidRDefault="0086183F" w:rsidP="009E4161">
      <w:pPr>
        <w:ind w:left="1440" w:right="1440"/>
        <w:jc w:val="both"/>
        <w:rPr>
          <w:szCs w:val="26"/>
        </w:rPr>
      </w:pPr>
      <w:r w:rsidRPr="005C5352">
        <w:rPr>
          <w:szCs w:val="26"/>
        </w:rPr>
        <w:t>For approximately twenty years, this Commission allowed NGDCs to negotiate or flex their tariff rates in order to compete with bypass and energy alternatives.  One of the principal goals intended to be achieved was to benefit all customers through the retention of the service to large use customers.  In granting certain utilities the ability to negotiate or flex their tariff rates, the Commission did not grant a blanket authorization to the utilities.  The Commission anticipated that the utility would exercise great discretion in allowing variations from their tariff rates.  At no time was it anticipated that the burden of proof concerning the utility’s application of this discretion would be diminished or waived.  This is true in instances where costs may be transferred within a customer class and is especially true where costs were to be shared among other classes of customers.</w:t>
      </w:r>
      <w:r w:rsidRPr="005C5352">
        <w:rPr>
          <w:rStyle w:val="FootnoteReference"/>
          <w:szCs w:val="26"/>
        </w:rPr>
        <w:footnoteReference w:id="20"/>
      </w:r>
    </w:p>
    <w:p w:rsidR="0086183F" w:rsidRPr="005C5352" w:rsidRDefault="0086183F" w:rsidP="009662FE">
      <w:pPr>
        <w:spacing w:line="360" w:lineRule="auto"/>
        <w:ind w:left="1440" w:right="1440"/>
        <w:rPr>
          <w:szCs w:val="26"/>
        </w:rPr>
      </w:pPr>
    </w:p>
    <w:p w:rsidR="0086183F" w:rsidRPr="005C5352" w:rsidRDefault="0086183F" w:rsidP="00C11908">
      <w:pPr>
        <w:spacing w:line="360" w:lineRule="auto"/>
        <w:rPr>
          <w:szCs w:val="26"/>
        </w:rPr>
      </w:pPr>
      <w:r w:rsidRPr="005C5352">
        <w:rPr>
          <w:szCs w:val="26"/>
        </w:rPr>
        <w:tab/>
      </w:r>
      <w:r w:rsidRPr="005C5352">
        <w:rPr>
          <w:szCs w:val="26"/>
        </w:rPr>
        <w:tab/>
        <w:t>It is well settled that any rate approved by the Commission must be just, reasonable and non-discriminatory.</w:t>
      </w:r>
      <w:r w:rsidRPr="005C5352">
        <w:rPr>
          <w:rStyle w:val="FootnoteReference"/>
          <w:szCs w:val="26"/>
        </w:rPr>
        <w:footnoteReference w:id="21"/>
      </w:r>
      <w:r w:rsidRPr="005C5352">
        <w:rPr>
          <w:szCs w:val="26"/>
        </w:rPr>
        <w:t xml:space="preserve">  Given that the Commission has previously determined that flexing rates for gas-on-gas competition is discriminatory, there is no presumption that gas-on-gas rate discounting is appropriate as IECPA alleges.</w:t>
      </w:r>
    </w:p>
    <w:p w:rsidR="0086183F" w:rsidRPr="005C5352" w:rsidRDefault="0086183F" w:rsidP="00C11908">
      <w:pPr>
        <w:autoSpaceDE w:val="0"/>
        <w:autoSpaceDN w:val="0"/>
        <w:adjustRightInd w:val="0"/>
        <w:spacing w:line="360" w:lineRule="auto"/>
        <w:ind w:firstLine="720"/>
      </w:pPr>
    </w:p>
    <w:p w:rsidR="0092172E" w:rsidRDefault="0086183F" w:rsidP="009662FE">
      <w:pPr>
        <w:autoSpaceDE w:val="0"/>
        <w:autoSpaceDN w:val="0"/>
        <w:adjustRightInd w:val="0"/>
        <w:spacing w:line="360" w:lineRule="auto"/>
        <w:ind w:firstLine="720"/>
      </w:pPr>
      <w:r w:rsidRPr="005C5352">
        <w:tab/>
        <w:t>I find the evidence in the current Investigation supports a finding that gas-on-gas rate discounting appears to be discriminatorily beneficial to a select group of large industrial customers fortunate enough to be located in an overlapping service territory</w:t>
      </w:r>
      <w:r w:rsidRPr="008A296A">
        <w:t xml:space="preserve"> and is financially burdensome to other captive customers.  Accordingly, I recommend the Commission take action to end the current practice of gas-on-gas discounting through a reasonable phase-out plan, the length of which may be determined by the Commission.  At </w:t>
      </w:r>
      <w:r w:rsidR="009C01A7">
        <w:t xml:space="preserve">a </w:t>
      </w:r>
      <w:r w:rsidRPr="008A296A">
        <w:t xml:space="preserve">minimum, I recommend the Commission direct that ratepayer funded gas-on-gas rate discounts be abolished no later than December 31, 2018.  </w:t>
      </w:r>
      <w:r w:rsidR="009C01A7">
        <w:t xml:space="preserve">I recommend the Commission issue this directive </w:t>
      </w:r>
      <w:r w:rsidR="0092172E">
        <w:t>by the end of 2014</w:t>
      </w:r>
      <w:r w:rsidR="009C01A7">
        <w:t xml:space="preserve">.  </w:t>
      </w:r>
      <w:r w:rsidRPr="008A296A">
        <w:t xml:space="preserve">Regarding PSU’s concerns over economic consequences, a reasonable transition period should serve to address concerns over any possible economic disruptions.  Sufficient advance notice will enable businesses to prepare for the coming changes through budgeting and operational forecasting and decision making.  </w:t>
      </w:r>
      <w:r w:rsidRPr="008A296A">
        <w:rPr>
          <w:u w:val="single"/>
        </w:rPr>
        <w:t>See</w:t>
      </w:r>
      <w:r w:rsidRPr="008A296A">
        <w:t xml:space="preserve"> IECPA M.B. at 27.  A reasonable transition period will enable businesses to adjust to the changing regulatory climate.</w:t>
      </w:r>
    </w:p>
    <w:p w:rsidR="0092172E" w:rsidRDefault="0092172E" w:rsidP="00C11908">
      <w:pPr>
        <w:autoSpaceDE w:val="0"/>
        <w:autoSpaceDN w:val="0"/>
        <w:adjustRightInd w:val="0"/>
        <w:spacing w:line="360" w:lineRule="auto"/>
        <w:ind w:right="720" w:firstLine="720"/>
      </w:pPr>
    </w:p>
    <w:p w:rsidR="0086183F" w:rsidRPr="008A296A" w:rsidRDefault="0092172E" w:rsidP="00A91AE4">
      <w:pPr>
        <w:spacing w:line="360" w:lineRule="auto"/>
      </w:pPr>
      <w:r>
        <w:tab/>
      </w:r>
      <w:r>
        <w:tab/>
      </w:r>
      <w:r w:rsidRPr="008A296A">
        <w:rPr>
          <w:rFonts w:eastAsia="Calibri"/>
        </w:rPr>
        <w:t xml:space="preserve">I </w:t>
      </w:r>
      <w:r>
        <w:rPr>
          <w:rFonts w:eastAsia="Calibri"/>
        </w:rPr>
        <w:t xml:space="preserve">further </w:t>
      </w:r>
      <w:r w:rsidRPr="008A296A">
        <w:rPr>
          <w:rFonts w:eastAsia="Calibri"/>
        </w:rPr>
        <w:t xml:space="preserve">recommend that if the Commission </w:t>
      </w:r>
      <w:r>
        <w:rPr>
          <w:rFonts w:eastAsia="Calibri"/>
        </w:rPr>
        <w:t>finds</w:t>
      </w:r>
      <w:r w:rsidRPr="008A296A">
        <w:rPr>
          <w:rFonts w:eastAsia="Calibri"/>
        </w:rPr>
        <w:t xml:space="preserve"> gas-on-gas competition should be eliminated, a task force/working group </w:t>
      </w:r>
      <w:r>
        <w:rPr>
          <w:rFonts w:eastAsia="Calibri"/>
        </w:rPr>
        <w:t xml:space="preserve">be created to collaborate and </w:t>
      </w:r>
      <w:r w:rsidRPr="008A296A">
        <w:rPr>
          <w:rFonts w:eastAsia="Calibri"/>
        </w:rPr>
        <w:t xml:space="preserve">discuss the means by which service territories and large load customers would be divided among the NGDCs with overlapping territories.  The issue of load predictability and customer switching in the future should also be addressed.  </w:t>
      </w:r>
      <w:r w:rsidR="0086183F" w:rsidRPr="008A296A">
        <w:t>The task force should report their findings and recommendations to the Commission within one to two years from the time of an initial decision in this case</w:t>
      </w:r>
      <w:r w:rsidR="008E1C33">
        <w:t>.</w:t>
      </w:r>
    </w:p>
    <w:p w:rsidR="0062020C" w:rsidRPr="008A296A" w:rsidRDefault="0062020C" w:rsidP="00C11908">
      <w:pPr>
        <w:autoSpaceDE w:val="0"/>
        <w:autoSpaceDN w:val="0"/>
        <w:adjustRightInd w:val="0"/>
        <w:spacing w:line="360" w:lineRule="auto"/>
        <w:ind w:right="720" w:firstLine="720"/>
      </w:pPr>
    </w:p>
    <w:p w:rsidR="0062020C" w:rsidRPr="008A296A" w:rsidRDefault="0062020C" w:rsidP="00712C16">
      <w:pPr>
        <w:spacing w:line="360" w:lineRule="auto"/>
      </w:pPr>
      <w:r w:rsidRPr="008A296A">
        <w:rPr>
          <w:rFonts w:eastAsia="Calibri"/>
        </w:rPr>
        <w:tab/>
      </w:r>
      <w:r w:rsidRPr="008A296A">
        <w:rPr>
          <w:rFonts w:eastAsia="Calibri"/>
        </w:rPr>
        <w:tab/>
      </w:r>
      <w:r w:rsidRPr="008A296A">
        <w:t>If the Commission decides to end gas-on-gas competition altogether in these overlapping service territories, a division of territory may be warranted and explored further.  The Commission might consider assigning the 74 current GO</w:t>
      </w:r>
      <w:r w:rsidR="00712C16">
        <w:t xml:space="preserve">GC customers to specific NGDCs. </w:t>
      </w:r>
      <w:r w:rsidRPr="008A296A">
        <w:t xml:space="preserve"> Also, allow all NGDCs to</w:t>
      </w:r>
      <w:r w:rsidR="00712C16">
        <w:t xml:space="preserve"> keep their current customers.  </w:t>
      </w:r>
      <w:r w:rsidRPr="008A296A">
        <w:t>Then, the NGDCs involved in this could choose service areas that</w:t>
      </w:r>
      <w:r w:rsidR="00712C16">
        <w:t xml:space="preserve"> are in the conflicted regions. </w:t>
      </w:r>
      <w:r w:rsidRPr="008A296A">
        <w:t xml:space="preserve"> From this point </w:t>
      </w:r>
      <w:r w:rsidR="007A202A" w:rsidRPr="008A296A">
        <w:t>foreword</w:t>
      </w:r>
      <w:r w:rsidRPr="008A296A">
        <w:t>, any new customer in any conflicted area could first be offered to the NGDC who was given th</w:t>
      </w:r>
      <w:r w:rsidR="00712C16">
        <w:t xml:space="preserve">is service area (primary NGDC). </w:t>
      </w:r>
      <w:r w:rsidRPr="008A296A">
        <w:t xml:space="preserve"> </w:t>
      </w:r>
      <w:proofErr w:type="gramStart"/>
      <w:r w:rsidRPr="008A296A">
        <w:t>Only if they decline should a different NGDC be allowed to offer them service.</w:t>
      </w:r>
      <w:proofErr w:type="gramEnd"/>
      <w:r w:rsidR="00712C16">
        <w:t xml:space="preserve"> </w:t>
      </w:r>
      <w:r w:rsidRPr="008A296A">
        <w:t xml:space="preserve"> Some arrangement similar to this could help separate the NGDCs over time, as arguably, a primary NGDC would likely expand anywhere there is not a captive customer of another NGDC’s service territory.  The other NGDC would then focus its efforts in other areas.</w:t>
      </w:r>
    </w:p>
    <w:p w:rsidR="0062020C" w:rsidRPr="008A296A" w:rsidRDefault="0062020C" w:rsidP="00712C16">
      <w:pPr>
        <w:autoSpaceDE w:val="0"/>
        <w:autoSpaceDN w:val="0"/>
        <w:adjustRightInd w:val="0"/>
        <w:spacing w:line="360" w:lineRule="auto"/>
        <w:ind w:right="720" w:firstLine="720"/>
      </w:pPr>
    </w:p>
    <w:p w:rsidR="00C11908" w:rsidRPr="008A296A" w:rsidRDefault="009A11AC" w:rsidP="00C11908">
      <w:pPr>
        <w:autoSpaceDE w:val="0"/>
        <w:autoSpaceDN w:val="0"/>
        <w:adjustRightInd w:val="0"/>
        <w:spacing w:line="360" w:lineRule="auto"/>
        <w:rPr>
          <w:b/>
          <w:u w:val="single"/>
        </w:rPr>
      </w:pPr>
      <w:r w:rsidRPr="008A296A">
        <w:rPr>
          <w:b/>
          <w:u w:val="single"/>
        </w:rPr>
        <w:t>Alternative</w:t>
      </w:r>
      <w:r w:rsidR="0092172E">
        <w:rPr>
          <w:b/>
          <w:u w:val="single"/>
        </w:rPr>
        <w:t xml:space="preserve"> Recommendation:</w:t>
      </w:r>
      <w:r w:rsidRPr="008A296A">
        <w:rPr>
          <w:b/>
          <w:u w:val="single"/>
        </w:rPr>
        <w:t xml:space="preserve"> Modify Gas-On-Gas Competition adopting </w:t>
      </w:r>
      <w:r w:rsidR="00C11908" w:rsidRPr="008A296A">
        <w:rPr>
          <w:b/>
          <w:u w:val="single"/>
        </w:rPr>
        <w:t>Peoples</w:t>
      </w:r>
      <w:r w:rsidR="0092172E">
        <w:rPr>
          <w:b/>
          <w:u w:val="single"/>
        </w:rPr>
        <w:t>’</w:t>
      </w:r>
      <w:r w:rsidR="00C11908" w:rsidRPr="008A296A">
        <w:rPr>
          <w:b/>
          <w:u w:val="single"/>
        </w:rPr>
        <w:t xml:space="preserve"> Proposal</w:t>
      </w:r>
    </w:p>
    <w:p w:rsidR="00C11908" w:rsidRPr="008A296A" w:rsidRDefault="00C11908" w:rsidP="00C11908">
      <w:pPr>
        <w:autoSpaceDE w:val="0"/>
        <w:autoSpaceDN w:val="0"/>
        <w:adjustRightInd w:val="0"/>
        <w:spacing w:line="360" w:lineRule="auto"/>
        <w:ind w:firstLine="720"/>
        <w:rPr>
          <w:b/>
          <w:u w:val="single"/>
        </w:rPr>
      </w:pPr>
    </w:p>
    <w:p w:rsidR="0086183F" w:rsidRDefault="0086183F" w:rsidP="00712C16">
      <w:pPr>
        <w:autoSpaceDE w:val="0"/>
        <w:autoSpaceDN w:val="0"/>
        <w:adjustRightInd w:val="0"/>
        <w:spacing w:line="360" w:lineRule="auto"/>
        <w:ind w:firstLine="1440"/>
      </w:pPr>
      <w:r w:rsidRPr="008A296A">
        <w:t>Alternatively, if the Commission</w:t>
      </w:r>
      <w:r>
        <w:t xml:space="preserve"> prefers to continue the practice of gas-on-gas discounting, then I recommend the practice at least be substantially modified as proposed by </w:t>
      </w:r>
      <w:r w:rsidRPr="003D7D6F">
        <w:t>Peoples</w:t>
      </w:r>
      <w:r>
        <w:t xml:space="preserve"> as follows:</w:t>
      </w:r>
    </w:p>
    <w:p w:rsidR="00712C16" w:rsidRDefault="00712C16" w:rsidP="00712C16">
      <w:pPr>
        <w:autoSpaceDE w:val="0"/>
        <w:autoSpaceDN w:val="0"/>
        <w:adjustRightInd w:val="0"/>
        <w:spacing w:line="360" w:lineRule="auto"/>
        <w:ind w:firstLine="1440"/>
        <w:rPr>
          <w:u w:val="single"/>
        </w:rPr>
      </w:pPr>
    </w:p>
    <w:p w:rsidR="0086183F" w:rsidRDefault="0086183F" w:rsidP="00697213">
      <w:pPr>
        <w:autoSpaceDE w:val="0"/>
        <w:autoSpaceDN w:val="0"/>
        <w:adjustRightInd w:val="0"/>
        <w:ind w:left="1440" w:right="1440"/>
        <w:jc w:val="both"/>
      </w:pPr>
      <w:r w:rsidRPr="00E05703">
        <w:t xml:space="preserve">Peoples and Peoples TWP are, in essence, proposing the creation of a reasonable floor on gas-on-gas discounting for all new and renewal gas-on-gas discount agreements. </w:t>
      </w:r>
      <w:r w:rsidR="00712C16">
        <w:t xml:space="preserve"> </w:t>
      </w:r>
      <w:r w:rsidRPr="00E05703">
        <w:t xml:space="preserve">That floor would be the lowest non-discounted tariffed distribution rates of any of the NGDCs competing for the customer's load. All existing gas-on-gas discount agreements would be permitted to run their terms. </w:t>
      </w:r>
      <w:r w:rsidR="00712C16">
        <w:t xml:space="preserve"> </w:t>
      </w:r>
      <w:r w:rsidRPr="00E05703">
        <w:t>The NG</w:t>
      </w:r>
      <w:r>
        <w:t>D</w:t>
      </w:r>
      <w:r w:rsidRPr="00E05703">
        <w:t>Cs would be allowed rate recovery for Discount Adjustments for existing agreements as well</w:t>
      </w:r>
      <w:r>
        <w:t xml:space="preserve"> [as]</w:t>
      </w:r>
      <w:r w:rsidRPr="00E05703">
        <w:t xml:space="preserve"> new/renewal agreements; provided that the NGDC can demonstrate that the discounts were prudently awarded and are reasonable.</w:t>
      </w:r>
    </w:p>
    <w:p w:rsidR="0086183F" w:rsidRDefault="0086183F" w:rsidP="009662FE">
      <w:pPr>
        <w:autoSpaceDE w:val="0"/>
        <w:autoSpaceDN w:val="0"/>
        <w:adjustRightInd w:val="0"/>
        <w:spacing w:line="360" w:lineRule="auto"/>
        <w:ind w:right="720"/>
        <w:jc w:val="both"/>
      </w:pPr>
    </w:p>
    <w:p w:rsidR="0086183F" w:rsidRDefault="0086183F" w:rsidP="00CE356B">
      <w:pPr>
        <w:autoSpaceDE w:val="0"/>
        <w:autoSpaceDN w:val="0"/>
        <w:adjustRightInd w:val="0"/>
        <w:spacing w:line="360" w:lineRule="auto"/>
      </w:pPr>
      <w:r>
        <w:t xml:space="preserve">Peoples M.B. at 18.  Peoples included a draft of certain provisions for this limited continuation of gas-on-gas rate discounting, as testified to by Peoples witness Mr. </w:t>
      </w:r>
      <w:proofErr w:type="spellStart"/>
      <w:r>
        <w:t>Gregorini</w:t>
      </w:r>
      <w:proofErr w:type="spellEnd"/>
      <w:r>
        <w:t xml:space="preserve"> in his Surrebuttal Testimony.  </w:t>
      </w:r>
      <w:r w:rsidRPr="003E58DF">
        <w:rPr>
          <w:u w:val="single"/>
        </w:rPr>
        <w:t>See</w:t>
      </w:r>
      <w:r>
        <w:t xml:space="preserve"> Peoples Exh. JAG-2; Peoples M.B. at Appendix A.  As further explained in its Main Brief, Peoples acknowledged that the provisions included at Appendix </w:t>
      </w:r>
      <w:proofErr w:type="gramStart"/>
      <w:r>
        <w:t>A</w:t>
      </w:r>
      <w:proofErr w:type="gramEnd"/>
      <w:r>
        <w:t xml:space="preserve"> may not address some of the concerns and comments of the other Parties expressed throughout this proceeding, most notably those of OSBA, I&amp;E and the OCA.  To address these concerns, Peoples added Appendix B which contains a list of potential compromise positions that, taken together with the provisions at Appendix A, would create a comprehensive proposal.</w:t>
      </w:r>
    </w:p>
    <w:p w:rsidR="0086183F" w:rsidRDefault="0086183F" w:rsidP="00CE356B">
      <w:pPr>
        <w:autoSpaceDE w:val="0"/>
        <w:autoSpaceDN w:val="0"/>
        <w:adjustRightInd w:val="0"/>
        <w:spacing w:line="360" w:lineRule="auto"/>
        <w:jc w:val="both"/>
      </w:pPr>
    </w:p>
    <w:p w:rsidR="0086183F" w:rsidRDefault="0086183F" w:rsidP="009A11AC">
      <w:pPr>
        <w:autoSpaceDE w:val="0"/>
        <w:autoSpaceDN w:val="0"/>
        <w:adjustRightInd w:val="0"/>
        <w:spacing w:line="360" w:lineRule="auto"/>
      </w:pPr>
      <w:r>
        <w:tab/>
      </w:r>
      <w:r w:rsidR="008A296A">
        <w:tab/>
      </w:r>
      <w:r>
        <w:t xml:space="preserve">In the event that the Commission should wish to further consider Peoples Proposal, </w:t>
      </w:r>
      <w:r w:rsidR="009A11AC">
        <w:t xml:space="preserve">I recommend </w:t>
      </w:r>
      <w:r w:rsidR="008A296A">
        <w:t>the Commission</w:t>
      </w:r>
      <w:r>
        <w:t xml:space="preserve"> enter an Order ending the current form and practice of gas-on-gas rate discounting, and further directing all Parties to engage in a collaborative process using Peoples Appendices A and B of its Main Brief as a platform to create one document that would capture all of the necessary provisions and guidelines to be implemented for a modified form of gas-on-gas rate discounting.</w:t>
      </w:r>
      <w:r w:rsidRPr="00B41FDD">
        <w:t xml:space="preserve"> </w:t>
      </w:r>
      <w:r>
        <w:t xml:space="preserve"> As Mr. Watkins recommended in his Direct Testimony, it may be necessary to create a collaborative or working group to ensure that all issues have been addressed after the Commission issues its Order to end the current practice of gas-on-gas rate discounting.</w:t>
      </w:r>
    </w:p>
    <w:p w:rsidR="0086183F" w:rsidRDefault="0086183F" w:rsidP="00DF2A1A">
      <w:pPr>
        <w:spacing w:line="360" w:lineRule="auto"/>
      </w:pPr>
    </w:p>
    <w:p w:rsidR="00550E68" w:rsidRDefault="009A11AC" w:rsidP="009A11AC">
      <w:pPr>
        <w:spacing w:line="360" w:lineRule="auto"/>
      </w:pPr>
      <w:r>
        <w:tab/>
      </w:r>
      <w:r w:rsidR="00550E68" w:rsidRPr="00DA1AA5">
        <w:tab/>
        <w:t>IECPA claim</w:t>
      </w:r>
      <w:r w:rsidR="008A296A">
        <w:t>s</w:t>
      </w:r>
      <w:r w:rsidR="00550E68" w:rsidRPr="00DA1AA5">
        <w:t xml:space="preserve"> that the Natural Gas Choice and Competiti</w:t>
      </w:r>
      <w:r w:rsidR="00DF2A1A">
        <w:t>on Act, 66 Pa.C.S. § </w:t>
      </w:r>
      <w:r w:rsidR="00550E68" w:rsidRPr="00DA1AA5">
        <w:t xml:space="preserve">2201 </w:t>
      </w:r>
      <w:r w:rsidR="00550E68" w:rsidRPr="00DA1AA5">
        <w:rPr>
          <w:i/>
        </w:rPr>
        <w:t>et seq.</w:t>
      </w:r>
      <w:r w:rsidR="00550E68" w:rsidRPr="00DA1AA5">
        <w:t>, and the Commission’s “Natural Gas Transportati</w:t>
      </w:r>
      <w:r w:rsidR="00DF2A1A">
        <w:t>on Service” regulations, 52 Pa.</w:t>
      </w:r>
      <w:r w:rsidR="00550E68" w:rsidRPr="00DA1AA5">
        <w:t xml:space="preserve">Code § 60.1 </w:t>
      </w:r>
      <w:r w:rsidR="00550E68" w:rsidRPr="00DA1AA5">
        <w:rPr>
          <w:i/>
        </w:rPr>
        <w:t>et seq.</w:t>
      </w:r>
      <w:r w:rsidR="00550E68" w:rsidRPr="00DA1AA5">
        <w:t xml:space="preserve">, support the continuation of the </w:t>
      </w:r>
      <w:r w:rsidR="00550E68" w:rsidRPr="00DA1AA5">
        <w:rPr>
          <w:i/>
        </w:rPr>
        <w:t>status quo</w:t>
      </w:r>
      <w:r w:rsidR="00550E68" w:rsidRPr="00DA1AA5">
        <w:t xml:space="preserve"> for gas-on-gas competition.  IECPA Main Brief, 10-12.  </w:t>
      </w:r>
      <w:r w:rsidR="008A296A">
        <w:t>However, I find</w:t>
      </w:r>
      <w:r w:rsidR="00550E68" w:rsidRPr="00DA1AA5">
        <w:t xml:space="preserve"> no mandate that gas-on-gas competition continue in its current form.</w:t>
      </w:r>
    </w:p>
    <w:p w:rsidR="009A11AC" w:rsidRPr="00DA1AA5" w:rsidRDefault="009A11AC" w:rsidP="009A11AC">
      <w:pPr>
        <w:spacing w:line="360" w:lineRule="auto"/>
      </w:pPr>
    </w:p>
    <w:p w:rsidR="00550E68" w:rsidRPr="00DA1AA5" w:rsidRDefault="00550E68" w:rsidP="009A11AC">
      <w:pPr>
        <w:spacing w:line="360" w:lineRule="auto"/>
      </w:pPr>
      <w:r w:rsidRPr="00DA1AA5">
        <w:tab/>
      </w:r>
      <w:r w:rsidR="009A11AC">
        <w:tab/>
      </w:r>
      <w:r w:rsidRPr="00DA1AA5">
        <w:t xml:space="preserve">The overarching concern of OCA, I&amp;E, and OSBA is that captive ratepayers are forced to absorb the revenue shortfall that results from gas-on-gas discounting (“Discount Adjustment”) and that there is no reasonable floor on the permissible level of discounting.  OCA Main Brief, 12-25; I&amp;E Main Brief, 7-9, 14-20; OSBA Main Brief, 12-17.  The Peoples Proposal </w:t>
      </w:r>
      <w:r w:rsidR="009A11AC">
        <w:t xml:space="preserve">at least </w:t>
      </w:r>
      <w:r w:rsidRPr="00DA1AA5">
        <w:t xml:space="preserve">addresses this concern by creating, for all new and renewal gas-on-gas discount agreements, a reasonable floor on the level of discount that may be awarded by an NGDC.  </w:t>
      </w:r>
      <w:r w:rsidRPr="00DA1AA5">
        <w:rPr>
          <w:i/>
        </w:rPr>
        <w:t>See</w:t>
      </w:r>
      <w:r w:rsidRPr="00DA1AA5">
        <w:t xml:space="preserve"> Peoples Proposal, ¶¶ 1, 3, 5.  The level of discount would be dictated by the lowest tariffed distribution rates of a competitive NGDC.  In other words, the allowable discount would be limited to what is actually necessary to meet the competition.  This limitation would greatly mitigate the level of Discount Adjustments claimed and recoverable in NGDC base distribution rate cases.</w:t>
      </w:r>
    </w:p>
    <w:p w:rsidR="0062020C" w:rsidRDefault="0062020C" w:rsidP="009A11AC">
      <w:pPr>
        <w:spacing w:line="360" w:lineRule="auto"/>
        <w:ind w:firstLine="720"/>
      </w:pPr>
    </w:p>
    <w:p w:rsidR="00550E68" w:rsidRDefault="0062020C" w:rsidP="00DF2A1A">
      <w:pPr>
        <w:spacing w:line="360" w:lineRule="auto"/>
        <w:ind w:firstLine="720"/>
      </w:pPr>
      <w:r>
        <w:tab/>
      </w:r>
      <w:r w:rsidR="00550E68" w:rsidRPr="00DA1AA5">
        <w:t xml:space="preserve">Currently, the only floor on gas-on-gas discounts is the incremental cost to serve the competitive customer.  </w:t>
      </w:r>
      <w:proofErr w:type="gramStart"/>
      <w:r w:rsidR="00550E68" w:rsidRPr="00DA1AA5">
        <w:rPr>
          <w:i/>
        </w:rPr>
        <w:t>See</w:t>
      </w:r>
      <w:r w:rsidR="00550E68" w:rsidRPr="00DA1AA5">
        <w:t xml:space="preserve"> IECPA St. 1-S, 10:4-19.</w:t>
      </w:r>
      <w:proofErr w:type="gramEnd"/>
      <w:r w:rsidR="00550E68" w:rsidRPr="00DA1AA5">
        <w:t xml:space="preserve">  As such, a customer who receives a discount may not be required to pay its cost of service in the ratemaking sense.  In other words, the discounted rate may not be fully compensatory of the NGDC’s ratemaking cost to serve the customer.  A larger discount results in a larger Discount Adjustment, which in turn results in a greater rulemaking burden on captive ratepayers.  Likewise, NGDC shareholders, who are constitutionally entitled to the opportunity to earn a return on and of their investment, should not be forced to absorb Discount Adjustments in order to retain customer load for the benefit of the system.</w:t>
      </w:r>
    </w:p>
    <w:p w:rsidR="00DF2A1A" w:rsidRPr="00DA1AA5" w:rsidRDefault="00DF2A1A" w:rsidP="00DF2A1A">
      <w:pPr>
        <w:spacing w:line="360" w:lineRule="auto"/>
        <w:ind w:firstLine="720"/>
      </w:pPr>
    </w:p>
    <w:p w:rsidR="00550E68" w:rsidRDefault="009A11AC" w:rsidP="00DF2A1A">
      <w:pPr>
        <w:spacing w:line="360" w:lineRule="auto"/>
      </w:pPr>
      <w:r>
        <w:tab/>
      </w:r>
      <w:r w:rsidR="00550E68" w:rsidRPr="00DA1AA5">
        <w:tab/>
        <w:t xml:space="preserve">Customers have made business planning decisions based on their projected energy costs and the continued existence of their current gas-on-gas discount agreements.  Likewise, competing NGDCs have made system investment decisions based upon their projected loads, which are supported in part by their existing gas-on-on gas discount agreements.  IECPA Main Brief, 21-22; Columbia Main Brief, 6-7; Peoples/Peoples TWP Main Brief, 27-28.  Thus, </w:t>
      </w:r>
      <w:r>
        <w:t>there is an argument for allowing</w:t>
      </w:r>
      <w:r w:rsidR="00550E68" w:rsidRPr="00DA1AA5">
        <w:t xml:space="preserve"> existing gas-on-gas discount agreements </w:t>
      </w:r>
      <w:r>
        <w:t xml:space="preserve">to </w:t>
      </w:r>
      <w:r w:rsidR="00550E68" w:rsidRPr="00DA1AA5">
        <w:t xml:space="preserve">be honored for their stated terms.  The Peoples proposal would do so.  </w:t>
      </w:r>
      <w:r w:rsidR="00550E68" w:rsidRPr="00DA1AA5">
        <w:rPr>
          <w:i/>
        </w:rPr>
        <w:t>See</w:t>
      </w:r>
      <w:r w:rsidR="00550E68" w:rsidRPr="00DA1AA5">
        <w:t xml:space="preserve"> Peoples Proposal, ¶ 2.</w:t>
      </w:r>
      <w:r>
        <w:t xml:space="preserve">  However, I do not think it would be illegal or unconstitutional for the Commission to end gas-on-gas competition before the full terms of contracts are expired within the merged territories of Peoples/PTWP and Equitable.  </w:t>
      </w:r>
      <w:r w:rsidR="00A037EB">
        <w:t>T</w:t>
      </w:r>
      <w:r w:rsidR="00550E68" w:rsidRPr="00DA1AA5">
        <w:t xml:space="preserve">he modification or rescission of existing contracts </w:t>
      </w:r>
      <w:r>
        <w:t xml:space="preserve">may </w:t>
      </w:r>
      <w:r w:rsidR="00550E68" w:rsidRPr="00DA1AA5">
        <w:t>require compliance</w:t>
      </w:r>
      <w:r w:rsidR="00A037EB">
        <w:t>, however,</w:t>
      </w:r>
      <w:r w:rsidR="00550E68" w:rsidRPr="00DA1AA5">
        <w:t xml:space="preserve"> with the requirements of Section 508 of the Pennsylvania Publi</w:t>
      </w:r>
      <w:r w:rsidR="00DF2A1A">
        <w:t>c Utility Code (“Code”), 66 Pa.</w:t>
      </w:r>
      <w:r w:rsidR="00550E68" w:rsidRPr="00DA1AA5">
        <w:t>C.S. § 508 (“Power of commission to vary, reform and revise contracts”).</w:t>
      </w:r>
    </w:p>
    <w:p w:rsidR="009A11AC" w:rsidRPr="00DA1AA5" w:rsidRDefault="009A11AC" w:rsidP="00DF2A1A">
      <w:pPr>
        <w:spacing w:line="360" w:lineRule="auto"/>
        <w:ind w:firstLine="720"/>
      </w:pPr>
    </w:p>
    <w:p w:rsidR="009A11AC" w:rsidRDefault="00550E68" w:rsidP="00B96540">
      <w:pPr>
        <w:spacing w:line="360" w:lineRule="auto"/>
      </w:pPr>
      <w:r w:rsidRPr="00DA1AA5">
        <w:tab/>
      </w:r>
      <w:r w:rsidRPr="00DA1AA5">
        <w:tab/>
        <w:t xml:space="preserve">Both OCA and OSBA raise concerns regarding the unnecessary duplication of facilities if gas-on-gas competition is permitted to continue.  </w:t>
      </w:r>
      <w:proofErr w:type="gramStart"/>
      <w:r w:rsidRPr="00DA1AA5">
        <w:t>OCA Main Brief, 17-18; OSBA Main Brief, 17.</w:t>
      </w:r>
      <w:proofErr w:type="gramEnd"/>
      <w:r w:rsidRPr="00DA1AA5">
        <w:t xml:space="preserve">  Peoples and Peoples TWP acknowledge that the duplication of facilities is inconsistent with traditional utility regulation, which typically favors monopolistic service territories in order to limit the unnecessary duplication of facilities.</w:t>
      </w:r>
    </w:p>
    <w:p w:rsidR="00B96540" w:rsidRDefault="00B96540" w:rsidP="00B96540">
      <w:pPr>
        <w:spacing w:line="360" w:lineRule="auto"/>
        <w:jc w:val="both"/>
      </w:pPr>
    </w:p>
    <w:p w:rsidR="00550E68" w:rsidRPr="00DA1AA5" w:rsidRDefault="009A11AC" w:rsidP="00B96540">
      <w:pPr>
        <w:spacing w:line="360" w:lineRule="auto"/>
      </w:pPr>
      <w:r>
        <w:tab/>
      </w:r>
      <w:r>
        <w:tab/>
      </w:r>
      <w:r w:rsidR="00B96540">
        <w:t xml:space="preserve">Peoples </w:t>
      </w:r>
      <w:r w:rsidR="008A296A">
        <w:t>P</w:t>
      </w:r>
      <w:r w:rsidR="00B96540">
        <w:t xml:space="preserve">roposal criticizes OCA’s proposal to divide up the NGDC service territories once the competition is eliminated.  </w:t>
      </w:r>
      <w:proofErr w:type="gramStart"/>
      <w:r w:rsidR="00B96540">
        <w:t>Peoples argues</w:t>
      </w:r>
      <w:proofErr w:type="gramEnd"/>
      <w:r w:rsidR="00B96540">
        <w:t xml:space="preserve"> this</w:t>
      </w:r>
      <w:r w:rsidR="00550E68" w:rsidRPr="00DA1AA5">
        <w:t xml:space="preserve"> would result in extensive and contentious litigation between competing NGDCs regarding the allocation of service territories, and require rate recovery of stranded costs or alternatively create a constitutional regulatory taking problem.  </w:t>
      </w:r>
      <w:r w:rsidR="00550E68" w:rsidRPr="00DA1AA5">
        <w:rPr>
          <w:i/>
        </w:rPr>
        <w:t>See</w:t>
      </w:r>
      <w:r w:rsidR="00550E68" w:rsidRPr="00DA1AA5">
        <w:t xml:space="preserve"> Peoples/Peoples TWP St. No. 1-R, 9:9-13; OSBA St. No. 2, 11:3-12; IECPA St. No. 1-R, 9:17-10:3; Columbia St. No. 1R, 5:11-6:2</w:t>
      </w:r>
      <w:r w:rsidR="001F4E64">
        <w:t>.</w:t>
      </w:r>
      <w:r w:rsidR="00550E68" w:rsidRPr="00DA1AA5">
        <w:t xml:space="preserve"> </w:t>
      </w:r>
    </w:p>
    <w:p w:rsidR="00B96540" w:rsidRDefault="00B96540" w:rsidP="00550E68">
      <w:pPr>
        <w:spacing w:line="360" w:lineRule="auto"/>
        <w:jc w:val="both"/>
      </w:pPr>
    </w:p>
    <w:p w:rsidR="00550E68" w:rsidRPr="00DA1AA5" w:rsidRDefault="00B96540" w:rsidP="00B96540">
      <w:pPr>
        <w:spacing w:line="360" w:lineRule="auto"/>
      </w:pPr>
      <w:r>
        <w:tab/>
      </w:r>
      <w:r w:rsidR="00550E68" w:rsidRPr="00DA1AA5">
        <w:tab/>
        <w:t>The Peoples Proposal</w:t>
      </w:r>
      <w:r w:rsidR="001F4E64">
        <w:t xml:space="preserve"> states that </w:t>
      </w:r>
      <w:r w:rsidR="00550E68" w:rsidRPr="00DA1AA5">
        <w:t xml:space="preserve">a gas-on-gas discount could be offered only to an existing or former customer of the NGDC or to a potential customer associated with new development; and may not be offered to a customer of a competitor NGDC unless such customer was formerly served at that service location by the offering NGDC.  </w:t>
      </w:r>
      <w:proofErr w:type="gramStart"/>
      <w:r w:rsidR="00550E68" w:rsidRPr="00DA1AA5">
        <w:t>Peoples Proposal, ¶ 3.</w:t>
      </w:r>
      <w:proofErr w:type="gramEnd"/>
      <w:r w:rsidR="00550E68" w:rsidRPr="00DA1AA5">
        <w:t xml:space="preserve">  The practical effect of limiting discounts to new, existing, and former customers is that new facilities would be built only for new customers where, presumably, no other facilities are currently in place.  Service to existing and former customers would likely be via existing facilities.</w:t>
      </w:r>
    </w:p>
    <w:p w:rsidR="00B96540" w:rsidRDefault="00B96540" w:rsidP="00B96540">
      <w:pPr>
        <w:spacing w:line="360" w:lineRule="auto"/>
        <w:ind w:firstLine="720"/>
      </w:pPr>
    </w:p>
    <w:p w:rsidR="00550E68" w:rsidRPr="00DA1AA5" w:rsidRDefault="00B96540" w:rsidP="00B96540">
      <w:pPr>
        <w:spacing w:line="360" w:lineRule="auto"/>
        <w:ind w:firstLine="720"/>
      </w:pPr>
      <w:r>
        <w:tab/>
      </w:r>
      <w:r w:rsidR="00550E68" w:rsidRPr="00DA1AA5">
        <w:t>While not completely eliminating duplicative facilities, the Peoples Proposal would mitigate the problem going forward.  It would essentially prohibit the poaching of one NGDC’s existing customers by another NGDC.  Gas-on-gas competition would be limited to new development and protection of existing load.</w:t>
      </w:r>
    </w:p>
    <w:p w:rsidR="00B96540" w:rsidRDefault="00B96540" w:rsidP="00B96540">
      <w:pPr>
        <w:spacing w:line="360" w:lineRule="auto"/>
        <w:ind w:firstLine="720"/>
      </w:pPr>
    </w:p>
    <w:p w:rsidR="00550E68" w:rsidRPr="00DA1AA5" w:rsidRDefault="00B96540" w:rsidP="00B96540">
      <w:pPr>
        <w:spacing w:line="360" w:lineRule="auto"/>
        <w:ind w:firstLine="720"/>
      </w:pPr>
      <w:r>
        <w:tab/>
      </w:r>
      <w:proofErr w:type="gramStart"/>
      <w:r>
        <w:t>Peoples contends</w:t>
      </w:r>
      <w:proofErr w:type="gramEnd"/>
      <w:r>
        <w:t xml:space="preserve"> that </w:t>
      </w:r>
      <w:r w:rsidR="00550E68" w:rsidRPr="00DA1AA5">
        <w:t xml:space="preserve">the problem of existing duplicative facilities is best left for the free market.  As with the acquisition of Peoples TWP by the parent of Peoples and with the merger of Equitable into Peoples, mergers, acquisitions, and voluntary service territory abandonments will likely solve the problem of duplicative facilities at some point in the future.  </w:t>
      </w:r>
      <w:r w:rsidR="00894A6F">
        <w:t>I </w:t>
      </w:r>
      <w:r w:rsidR="001F4E64">
        <w:t>am not entirely convinced that Peoples Proposal would effectively address the questions of switching, and dividing up the territories; however, it appears to be part of a proposal that even the State Advocates are willing to accept in the alternative.</w:t>
      </w:r>
    </w:p>
    <w:p w:rsidR="0062020C" w:rsidRDefault="0062020C" w:rsidP="001857EB">
      <w:pPr>
        <w:spacing w:line="360" w:lineRule="auto"/>
      </w:pPr>
    </w:p>
    <w:p w:rsidR="00550E68" w:rsidRDefault="0062020C" w:rsidP="0062020C">
      <w:pPr>
        <w:spacing w:line="360" w:lineRule="auto"/>
        <w:ind w:firstLine="720"/>
      </w:pPr>
      <w:r>
        <w:tab/>
      </w:r>
      <w:r w:rsidR="00550E68" w:rsidRPr="00DA1AA5">
        <w:t xml:space="preserve">The Peoples Proposal addresses concerns regarding contracting methods by requiring the contracting NGDC to maintain relevant records to demonstrate that the discount was justified.  Specifically, an NGDC would have to maintain reasonable records relating to each gas-on-gas discount customer demonstrating that a competitive NGDC actually exists, that the customer could have chosen service from a competitive NGDC without a prohibitive connection expense, and that the discounted rate represents the maximum amount that could be achieved from that customer.  </w:t>
      </w:r>
      <w:proofErr w:type="gramStart"/>
      <w:r w:rsidR="00550E68" w:rsidRPr="00DA1AA5">
        <w:t>Peoples Proposal, ¶ 7.</w:t>
      </w:r>
      <w:proofErr w:type="gramEnd"/>
      <w:r w:rsidR="00550E68" w:rsidRPr="00DA1AA5">
        <w:t xml:space="preserve">  These requirements, coupled with establishing cost-based tariff rates, a reasonable floor on the discount level and the NGDC’s burden of proof in rate proceedings, </w:t>
      </w:r>
      <w:r>
        <w:t>may</w:t>
      </w:r>
      <w:r w:rsidR="00550E68" w:rsidRPr="00DA1AA5">
        <w:t xml:space="preserve"> ensure that captive ratepayers are not paying for unreasonable gas-on-gas Discount Adjustments.</w:t>
      </w:r>
    </w:p>
    <w:p w:rsidR="0062020C" w:rsidRPr="00DA1AA5" w:rsidRDefault="0062020C" w:rsidP="00550E68">
      <w:pPr>
        <w:spacing w:line="360" w:lineRule="auto"/>
        <w:ind w:firstLine="720"/>
        <w:jc w:val="both"/>
      </w:pPr>
    </w:p>
    <w:p w:rsidR="00550E68" w:rsidRPr="00DA1AA5" w:rsidRDefault="0062020C" w:rsidP="00894A6F">
      <w:pPr>
        <w:spacing w:line="360" w:lineRule="auto"/>
        <w:ind w:firstLine="720"/>
      </w:pPr>
      <w:r>
        <w:tab/>
      </w:r>
      <w:r w:rsidR="00550E68" w:rsidRPr="00DA1AA5">
        <w:t xml:space="preserve">With regard to the allowable term of future gas-on-gas discount agreements, the Peoples Proposal provides that the term for a gas-on-gas discount agreement shall not exceed five years; provided however that there would be no restriction on the term if the agreement contains a provision requiring the reexamination and resetting of the discounted rate on a no-less-frequent basis than every five years.  </w:t>
      </w:r>
      <w:proofErr w:type="gramStart"/>
      <w:r w:rsidR="00550E68" w:rsidRPr="00DA1AA5">
        <w:t>Peoples Proposal, ¶ 4.</w:t>
      </w:r>
      <w:proofErr w:type="gramEnd"/>
      <w:r w:rsidR="00550E68" w:rsidRPr="00DA1AA5">
        <w:t xml:space="preserve">  This provision would prevent an NGDC and customer from locking in a discount based on a competitor NGDC’s lower tariffed rate for a long period of time.  The discount rate would have to be periodically reset to reflect the competitor NGDC’s then-current cost-justified tariffed rate, as resulting from base rate proceedings.</w:t>
      </w:r>
    </w:p>
    <w:p w:rsidR="00550E68" w:rsidRPr="00DA1AA5" w:rsidRDefault="00550E68" w:rsidP="00550E68">
      <w:pPr>
        <w:spacing w:line="360" w:lineRule="auto"/>
        <w:ind w:firstLine="720"/>
        <w:jc w:val="both"/>
      </w:pPr>
    </w:p>
    <w:p w:rsidR="00550E68" w:rsidRPr="00DA1AA5" w:rsidRDefault="0062020C" w:rsidP="0062020C">
      <w:pPr>
        <w:spacing w:line="360" w:lineRule="auto"/>
        <w:ind w:firstLine="720"/>
      </w:pPr>
      <w:r>
        <w:tab/>
      </w:r>
      <w:r w:rsidR="00550E68" w:rsidRPr="00DA1AA5">
        <w:t xml:space="preserve">The Peoples Proposal </w:t>
      </w:r>
      <w:r w:rsidR="005E169B">
        <w:t>appears to at least</w:t>
      </w:r>
      <w:r w:rsidR="00550E68" w:rsidRPr="00DA1AA5">
        <w:t xml:space="preserve"> move rates to</w:t>
      </w:r>
      <w:r w:rsidR="005E169B">
        <w:t>wards</w:t>
      </w:r>
      <w:r w:rsidR="00550E68" w:rsidRPr="00DA1AA5">
        <w:t xml:space="preserve"> true cost of service, consistent with the Commonwealth Court of Pennsylvania’s direction in </w:t>
      </w:r>
      <w:r w:rsidR="00550E68" w:rsidRPr="00DA1AA5">
        <w:rPr>
          <w:i/>
        </w:rPr>
        <w:t>Lloyd v. Pa</w:t>
      </w:r>
      <w:r w:rsidR="00697213">
        <w:rPr>
          <w:i/>
        </w:rPr>
        <w:t>.</w:t>
      </w:r>
      <w:r w:rsidR="00550E68" w:rsidRPr="00DA1AA5">
        <w:rPr>
          <w:i/>
        </w:rPr>
        <w:t xml:space="preserve"> Pub</w:t>
      </w:r>
      <w:r w:rsidR="00697213">
        <w:rPr>
          <w:i/>
        </w:rPr>
        <w:t>.</w:t>
      </w:r>
      <w:r w:rsidR="00550E68" w:rsidRPr="00DA1AA5">
        <w:rPr>
          <w:i/>
        </w:rPr>
        <w:t xml:space="preserve"> Util</w:t>
      </w:r>
      <w:r w:rsidR="00697213">
        <w:rPr>
          <w:i/>
        </w:rPr>
        <w:t>.</w:t>
      </w:r>
      <w:r w:rsidR="00550E68" w:rsidRPr="00DA1AA5">
        <w:rPr>
          <w:i/>
        </w:rPr>
        <w:t xml:space="preserve"> Comm</w:t>
      </w:r>
      <w:r w:rsidR="00697213">
        <w:rPr>
          <w:i/>
        </w:rPr>
        <w:t>’</w:t>
      </w:r>
      <w:r w:rsidR="00550E68" w:rsidRPr="00DA1AA5">
        <w:rPr>
          <w:i/>
        </w:rPr>
        <w:t>n</w:t>
      </w:r>
      <w:r w:rsidR="00550E68" w:rsidRPr="00DA1AA5">
        <w:t xml:space="preserve">, 904 A.2d 1010 (Pa. Cmwlth. 2006), </w:t>
      </w:r>
      <w:r w:rsidR="00550E68" w:rsidRPr="00DA1AA5">
        <w:rPr>
          <w:i/>
        </w:rPr>
        <w:t>allocator denied</w:t>
      </w:r>
      <w:r w:rsidR="00550E68" w:rsidRPr="00DA1AA5">
        <w:t xml:space="preserve">, 916 A.2d 1104 (Pa. 2007).  The only material discounting difference between Peoples and Peoples TWP’s initial position and the Peoples Proposal is that the Peoples Proposal recognizes that some form of discounting (with a reasonable floor) is necessary for two reasons.  First, discounts preserve an enhanced level of competition beyond that provided by competition limited to non-price benefits such as service quality, tariffed terms and conditions of service, and access to more-reliable or lower-cost gas supplies.  Second, a modified form of discounting protects the captive ratepayers of the higher-tariff-cost NGDC by allowing the NGDC to attract new load and maintain existing load.  But for some form of discounting, the lower-cost-tariff NGDC could easily poach the customers of the higher-tariff-cost NGDC — creating financial difficulties for the higher-tariff-cost NGDC and its captive ratepayers.  </w:t>
      </w:r>
      <w:r w:rsidR="00550E68" w:rsidRPr="00DA1AA5">
        <w:rPr>
          <w:i/>
        </w:rPr>
        <w:t>See</w:t>
      </w:r>
      <w:r w:rsidR="00550E68" w:rsidRPr="00DA1AA5">
        <w:t xml:space="preserve"> OCA St. No. 1-R, 8:1-14; IECPA St. No. 1, 6:4-7:17 (“Thus, there would be both winner and loser utilities in the quest for competitive load if rate discounting in gas-on-gas competition is eliminated.”).</w:t>
      </w:r>
    </w:p>
    <w:p w:rsidR="005E169B" w:rsidRDefault="005E169B" w:rsidP="00550E68">
      <w:pPr>
        <w:spacing w:line="360" w:lineRule="auto"/>
        <w:ind w:firstLine="720"/>
        <w:jc w:val="both"/>
      </w:pPr>
    </w:p>
    <w:p w:rsidR="00550E68" w:rsidRPr="00DA1AA5" w:rsidRDefault="005E169B" w:rsidP="005E169B">
      <w:pPr>
        <w:spacing w:line="360" w:lineRule="auto"/>
        <w:ind w:firstLine="720"/>
      </w:pPr>
      <w:r>
        <w:tab/>
      </w:r>
      <w:r w:rsidR="00550E68" w:rsidRPr="00DA1AA5">
        <w:t xml:space="preserve">The Peoples Proposal </w:t>
      </w:r>
      <w:r>
        <w:t>is a compromise</w:t>
      </w:r>
      <w:r w:rsidR="00550E68" w:rsidRPr="00DA1AA5">
        <w:t xml:space="preserve"> between preserving </w:t>
      </w:r>
      <w:r>
        <w:t>what benefits there may be with</w:t>
      </w:r>
      <w:r w:rsidR="00550E68" w:rsidRPr="00DA1AA5">
        <w:t xml:space="preserve"> competition through discounting while requiring competing NGDCs to eliminate inter-class subsidies — making the newly created discount floor (</w:t>
      </w:r>
      <w:r w:rsidR="00550E68" w:rsidRPr="00DA1AA5">
        <w:rPr>
          <w:i/>
        </w:rPr>
        <w:t>i.e.</w:t>
      </w:r>
      <w:r w:rsidR="00550E68" w:rsidRPr="00DA1AA5">
        <w:t xml:space="preserve">, the non-discounted tariffed rate of the competitor NGDC) reasonably cost-based.  In order for an NGDC to offer gas-on-gas discounts prospectively, the NGDC would have to obtain a Commission finding or determination in its next base rate case and future base rate proceedings that its new rates are within a range that reasonably reflects cost of service.  </w:t>
      </w:r>
      <w:proofErr w:type="gramStart"/>
      <w:r w:rsidR="00550E68" w:rsidRPr="00DA1AA5">
        <w:t>Peoples Proposal, ¶ 6.</w:t>
      </w:r>
      <w:proofErr w:type="gramEnd"/>
    </w:p>
    <w:p w:rsidR="00FC6336" w:rsidRDefault="00FC6336" w:rsidP="001857EB">
      <w:pPr>
        <w:spacing w:line="360" w:lineRule="auto"/>
        <w:rPr>
          <w:b/>
          <w:color w:val="000000"/>
        </w:rPr>
      </w:pPr>
    </w:p>
    <w:p w:rsidR="005F41B5" w:rsidRPr="00894A6F" w:rsidRDefault="00B96540" w:rsidP="005F41B5">
      <w:pPr>
        <w:spacing w:line="360" w:lineRule="auto"/>
        <w:jc w:val="center"/>
        <w:rPr>
          <w:color w:val="000000"/>
          <w:u w:val="single"/>
        </w:rPr>
      </w:pPr>
      <w:r w:rsidRPr="00894A6F">
        <w:rPr>
          <w:color w:val="000000"/>
          <w:u w:val="single"/>
        </w:rPr>
        <w:t>CONCLU</w:t>
      </w:r>
      <w:bookmarkStart w:id="1" w:name="_GoBack"/>
      <w:bookmarkEnd w:id="1"/>
      <w:r w:rsidRPr="00894A6F">
        <w:rPr>
          <w:color w:val="000000"/>
          <w:u w:val="single"/>
        </w:rPr>
        <w:t>SION</w:t>
      </w:r>
    </w:p>
    <w:p w:rsidR="008C0CC3" w:rsidRDefault="008C0CC3" w:rsidP="004D31EC">
      <w:pPr>
        <w:spacing w:line="360" w:lineRule="auto"/>
        <w:rPr>
          <w:color w:val="000000"/>
        </w:rPr>
      </w:pPr>
    </w:p>
    <w:p w:rsidR="004D31EC" w:rsidRDefault="008C0CC3" w:rsidP="004D31EC">
      <w:pPr>
        <w:spacing w:line="360" w:lineRule="auto"/>
      </w:pPr>
      <w:r>
        <w:rPr>
          <w:color w:val="000000"/>
        </w:rPr>
        <w:tab/>
      </w:r>
      <w:r>
        <w:rPr>
          <w:color w:val="000000"/>
        </w:rPr>
        <w:tab/>
        <w:t xml:space="preserve">In </w:t>
      </w:r>
      <w:r w:rsidR="00B96540">
        <w:rPr>
          <w:color w:val="000000"/>
        </w:rPr>
        <w:t>conclusion</w:t>
      </w:r>
      <w:r>
        <w:rPr>
          <w:color w:val="000000"/>
        </w:rPr>
        <w:t>, my</w:t>
      </w:r>
      <w:r w:rsidR="00FE72D8">
        <w:rPr>
          <w:color w:val="000000"/>
        </w:rPr>
        <w:t xml:space="preserve"> recommendation</w:t>
      </w:r>
      <w:r w:rsidR="00963DCD">
        <w:rPr>
          <w:color w:val="000000"/>
        </w:rPr>
        <w:t xml:space="preserve"> </w:t>
      </w:r>
      <w:r>
        <w:rPr>
          <w:color w:val="000000"/>
        </w:rPr>
        <w:t xml:space="preserve">is </w:t>
      </w:r>
      <w:r w:rsidR="00963DCD">
        <w:rPr>
          <w:color w:val="000000"/>
        </w:rPr>
        <w:t>that gas-on-gas rate discounting competition be discontinued by December 31, 201</w:t>
      </w:r>
      <w:r w:rsidR="00B96540">
        <w:rPr>
          <w:color w:val="000000"/>
        </w:rPr>
        <w:t>8</w:t>
      </w:r>
      <w:r w:rsidR="004D31EC">
        <w:rPr>
          <w:color w:val="000000"/>
        </w:rPr>
        <w:t xml:space="preserve">.  I believe there is sufficient evidence to show </w:t>
      </w:r>
      <w:r w:rsidR="004D31EC">
        <w:t xml:space="preserve">that Gas on Gas competition (GOGC) isn’t real competition, and currently provides some lucky businesses with massive discounts paid for by others, and the only ones really advocating the </w:t>
      </w:r>
      <w:r w:rsidR="004D31EC" w:rsidRPr="00D718DF">
        <w:rPr>
          <w:i/>
        </w:rPr>
        <w:t>status quo</w:t>
      </w:r>
      <w:r w:rsidR="004D31EC">
        <w:t xml:space="preserve"> are the ones benefitting from it (IECPA and PSU).</w:t>
      </w:r>
    </w:p>
    <w:p w:rsidR="00943E75" w:rsidRDefault="00943E75" w:rsidP="0062020C">
      <w:pPr>
        <w:spacing w:line="360" w:lineRule="auto"/>
        <w:rPr>
          <w:color w:val="1F497D"/>
        </w:rPr>
      </w:pPr>
    </w:p>
    <w:p w:rsidR="0062020C" w:rsidRDefault="00943E75" w:rsidP="0062020C">
      <w:pPr>
        <w:spacing w:line="360" w:lineRule="auto"/>
        <w:rPr>
          <w:rFonts w:eastAsia="Calibri"/>
        </w:rPr>
      </w:pPr>
      <w:r>
        <w:rPr>
          <w:color w:val="1F497D"/>
        </w:rPr>
        <w:tab/>
      </w:r>
      <w:r>
        <w:rPr>
          <w:color w:val="1F497D"/>
        </w:rPr>
        <w:tab/>
      </w:r>
      <w:r w:rsidR="00963DCD">
        <w:rPr>
          <w:color w:val="000000"/>
        </w:rPr>
        <w:t xml:space="preserve">Alternatively, </w:t>
      </w:r>
      <w:r w:rsidR="004D31EC">
        <w:rPr>
          <w:color w:val="000000"/>
        </w:rPr>
        <w:t xml:space="preserve">if the Commission would prefer continuation of competition, </w:t>
      </w:r>
      <w:r w:rsidR="00014749">
        <w:rPr>
          <w:color w:val="000000"/>
        </w:rPr>
        <w:t xml:space="preserve">I recommend the Commission reject keeping the </w:t>
      </w:r>
      <w:r w:rsidR="00014749">
        <w:rPr>
          <w:i/>
          <w:color w:val="000000"/>
        </w:rPr>
        <w:t xml:space="preserve">status quo </w:t>
      </w:r>
      <w:r w:rsidR="00014749">
        <w:rPr>
          <w:color w:val="000000"/>
        </w:rPr>
        <w:t xml:space="preserve">arguments of IECPA and PSU.  Instead, </w:t>
      </w:r>
      <w:r w:rsidR="00963DCD">
        <w:rPr>
          <w:color w:val="000000"/>
        </w:rPr>
        <w:t xml:space="preserve">I recommend </w:t>
      </w:r>
      <w:r w:rsidR="00963DCD" w:rsidRPr="00B15FBE">
        <w:rPr>
          <w:rFonts w:eastAsia="Calibri"/>
        </w:rPr>
        <w:t>the Commission promulgate a statement of policy or otherwise issue a final order, following appropriate due process, consistent with</w:t>
      </w:r>
      <w:r w:rsidR="00963DCD">
        <w:rPr>
          <w:rFonts w:eastAsia="Calibri"/>
        </w:rPr>
        <w:t xml:space="preserve"> adopting</w:t>
      </w:r>
      <w:r w:rsidR="00BD3964">
        <w:rPr>
          <w:rFonts w:eastAsia="Calibri"/>
        </w:rPr>
        <w:t xml:space="preserve"> </w:t>
      </w:r>
      <w:r w:rsidR="00963DCD" w:rsidRPr="00B15FBE">
        <w:rPr>
          <w:rFonts w:eastAsia="Calibri"/>
        </w:rPr>
        <w:t>the Peoples Proposal</w:t>
      </w:r>
      <w:r w:rsidR="00963DCD">
        <w:rPr>
          <w:rFonts w:eastAsia="Calibri"/>
        </w:rPr>
        <w:t xml:space="preserve"> </w:t>
      </w:r>
      <w:r w:rsidR="001F4E64">
        <w:rPr>
          <w:rFonts w:eastAsia="Calibri"/>
        </w:rPr>
        <w:t xml:space="preserve">as described in Appendices A and B attached to Peoples’ Main Brief, </w:t>
      </w:r>
      <w:r w:rsidR="00963DCD">
        <w:rPr>
          <w:rFonts w:eastAsia="Calibri"/>
        </w:rPr>
        <w:t>which woul</w:t>
      </w:r>
      <w:r w:rsidR="00963DCD" w:rsidRPr="00B15FBE">
        <w:rPr>
          <w:rFonts w:eastAsia="Calibri"/>
        </w:rPr>
        <w:t>d allow the continuation of gas-on-gas competition in a modified form</w:t>
      </w:r>
      <w:r w:rsidR="00963DCD">
        <w:rPr>
          <w:rFonts w:eastAsia="Calibri"/>
        </w:rPr>
        <w:t xml:space="preserve">.  I further recommend the Commission appoint a working group including but not limited to representatives from the Law Bureau and Bureau of Technical Utility Services as well as stakeholders.  This working group should be charged with negotiating and </w:t>
      </w:r>
      <w:r w:rsidR="001F4E64">
        <w:rPr>
          <w:rFonts w:eastAsia="Calibri"/>
        </w:rPr>
        <w:t>drafting t</w:t>
      </w:r>
      <w:r w:rsidR="00963DCD">
        <w:rPr>
          <w:rFonts w:eastAsia="Calibri"/>
        </w:rPr>
        <w:t xml:space="preserve">he methodology for discontinuing gas on gas competition or modifying it according to the Peoples Proposal.  </w:t>
      </w:r>
      <w:r w:rsidR="0062020C">
        <w:rPr>
          <w:rFonts w:eastAsia="Calibri"/>
        </w:rPr>
        <w:t>In the event the Commission agrees gas-on-gas competition should be eliminated,</w:t>
      </w:r>
      <w:r w:rsidR="001F4E64">
        <w:rPr>
          <w:rFonts w:eastAsia="Calibri"/>
        </w:rPr>
        <w:t xml:space="preserve"> I recommend the Commission issue an Order </w:t>
      </w:r>
      <w:r w:rsidR="0092172E">
        <w:rPr>
          <w:rFonts w:eastAsia="Calibri"/>
        </w:rPr>
        <w:t xml:space="preserve">by December 31, 2014, </w:t>
      </w:r>
      <w:r w:rsidR="001F4E64">
        <w:rPr>
          <w:rFonts w:eastAsia="Calibri"/>
        </w:rPr>
        <w:t>discontinuing gas-on-gas competition by December 31, 201</w:t>
      </w:r>
      <w:r w:rsidR="00254D8E">
        <w:rPr>
          <w:rFonts w:eastAsia="Calibri"/>
        </w:rPr>
        <w:t>8</w:t>
      </w:r>
      <w:r w:rsidR="001F4E64">
        <w:rPr>
          <w:rFonts w:eastAsia="Calibri"/>
        </w:rPr>
        <w:t xml:space="preserve">.  A Commission-ordered </w:t>
      </w:r>
      <w:r w:rsidR="0062020C">
        <w:rPr>
          <w:rFonts w:eastAsia="Calibri"/>
        </w:rPr>
        <w:t xml:space="preserve">task force/working group could discuss </w:t>
      </w:r>
      <w:r w:rsidR="001F4E64">
        <w:rPr>
          <w:rFonts w:eastAsia="Calibri"/>
        </w:rPr>
        <w:t xml:space="preserve">the NGDCs’ tariffs and </w:t>
      </w:r>
      <w:r w:rsidR="0062020C">
        <w:rPr>
          <w:rFonts w:eastAsia="Calibri"/>
        </w:rPr>
        <w:t>the means by which service territories and large load customers would be divided among the NGDCs with overlapping territories.  The issue of load predictability and customer switching in the future should also be addressed.</w:t>
      </w:r>
    </w:p>
    <w:p w:rsidR="0062020C" w:rsidRDefault="0062020C" w:rsidP="0062020C">
      <w:pPr>
        <w:spacing w:line="360" w:lineRule="auto"/>
        <w:rPr>
          <w:rFonts w:eastAsia="Calibri"/>
        </w:rPr>
      </w:pPr>
    </w:p>
    <w:p w:rsidR="0062020C" w:rsidRDefault="0062020C" w:rsidP="0062020C">
      <w:pPr>
        <w:spacing w:line="360" w:lineRule="auto"/>
      </w:pPr>
      <w:r w:rsidRPr="00C80301">
        <w:rPr>
          <w:color w:val="000000"/>
        </w:rPr>
        <w:tab/>
      </w:r>
      <w:r w:rsidRPr="00C80301">
        <w:rPr>
          <w:color w:val="000000"/>
        </w:rPr>
        <w:tab/>
      </w:r>
      <w:r w:rsidRPr="004D31EC">
        <w:t xml:space="preserve">If the Commission decides to end </w:t>
      </w:r>
      <w:r>
        <w:t>g</w:t>
      </w:r>
      <w:r w:rsidRPr="004D31EC">
        <w:t>as</w:t>
      </w:r>
      <w:r>
        <w:t>-</w:t>
      </w:r>
      <w:r w:rsidRPr="004D31EC">
        <w:t>on</w:t>
      </w:r>
      <w:r>
        <w:t>-g</w:t>
      </w:r>
      <w:r w:rsidRPr="004D31EC">
        <w:t xml:space="preserve">as </w:t>
      </w:r>
      <w:r>
        <w:t>c</w:t>
      </w:r>
      <w:r w:rsidRPr="004D31EC">
        <w:t>ompetition altogether in these</w:t>
      </w:r>
      <w:r>
        <w:t xml:space="preserve"> overlapping </w:t>
      </w:r>
      <w:r w:rsidRPr="004D31EC">
        <w:t>service territories, a division of territory may be wa</w:t>
      </w:r>
      <w:r w:rsidR="00991F2D">
        <w:t xml:space="preserve">rranted and explored further.  </w:t>
      </w:r>
      <w:r w:rsidRPr="004D31EC">
        <w:t>The Commission might</w:t>
      </w:r>
      <w:r>
        <w:t xml:space="preserve"> consider</w:t>
      </w:r>
      <w:r w:rsidRPr="004D31EC">
        <w:t xml:space="preserve"> assign</w:t>
      </w:r>
      <w:r>
        <w:t>ing</w:t>
      </w:r>
      <w:r w:rsidRPr="004D31EC">
        <w:t xml:space="preserve"> the 74 current GO</w:t>
      </w:r>
      <w:r w:rsidR="00991F2D">
        <w:t xml:space="preserve">GC customers to specific NGDCs. </w:t>
      </w:r>
      <w:r w:rsidRPr="004D31EC">
        <w:t xml:space="preserve"> </w:t>
      </w:r>
      <w:r w:rsidR="0092172E">
        <w:t>In the alternative, the Commission could</w:t>
      </w:r>
      <w:r w:rsidRPr="004D31EC">
        <w:t xml:space="preserve"> allow all NGDCs to</w:t>
      </w:r>
      <w:r w:rsidR="00991F2D">
        <w:t xml:space="preserve"> keep their current customers.  </w:t>
      </w:r>
      <w:r w:rsidRPr="004D31EC">
        <w:t xml:space="preserve">Then, </w:t>
      </w:r>
      <w:r>
        <w:t>the</w:t>
      </w:r>
      <w:r w:rsidRPr="004D31EC">
        <w:t xml:space="preserve"> NGDCs involved in this </w:t>
      </w:r>
      <w:r>
        <w:t xml:space="preserve">could </w:t>
      </w:r>
      <w:r w:rsidRPr="004D31EC">
        <w:t>choose service areas that</w:t>
      </w:r>
      <w:r w:rsidR="00991F2D">
        <w:t xml:space="preserve"> are in the conflicted regions. </w:t>
      </w:r>
      <w:r w:rsidRPr="004D31EC">
        <w:t xml:space="preserve"> From this point onward, any new customer in any conflicted area </w:t>
      </w:r>
      <w:r>
        <w:t>c</w:t>
      </w:r>
      <w:r w:rsidRPr="004D31EC">
        <w:t>ould first be offered to the NGDC who was given th</w:t>
      </w:r>
      <w:r w:rsidR="00991F2D">
        <w:t xml:space="preserve">is service area (primary NGDC). </w:t>
      </w:r>
      <w:r w:rsidRPr="004D31EC">
        <w:t xml:space="preserve"> Only if </w:t>
      </w:r>
      <w:r w:rsidR="001F4E64">
        <w:t xml:space="preserve">a primary NGDC </w:t>
      </w:r>
      <w:r w:rsidRPr="004D31EC">
        <w:t>decline</w:t>
      </w:r>
      <w:r w:rsidR="001F4E64">
        <w:t>s,</w:t>
      </w:r>
      <w:r w:rsidRPr="004D31EC">
        <w:t xml:space="preserve"> should a different NGDC be allowed to offer </w:t>
      </w:r>
      <w:r w:rsidR="001F4E64">
        <w:t xml:space="preserve">a large-load customer </w:t>
      </w:r>
      <w:r w:rsidRPr="004D31EC">
        <w:t>service.</w:t>
      </w:r>
      <w:r w:rsidR="00991F2D">
        <w:t xml:space="preserve"> </w:t>
      </w:r>
      <w:r w:rsidRPr="004D31EC">
        <w:t xml:space="preserve"> </w:t>
      </w:r>
      <w:r>
        <w:t>Some arrangement similar to this could help separate the NGDCs over time, as arguably, a primary NGDC would likely expand anywhere there is not a captive customer of another NGDC’s service territory.  The other NGDC would then focus its efforts in other areas.</w:t>
      </w:r>
    </w:p>
    <w:p w:rsidR="008C0CC3" w:rsidRDefault="008C0CC3" w:rsidP="0062020C">
      <w:pPr>
        <w:spacing w:line="360" w:lineRule="auto"/>
      </w:pPr>
    </w:p>
    <w:p w:rsidR="00BD3964" w:rsidRDefault="00BD3964" w:rsidP="00014749">
      <w:pPr>
        <w:pStyle w:val="ListParagraph"/>
        <w:spacing w:line="360" w:lineRule="auto"/>
        <w:ind w:left="0"/>
        <w:contextualSpacing w:val="0"/>
      </w:pPr>
      <w:r>
        <w:tab/>
      </w:r>
      <w:r>
        <w:tab/>
        <w:t xml:space="preserve">I believe the primary concern of the Commission should be to end the subsidization of revenue lost by the captive customers in these NGDCs’ territories.  This should happen within a </w:t>
      </w:r>
      <w:r w:rsidR="00014749">
        <w:t>reasonable tim</w:t>
      </w:r>
      <w:r>
        <w:t>e frame</w:t>
      </w:r>
      <w:r w:rsidR="00014749">
        <w:t>, but no later than December 31, 2018</w:t>
      </w:r>
      <w:r>
        <w:t xml:space="preserve">.  Understandably, gas-on-gas competition has been ongoing for thirty years; however, it appears to be inherently unfair to require residential and business captive customers to subsidize the price of natural gas for some large businesses.  It is </w:t>
      </w:r>
      <w:r w:rsidR="00014749">
        <w:t xml:space="preserve">not unforeseeable that </w:t>
      </w:r>
      <w:r>
        <w:t xml:space="preserve">some of these captive customers </w:t>
      </w:r>
      <w:r w:rsidR="00014749">
        <w:t>may be</w:t>
      </w:r>
      <w:r>
        <w:t xml:space="preserve"> s</w:t>
      </w:r>
      <w:r w:rsidR="00014749">
        <w:t>mall businesses giving subsidies</w:t>
      </w:r>
      <w:r>
        <w:t xml:space="preserve"> </w:t>
      </w:r>
      <w:r w:rsidR="00014749">
        <w:t>to</w:t>
      </w:r>
      <w:r>
        <w:t xml:space="preserve"> </w:t>
      </w:r>
      <w:r w:rsidR="00014749">
        <w:t>their</w:t>
      </w:r>
      <w:r>
        <w:t xml:space="preserve"> </w:t>
      </w:r>
      <w:r w:rsidR="00014749">
        <w:t xml:space="preserve">business </w:t>
      </w:r>
      <w:r>
        <w:t>competitor</w:t>
      </w:r>
      <w:r w:rsidR="00014749">
        <w:t>s</w:t>
      </w:r>
      <w:r>
        <w:t xml:space="preserve"> merely because the competitor is located </w:t>
      </w:r>
      <w:r w:rsidR="00991F2D">
        <w:t xml:space="preserve">in a more favorable location.  </w:t>
      </w:r>
      <w:r w:rsidR="00014749">
        <w:t>This is a discriminatory practice which should end.</w:t>
      </w:r>
    </w:p>
    <w:p w:rsidR="005F41B5" w:rsidRPr="00894A6F" w:rsidRDefault="005F41B5" w:rsidP="005F41B5">
      <w:pPr>
        <w:spacing w:line="360" w:lineRule="auto"/>
        <w:jc w:val="center"/>
        <w:rPr>
          <w:color w:val="000000"/>
          <w:u w:val="single"/>
        </w:rPr>
      </w:pPr>
      <w:r w:rsidRPr="00894A6F">
        <w:rPr>
          <w:color w:val="000000"/>
          <w:u w:val="single"/>
        </w:rPr>
        <w:t>CONCLUSIONS OF LAW</w:t>
      </w:r>
    </w:p>
    <w:p w:rsidR="005F41B5" w:rsidRPr="00C80301" w:rsidRDefault="005F41B5" w:rsidP="005F41B5">
      <w:pPr>
        <w:spacing w:line="360" w:lineRule="auto"/>
        <w:jc w:val="center"/>
        <w:rPr>
          <w:color w:val="000000"/>
          <w:u w:val="single"/>
        </w:rPr>
      </w:pPr>
    </w:p>
    <w:p w:rsidR="005F41B5" w:rsidRPr="00C80301" w:rsidRDefault="005F41B5" w:rsidP="005F41B5">
      <w:pPr>
        <w:spacing w:line="360" w:lineRule="auto"/>
        <w:rPr>
          <w:color w:val="000000"/>
        </w:rPr>
      </w:pPr>
      <w:r w:rsidRPr="00C80301">
        <w:rPr>
          <w:color w:val="000000"/>
        </w:rPr>
        <w:tab/>
      </w:r>
      <w:r w:rsidRPr="00C80301">
        <w:rPr>
          <w:color w:val="000000"/>
        </w:rPr>
        <w:tab/>
      </w:r>
      <w:r>
        <w:rPr>
          <w:color w:val="000000"/>
        </w:rPr>
        <w:t>1.</w:t>
      </w:r>
      <w:r>
        <w:rPr>
          <w:color w:val="000000"/>
        </w:rPr>
        <w:tab/>
        <w:t>Section</w:t>
      </w:r>
      <w:r w:rsidR="00FC194B">
        <w:rPr>
          <w:color w:val="000000"/>
        </w:rPr>
        <w:t>s</w:t>
      </w:r>
      <w:r>
        <w:rPr>
          <w:color w:val="000000"/>
        </w:rPr>
        <w:t xml:space="preserve"> 1301 </w:t>
      </w:r>
      <w:r w:rsidR="00FC194B">
        <w:rPr>
          <w:color w:val="000000"/>
        </w:rPr>
        <w:t xml:space="preserve">and 3015(g) </w:t>
      </w:r>
      <w:r>
        <w:rPr>
          <w:color w:val="000000"/>
        </w:rPr>
        <w:t xml:space="preserve">of the Public Utility Code preserve the Commission’s authority to conduct a just and reasonable </w:t>
      </w:r>
      <w:r w:rsidR="00991F2D">
        <w:rPr>
          <w:color w:val="000000"/>
        </w:rPr>
        <w:t xml:space="preserve">analysis on rates.  </w:t>
      </w:r>
      <w:proofErr w:type="gramStart"/>
      <w:r w:rsidR="00991F2D">
        <w:rPr>
          <w:color w:val="000000"/>
        </w:rPr>
        <w:t>66 Pa.</w:t>
      </w:r>
      <w:r>
        <w:rPr>
          <w:color w:val="000000"/>
        </w:rPr>
        <w:t>C.S.</w:t>
      </w:r>
      <w:proofErr w:type="gramEnd"/>
      <w:r>
        <w:rPr>
          <w:color w:val="000000"/>
        </w:rPr>
        <w:t xml:space="preserve"> </w:t>
      </w:r>
      <w:proofErr w:type="gramStart"/>
      <w:r>
        <w:rPr>
          <w:color w:val="000000"/>
        </w:rPr>
        <w:t>§</w:t>
      </w:r>
      <w:r w:rsidR="00FC194B" w:rsidRPr="00FC194B">
        <w:rPr>
          <w:color w:val="000000"/>
        </w:rPr>
        <w:t>§</w:t>
      </w:r>
      <w:r w:rsidR="00991F2D">
        <w:rPr>
          <w:color w:val="000000"/>
        </w:rPr>
        <w:t> </w:t>
      </w:r>
      <w:r>
        <w:rPr>
          <w:color w:val="000000"/>
        </w:rPr>
        <w:t>1301</w:t>
      </w:r>
      <w:r w:rsidR="00FC194B">
        <w:rPr>
          <w:color w:val="000000"/>
        </w:rPr>
        <w:t>, 3015(g)</w:t>
      </w:r>
      <w:r>
        <w:rPr>
          <w:color w:val="000000"/>
        </w:rPr>
        <w:t>.</w:t>
      </w:r>
      <w:proofErr w:type="gramEnd"/>
    </w:p>
    <w:p w:rsidR="005F41B5" w:rsidRDefault="005F41B5" w:rsidP="005F41B5">
      <w:pPr>
        <w:spacing w:line="360" w:lineRule="auto"/>
        <w:rPr>
          <w:color w:val="000000"/>
        </w:rPr>
      </w:pPr>
    </w:p>
    <w:p w:rsidR="006725AF" w:rsidRDefault="006725AF" w:rsidP="006725AF">
      <w:pPr>
        <w:spacing w:line="360" w:lineRule="auto"/>
      </w:pPr>
      <w:r>
        <w:rPr>
          <w:color w:val="000000"/>
        </w:rPr>
        <w:tab/>
      </w:r>
      <w:r>
        <w:rPr>
          <w:color w:val="000000"/>
        </w:rPr>
        <w:tab/>
      </w:r>
      <w:r w:rsidR="007A202A">
        <w:rPr>
          <w:color w:val="000000"/>
        </w:rPr>
        <w:t>2</w:t>
      </w:r>
      <w:r w:rsidR="005F41B5">
        <w:rPr>
          <w:color w:val="000000"/>
        </w:rPr>
        <w:t>.</w:t>
      </w:r>
      <w:r w:rsidR="005F41B5">
        <w:rPr>
          <w:color w:val="000000"/>
        </w:rPr>
        <w:tab/>
      </w:r>
      <w:r>
        <w:t xml:space="preserve">No public utility shall, as to rates, make or grant any unreasonable preference or advantage to any person, corporation, or municipal corporation, or subject any person, corporation, or municipal corporation to any unreasonable prejudice or disadvantage.  </w:t>
      </w:r>
      <w:proofErr w:type="gramStart"/>
      <w:r>
        <w:t>66 Pa.C.S.</w:t>
      </w:r>
      <w:proofErr w:type="gramEnd"/>
      <w:r>
        <w:t xml:space="preserve"> </w:t>
      </w:r>
      <w:proofErr w:type="gramStart"/>
      <w:r>
        <w:t>§</w:t>
      </w:r>
      <w:r w:rsidR="00697213">
        <w:t>§</w:t>
      </w:r>
      <w:r w:rsidR="008F241A">
        <w:t xml:space="preserve"> </w:t>
      </w:r>
      <w:r>
        <w:t>1301, 1304.</w:t>
      </w:r>
      <w:proofErr w:type="gramEnd"/>
    </w:p>
    <w:p w:rsidR="006725AF" w:rsidRDefault="006725AF" w:rsidP="006725AF">
      <w:pPr>
        <w:spacing w:line="360" w:lineRule="auto"/>
      </w:pPr>
    </w:p>
    <w:p w:rsidR="005F41B5" w:rsidRDefault="005F41B5" w:rsidP="005F41B5">
      <w:pPr>
        <w:spacing w:line="360" w:lineRule="auto"/>
        <w:rPr>
          <w:color w:val="000000"/>
        </w:rPr>
      </w:pPr>
      <w:r>
        <w:rPr>
          <w:color w:val="000000"/>
        </w:rPr>
        <w:tab/>
      </w:r>
      <w:r>
        <w:rPr>
          <w:color w:val="000000"/>
        </w:rPr>
        <w:tab/>
      </w:r>
      <w:r w:rsidR="007A202A">
        <w:rPr>
          <w:color w:val="000000"/>
        </w:rPr>
        <w:t>3</w:t>
      </w:r>
      <w:r>
        <w:rPr>
          <w:color w:val="000000"/>
        </w:rPr>
        <w:t>.</w:t>
      </w:r>
      <w:r>
        <w:rPr>
          <w:color w:val="000000"/>
        </w:rPr>
        <w:tab/>
        <w:t>A regulation promulgated under the agency’s statutory authority is to administer a statute or prescribe the practice or proc</w:t>
      </w:r>
      <w:r w:rsidR="00230D5B">
        <w:rPr>
          <w:color w:val="000000"/>
        </w:rPr>
        <w:t xml:space="preserve">edure before the agency.  </w:t>
      </w:r>
      <w:proofErr w:type="gramStart"/>
      <w:r w:rsidR="00230D5B">
        <w:rPr>
          <w:color w:val="000000"/>
        </w:rPr>
        <w:t>1 Pa.</w:t>
      </w:r>
      <w:r>
        <w:rPr>
          <w:color w:val="000000"/>
        </w:rPr>
        <w:t>Code §</w:t>
      </w:r>
      <w:r w:rsidR="00230D5B">
        <w:rPr>
          <w:color w:val="000000"/>
        </w:rPr>
        <w:t xml:space="preserve"> </w:t>
      </w:r>
      <w:r>
        <w:rPr>
          <w:color w:val="000000"/>
        </w:rPr>
        <w:t>1.4(3).</w:t>
      </w:r>
      <w:proofErr w:type="gramEnd"/>
    </w:p>
    <w:p w:rsidR="005F41B5" w:rsidRDefault="005F41B5" w:rsidP="005F41B5">
      <w:pPr>
        <w:spacing w:line="360" w:lineRule="auto"/>
        <w:rPr>
          <w:color w:val="000000"/>
        </w:rPr>
      </w:pPr>
    </w:p>
    <w:p w:rsidR="006725AF" w:rsidRDefault="005F41B5" w:rsidP="006725AF">
      <w:pPr>
        <w:spacing w:line="360" w:lineRule="auto"/>
      </w:pPr>
      <w:r>
        <w:rPr>
          <w:color w:val="000000"/>
        </w:rPr>
        <w:tab/>
      </w:r>
      <w:r>
        <w:rPr>
          <w:color w:val="000000"/>
        </w:rPr>
        <w:tab/>
      </w:r>
      <w:r w:rsidR="007A202A">
        <w:rPr>
          <w:color w:val="000000"/>
        </w:rPr>
        <w:t>4</w:t>
      </w:r>
      <w:r>
        <w:rPr>
          <w:color w:val="000000"/>
        </w:rPr>
        <w:t>.</w:t>
      </w:r>
      <w:r>
        <w:rPr>
          <w:color w:val="000000"/>
        </w:rPr>
        <w:tab/>
      </w:r>
      <w:r w:rsidR="006725AF" w:rsidRPr="00310B05">
        <w:t xml:space="preserve">The transportation of natural gas by jurisdictional gas utilities is in the public interest. </w:t>
      </w:r>
      <w:r w:rsidR="00B83E59">
        <w:t xml:space="preserve"> </w:t>
      </w:r>
      <w:r w:rsidR="006725AF" w:rsidRPr="00310B05">
        <w:t xml:space="preserve">Transportation service should be provided under terms, conditions and rates which </w:t>
      </w:r>
      <w:r w:rsidR="006725AF" w:rsidRPr="006725AF">
        <w:t>minimize the shifting of costs to retail customers</w:t>
      </w:r>
      <w:r w:rsidR="006725AF" w:rsidRPr="00310B05">
        <w:t xml:space="preserve"> and provide the natural gas utility with </w:t>
      </w:r>
      <w:r w:rsidR="006725AF" w:rsidRPr="006725AF">
        <w:t>an opportunity to recover the fixed costs incurred to serve the transportation service customers.</w:t>
      </w:r>
      <w:r w:rsidR="006725AF" w:rsidRPr="00310B05">
        <w:t xml:space="preserve"> </w:t>
      </w:r>
      <w:r w:rsidR="00B83E59">
        <w:t xml:space="preserve"> </w:t>
      </w:r>
      <w:r w:rsidR="006725AF" w:rsidRPr="00310B05">
        <w:t>The development of Pennsylvania natural gas should be promoted, because it will achieve benefits that accrue to gas utilities and their customers.</w:t>
      </w:r>
      <w:r w:rsidR="00B83E59">
        <w:t xml:space="preserve">  </w:t>
      </w:r>
      <w:proofErr w:type="gramStart"/>
      <w:r w:rsidR="00B83E59">
        <w:t>52 Pa.</w:t>
      </w:r>
      <w:r w:rsidR="006725AF">
        <w:t xml:space="preserve">Code </w:t>
      </w:r>
      <w:r w:rsidR="006725AF" w:rsidRPr="00310B05">
        <w:t>§</w:t>
      </w:r>
      <w:r w:rsidR="006725AF">
        <w:t xml:space="preserve"> 60.1.</w:t>
      </w:r>
      <w:proofErr w:type="gramEnd"/>
    </w:p>
    <w:p w:rsidR="006725AF" w:rsidRDefault="006725AF" w:rsidP="006725AF">
      <w:pPr>
        <w:spacing w:line="360" w:lineRule="auto"/>
      </w:pPr>
    </w:p>
    <w:p w:rsidR="006725AF" w:rsidRDefault="006725AF" w:rsidP="006725AF">
      <w:pPr>
        <w:spacing w:line="360" w:lineRule="auto"/>
      </w:pPr>
      <w:r>
        <w:tab/>
      </w:r>
      <w:r>
        <w:tab/>
        <w:t>5.</w:t>
      </w:r>
      <w:r>
        <w:tab/>
        <w:t>Natural gas t</w:t>
      </w:r>
      <w:r w:rsidRPr="00BF712A">
        <w:t xml:space="preserve">ransportation service shall be provided without discrimination as to type and location of customer. </w:t>
      </w:r>
      <w:r w:rsidR="004E1DC6">
        <w:t xml:space="preserve"> </w:t>
      </w:r>
      <w:proofErr w:type="gramStart"/>
      <w:r w:rsidR="004E1DC6">
        <w:t>52 Pa.</w:t>
      </w:r>
      <w:r>
        <w:t>Code § 60.3.</w:t>
      </w:r>
      <w:proofErr w:type="gramEnd"/>
    </w:p>
    <w:p w:rsidR="006725AF" w:rsidRDefault="006725AF" w:rsidP="006725AF">
      <w:pPr>
        <w:spacing w:line="360" w:lineRule="auto"/>
      </w:pPr>
    </w:p>
    <w:p w:rsidR="006725AF" w:rsidRDefault="006725AF" w:rsidP="006725AF">
      <w:pPr>
        <w:spacing w:line="360" w:lineRule="auto"/>
      </w:pPr>
      <w:r>
        <w:tab/>
      </w:r>
      <w:r>
        <w:tab/>
        <w:t>6.</w:t>
      </w:r>
      <w:r>
        <w:tab/>
        <w:t>The current gas-on-gas competition methodology is discriminatory towards captive customers within the NGDCs’ service territories which subsidize annual revenue losses due to discount flex prices offered to large industrial users fortunate enough to have a choice</w:t>
      </w:r>
      <w:r w:rsidR="005C5352">
        <w:t xml:space="preserve"> between NGDCs.</w:t>
      </w:r>
    </w:p>
    <w:p w:rsidR="005C5352" w:rsidRDefault="005C5352" w:rsidP="006725AF">
      <w:pPr>
        <w:spacing w:line="360" w:lineRule="auto"/>
      </w:pPr>
    </w:p>
    <w:p w:rsidR="005C5352" w:rsidRDefault="005C5352" w:rsidP="006725AF">
      <w:pPr>
        <w:spacing w:line="360" w:lineRule="auto"/>
      </w:pPr>
      <w:r>
        <w:tab/>
      </w:r>
      <w:r>
        <w:tab/>
        <w:t>7.</w:t>
      </w:r>
      <w:r>
        <w:tab/>
        <w:t>Gas-on-gas competition should be ended by December 31, 2018, and the service territories divided; or, in the alternative modified as proposed by the Peoples Proposal attached as Appendices A and B to Peoples Main Brief.</w:t>
      </w:r>
    </w:p>
    <w:p w:rsidR="00F51162" w:rsidRDefault="00F51162" w:rsidP="005F41B5">
      <w:pPr>
        <w:spacing w:line="360" w:lineRule="auto"/>
        <w:rPr>
          <w:color w:val="000000"/>
        </w:rPr>
      </w:pPr>
    </w:p>
    <w:p w:rsidR="00894A6F" w:rsidRDefault="00894A6F" w:rsidP="005F41B5">
      <w:pPr>
        <w:spacing w:line="360" w:lineRule="auto"/>
        <w:rPr>
          <w:color w:val="000000"/>
        </w:rPr>
      </w:pPr>
    </w:p>
    <w:p w:rsidR="005F41B5" w:rsidRPr="00894A6F" w:rsidRDefault="005F41B5" w:rsidP="005F41B5">
      <w:pPr>
        <w:spacing w:line="360" w:lineRule="auto"/>
        <w:jc w:val="center"/>
        <w:rPr>
          <w:color w:val="000000"/>
        </w:rPr>
      </w:pPr>
      <w:r w:rsidRPr="00894A6F">
        <w:rPr>
          <w:color w:val="000000"/>
          <w:u w:val="single"/>
        </w:rPr>
        <w:t>ORDER</w:t>
      </w:r>
    </w:p>
    <w:p w:rsidR="00F92725" w:rsidRDefault="00F92725" w:rsidP="00F92725">
      <w:pPr>
        <w:spacing w:line="360" w:lineRule="auto"/>
        <w:jc w:val="center"/>
        <w:rPr>
          <w:b/>
          <w:color w:val="000000"/>
        </w:rPr>
      </w:pPr>
    </w:p>
    <w:p w:rsidR="00894A6F" w:rsidRDefault="00894A6F" w:rsidP="00F92725">
      <w:pPr>
        <w:spacing w:line="360" w:lineRule="auto"/>
        <w:jc w:val="center"/>
        <w:rPr>
          <w:b/>
          <w:color w:val="000000"/>
        </w:rPr>
      </w:pPr>
    </w:p>
    <w:p w:rsidR="005F41B5" w:rsidRDefault="005F41B5" w:rsidP="005F41B5">
      <w:pPr>
        <w:spacing w:line="360" w:lineRule="auto"/>
        <w:rPr>
          <w:color w:val="000000"/>
        </w:rPr>
      </w:pPr>
      <w:r>
        <w:rPr>
          <w:color w:val="000000"/>
        </w:rPr>
        <w:tab/>
      </w:r>
      <w:r>
        <w:rPr>
          <w:color w:val="000000"/>
        </w:rPr>
        <w:tab/>
        <w:t>THEREFORE,</w:t>
      </w:r>
    </w:p>
    <w:p w:rsidR="005F41B5" w:rsidRDefault="005F41B5" w:rsidP="00F92725">
      <w:pPr>
        <w:spacing w:line="360" w:lineRule="auto"/>
        <w:rPr>
          <w:color w:val="000000"/>
        </w:rPr>
      </w:pPr>
    </w:p>
    <w:p w:rsidR="005F41B5" w:rsidRDefault="005F41B5" w:rsidP="005F41B5">
      <w:pPr>
        <w:spacing w:line="360" w:lineRule="auto"/>
        <w:rPr>
          <w:color w:val="000000"/>
        </w:rPr>
      </w:pPr>
      <w:r>
        <w:rPr>
          <w:color w:val="000000"/>
        </w:rPr>
        <w:tab/>
      </w:r>
      <w:r>
        <w:rPr>
          <w:color w:val="000000"/>
        </w:rPr>
        <w:tab/>
        <w:t>IT IS RECOMMENDED:</w:t>
      </w:r>
    </w:p>
    <w:p w:rsidR="005F41B5" w:rsidRDefault="005F41B5" w:rsidP="00F92725">
      <w:pPr>
        <w:spacing w:line="360" w:lineRule="auto"/>
        <w:rPr>
          <w:color w:val="000000"/>
        </w:rPr>
      </w:pPr>
    </w:p>
    <w:p w:rsidR="005F41B5" w:rsidRDefault="005F41B5" w:rsidP="005F41B5">
      <w:pPr>
        <w:spacing w:line="360" w:lineRule="auto"/>
        <w:rPr>
          <w:color w:val="000000"/>
        </w:rPr>
      </w:pPr>
      <w:r>
        <w:rPr>
          <w:color w:val="000000"/>
        </w:rPr>
        <w:tab/>
      </w:r>
      <w:r>
        <w:rPr>
          <w:color w:val="000000"/>
        </w:rPr>
        <w:tab/>
        <w:t>1.</w:t>
      </w:r>
      <w:r>
        <w:rPr>
          <w:color w:val="000000"/>
        </w:rPr>
        <w:tab/>
        <w:t>That the Commission</w:t>
      </w:r>
      <w:r w:rsidR="00C13BA8">
        <w:rPr>
          <w:color w:val="000000"/>
        </w:rPr>
        <w:t xml:space="preserve"> shall </w:t>
      </w:r>
      <w:r>
        <w:rPr>
          <w:color w:val="000000"/>
        </w:rPr>
        <w:t>i</w:t>
      </w:r>
      <w:r w:rsidR="00FB219B">
        <w:rPr>
          <w:color w:val="000000"/>
        </w:rPr>
        <w:t xml:space="preserve">ssue a statement of policy or order </w:t>
      </w:r>
      <w:r>
        <w:rPr>
          <w:color w:val="000000"/>
        </w:rPr>
        <w:t xml:space="preserve">for the purpose of </w:t>
      </w:r>
      <w:r w:rsidR="00F51162">
        <w:rPr>
          <w:color w:val="000000"/>
        </w:rPr>
        <w:t xml:space="preserve">amending and phasing out </w:t>
      </w:r>
      <w:r w:rsidR="00FB219B">
        <w:rPr>
          <w:color w:val="000000"/>
        </w:rPr>
        <w:t xml:space="preserve">by December 31, 2018, </w:t>
      </w:r>
      <w:r w:rsidR="00F51162">
        <w:rPr>
          <w:color w:val="000000"/>
        </w:rPr>
        <w:t>Gas</w:t>
      </w:r>
      <w:r w:rsidR="00FB219B">
        <w:rPr>
          <w:color w:val="000000"/>
        </w:rPr>
        <w:t>-</w:t>
      </w:r>
      <w:r w:rsidR="00F51162">
        <w:rPr>
          <w:color w:val="000000"/>
        </w:rPr>
        <w:t>on</w:t>
      </w:r>
      <w:r w:rsidR="00FB219B">
        <w:rPr>
          <w:color w:val="000000"/>
        </w:rPr>
        <w:t>-</w:t>
      </w:r>
      <w:r w:rsidR="00F51162">
        <w:rPr>
          <w:color w:val="000000"/>
        </w:rPr>
        <w:t>Gas Competition</w:t>
      </w:r>
      <w:r>
        <w:rPr>
          <w:color w:val="000000"/>
        </w:rPr>
        <w:t xml:space="preserve"> </w:t>
      </w:r>
      <w:r w:rsidR="00FB219B">
        <w:rPr>
          <w:color w:val="000000"/>
        </w:rPr>
        <w:t xml:space="preserve">among Natural Gas Distribution Companies operating </w:t>
      </w:r>
      <w:r w:rsidR="00F51162">
        <w:rPr>
          <w:color w:val="000000"/>
        </w:rPr>
        <w:t>in</w:t>
      </w:r>
      <w:r>
        <w:rPr>
          <w:color w:val="000000"/>
        </w:rPr>
        <w:t xml:space="preserve"> Pennsylvania.</w:t>
      </w:r>
    </w:p>
    <w:p w:rsidR="005F41B5" w:rsidRDefault="005F41B5" w:rsidP="00F92725">
      <w:pPr>
        <w:spacing w:line="360" w:lineRule="auto"/>
        <w:rPr>
          <w:color w:val="000000"/>
        </w:rPr>
      </w:pPr>
    </w:p>
    <w:p w:rsidR="00967E73" w:rsidRDefault="005F41B5" w:rsidP="005F41B5">
      <w:pPr>
        <w:spacing w:line="360" w:lineRule="auto"/>
        <w:rPr>
          <w:color w:val="000000"/>
        </w:rPr>
      </w:pPr>
      <w:r>
        <w:rPr>
          <w:color w:val="000000"/>
        </w:rPr>
        <w:tab/>
      </w:r>
      <w:r>
        <w:rPr>
          <w:color w:val="000000"/>
        </w:rPr>
        <w:tab/>
      </w:r>
      <w:r w:rsidR="0092172E">
        <w:rPr>
          <w:color w:val="000000"/>
        </w:rPr>
        <w:t>2</w:t>
      </w:r>
      <w:r>
        <w:rPr>
          <w:color w:val="000000"/>
        </w:rPr>
        <w:t>.</w:t>
      </w:r>
      <w:r>
        <w:rPr>
          <w:color w:val="000000"/>
        </w:rPr>
        <w:tab/>
      </w:r>
      <w:r w:rsidR="00967E73">
        <w:rPr>
          <w:color w:val="000000"/>
        </w:rPr>
        <w:t>That alternatively, the Commission</w:t>
      </w:r>
      <w:r w:rsidR="00C13BA8">
        <w:rPr>
          <w:color w:val="000000"/>
        </w:rPr>
        <w:t xml:space="preserve"> shall</w:t>
      </w:r>
      <w:r w:rsidR="00967E73">
        <w:rPr>
          <w:color w:val="000000"/>
        </w:rPr>
        <w:t xml:space="preserve"> </w:t>
      </w:r>
      <w:r w:rsidR="007A202A">
        <w:rPr>
          <w:color w:val="000000"/>
        </w:rPr>
        <w:t>issue</w:t>
      </w:r>
      <w:r w:rsidR="00FB219B">
        <w:rPr>
          <w:color w:val="000000"/>
        </w:rPr>
        <w:t xml:space="preserve"> an order or statement of policy adopting</w:t>
      </w:r>
      <w:r w:rsidR="00967E73">
        <w:rPr>
          <w:color w:val="000000"/>
        </w:rPr>
        <w:t xml:space="preserve"> the Proposal </w:t>
      </w:r>
      <w:r w:rsidR="00F333AE">
        <w:rPr>
          <w:color w:val="000000"/>
        </w:rPr>
        <w:t>attached to Peoples’ Main Brief, Appendices A and B</w:t>
      </w:r>
      <w:r w:rsidR="0092172E">
        <w:rPr>
          <w:color w:val="000000"/>
        </w:rPr>
        <w:t xml:space="preserve"> and attached to this Recommended Decision as Attachment A</w:t>
      </w:r>
      <w:r w:rsidR="00967E73">
        <w:rPr>
          <w:color w:val="000000"/>
        </w:rPr>
        <w:t>.</w:t>
      </w:r>
    </w:p>
    <w:p w:rsidR="00967E73" w:rsidRDefault="00967E73" w:rsidP="00F92725">
      <w:pPr>
        <w:spacing w:line="360" w:lineRule="auto"/>
        <w:rPr>
          <w:color w:val="000000"/>
        </w:rPr>
      </w:pPr>
    </w:p>
    <w:p w:rsidR="00F72EE4" w:rsidRDefault="00967E73" w:rsidP="005F41B5">
      <w:pPr>
        <w:spacing w:line="360" w:lineRule="auto"/>
        <w:rPr>
          <w:color w:val="000000"/>
        </w:rPr>
      </w:pPr>
      <w:r>
        <w:rPr>
          <w:color w:val="000000"/>
        </w:rPr>
        <w:tab/>
      </w:r>
      <w:r>
        <w:rPr>
          <w:color w:val="000000"/>
        </w:rPr>
        <w:tab/>
      </w:r>
      <w:r w:rsidR="0092172E">
        <w:rPr>
          <w:color w:val="000000"/>
        </w:rPr>
        <w:t>3</w:t>
      </w:r>
      <w:r>
        <w:rPr>
          <w:color w:val="000000"/>
        </w:rPr>
        <w:t>.</w:t>
      </w:r>
      <w:r>
        <w:rPr>
          <w:color w:val="000000"/>
        </w:rPr>
        <w:tab/>
      </w:r>
      <w:r w:rsidR="005F41B5">
        <w:rPr>
          <w:color w:val="000000"/>
        </w:rPr>
        <w:t xml:space="preserve">That </w:t>
      </w:r>
      <w:r w:rsidR="00F72EE4">
        <w:rPr>
          <w:color w:val="000000"/>
        </w:rPr>
        <w:t xml:space="preserve">the Commission shall appoint a working group including stakeholders and representatives from the Commission’s Bureau of Technical Utility Services and Law Bureau to address the methodology for phasing out </w:t>
      </w:r>
      <w:r w:rsidR="00697213">
        <w:rPr>
          <w:color w:val="000000"/>
        </w:rPr>
        <w:t xml:space="preserve">and dividing service territories </w:t>
      </w:r>
      <w:r w:rsidR="00FB219B">
        <w:rPr>
          <w:color w:val="000000"/>
        </w:rPr>
        <w:t xml:space="preserve">or modifying </w:t>
      </w:r>
      <w:r w:rsidR="00F72EE4">
        <w:rPr>
          <w:color w:val="000000"/>
        </w:rPr>
        <w:t>Gas on Gas Comp</w:t>
      </w:r>
      <w:r>
        <w:rPr>
          <w:color w:val="000000"/>
        </w:rPr>
        <w:t>e</w:t>
      </w:r>
      <w:r w:rsidR="00F72EE4">
        <w:rPr>
          <w:color w:val="000000"/>
        </w:rPr>
        <w:t>tition</w:t>
      </w:r>
      <w:r w:rsidR="00FB219B">
        <w:rPr>
          <w:color w:val="000000"/>
        </w:rPr>
        <w:t xml:space="preserve"> going forward</w:t>
      </w:r>
      <w:r w:rsidR="00F72EE4">
        <w:rPr>
          <w:color w:val="000000"/>
        </w:rPr>
        <w:t xml:space="preserve">. </w:t>
      </w:r>
    </w:p>
    <w:p w:rsidR="005F41B5" w:rsidRDefault="005F41B5" w:rsidP="005F41B5">
      <w:pPr>
        <w:spacing w:line="360" w:lineRule="auto"/>
        <w:rPr>
          <w:color w:val="000000"/>
        </w:rPr>
      </w:pPr>
    </w:p>
    <w:p w:rsidR="00F92725" w:rsidRDefault="00F92725" w:rsidP="005F41B5">
      <w:pPr>
        <w:spacing w:line="360" w:lineRule="auto"/>
        <w:rPr>
          <w:color w:val="000000"/>
        </w:rPr>
      </w:pPr>
    </w:p>
    <w:p w:rsidR="005F41B5" w:rsidRDefault="005F41B5" w:rsidP="005F41B5">
      <w:pPr>
        <w:rPr>
          <w:color w:val="000000"/>
        </w:rPr>
      </w:pPr>
      <w:r>
        <w:rPr>
          <w:color w:val="000000"/>
        </w:rPr>
        <w:t>Dated:</w:t>
      </w:r>
      <w:r w:rsidR="00F92725">
        <w:rPr>
          <w:color w:val="000000"/>
        </w:rPr>
        <w:t xml:space="preserve"> </w:t>
      </w:r>
      <w:r>
        <w:rPr>
          <w:color w:val="000000"/>
          <w:u w:val="single"/>
        </w:rPr>
        <w:t>Ju</w:t>
      </w:r>
      <w:r w:rsidR="00F51162">
        <w:rPr>
          <w:color w:val="000000"/>
          <w:u w:val="single"/>
        </w:rPr>
        <w:t>ne</w:t>
      </w:r>
      <w:r>
        <w:rPr>
          <w:color w:val="000000"/>
          <w:u w:val="single"/>
        </w:rPr>
        <w:t xml:space="preserve"> </w:t>
      </w:r>
      <w:r w:rsidR="00F51162">
        <w:rPr>
          <w:color w:val="000000"/>
          <w:u w:val="single"/>
        </w:rPr>
        <w:t>1</w:t>
      </w:r>
      <w:r w:rsidR="009C01A7">
        <w:rPr>
          <w:color w:val="000000"/>
          <w:u w:val="single"/>
        </w:rPr>
        <w:t>8</w:t>
      </w:r>
      <w:r>
        <w:rPr>
          <w:color w:val="000000"/>
          <w:u w:val="single"/>
        </w:rPr>
        <w:t>, 20</w:t>
      </w:r>
      <w:r w:rsidR="00F51162">
        <w:rPr>
          <w:color w:val="000000"/>
          <w:u w:val="single"/>
        </w:rPr>
        <w:t>14</w:t>
      </w:r>
      <w:r>
        <w:rPr>
          <w:color w:val="000000"/>
        </w:rPr>
        <w:tab/>
      </w:r>
      <w:r>
        <w:rPr>
          <w:color w:val="000000"/>
        </w:rPr>
        <w:tab/>
      </w:r>
      <w:r>
        <w:rPr>
          <w:color w:val="000000"/>
        </w:rPr>
        <w:tab/>
      </w:r>
      <w:r>
        <w:rPr>
          <w:color w:val="000000"/>
        </w:rPr>
        <w:tab/>
      </w:r>
      <w:r>
        <w:rPr>
          <w:color w:val="000000"/>
        </w:rPr>
        <w:tab/>
      </w:r>
      <w:r w:rsidRPr="0039272C">
        <w:rPr>
          <w:color w:val="000000"/>
          <w:u w:val="single"/>
        </w:rPr>
        <w:t>__________</w:t>
      </w:r>
      <w:r w:rsidR="007C65E9" w:rsidRPr="0039272C">
        <w:rPr>
          <w:color w:val="000000"/>
          <w:u w:val="single"/>
        </w:rPr>
        <w:t>/s/</w:t>
      </w:r>
      <w:r w:rsidRPr="0039272C">
        <w:rPr>
          <w:color w:val="000000"/>
          <w:u w:val="single"/>
        </w:rPr>
        <w:t>___________________</w:t>
      </w:r>
    </w:p>
    <w:p w:rsidR="005F41B5" w:rsidRDefault="005F41B5" w:rsidP="005F41B5">
      <w:pPr>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00F51162">
        <w:rPr>
          <w:color w:val="000000"/>
        </w:rPr>
        <w:t>Elizabeth H. Barnes</w:t>
      </w:r>
    </w:p>
    <w:p w:rsidR="00EE7B2B" w:rsidRDefault="005F41B5" w:rsidP="005F41B5">
      <w:pPr>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t>Administrative Law Judge</w:t>
      </w:r>
    </w:p>
    <w:p w:rsidR="00EE7B2B" w:rsidRDefault="00EE7B2B" w:rsidP="005F41B5">
      <w:pPr>
        <w:rPr>
          <w:color w:val="000000"/>
        </w:rPr>
      </w:pPr>
    </w:p>
    <w:p w:rsidR="00697213" w:rsidRDefault="00697213" w:rsidP="005F41B5">
      <w:pPr>
        <w:rPr>
          <w:color w:val="000000"/>
        </w:rPr>
      </w:pPr>
    </w:p>
    <w:p w:rsidR="00697213" w:rsidRDefault="00697213" w:rsidP="005F41B5">
      <w:pPr>
        <w:rPr>
          <w:color w:val="000000"/>
        </w:rPr>
      </w:pPr>
    </w:p>
    <w:p w:rsidR="00894A6F" w:rsidRDefault="00894A6F" w:rsidP="005F41B5">
      <w:pPr>
        <w:rPr>
          <w:color w:val="000000"/>
        </w:rPr>
        <w:sectPr w:rsidR="00894A6F" w:rsidSect="00B71F6E">
          <w:footerReference w:type="even" r:id="rId9"/>
          <w:footerReference w:type="default" r:id="rId10"/>
          <w:pgSz w:w="12240" w:h="15840" w:code="1"/>
          <w:pgMar w:top="1440" w:right="1440" w:bottom="1440" w:left="1440" w:header="720" w:footer="720" w:gutter="0"/>
          <w:pgNumType w:start="1"/>
          <w:cols w:space="720"/>
          <w:titlePg/>
          <w:docGrid w:linePitch="360"/>
        </w:sectPr>
      </w:pPr>
    </w:p>
    <w:p w:rsidR="00697213" w:rsidRDefault="00697213" w:rsidP="005F41B5">
      <w:pPr>
        <w:rPr>
          <w:color w:val="000000"/>
        </w:rPr>
      </w:pPr>
    </w:p>
    <w:p w:rsidR="00697213" w:rsidRDefault="00697213" w:rsidP="005F41B5">
      <w:pPr>
        <w:rPr>
          <w:color w:val="000000"/>
        </w:rPr>
      </w:pPr>
    </w:p>
    <w:p w:rsidR="00697213" w:rsidRDefault="00697213" w:rsidP="005F41B5">
      <w:pPr>
        <w:rPr>
          <w:color w:val="000000"/>
        </w:rPr>
      </w:pPr>
    </w:p>
    <w:p w:rsidR="00EE7B2B" w:rsidRDefault="00EE7B2B" w:rsidP="005F41B5">
      <w:pPr>
        <w:rPr>
          <w:color w:val="000000"/>
        </w:rPr>
      </w:pPr>
    </w:p>
    <w:p w:rsidR="00EE7B2B" w:rsidRDefault="00EE7B2B" w:rsidP="005F41B5">
      <w:pPr>
        <w:rPr>
          <w:color w:val="000000"/>
        </w:rPr>
      </w:pPr>
    </w:p>
    <w:p w:rsidR="00EE7B2B" w:rsidRDefault="00EE7B2B" w:rsidP="005F41B5">
      <w:pPr>
        <w:rPr>
          <w:color w:val="000000"/>
        </w:rPr>
      </w:pPr>
    </w:p>
    <w:p w:rsidR="00EE7B2B" w:rsidRDefault="00EE7B2B" w:rsidP="00EE7B2B">
      <w:pPr>
        <w:jc w:val="center"/>
        <w:rPr>
          <w:color w:val="000000"/>
          <w:sz w:val="48"/>
          <w:szCs w:val="48"/>
        </w:rPr>
      </w:pPr>
      <w:r>
        <w:rPr>
          <w:color w:val="000000"/>
          <w:sz w:val="48"/>
          <w:szCs w:val="48"/>
        </w:rPr>
        <w:t>ATTACHMENT A</w:t>
      </w:r>
    </w:p>
    <w:p w:rsidR="00254D8E" w:rsidRDefault="00EE7B2B" w:rsidP="00EE7B2B">
      <w:pPr>
        <w:jc w:val="center"/>
        <w:rPr>
          <w:color w:val="000000"/>
        </w:rPr>
      </w:pPr>
      <w:r>
        <w:rPr>
          <w:color w:val="000000"/>
          <w:sz w:val="48"/>
          <w:szCs w:val="48"/>
        </w:rPr>
        <w:br w:type="page"/>
      </w:r>
      <w:r w:rsidR="0039272C">
        <w:rPr>
          <w:noProof/>
          <w:color w:val="000000"/>
        </w:rPr>
        <w:drawing>
          <wp:inline distT="0" distB="0" distL="0" distR="0" wp14:anchorId="6AEB6E88" wp14:editId="64FC3DD5">
            <wp:extent cx="6591300" cy="9115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91300" cy="9115425"/>
                    </a:xfrm>
                    <a:prstGeom prst="rect">
                      <a:avLst/>
                    </a:prstGeom>
                    <a:noFill/>
                    <a:ln>
                      <a:noFill/>
                    </a:ln>
                  </pic:spPr>
                </pic:pic>
              </a:graphicData>
            </a:graphic>
          </wp:inline>
        </w:drawing>
      </w:r>
    </w:p>
    <w:p w:rsidR="00BE7627" w:rsidRDefault="0039272C" w:rsidP="005F41B5">
      <w:pPr>
        <w:rPr>
          <w:color w:val="000000"/>
        </w:rPr>
      </w:pPr>
      <w:r>
        <w:rPr>
          <w:noProof/>
          <w:color w:val="000000"/>
        </w:rPr>
        <w:drawing>
          <wp:inline distT="0" distB="0" distL="0" distR="0" wp14:anchorId="3BDCF9E8" wp14:editId="276C17D8">
            <wp:extent cx="7467600" cy="830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67600" cy="8305800"/>
                    </a:xfrm>
                    <a:prstGeom prst="rect">
                      <a:avLst/>
                    </a:prstGeom>
                    <a:noFill/>
                    <a:ln>
                      <a:noFill/>
                    </a:ln>
                  </pic:spPr>
                </pic:pic>
              </a:graphicData>
            </a:graphic>
          </wp:inline>
        </w:drawing>
      </w:r>
      <w:r>
        <w:rPr>
          <w:noProof/>
          <w:color w:val="000000"/>
        </w:rPr>
        <w:drawing>
          <wp:inline distT="0" distB="0" distL="0" distR="0" wp14:anchorId="78DB75C8" wp14:editId="16428254">
            <wp:extent cx="6781800" cy="9829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81800" cy="9829800"/>
                    </a:xfrm>
                    <a:prstGeom prst="rect">
                      <a:avLst/>
                    </a:prstGeom>
                    <a:noFill/>
                    <a:ln>
                      <a:noFill/>
                    </a:ln>
                  </pic:spPr>
                </pic:pic>
              </a:graphicData>
            </a:graphic>
          </wp:inline>
        </w:drawing>
      </w:r>
    </w:p>
    <w:sectPr w:rsidR="00BE7627" w:rsidSect="00B71F6E">
      <w:footerReference w:type="default" r:id="rId14"/>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82A" w:rsidRDefault="00C4182A">
      <w:r>
        <w:separator/>
      </w:r>
    </w:p>
  </w:endnote>
  <w:endnote w:type="continuationSeparator" w:id="0">
    <w:p w:rsidR="00C4182A" w:rsidRDefault="00C41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27A" w:rsidRDefault="002F227A" w:rsidP="001C56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F227A" w:rsidRDefault="002F22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27A" w:rsidRPr="00076153" w:rsidRDefault="002F227A" w:rsidP="001C56A8">
    <w:pPr>
      <w:pStyle w:val="Footer"/>
      <w:framePr w:wrap="around" w:vAnchor="text" w:hAnchor="margin" w:xAlign="center" w:y="1"/>
      <w:rPr>
        <w:rStyle w:val="PageNumber"/>
        <w:sz w:val="20"/>
        <w:szCs w:val="20"/>
      </w:rPr>
    </w:pPr>
    <w:r w:rsidRPr="00076153">
      <w:rPr>
        <w:rStyle w:val="PageNumber"/>
        <w:sz w:val="20"/>
        <w:szCs w:val="20"/>
      </w:rPr>
      <w:fldChar w:fldCharType="begin"/>
    </w:r>
    <w:r w:rsidRPr="00076153">
      <w:rPr>
        <w:rStyle w:val="PageNumber"/>
        <w:sz w:val="20"/>
        <w:szCs w:val="20"/>
      </w:rPr>
      <w:instrText xml:space="preserve">PAGE  </w:instrText>
    </w:r>
    <w:r w:rsidRPr="00076153">
      <w:rPr>
        <w:rStyle w:val="PageNumber"/>
        <w:sz w:val="20"/>
        <w:szCs w:val="20"/>
      </w:rPr>
      <w:fldChar w:fldCharType="separate"/>
    </w:r>
    <w:r w:rsidR="00BD69C4">
      <w:rPr>
        <w:rStyle w:val="PageNumber"/>
        <w:noProof/>
        <w:sz w:val="20"/>
        <w:szCs w:val="20"/>
      </w:rPr>
      <w:t>39</w:t>
    </w:r>
    <w:r w:rsidRPr="00076153">
      <w:rPr>
        <w:rStyle w:val="PageNumber"/>
        <w:sz w:val="20"/>
        <w:szCs w:val="20"/>
      </w:rPr>
      <w:fldChar w:fldCharType="end"/>
    </w:r>
  </w:p>
  <w:p w:rsidR="00894A6F" w:rsidRDefault="00894A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A6F" w:rsidRPr="00076153" w:rsidRDefault="00894A6F" w:rsidP="001C56A8">
    <w:pPr>
      <w:pStyle w:val="Footer"/>
      <w:framePr w:wrap="around" w:vAnchor="text" w:hAnchor="margin" w:xAlign="center" w:y="1"/>
      <w:rPr>
        <w:rStyle w:val="PageNumber"/>
        <w:sz w:val="20"/>
        <w:szCs w:val="20"/>
      </w:rPr>
    </w:pPr>
  </w:p>
  <w:p w:rsidR="00894A6F" w:rsidRDefault="00894A6F" w:rsidP="00894A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82A" w:rsidRDefault="00C4182A">
      <w:r>
        <w:separator/>
      </w:r>
    </w:p>
  </w:footnote>
  <w:footnote w:type="continuationSeparator" w:id="0">
    <w:p w:rsidR="00C4182A" w:rsidRDefault="00C4182A">
      <w:r>
        <w:continuationSeparator/>
      </w:r>
    </w:p>
  </w:footnote>
  <w:footnote w:id="1">
    <w:p w:rsidR="002F227A" w:rsidRDefault="002F227A" w:rsidP="00F74464">
      <w:pPr>
        <w:pStyle w:val="FootnoteText"/>
      </w:pPr>
      <w:r>
        <w:rPr>
          <w:rStyle w:val="FootnoteReference"/>
        </w:rPr>
        <w:footnoteRef/>
      </w:r>
      <w:r>
        <w:t xml:space="preserve"> OCA St. No. 1, 3:11-24; Peoples/Peoples TWP St. No. 1, 3:16-5:3.</w:t>
      </w:r>
    </w:p>
  </w:footnote>
  <w:footnote w:id="2">
    <w:p w:rsidR="002F227A" w:rsidRDefault="002F227A" w:rsidP="00F74464">
      <w:pPr>
        <w:pStyle w:val="FootnoteText"/>
      </w:pPr>
      <w:r>
        <w:rPr>
          <w:rStyle w:val="FootnoteReference"/>
        </w:rPr>
        <w:footnoteRef/>
      </w:r>
      <w:r>
        <w:t xml:space="preserve"> OCA St. No. 1, 3:16-24.</w:t>
      </w:r>
    </w:p>
  </w:footnote>
  <w:footnote w:id="3">
    <w:p w:rsidR="002F227A" w:rsidRDefault="002F227A" w:rsidP="00F74464">
      <w:pPr>
        <w:pStyle w:val="FootnoteText"/>
      </w:pPr>
      <w:r>
        <w:rPr>
          <w:rStyle w:val="FootnoteReference"/>
        </w:rPr>
        <w:footnoteRef/>
      </w:r>
      <w:r>
        <w:t xml:space="preserve"> OCA St. No. 1, 4:3-29.</w:t>
      </w:r>
    </w:p>
  </w:footnote>
  <w:footnote w:id="4">
    <w:p w:rsidR="002F227A" w:rsidRDefault="002F227A" w:rsidP="00F74464">
      <w:pPr>
        <w:pStyle w:val="FootnoteText"/>
      </w:pPr>
      <w:r>
        <w:rPr>
          <w:rStyle w:val="FootnoteReference"/>
        </w:rPr>
        <w:footnoteRef/>
      </w:r>
      <w:r>
        <w:t xml:space="preserve"> OCA St. No. 1, 3:16-24.</w:t>
      </w:r>
    </w:p>
  </w:footnote>
  <w:footnote w:id="5">
    <w:p w:rsidR="002F227A" w:rsidRDefault="002F227A" w:rsidP="00F74464">
      <w:pPr>
        <w:pStyle w:val="FootnoteText"/>
      </w:pPr>
      <w:r>
        <w:rPr>
          <w:rStyle w:val="FootnoteReference"/>
        </w:rPr>
        <w:footnoteRef/>
      </w:r>
      <w:r>
        <w:t xml:space="preserve"> </w:t>
      </w:r>
      <w:proofErr w:type="gramStart"/>
      <w:r>
        <w:t>Peoples/Peoples TWP St. No. 1, 11:2-7.</w:t>
      </w:r>
      <w:proofErr w:type="gramEnd"/>
    </w:p>
  </w:footnote>
  <w:footnote w:id="6">
    <w:p w:rsidR="002F227A" w:rsidRDefault="002F227A" w:rsidP="00F74464">
      <w:pPr>
        <w:pStyle w:val="FootnoteText"/>
      </w:pPr>
      <w:r>
        <w:rPr>
          <w:rStyle w:val="FootnoteReference"/>
        </w:rPr>
        <w:footnoteRef/>
      </w:r>
      <w:r>
        <w:t xml:space="preserve"> PUC Secretarial Letter of July 25, 2012 regarding Generic Investigation of Gas-On-Gas Competition Issues.</w:t>
      </w:r>
    </w:p>
  </w:footnote>
  <w:footnote w:id="7">
    <w:p w:rsidR="002F227A" w:rsidRPr="0048402A" w:rsidRDefault="002F227A" w:rsidP="002F227A">
      <w:pPr>
        <w:pStyle w:val="FootnoteText"/>
      </w:pPr>
      <w:r w:rsidRPr="0048402A">
        <w:rPr>
          <w:rStyle w:val="FootnoteReference"/>
        </w:rPr>
        <w:footnoteRef/>
      </w:r>
      <w:r w:rsidRPr="0048402A">
        <w:t xml:space="preserve"> During the course of the Investigation, Equitable Gas Company LLC was merged into Peoples with the surviving legal entity being Peoples Natural Gas Company LLC – Equitable Division, a division of Peoples.  When referring to Peoples/PTWP herein, the Equitable Division is intended to be included in that reference.  </w:t>
      </w:r>
      <w:r w:rsidR="00CE356B">
        <w:t>T</w:t>
      </w:r>
      <w:r w:rsidRPr="0048402A">
        <w:t>he testimony submitted by the former entity, which no longer exists, has not been adopted by Peoples/PTWP.</w:t>
      </w:r>
    </w:p>
  </w:footnote>
  <w:footnote w:id="8">
    <w:p w:rsidR="002F227A" w:rsidRDefault="00B95DEE" w:rsidP="00FA02D2">
      <w:pPr>
        <w:pStyle w:val="FootnoteText"/>
      </w:pPr>
      <w:r>
        <w:rPr>
          <w:rStyle w:val="FootnoteReference"/>
        </w:rPr>
        <w:footnoteRef/>
      </w:r>
      <w:r>
        <w:t xml:space="preserve"> </w:t>
      </w:r>
      <w:r w:rsidR="002F227A" w:rsidRPr="009629C1">
        <w:t>Peoples M.B., pp. 23-25, Appendix A-B.</w:t>
      </w:r>
      <w:r w:rsidR="002F227A">
        <w:t xml:space="preserve"> </w:t>
      </w:r>
    </w:p>
  </w:footnote>
  <w:footnote w:id="9">
    <w:p w:rsidR="002F227A" w:rsidRDefault="002F227A" w:rsidP="00DE3120">
      <w:pPr>
        <w:pStyle w:val="FootnoteText"/>
      </w:pPr>
      <w:r>
        <w:rPr>
          <w:rStyle w:val="FootnoteReference"/>
        </w:rPr>
        <w:footnoteRef/>
      </w:r>
      <w:r>
        <w:t xml:space="preserve"> This recent Peoples base rate case also calls into question </w:t>
      </w:r>
      <w:proofErr w:type="gramStart"/>
      <w:r>
        <w:t>I&amp;E's</w:t>
      </w:r>
      <w:proofErr w:type="gramEnd"/>
      <w:r>
        <w:t xml:space="preserve"> position that tariff rates are necessarily cost-based.  I&amp;E M.B., p. 27.</w:t>
      </w:r>
    </w:p>
  </w:footnote>
  <w:footnote w:id="10">
    <w:p w:rsidR="002F227A" w:rsidRDefault="002F227A" w:rsidP="00DE3120">
      <w:pPr>
        <w:pStyle w:val="FootnoteText"/>
      </w:pPr>
      <w:r>
        <w:rPr>
          <w:rStyle w:val="FootnoteReference"/>
        </w:rPr>
        <w:footnoteRef/>
      </w:r>
      <w:r>
        <w:t xml:space="preserve"> In actuality, it would be unjust and unreasonable to further reduce the rates of residential and smaller commercial classes below their cost of service.  </w:t>
      </w:r>
    </w:p>
  </w:footnote>
  <w:footnote w:id="11">
    <w:p w:rsidR="002F227A" w:rsidRDefault="002F227A" w:rsidP="00DE3120">
      <w:pPr>
        <w:rPr>
          <w:sz w:val="20"/>
        </w:rPr>
      </w:pPr>
      <w:r>
        <w:rPr>
          <w:rStyle w:val="FootnoteReference"/>
          <w:sz w:val="20"/>
        </w:rPr>
        <w:footnoteRef/>
      </w:r>
      <w:r>
        <w:rPr>
          <w:sz w:val="20"/>
        </w:rPr>
        <w:t xml:space="preserve"> The Commission has endorsed value of service as a legitimate ratemaking principle under a number of circumstances, including </w:t>
      </w:r>
      <w:r w:rsidR="007A202A">
        <w:rPr>
          <w:sz w:val="20"/>
        </w:rPr>
        <w:t>justifying</w:t>
      </w:r>
      <w:r>
        <w:rPr>
          <w:sz w:val="20"/>
        </w:rPr>
        <w:t xml:space="preserve"> higher tariff rates for large transportation customers.  </w:t>
      </w:r>
      <w:r>
        <w:rPr>
          <w:i/>
          <w:sz w:val="20"/>
        </w:rPr>
        <w:t xml:space="preserve">See Pa. Pub. </w:t>
      </w:r>
      <w:proofErr w:type="gramStart"/>
      <w:r>
        <w:rPr>
          <w:i/>
          <w:sz w:val="20"/>
        </w:rPr>
        <w:t>Util. Comm'n v. Peoples Natural Gas Co.</w:t>
      </w:r>
      <w:r>
        <w:rPr>
          <w:sz w:val="20"/>
        </w:rPr>
        <w:t>, 1992 WL 315144 (Pa.P.U.C. 1992)</w:t>
      </w:r>
      <w:r>
        <w:rPr>
          <w:sz w:val="20"/>
        </w:rPr>
        <w:fldChar w:fldCharType="begin"/>
      </w:r>
      <w:r>
        <w:instrText xml:space="preserve"> TA \l "</w:instrText>
      </w:r>
      <w:r>
        <w:rPr>
          <w:sz w:val="20"/>
        </w:rPr>
        <w:instrText>Pa</w:instrText>
      </w:r>
      <w:r>
        <w:rPr>
          <w:i/>
          <w:sz w:val="20"/>
        </w:rPr>
        <w:instrText>. Pub. Util. Comm'n v. Peoples Natural Gas Co.</w:instrText>
      </w:r>
      <w:r>
        <w:rPr>
          <w:sz w:val="20"/>
        </w:rPr>
        <w:instrText>, 1992 WL 315144 (Pa.P.U.C. 1992)</w:instrText>
      </w:r>
      <w:r>
        <w:instrText xml:space="preserve">" \s "Peoples" \c 1 </w:instrText>
      </w:r>
      <w:r>
        <w:rPr>
          <w:sz w:val="20"/>
        </w:rPr>
        <w:fldChar w:fldCharType="end"/>
      </w:r>
      <w:r>
        <w:rPr>
          <w:sz w:val="20"/>
        </w:rPr>
        <w:t>, 9.</w:t>
      </w:r>
      <w:proofErr w:type="gramEnd"/>
    </w:p>
  </w:footnote>
  <w:footnote w:id="12">
    <w:p w:rsidR="002F227A" w:rsidRDefault="002F227A" w:rsidP="00DE3120">
      <w:pPr>
        <w:pStyle w:val="FootnoteText"/>
      </w:pPr>
      <w:r>
        <w:rPr>
          <w:rStyle w:val="FootnoteReference"/>
        </w:rPr>
        <w:footnoteRef/>
      </w:r>
      <w:r>
        <w:t xml:space="preserve"> In its Main Brief, Peoples also acknowledges the historical benefits presented by gas-on-gas competition.  Peoples M.B., p. 7. </w:t>
      </w:r>
    </w:p>
  </w:footnote>
  <w:footnote w:id="13">
    <w:p w:rsidR="002F227A" w:rsidRDefault="002F227A" w:rsidP="00DE3120">
      <w:pPr>
        <w:pStyle w:val="FootnoteText"/>
      </w:pPr>
      <w:r>
        <w:rPr>
          <w:rStyle w:val="FootnoteReference"/>
        </w:rPr>
        <w:footnoteRef/>
      </w:r>
      <w:r>
        <w:t xml:space="preserve"> No party to this proceeding presented evidence that gas-on-gas rates fail to recover incremental costs plus a contribution to fixed costs.  As further explained in IECPA's Main Brief, NGDCs do not dispute as part of the instant investigation that gas-on-gas customers are offered rates that exceed their incremental cost of service and explain instead that gas-on-gas rates should only be offered when they exceed a customer's incremental costs.  </w:t>
      </w:r>
      <w:proofErr w:type="gramStart"/>
      <w:r>
        <w:t>IECPA M.B., n. 4.</w:t>
      </w:r>
      <w:proofErr w:type="gramEnd"/>
      <w:r>
        <w:t xml:space="preserve">  </w:t>
      </w:r>
    </w:p>
  </w:footnote>
  <w:footnote w:id="14">
    <w:p w:rsidR="002F227A" w:rsidRDefault="002F227A" w:rsidP="00FA02D2">
      <w:pPr>
        <w:pStyle w:val="FootnoteText"/>
      </w:pPr>
      <w:r>
        <w:rPr>
          <w:rStyle w:val="FootnoteReference"/>
        </w:rPr>
        <w:footnoteRef/>
      </w:r>
      <w:r>
        <w:t xml:space="preserve"> PSU Statement No. 1 at 2:13-16.</w:t>
      </w:r>
    </w:p>
  </w:footnote>
  <w:footnote w:id="15">
    <w:p w:rsidR="002F227A" w:rsidRDefault="002F227A" w:rsidP="00FA02D2">
      <w:pPr>
        <w:pStyle w:val="FootnoteText"/>
      </w:pPr>
      <w:r>
        <w:rPr>
          <w:rStyle w:val="FootnoteReference"/>
        </w:rPr>
        <w:footnoteRef/>
      </w:r>
      <w:r>
        <w:t xml:space="preserve"> PSU Statement No. 1 at 7:14 – 8:3.</w:t>
      </w:r>
    </w:p>
  </w:footnote>
  <w:footnote w:id="16">
    <w:p w:rsidR="006725AF" w:rsidRDefault="006725AF" w:rsidP="006725AF">
      <w:pPr>
        <w:pStyle w:val="FootnoteText"/>
        <w:jc w:val="both"/>
      </w:pPr>
      <w:r>
        <w:rPr>
          <w:rStyle w:val="FootnoteReference"/>
        </w:rPr>
        <w:footnoteRef/>
      </w:r>
      <w:r>
        <w:t xml:space="preserve"> </w:t>
      </w:r>
      <w:r>
        <w:tab/>
        <w:t>The complete text of Chapter 60 is available at:</w:t>
      </w:r>
    </w:p>
    <w:p w:rsidR="006725AF" w:rsidRDefault="00C4182A" w:rsidP="006725AF">
      <w:pPr>
        <w:pStyle w:val="FootnoteText"/>
        <w:jc w:val="both"/>
      </w:pPr>
      <w:hyperlink r:id="rId1" w:history="1">
        <w:r w:rsidR="006725AF" w:rsidRPr="00B6520E">
          <w:rPr>
            <w:rStyle w:val="Hyperlink"/>
          </w:rPr>
          <w:t>http://www.pacode.com/secure/data/052/chapter60/chap60toc.html</w:t>
        </w:r>
      </w:hyperlink>
    </w:p>
  </w:footnote>
  <w:footnote w:id="17">
    <w:p w:rsidR="00C13BA8" w:rsidRPr="002E0838" w:rsidRDefault="00C13BA8" w:rsidP="00C13BA8">
      <w:pPr>
        <w:pStyle w:val="FootnoteText"/>
      </w:pPr>
      <w:r w:rsidRPr="002E0838">
        <w:rPr>
          <w:rStyle w:val="FootnoteReference"/>
          <w:sz w:val="16"/>
          <w:vertAlign w:val="baseline"/>
        </w:rPr>
        <w:footnoteRef/>
      </w:r>
      <w:r w:rsidRPr="002E0838">
        <w:rPr>
          <w:sz w:val="16"/>
        </w:rPr>
        <w:t xml:space="preserve"> </w:t>
      </w:r>
      <w:r w:rsidRPr="002E0838">
        <w:tab/>
      </w:r>
      <w:r w:rsidR="0000235D" w:rsidRPr="002E0838">
        <w:rPr>
          <w:i/>
        </w:rPr>
        <w:t xml:space="preserve">Pa. Pub. </w:t>
      </w:r>
      <w:proofErr w:type="gramStart"/>
      <w:r w:rsidR="0000235D" w:rsidRPr="002E0838">
        <w:rPr>
          <w:i/>
        </w:rPr>
        <w:t>Util. Comm’n</w:t>
      </w:r>
      <w:r w:rsidRPr="002E0838">
        <w:rPr>
          <w:i/>
        </w:rPr>
        <w:t xml:space="preserve"> v. Equitable Gas Company, a division of Equitable Resources, Inc.</w:t>
      </w:r>
      <w:r w:rsidR="009662FE">
        <w:t>, Docket No.</w:t>
      </w:r>
      <w:proofErr w:type="gramEnd"/>
      <w:r w:rsidR="009662FE">
        <w:t xml:space="preserve"> R</w:t>
      </w:r>
      <w:r w:rsidR="009662FE">
        <w:noBreakHyphen/>
      </w:r>
      <w:r w:rsidRPr="002E0838">
        <w:t xml:space="preserve">00050272, </w:t>
      </w:r>
    </w:p>
    <w:p w:rsidR="00C13BA8" w:rsidRPr="002E0838" w:rsidRDefault="00C13BA8" w:rsidP="00C13BA8">
      <w:pPr>
        <w:pStyle w:val="FootnoteText"/>
        <w:ind w:left="720"/>
      </w:pPr>
      <w:r w:rsidRPr="002E0838">
        <w:t xml:space="preserve">p. 44 (Order entered September 28, 2005).  </w:t>
      </w:r>
      <w:r w:rsidR="0000235D" w:rsidRPr="002E0838">
        <w:rPr>
          <w:i/>
        </w:rPr>
        <w:t xml:space="preserve">Pa. Pub. </w:t>
      </w:r>
      <w:proofErr w:type="gramStart"/>
      <w:r w:rsidR="0000235D" w:rsidRPr="002E0838">
        <w:rPr>
          <w:i/>
        </w:rPr>
        <w:t>Util. Comm'n</w:t>
      </w:r>
      <w:r w:rsidRPr="002E0838">
        <w:rPr>
          <w:i/>
        </w:rPr>
        <w:t xml:space="preserve"> v.</w:t>
      </w:r>
      <w:proofErr w:type="gramEnd"/>
      <w:r w:rsidRPr="002E0838">
        <w:rPr>
          <w:i/>
        </w:rPr>
        <w:t xml:space="preserve"> The Peoples Natural Gas Company, t/a Dominion Peoples,</w:t>
      </w:r>
      <w:r w:rsidRPr="002E0838">
        <w:t xml:space="preserve"> Docket No. R-00050267, p. 33 (Order entered September 30, 2005).    </w:t>
      </w:r>
    </w:p>
  </w:footnote>
  <w:footnote w:id="18">
    <w:p w:rsidR="00C13BA8" w:rsidRPr="002E0838" w:rsidRDefault="00C13BA8" w:rsidP="00C13BA8">
      <w:pPr>
        <w:pStyle w:val="FootnoteText"/>
      </w:pPr>
      <w:r w:rsidRPr="002E0838">
        <w:rPr>
          <w:rStyle w:val="FootnoteReference"/>
          <w:sz w:val="16"/>
          <w:vertAlign w:val="baseline"/>
        </w:rPr>
        <w:footnoteRef/>
      </w:r>
      <w:r w:rsidRPr="002E0838">
        <w:rPr>
          <w:sz w:val="16"/>
        </w:rPr>
        <w:t xml:space="preserve"> </w:t>
      </w:r>
      <w:r w:rsidRPr="002E0838">
        <w:tab/>
      </w:r>
      <w:r w:rsidR="0000235D" w:rsidRPr="002E0838">
        <w:rPr>
          <w:i/>
        </w:rPr>
        <w:t xml:space="preserve">Pa. Pub. </w:t>
      </w:r>
      <w:proofErr w:type="gramStart"/>
      <w:r w:rsidR="0000235D" w:rsidRPr="002E0838">
        <w:rPr>
          <w:i/>
        </w:rPr>
        <w:t>Util. Comm'n</w:t>
      </w:r>
      <w:r w:rsidRPr="002E0838">
        <w:rPr>
          <w:i/>
        </w:rPr>
        <w:t xml:space="preserve"> v. Equitable Gas Company, a division of Equitable Resources, Inc.</w:t>
      </w:r>
      <w:r w:rsidR="009662FE">
        <w:t>, Docket No.</w:t>
      </w:r>
      <w:proofErr w:type="gramEnd"/>
      <w:r w:rsidR="009662FE">
        <w:t xml:space="preserve"> R</w:t>
      </w:r>
      <w:r w:rsidR="009662FE">
        <w:noBreakHyphen/>
      </w:r>
      <w:r w:rsidRPr="002E0838">
        <w:t xml:space="preserve">00050272, </w:t>
      </w:r>
    </w:p>
    <w:p w:rsidR="00C13BA8" w:rsidRPr="002E0838" w:rsidRDefault="00C13BA8" w:rsidP="00C13BA8">
      <w:pPr>
        <w:pStyle w:val="FootnoteText"/>
        <w:ind w:left="720"/>
      </w:pPr>
      <w:r w:rsidRPr="002E0838">
        <w:t xml:space="preserve">p. 43 (Order entered September 28, 2005). </w:t>
      </w:r>
      <w:r w:rsidRPr="002E0838">
        <w:rPr>
          <w:i/>
        </w:rPr>
        <w:t xml:space="preserve"> </w:t>
      </w:r>
      <w:r w:rsidR="0000235D" w:rsidRPr="002E0838">
        <w:rPr>
          <w:i/>
        </w:rPr>
        <w:t xml:space="preserve">Pa. Pub. </w:t>
      </w:r>
      <w:proofErr w:type="gramStart"/>
      <w:r w:rsidR="0000235D" w:rsidRPr="002E0838">
        <w:rPr>
          <w:i/>
        </w:rPr>
        <w:t>Util. Comm'n</w:t>
      </w:r>
      <w:r w:rsidRPr="002E0838">
        <w:rPr>
          <w:i/>
        </w:rPr>
        <w:t xml:space="preserve"> v.</w:t>
      </w:r>
      <w:proofErr w:type="gramEnd"/>
      <w:r w:rsidRPr="002E0838">
        <w:rPr>
          <w:i/>
        </w:rPr>
        <w:t xml:space="preserve"> The Peoples Natural Gas Company, t/a Dominion Peoples,</w:t>
      </w:r>
      <w:r w:rsidRPr="002E0838">
        <w:t xml:space="preserve"> Docket No. R-00050267, p. 33 (Order entered September 30, 2005).    </w:t>
      </w:r>
    </w:p>
  </w:footnote>
  <w:footnote w:id="19">
    <w:p w:rsidR="00C13BA8" w:rsidRDefault="00C13BA8" w:rsidP="00C13BA8">
      <w:pPr>
        <w:pStyle w:val="FootnoteText"/>
      </w:pPr>
      <w:r w:rsidRPr="002E0838">
        <w:rPr>
          <w:rStyle w:val="FootnoteReference"/>
          <w:sz w:val="16"/>
          <w:vertAlign w:val="baseline"/>
        </w:rPr>
        <w:footnoteRef/>
      </w:r>
      <w:r w:rsidRPr="002E0838">
        <w:rPr>
          <w:sz w:val="16"/>
        </w:rPr>
        <w:t xml:space="preserve"> </w:t>
      </w:r>
      <w:r w:rsidRPr="009629C1">
        <w:tab/>
      </w:r>
      <w:r w:rsidR="0000235D" w:rsidRPr="0000235D">
        <w:rPr>
          <w:i/>
        </w:rPr>
        <w:t xml:space="preserve">Pa. Pub. </w:t>
      </w:r>
      <w:proofErr w:type="gramStart"/>
      <w:r w:rsidR="0000235D" w:rsidRPr="0000235D">
        <w:rPr>
          <w:i/>
        </w:rPr>
        <w:t>Util. Comm'n</w:t>
      </w:r>
      <w:r w:rsidRPr="009629C1">
        <w:rPr>
          <w:i/>
        </w:rPr>
        <w:t xml:space="preserve"> v.</w:t>
      </w:r>
      <w:proofErr w:type="gramEnd"/>
      <w:r w:rsidRPr="009629C1">
        <w:rPr>
          <w:i/>
        </w:rPr>
        <w:t xml:space="preserve"> The Peoples Natural Gas Company, t/a Dominion Peoples,</w:t>
      </w:r>
      <w:r w:rsidR="009662FE">
        <w:t xml:space="preserve"> Docket No. R</w:t>
      </w:r>
      <w:r w:rsidR="009662FE">
        <w:noBreakHyphen/>
      </w:r>
      <w:r w:rsidRPr="009629C1">
        <w:t>00050267, p. 33</w:t>
      </w:r>
    </w:p>
    <w:p w:rsidR="00C13BA8" w:rsidRDefault="00C13BA8" w:rsidP="00AD0C94">
      <w:pPr>
        <w:pStyle w:val="FootnoteText"/>
        <w:ind w:left="720"/>
      </w:pPr>
      <w:r w:rsidRPr="009629C1">
        <w:t xml:space="preserve">(Order entered September 30, 2005). </w:t>
      </w:r>
      <w:r w:rsidR="0000235D" w:rsidRPr="0000235D">
        <w:t xml:space="preserve">Pa. Pub. </w:t>
      </w:r>
      <w:proofErr w:type="gramStart"/>
      <w:r w:rsidR="0000235D" w:rsidRPr="0000235D">
        <w:t>Util. Comm'n</w:t>
      </w:r>
      <w:r w:rsidRPr="009629C1">
        <w:rPr>
          <w:i/>
        </w:rPr>
        <w:t xml:space="preserve"> v. Equitable Gas Company, a division of Equitable Resources, Inc.</w:t>
      </w:r>
      <w:r w:rsidRPr="009629C1">
        <w:t>, Docket No.</w:t>
      </w:r>
      <w:proofErr w:type="gramEnd"/>
      <w:r w:rsidRPr="009629C1">
        <w:t xml:space="preserve"> R-00050272, p. 44 (Order entered September 28, 2005).</w:t>
      </w:r>
    </w:p>
  </w:footnote>
  <w:footnote w:id="20">
    <w:p w:rsidR="0086183F" w:rsidRPr="00743068" w:rsidRDefault="0086183F" w:rsidP="0086183F">
      <w:pPr>
        <w:tabs>
          <w:tab w:val="left" w:pos="-720"/>
        </w:tabs>
        <w:suppressAutoHyphens/>
        <w:contextualSpacing/>
        <w:jc w:val="both"/>
        <w:rPr>
          <w:sz w:val="20"/>
        </w:rPr>
      </w:pPr>
      <w:r w:rsidRPr="00697213">
        <w:rPr>
          <w:rStyle w:val="FootnoteReference"/>
          <w:sz w:val="16"/>
          <w:vertAlign w:val="baseline"/>
        </w:rPr>
        <w:footnoteRef/>
      </w:r>
      <w:r w:rsidRPr="00697213">
        <w:rPr>
          <w:sz w:val="16"/>
        </w:rPr>
        <w:t xml:space="preserve"> </w:t>
      </w:r>
      <w:r>
        <w:tab/>
      </w:r>
      <w:r w:rsidR="0000235D" w:rsidRPr="0000235D">
        <w:rPr>
          <w:i/>
          <w:sz w:val="20"/>
        </w:rPr>
        <w:t xml:space="preserve">Pa. Pub. </w:t>
      </w:r>
      <w:proofErr w:type="gramStart"/>
      <w:r w:rsidR="0000235D" w:rsidRPr="0000235D">
        <w:rPr>
          <w:i/>
          <w:sz w:val="20"/>
        </w:rPr>
        <w:t>Util. Comm'n</w:t>
      </w:r>
      <w:r w:rsidRPr="00743068">
        <w:rPr>
          <w:i/>
          <w:sz w:val="20"/>
        </w:rPr>
        <w:t xml:space="preserve"> v. Equitable Gas Company, a division of Equitable Resources, Inc.</w:t>
      </w:r>
      <w:r w:rsidR="009662FE">
        <w:rPr>
          <w:sz w:val="20"/>
        </w:rPr>
        <w:t>, Docket No.</w:t>
      </w:r>
      <w:proofErr w:type="gramEnd"/>
      <w:r w:rsidR="009662FE">
        <w:rPr>
          <w:sz w:val="20"/>
        </w:rPr>
        <w:t xml:space="preserve"> R</w:t>
      </w:r>
      <w:r w:rsidR="009662FE">
        <w:rPr>
          <w:sz w:val="20"/>
        </w:rPr>
        <w:noBreakHyphen/>
      </w:r>
      <w:r w:rsidRPr="00743068">
        <w:rPr>
          <w:sz w:val="20"/>
        </w:rPr>
        <w:t>00050272,</w:t>
      </w:r>
    </w:p>
    <w:p w:rsidR="0086183F" w:rsidRPr="009629C1" w:rsidRDefault="0086183F" w:rsidP="0086183F">
      <w:pPr>
        <w:tabs>
          <w:tab w:val="left" w:pos="-720"/>
        </w:tabs>
        <w:suppressAutoHyphens/>
        <w:contextualSpacing/>
        <w:jc w:val="both"/>
      </w:pPr>
      <w:r w:rsidRPr="00743068">
        <w:rPr>
          <w:sz w:val="20"/>
        </w:rPr>
        <w:tab/>
        <w:t xml:space="preserve">p. 43 (Order entered September 28, 2005).   See also, </w:t>
      </w:r>
      <w:r w:rsidR="0000235D" w:rsidRPr="0000235D">
        <w:rPr>
          <w:i/>
          <w:sz w:val="20"/>
        </w:rPr>
        <w:t xml:space="preserve">Pa. Pub. </w:t>
      </w:r>
      <w:proofErr w:type="gramStart"/>
      <w:r w:rsidR="0000235D" w:rsidRPr="0000235D">
        <w:rPr>
          <w:i/>
          <w:sz w:val="20"/>
        </w:rPr>
        <w:t>Util. Comm'n</w:t>
      </w:r>
      <w:r w:rsidRPr="00743068">
        <w:rPr>
          <w:i/>
          <w:sz w:val="20"/>
        </w:rPr>
        <w:t xml:space="preserve"> v.</w:t>
      </w:r>
      <w:proofErr w:type="gramEnd"/>
      <w:r w:rsidRPr="00743068">
        <w:rPr>
          <w:i/>
          <w:sz w:val="20"/>
        </w:rPr>
        <w:t xml:space="preserve"> The Peoples Natural Gas Company, t/a</w:t>
      </w:r>
      <w:r w:rsidRPr="00743068">
        <w:rPr>
          <w:i/>
          <w:sz w:val="20"/>
        </w:rPr>
        <w:tab/>
        <w:t>Dominion Peoples,</w:t>
      </w:r>
      <w:r w:rsidRPr="00743068">
        <w:rPr>
          <w:sz w:val="20"/>
        </w:rPr>
        <w:t xml:space="preserve"> Docket No. R-00050267, p. 32 (Order entered September 30, 2005).</w:t>
      </w:r>
      <w:r w:rsidRPr="009629C1">
        <w:t xml:space="preserve">    </w:t>
      </w:r>
    </w:p>
  </w:footnote>
  <w:footnote w:id="21">
    <w:p w:rsidR="0086183F" w:rsidRDefault="0086183F" w:rsidP="0086183F">
      <w:pPr>
        <w:pStyle w:val="FootnoteText"/>
      </w:pPr>
      <w:r w:rsidRPr="00697213">
        <w:rPr>
          <w:rStyle w:val="FootnoteReference"/>
          <w:sz w:val="16"/>
          <w:szCs w:val="16"/>
          <w:vertAlign w:val="baseline"/>
        </w:rPr>
        <w:footnoteRef/>
      </w:r>
      <w:r w:rsidRPr="009629C1">
        <w:t xml:space="preserve"> </w:t>
      </w:r>
      <w:r w:rsidRPr="009629C1">
        <w:tab/>
      </w:r>
      <w:proofErr w:type="gramStart"/>
      <w:r w:rsidRPr="009629C1">
        <w:t>66 Pa.C.S.</w:t>
      </w:r>
      <w:proofErr w:type="gramEnd"/>
      <w:r w:rsidRPr="009629C1">
        <w:t xml:space="preserve"> </w:t>
      </w:r>
      <w:proofErr w:type="gramStart"/>
      <w:r w:rsidRPr="009629C1">
        <w:t>§§ 1301, 1304.</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74AB3"/>
    <w:multiLevelType w:val="hybridMultilevel"/>
    <w:tmpl w:val="C21AFA18"/>
    <w:lvl w:ilvl="0" w:tplc="EE5A8B5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090A031C"/>
    <w:multiLevelType w:val="hybridMultilevel"/>
    <w:tmpl w:val="703AF822"/>
    <w:lvl w:ilvl="0" w:tplc="577CBF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502813"/>
    <w:multiLevelType w:val="hybridMultilevel"/>
    <w:tmpl w:val="071299CE"/>
    <w:lvl w:ilvl="0" w:tplc="ABBE0256">
      <w:start w:val="1"/>
      <w:numFmt w:val="upp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077B38"/>
    <w:multiLevelType w:val="hybridMultilevel"/>
    <w:tmpl w:val="086A2D08"/>
    <w:lvl w:ilvl="0" w:tplc="E9E0C99C">
      <w:start w:val="9"/>
      <w:numFmt w:val="decimal"/>
      <w:lvlText w:val="(%1)"/>
      <w:lvlJc w:val="left"/>
      <w:pPr>
        <w:tabs>
          <w:tab w:val="num" w:pos="570"/>
        </w:tabs>
        <w:ind w:left="570" w:hanging="39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
    <w:nsid w:val="1E136D19"/>
    <w:multiLevelType w:val="hybridMultilevel"/>
    <w:tmpl w:val="2DE2A8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nsid w:val="3ACD0ECB"/>
    <w:multiLevelType w:val="hybridMultilevel"/>
    <w:tmpl w:val="F118B4B2"/>
    <w:lvl w:ilvl="0" w:tplc="2A9601AE">
      <w:start w:val="27"/>
      <w:numFmt w:val="decimal"/>
      <w:lvlText w:val="(%1)"/>
      <w:lvlJc w:val="left"/>
      <w:pPr>
        <w:tabs>
          <w:tab w:val="num" w:pos="690"/>
        </w:tabs>
        <w:ind w:left="690" w:hanging="51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
    <w:nsid w:val="421F5F79"/>
    <w:multiLevelType w:val="hybridMultilevel"/>
    <w:tmpl w:val="A552A754"/>
    <w:lvl w:ilvl="0" w:tplc="A3EE8786">
      <w:start w:val="3"/>
      <w:numFmt w:val="decimal"/>
      <w:lvlText w:val="(%1)"/>
      <w:lvlJc w:val="left"/>
      <w:pPr>
        <w:tabs>
          <w:tab w:val="num" w:pos="570"/>
        </w:tabs>
        <w:ind w:left="570" w:hanging="39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7">
    <w:nsid w:val="49421D9D"/>
    <w:multiLevelType w:val="multilevel"/>
    <w:tmpl w:val="5A5ABB18"/>
    <w:name w:val=" Pleading Headings 2"/>
    <w:lvl w:ilvl="0">
      <w:start w:val="1"/>
      <w:numFmt w:val="upperRoman"/>
      <w:pStyle w:val="S2Heading1"/>
      <w:lvlText w:val="%1."/>
      <w:lvlJc w:val="left"/>
      <w:pPr>
        <w:tabs>
          <w:tab w:val="num" w:pos="720"/>
        </w:tabs>
        <w:ind w:left="720" w:hanging="720"/>
      </w:pPr>
      <w:rPr>
        <w:caps w:val="0"/>
        <w:vanish w:val="0"/>
        <w:color w:val="010000"/>
        <w:u w:val="none"/>
      </w:rPr>
    </w:lvl>
    <w:lvl w:ilvl="1">
      <w:start w:val="1"/>
      <w:numFmt w:val="upperLetter"/>
      <w:pStyle w:val="S2Heading2"/>
      <w:lvlText w:val="%2."/>
      <w:lvlJc w:val="left"/>
      <w:pPr>
        <w:tabs>
          <w:tab w:val="num" w:pos="1440"/>
        </w:tabs>
        <w:ind w:left="1440" w:hanging="720"/>
      </w:pPr>
      <w:rPr>
        <w:b/>
        <w:caps w:val="0"/>
        <w:vanish w:val="0"/>
        <w:color w:val="010000"/>
        <w:u w:val="none"/>
      </w:rPr>
    </w:lvl>
    <w:lvl w:ilvl="2">
      <w:start w:val="1"/>
      <w:numFmt w:val="decimal"/>
      <w:pStyle w:val="S2Heading3"/>
      <w:lvlText w:val="%3."/>
      <w:lvlJc w:val="left"/>
      <w:pPr>
        <w:tabs>
          <w:tab w:val="num" w:pos="2160"/>
        </w:tabs>
        <w:ind w:left="2160" w:hanging="720"/>
      </w:pPr>
      <w:rPr>
        <w:caps w:val="0"/>
        <w:vanish w:val="0"/>
        <w:color w:val="010000"/>
        <w:u w:val="none"/>
      </w:rPr>
    </w:lvl>
    <w:lvl w:ilvl="3">
      <w:start w:val="1"/>
      <w:numFmt w:val="lowerLetter"/>
      <w:pStyle w:val="S2Heading4"/>
      <w:lvlText w:val="%4."/>
      <w:lvlJc w:val="left"/>
      <w:pPr>
        <w:tabs>
          <w:tab w:val="num" w:pos="2880"/>
        </w:tabs>
        <w:ind w:left="2880" w:hanging="720"/>
      </w:pPr>
      <w:rPr>
        <w:caps w:val="0"/>
        <w:vanish w:val="0"/>
        <w:color w:val="010000"/>
        <w:u w:val="none"/>
      </w:rPr>
    </w:lvl>
    <w:lvl w:ilvl="4">
      <w:start w:val="1"/>
      <w:numFmt w:val="decimal"/>
      <w:pStyle w:val="S2Heading5"/>
      <w:lvlText w:val="(%5)"/>
      <w:lvlJc w:val="left"/>
      <w:pPr>
        <w:tabs>
          <w:tab w:val="num" w:pos="3600"/>
        </w:tabs>
        <w:ind w:left="3600" w:hanging="720"/>
      </w:pPr>
      <w:rPr>
        <w:caps w:val="0"/>
        <w:vanish w:val="0"/>
        <w:color w:val="010000"/>
        <w:u w:val="none"/>
      </w:rPr>
    </w:lvl>
    <w:lvl w:ilvl="5">
      <w:start w:val="1"/>
      <w:numFmt w:val="lowerLetter"/>
      <w:pStyle w:val="S2Heading6"/>
      <w:lvlText w:val="(%6)"/>
      <w:lvlJc w:val="left"/>
      <w:pPr>
        <w:tabs>
          <w:tab w:val="num" w:pos="4320"/>
        </w:tabs>
        <w:ind w:left="4320" w:hanging="720"/>
      </w:pPr>
      <w:rPr>
        <w:caps w:val="0"/>
        <w:vanish w:val="0"/>
        <w:color w:val="010000"/>
        <w:u w:val="none"/>
      </w:rPr>
    </w:lvl>
    <w:lvl w:ilvl="6">
      <w:start w:val="1"/>
      <w:numFmt w:val="lowerRoman"/>
      <w:pStyle w:val="S2Heading7"/>
      <w:lvlText w:val="(%7)"/>
      <w:lvlJc w:val="left"/>
      <w:pPr>
        <w:tabs>
          <w:tab w:val="num" w:pos="5040"/>
        </w:tabs>
        <w:ind w:left="5040" w:hanging="720"/>
      </w:pPr>
      <w:rPr>
        <w:caps w:val="0"/>
        <w:vanish w:val="0"/>
        <w:color w:val="010000"/>
        <w:u w:val="none"/>
      </w:rPr>
    </w:lvl>
    <w:lvl w:ilvl="7">
      <w:start w:val="1"/>
      <w:numFmt w:val="lowerLetter"/>
      <w:pStyle w:val="S2Heading8"/>
      <w:lvlText w:val="%8)"/>
      <w:lvlJc w:val="left"/>
      <w:pPr>
        <w:tabs>
          <w:tab w:val="num" w:pos="5760"/>
        </w:tabs>
        <w:ind w:left="5760" w:hanging="720"/>
      </w:pPr>
      <w:rPr>
        <w:caps w:val="0"/>
        <w:vanish w:val="0"/>
        <w:color w:val="010000"/>
        <w:u w:val="none"/>
      </w:rPr>
    </w:lvl>
    <w:lvl w:ilvl="8">
      <w:start w:val="1"/>
      <w:numFmt w:val="lowerRoman"/>
      <w:pStyle w:val="S2Heading9"/>
      <w:lvlText w:val="%9)"/>
      <w:lvlJc w:val="left"/>
      <w:pPr>
        <w:tabs>
          <w:tab w:val="num" w:pos="6480"/>
        </w:tabs>
        <w:ind w:left="6480" w:hanging="720"/>
      </w:pPr>
      <w:rPr>
        <w:caps w:val="0"/>
        <w:vanish w:val="0"/>
        <w:color w:val="010000"/>
        <w:u w:val="none"/>
      </w:rPr>
    </w:lvl>
  </w:abstractNum>
  <w:abstractNum w:abstractNumId="8">
    <w:nsid w:val="49435BE6"/>
    <w:multiLevelType w:val="hybridMultilevel"/>
    <w:tmpl w:val="5EFC6E84"/>
    <w:lvl w:ilvl="0" w:tplc="4144236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F86030"/>
    <w:multiLevelType w:val="hybridMultilevel"/>
    <w:tmpl w:val="0D4C6DE4"/>
    <w:lvl w:ilvl="0" w:tplc="CF5CA9A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5780912"/>
    <w:multiLevelType w:val="hybridMultilevel"/>
    <w:tmpl w:val="311AFA96"/>
    <w:lvl w:ilvl="0" w:tplc="7A44132E">
      <w:start w:val="1"/>
      <w:numFmt w:val="decimal"/>
      <w:lvlText w:val="(%1)"/>
      <w:lvlJc w:val="left"/>
      <w:pPr>
        <w:tabs>
          <w:tab w:val="num" w:pos="570"/>
        </w:tabs>
        <w:ind w:left="570" w:hanging="39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6FD87A77"/>
    <w:multiLevelType w:val="hybridMultilevel"/>
    <w:tmpl w:val="DA080CB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71370C5B"/>
    <w:multiLevelType w:val="hybridMultilevel"/>
    <w:tmpl w:val="E3282B70"/>
    <w:lvl w:ilvl="0" w:tplc="7EB20D34">
      <w:start w:val="1"/>
      <w:numFmt w:val="lowerRoman"/>
      <w:lvlText w:val="(%1)"/>
      <w:lvlJc w:val="left"/>
      <w:pPr>
        <w:tabs>
          <w:tab w:val="num" w:pos="1020"/>
        </w:tabs>
        <w:ind w:left="1020" w:hanging="72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3">
    <w:nsid w:val="740A7898"/>
    <w:multiLevelType w:val="hybridMultilevel"/>
    <w:tmpl w:val="5F88674A"/>
    <w:lvl w:ilvl="0" w:tplc="62664982">
      <w:start w:val="12"/>
      <w:numFmt w:val="decimal"/>
      <w:lvlText w:val="(%1)"/>
      <w:lvlJc w:val="left"/>
      <w:pPr>
        <w:tabs>
          <w:tab w:val="num" w:pos="690"/>
        </w:tabs>
        <w:ind w:left="690" w:hanging="51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4">
    <w:nsid w:val="76515BED"/>
    <w:multiLevelType w:val="hybridMultilevel"/>
    <w:tmpl w:val="962C7F86"/>
    <w:lvl w:ilvl="0" w:tplc="C1A2EE24">
      <w:start w:val="6"/>
      <w:numFmt w:val="decimal"/>
      <w:lvlText w:val="(%1)"/>
      <w:lvlJc w:val="left"/>
      <w:pPr>
        <w:tabs>
          <w:tab w:val="num" w:pos="570"/>
        </w:tabs>
        <w:ind w:left="570" w:hanging="39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5">
    <w:nsid w:val="7DF16757"/>
    <w:multiLevelType w:val="hybridMultilevel"/>
    <w:tmpl w:val="74FC6B4A"/>
    <w:lvl w:ilvl="0" w:tplc="E2B4917A">
      <w:start w:val="2"/>
      <w:numFmt w:val="lowerLetter"/>
      <w:lvlText w:val="(%1)"/>
      <w:lvlJc w:val="left"/>
      <w:pPr>
        <w:tabs>
          <w:tab w:val="num" w:pos="450"/>
        </w:tabs>
        <w:ind w:left="450" w:hanging="39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num w:numId="1">
    <w:abstractNumId w:val="6"/>
  </w:num>
  <w:num w:numId="2">
    <w:abstractNumId w:val="15"/>
  </w:num>
  <w:num w:numId="3">
    <w:abstractNumId w:val="10"/>
  </w:num>
  <w:num w:numId="4">
    <w:abstractNumId w:val="14"/>
  </w:num>
  <w:num w:numId="5">
    <w:abstractNumId w:val="3"/>
  </w:num>
  <w:num w:numId="6">
    <w:abstractNumId w:val="12"/>
  </w:num>
  <w:num w:numId="7">
    <w:abstractNumId w:val="13"/>
  </w:num>
  <w:num w:numId="8">
    <w:abstractNumId w:val="5"/>
  </w:num>
  <w:num w:numId="9">
    <w:abstractNumId w:val="1"/>
  </w:num>
  <w:num w:numId="10">
    <w:abstractNumId w:val="8"/>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4"/>
  </w:num>
  <w:num w:numId="14">
    <w:abstractNumId w:val="0"/>
  </w:num>
  <w:num w:numId="15">
    <w:abstractNumId w:val="9"/>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0E3"/>
    <w:rsid w:val="000002CB"/>
    <w:rsid w:val="00000CB0"/>
    <w:rsid w:val="00000E2D"/>
    <w:rsid w:val="000017C4"/>
    <w:rsid w:val="0000235D"/>
    <w:rsid w:val="000035BB"/>
    <w:rsid w:val="00006BC2"/>
    <w:rsid w:val="00007520"/>
    <w:rsid w:val="00007AD3"/>
    <w:rsid w:val="00010964"/>
    <w:rsid w:val="00010F3B"/>
    <w:rsid w:val="0001103F"/>
    <w:rsid w:val="00011E29"/>
    <w:rsid w:val="0001209D"/>
    <w:rsid w:val="00012624"/>
    <w:rsid w:val="00012AA7"/>
    <w:rsid w:val="00012F0F"/>
    <w:rsid w:val="000130CF"/>
    <w:rsid w:val="000132BA"/>
    <w:rsid w:val="0001330B"/>
    <w:rsid w:val="0001395D"/>
    <w:rsid w:val="00013B00"/>
    <w:rsid w:val="00014749"/>
    <w:rsid w:val="00014B9B"/>
    <w:rsid w:val="00015239"/>
    <w:rsid w:val="00015268"/>
    <w:rsid w:val="00015637"/>
    <w:rsid w:val="00015FC5"/>
    <w:rsid w:val="00016E7C"/>
    <w:rsid w:val="0001706D"/>
    <w:rsid w:val="00017637"/>
    <w:rsid w:val="00017E3A"/>
    <w:rsid w:val="000205EF"/>
    <w:rsid w:val="00020DD2"/>
    <w:rsid w:val="00020F38"/>
    <w:rsid w:val="00021C47"/>
    <w:rsid w:val="00021E05"/>
    <w:rsid w:val="00021F05"/>
    <w:rsid w:val="000244AA"/>
    <w:rsid w:val="00024B10"/>
    <w:rsid w:val="00025B1E"/>
    <w:rsid w:val="00025B77"/>
    <w:rsid w:val="000315D8"/>
    <w:rsid w:val="00031968"/>
    <w:rsid w:val="000320EA"/>
    <w:rsid w:val="0003271B"/>
    <w:rsid w:val="00033166"/>
    <w:rsid w:val="000333F1"/>
    <w:rsid w:val="000348C5"/>
    <w:rsid w:val="00034EE2"/>
    <w:rsid w:val="00035169"/>
    <w:rsid w:val="00035854"/>
    <w:rsid w:val="000359CF"/>
    <w:rsid w:val="0003606A"/>
    <w:rsid w:val="000367CB"/>
    <w:rsid w:val="00036EC8"/>
    <w:rsid w:val="00037AB9"/>
    <w:rsid w:val="00037FC7"/>
    <w:rsid w:val="00040269"/>
    <w:rsid w:val="000410D2"/>
    <w:rsid w:val="00041524"/>
    <w:rsid w:val="0004187E"/>
    <w:rsid w:val="00041D3C"/>
    <w:rsid w:val="00041FD1"/>
    <w:rsid w:val="0004297E"/>
    <w:rsid w:val="000431CB"/>
    <w:rsid w:val="00044226"/>
    <w:rsid w:val="000446DB"/>
    <w:rsid w:val="00044E4F"/>
    <w:rsid w:val="00046434"/>
    <w:rsid w:val="0004698F"/>
    <w:rsid w:val="00046F49"/>
    <w:rsid w:val="0004749D"/>
    <w:rsid w:val="000475F3"/>
    <w:rsid w:val="000479B4"/>
    <w:rsid w:val="00050656"/>
    <w:rsid w:val="00052AF9"/>
    <w:rsid w:val="00053010"/>
    <w:rsid w:val="000536B0"/>
    <w:rsid w:val="0005373A"/>
    <w:rsid w:val="00053792"/>
    <w:rsid w:val="00053FFC"/>
    <w:rsid w:val="0005431F"/>
    <w:rsid w:val="000546F6"/>
    <w:rsid w:val="0005568B"/>
    <w:rsid w:val="00055CA0"/>
    <w:rsid w:val="00055FE5"/>
    <w:rsid w:val="000565EA"/>
    <w:rsid w:val="00056A82"/>
    <w:rsid w:val="00057D3B"/>
    <w:rsid w:val="000615B4"/>
    <w:rsid w:val="00061CCC"/>
    <w:rsid w:val="00065005"/>
    <w:rsid w:val="00066EC6"/>
    <w:rsid w:val="0007185A"/>
    <w:rsid w:val="00073C47"/>
    <w:rsid w:val="00074241"/>
    <w:rsid w:val="0007460B"/>
    <w:rsid w:val="0007524A"/>
    <w:rsid w:val="000757AD"/>
    <w:rsid w:val="00076153"/>
    <w:rsid w:val="00076C46"/>
    <w:rsid w:val="00076D69"/>
    <w:rsid w:val="00077432"/>
    <w:rsid w:val="00077884"/>
    <w:rsid w:val="00077E32"/>
    <w:rsid w:val="0008065A"/>
    <w:rsid w:val="00083134"/>
    <w:rsid w:val="000831AA"/>
    <w:rsid w:val="000844DD"/>
    <w:rsid w:val="00085155"/>
    <w:rsid w:val="00085C0D"/>
    <w:rsid w:val="00085C66"/>
    <w:rsid w:val="0008653B"/>
    <w:rsid w:val="000868D6"/>
    <w:rsid w:val="00087B4D"/>
    <w:rsid w:val="000901CB"/>
    <w:rsid w:val="00091208"/>
    <w:rsid w:val="000928E5"/>
    <w:rsid w:val="00093679"/>
    <w:rsid w:val="000936AA"/>
    <w:rsid w:val="00094A2B"/>
    <w:rsid w:val="00095774"/>
    <w:rsid w:val="000958D2"/>
    <w:rsid w:val="00096F54"/>
    <w:rsid w:val="00097145"/>
    <w:rsid w:val="000A02CB"/>
    <w:rsid w:val="000A07BD"/>
    <w:rsid w:val="000A1015"/>
    <w:rsid w:val="000A25EB"/>
    <w:rsid w:val="000A27C5"/>
    <w:rsid w:val="000A29E2"/>
    <w:rsid w:val="000A2D8C"/>
    <w:rsid w:val="000A46C9"/>
    <w:rsid w:val="000A5053"/>
    <w:rsid w:val="000A5190"/>
    <w:rsid w:val="000A5360"/>
    <w:rsid w:val="000A5A18"/>
    <w:rsid w:val="000A5C84"/>
    <w:rsid w:val="000A5E5E"/>
    <w:rsid w:val="000A61B6"/>
    <w:rsid w:val="000A741D"/>
    <w:rsid w:val="000A7657"/>
    <w:rsid w:val="000A7819"/>
    <w:rsid w:val="000A7B06"/>
    <w:rsid w:val="000B03CF"/>
    <w:rsid w:val="000B0D00"/>
    <w:rsid w:val="000B1A73"/>
    <w:rsid w:val="000B1F92"/>
    <w:rsid w:val="000B3B3A"/>
    <w:rsid w:val="000B4661"/>
    <w:rsid w:val="000B4662"/>
    <w:rsid w:val="000B4A44"/>
    <w:rsid w:val="000B5792"/>
    <w:rsid w:val="000B5D58"/>
    <w:rsid w:val="000C0640"/>
    <w:rsid w:val="000C0751"/>
    <w:rsid w:val="000C0E75"/>
    <w:rsid w:val="000C1740"/>
    <w:rsid w:val="000C1854"/>
    <w:rsid w:val="000C1970"/>
    <w:rsid w:val="000C1B7E"/>
    <w:rsid w:val="000C1E2D"/>
    <w:rsid w:val="000C21FB"/>
    <w:rsid w:val="000C4064"/>
    <w:rsid w:val="000C4E7C"/>
    <w:rsid w:val="000C5E3E"/>
    <w:rsid w:val="000C6AFC"/>
    <w:rsid w:val="000C6FB8"/>
    <w:rsid w:val="000C7017"/>
    <w:rsid w:val="000D02BC"/>
    <w:rsid w:val="000D078B"/>
    <w:rsid w:val="000D0F03"/>
    <w:rsid w:val="000D2F5A"/>
    <w:rsid w:val="000D3236"/>
    <w:rsid w:val="000D32A7"/>
    <w:rsid w:val="000D43BF"/>
    <w:rsid w:val="000D4D0A"/>
    <w:rsid w:val="000D52D5"/>
    <w:rsid w:val="000D55D1"/>
    <w:rsid w:val="000D567C"/>
    <w:rsid w:val="000D5715"/>
    <w:rsid w:val="000D5B44"/>
    <w:rsid w:val="000D7958"/>
    <w:rsid w:val="000D7B4D"/>
    <w:rsid w:val="000E09CF"/>
    <w:rsid w:val="000E13B6"/>
    <w:rsid w:val="000E2485"/>
    <w:rsid w:val="000E39C2"/>
    <w:rsid w:val="000E3AA1"/>
    <w:rsid w:val="000E3CD7"/>
    <w:rsid w:val="000E4779"/>
    <w:rsid w:val="000E47CF"/>
    <w:rsid w:val="000E4AEA"/>
    <w:rsid w:val="000E5F0D"/>
    <w:rsid w:val="000E6383"/>
    <w:rsid w:val="000E70FF"/>
    <w:rsid w:val="000F0061"/>
    <w:rsid w:val="000F06B1"/>
    <w:rsid w:val="000F17B6"/>
    <w:rsid w:val="000F17F4"/>
    <w:rsid w:val="000F2AFC"/>
    <w:rsid w:val="000F2B4F"/>
    <w:rsid w:val="000F2DEB"/>
    <w:rsid w:val="000F32EE"/>
    <w:rsid w:val="000F379C"/>
    <w:rsid w:val="000F3DD5"/>
    <w:rsid w:val="000F4EE1"/>
    <w:rsid w:val="000F546F"/>
    <w:rsid w:val="000F5F2C"/>
    <w:rsid w:val="000F62EA"/>
    <w:rsid w:val="000F6639"/>
    <w:rsid w:val="000F76C4"/>
    <w:rsid w:val="00100277"/>
    <w:rsid w:val="001004D2"/>
    <w:rsid w:val="00105A87"/>
    <w:rsid w:val="001071E3"/>
    <w:rsid w:val="0010766A"/>
    <w:rsid w:val="00110DF3"/>
    <w:rsid w:val="0011139A"/>
    <w:rsid w:val="00111486"/>
    <w:rsid w:val="00111838"/>
    <w:rsid w:val="001129E3"/>
    <w:rsid w:val="00113134"/>
    <w:rsid w:val="00113B84"/>
    <w:rsid w:val="00114141"/>
    <w:rsid w:val="00114BF3"/>
    <w:rsid w:val="001150A1"/>
    <w:rsid w:val="0011780E"/>
    <w:rsid w:val="00120EE6"/>
    <w:rsid w:val="00120F08"/>
    <w:rsid w:val="0012109F"/>
    <w:rsid w:val="0012155A"/>
    <w:rsid w:val="00121685"/>
    <w:rsid w:val="00121BDE"/>
    <w:rsid w:val="00121E88"/>
    <w:rsid w:val="00122AB3"/>
    <w:rsid w:val="0012348D"/>
    <w:rsid w:val="0012418E"/>
    <w:rsid w:val="0012462B"/>
    <w:rsid w:val="0012571B"/>
    <w:rsid w:val="001258D4"/>
    <w:rsid w:val="00125B6E"/>
    <w:rsid w:val="00125D24"/>
    <w:rsid w:val="00126017"/>
    <w:rsid w:val="0012681C"/>
    <w:rsid w:val="00126AAC"/>
    <w:rsid w:val="001273CF"/>
    <w:rsid w:val="001274BA"/>
    <w:rsid w:val="00127C38"/>
    <w:rsid w:val="00130550"/>
    <w:rsid w:val="00130EB5"/>
    <w:rsid w:val="001317C5"/>
    <w:rsid w:val="00131E80"/>
    <w:rsid w:val="00133144"/>
    <w:rsid w:val="00134362"/>
    <w:rsid w:val="00134B13"/>
    <w:rsid w:val="00134C94"/>
    <w:rsid w:val="00134EA8"/>
    <w:rsid w:val="0013510F"/>
    <w:rsid w:val="00135187"/>
    <w:rsid w:val="001351C4"/>
    <w:rsid w:val="00136AF3"/>
    <w:rsid w:val="00136BC9"/>
    <w:rsid w:val="00136C9A"/>
    <w:rsid w:val="001372D2"/>
    <w:rsid w:val="00137850"/>
    <w:rsid w:val="00137A58"/>
    <w:rsid w:val="00137DBE"/>
    <w:rsid w:val="001404DB"/>
    <w:rsid w:val="00140852"/>
    <w:rsid w:val="00141FE4"/>
    <w:rsid w:val="00142279"/>
    <w:rsid w:val="00142920"/>
    <w:rsid w:val="00142C54"/>
    <w:rsid w:val="00143719"/>
    <w:rsid w:val="00143DCC"/>
    <w:rsid w:val="00144856"/>
    <w:rsid w:val="0014491A"/>
    <w:rsid w:val="00146443"/>
    <w:rsid w:val="00146BDB"/>
    <w:rsid w:val="00151911"/>
    <w:rsid w:val="00152302"/>
    <w:rsid w:val="00152391"/>
    <w:rsid w:val="00152ADD"/>
    <w:rsid w:val="0015308B"/>
    <w:rsid w:val="00153DA4"/>
    <w:rsid w:val="00154BDB"/>
    <w:rsid w:val="00154FD6"/>
    <w:rsid w:val="001554C0"/>
    <w:rsid w:val="00155C48"/>
    <w:rsid w:val="001576E9"/>
    <w:rsid w:val="00157936"/>
    <w:rsid w:val="00157D43"/>
    <w:rsid w:val="001601B8"/>
    <w:rsid w:val="00160E73"/>
    <w:rsid w:val="00162991"/>
    <w:rsid w:val="00163921"/>
    <w:rsid w:val="00163E6F"/>
    <w:rsid w:val="00164042"/>
    <w:rsid w:val="0016417E"/>
    <w:rsid w:val="00164213"/>
    <w:rsid w:val="00164422"/>
    <w:rsid w:val="00164600"/>
    <w:rsid w:val="001655CD"/>
    <w:rsid w:val="00166A07"/>
    <w:rsid w:val="00167173"/>
    <w:rsid w:val="001671A3"/>
    <w:rsid w:val="0016761F"/>
    <w:rsid w:val="00167E26"/>
    <w:rsid w:val="0017035B"/>
    <w:rsid w:val="00170954"/>
    <w:rsid w:val="001719B5"/>
    <w:rsid w:val="00171B15"/>
    <w:rsid w:val="00172031"/>
    <w:rsid w:val="00172878"/>
    <w:rsid w:val="00173BA7"/>
    <w:rsid w:val="00174559"/>
    <w:rsid w:val="00175E13"/>
    <w:rsid w:val="001769C9"/>
    <w:rsid w:val="00177450"/>
    <w:rsid w:val="00180430"/>
    <w:rsid w:val="00180ADB"/>
    <w:rsid w:val="00180BAC"/>
    <w:rsid w:val="001825C3"/>
    <w:rsid w:val="0018324C"/>
    <w:rsid w:val="00184A9D"/>
    <w:rsid w:val="00184B50"/>
    <w:rsid w:val="001857EB"/>
    <w:rsid w:val="00185A40"/>
    <w:rsid w:val="001905C8"/>
    <w:rsid w:val="00192491"/>
    <w:rsid w:val="00192956"/>
    <w:rsid w:val="00193B60"/>
    <w:rsid w:val="00193C8F"/>
    <w:rsid w:val="00194611"/>
    <w:rsid w:val="00195EBA"/>
    <w:rsid w:val="001973E5"/>
    <w:rsid w:val="001975DE"/>
    <w:rsid w:val="00197934"/>
    <w:rsid w:val="001A039F"/>
    <w:rsid w:val="001A0522"/>
    <w:rsid w:val="001A1724"/>
    <w:rsid w:val="001A225A"/>
    <w:rsid w:val="001A28BE"/>
    <w:rsid w:val="001A29B3"/>
    <w:rsid w:val="001A306D"/>
    <w:rsid w:val="001A35D3"/>
    <w:rsid w:val="001A3E06"/>
    <w:rsid w:val="001A4B28"/>
    <w:rsid w:val="001A4C79"/>
    <w:rsid w:val="001A4DCA"/>
    <w:rsid w:val="001A7526"/>
    <w:rsid w:val="001A77D3"/>
    <w:rsid w:val="001B009E"/>
    <w:rsid w:val="001B0453"/>
    <w:rsid w:val="001B07F5"/>
    <w:rsid w:val="001B0971"/>
    <w:rsid w:val="001B0BEE"/>
    <w:rsid w:val="001B38CF"/>
    <w:rsid w:val="001B39C2"/>
    <w:rsid w:val="001B3DF8"/>
    <w:rsid w:val="001B4711"/>
    <w:rsid w:val="001B5422"/>
    <w:rsid w:val="001B5D49"/>
    <w:rsid w:val="001B6AFF"/>
    <w:rsid w:val="001B6D73"/>
    <w:rsid w:val="001B6F4A"/>
    <w:rsid w:val="001B7682"/>
    <w:rsid w:val="001B7742"/>
    <w:rsid w:val="001C0857"/>
    <w:rsid w:val="001C0959"/>
    <w:rsid w:val="001C2723"/>
    <w:rsid w:val="001C2D99"/>
    <w:rsid w:val="001C45AF"/>
    <w:rsid w:val="001C4927"/>
    <w:rsid w:val="001C56A8"/>
    <w:rsid w:val="001C595B"/>
    <w:rsid w:val="001C6313"/>
    <w:rsid w:val="001C63D6"/>
    <w:rsid w:val="001C649C"/>
    <w:rsid w:val="001C6995"/>
    <w:rsid w:val="001C6D5A"/>
    <w:rsid w:val="001C7624"/>
    <w:rsid w:val="001C77B9"/>
    <w:rsid w:val="001C7868"/>
    <w:rsid w:val="001C7BDA"/>
    <w:rsid w:val="001C7D80"/>
    <w:rsid w:val="001D057D"/>
    <w:rsid w:val="001D12D2"/>
    <w:rsid w:val="001D1323"/>
    <w:rsid w:val="001D17E6"/>
    <w:rsid w:val="001D2371"/>
    <w:rsid w:val="001D2EB6"/>
    <w:rsid w:val="001D2F2A"/>
    <w:rsid w:val="001D2F5E"/>
    <w:rsid w:val="001D3DB0"/>
    <w:rsid w:val="001D40D2"/>
    <w:rsid w:val="001D43E1"/>
    <w:rsid w:val="001D6224"/>
    <w:rsid w:val="001D63E0"/>
    <w:rsid w:val="001D66A1"/>
    <w:rsid w:val="001D6E1D"/>
    <w:rsid w:val="001D708E"/>
    <w:rsid w:val="001D7D4D"/>
    <w:rsid w:val="001E024D"/>
    <w:rsid w:val="001E0550"/>
    <w:rsid w:val="001E0A25"/>
    <w:rsid w:val="001E12A6"/>
    <w:rsid w:val="001E168D"/>
    <w:rsid w:val="001E1E1A"/>
    <w:rsid w:val="001E28CD"/>
    <w:rsid w:val="001E2CB1"/>
    <w:rsid w:val="001E3219"/>
    <w:rsid w:val="001E33D5"/>
    <w:rsid w:val="001E4F80"/>
    <w:rsid w:val="001E5C7B"/>
    <w:rsid w:val="001E65AD"/>
    <w:rsid w:val="001E67B0"/>
    <w:rsid w:val="001E6B26"/>
    <w:rsid w:val="001F2E47"/>
    <w:rsid w:val="001F33E4"/>
    <w:rsid w:val="001F3415"/>
    <w:rsid w:val="001F38DD"/>
    <w:rsid w:val="001F397E"/>
    <w:rsid w:val="001F4E64"/>
    <w:rsid w:val="001F4F45"/>
    <w:rsid w:val="001F627F"/>
    <w:rsid w:val="001F6805"/>
    <w:rsid w:val="001F6E3E"/>
    <w:rsid w:val="001F7426"/>
    <w:rsid w:val="00203514"/>
    <w:rsid w:val="00203EB1"/>
    <w:rsid w:val="002040B2"/>
    <w:rsid w:val="0020452F"/>
    <w:rsid w:val="0020455D"/>
    <w:rsid w:val="002049CE"/>
    <w:rsid w:val="00204AD0"/>
    <w:rsid w:val="00204E2B"/>
    <w:rsid w:val="002068A5"/>
    <w:rsid w:val="00206E08"/>
    <w:rsid w:val="00206FF0"/>
    <w:rsid w:val="002071A7"/>
    <w:rsid w:val="00207226"/>
    <w:rsid w:val="002078BB"/>
    <w:rsid w:val="00207AF8"/>
    <w:rsid w:val="00210DF5"/>
    <w:rsid w:val="00211026"/>
    <w:rsid w:val="002117D0"/>
    <w:rsid w:val="002118A9"/>
    <w:rsid w:val="002119BD"/>
    <w:rsid w:val="00211D6A"/>
    <w:rsid w:val="00211ED7"/>
    <w:rsid w:val="0021258F"/>
    <w:rsid w:val="00212782"/>
    <w:rsid w:val="0021297C"/>
    <w:rsid w:val="00212A3B"/>
    <w:rsid w:val="00213EE5"/>
    <w:rsid w:val="0021410C"/>
    <w:rsid w:val="00214277"/>
    <w:rsid w:val="002147DB"/>
    <w:rsid w:val="00214AFE"/>
    <w:rsid w:val="00214D60"/>
    <w:rsid w:val="002152B2"/>
    <w:rsid w:val="0021546F"/>
    <w:rsid w:val="00215B56"/>
    <w:rsid w:val="00215D08"/>
    <w:rsid w:val="00215D5A"/>
    <w:rsid w:val="002165C5"/>
    <w:rsid w:val="002179FD"/>
    <w:rsid w:val="00220FE5"/>
    <w:rsid w:val="00221256"/>
    <w:rsid w:val="002224F9"/>
    <w:rsid w:val="0022431E"/>
    <w:rsid w:val="00224B6E"/>
    <w:rsid w:val="0022585A"/>
    <w:rsid w:val="002263AC"/>
    <w:rsid w:val="002268D9"/>
    <w:rsid w:val="00226B0B"/>
    <w:rsid w:val="002275AF"/>
    <w:rsid w:val="00230D5B"/>
    <w:rsid w:val="00230DE2"/>
    <w:rsid w:val="00231435"/>
    <w:rsid w:val="00232EF1"/>
    <w:rsid w:val="00233425"/>
    <w:rsid w:val="002336DD"/>
    <w:rsid w:val="00234238"/>
    <w:rsid w:val="00234ABE"/>
    <w:rsid w:val="00234AF5"/>
    <w:rsid w:val="00234ECC"/>
    <w:rsid w:val="0023608D"/>
    <w:rsid w:val="0024076C"/>
    <w:rsid w:val="00240D81"/>
    <w:rsid w:val="002415F2"/>
    <w:rsid w:val="00241861"/>
    <w:rsid w:val="00241AF3"/>
    <w:rsid w:val="0024249D"/>
    <w:rsid w:val="0024317F"/>
    <w:rsid w:val="00244CBE"/>
    <w:rsid w:val="00244D31"/>
    <w:rsid w:val="0024513C"/>
    <w:rsid w:val="002452E3"/>
    <w:rsid w:val="00245BF3"/>
    <w:rsid w:val="00247321"/>
    <w:rsid w:val="0025047B"/>
    <w:rsid w:val="00250849"/>
    <w:rsid w:val="00250AD4"/>
    <w:rsid w:val="00251785"/>
    <w:rsid w:val="0025213E"/>
    <w:rsid w:val="002524AE"/>
    <w:rsid w:val="00252D91"/>
    <w:rsid w:val="0025313F"/>
    <w:rsid w:val="002534FF"/>
    <w:rsid w:val="00254D8E"/>
    <w:rsid w:val="00254DC4"/>
    <w:rsid w:val="002550EF"/>
    <w:rsid w:val="002559E5"/>
    <w:rsid w:val="002568A1"/>
    <w:rsid w:val="002573E2"/>
    <w:rsid w:val="00261568"/>
    <w:rsid w:val="0026162F"/>
    <w:rsid w:val="0026175F"/>
    <w:rsid w:val="00261950"/>
    <w:rsid w:val="00261DA4"/>
    <w:rsid w:val="00262320"/>
    <w:rsid w:val="00263461"/>
    <w:rsid w:val="002635A2"/>
    <w:rsid w:val="0026395A"/>
    <w:rsid w:val="0026397D"/>
    <w:rsid w:val="0026457E"/>
    <w:rsid w:val="00265114"/>
    <w:rsid w:val="002652B3"/>
    <w:rsid w:val="002655A3"/>
    <w:rsid w:val="00265612"/>
    <w:rsid w:val="002665BE"/>
    <w:rsid w:val="00266C2B"/>
    <w:rsid w:val="00266D64"/>
    <w:rsid w:val="0026732E"/>
    <w:rsid w:val="00271320"/>
    <w:rsid w:val="00272A22"/>
    <w:rsid w:val="00272B77"/>
    <w:rsid w:val="00273833"/>
    <w:rsid w:val="00273C64"/>
    <w:rsid w:val="0027536E"/>
    <w:rsid w:val="002757A4"/>
    <w:rsid w:val="00275E38"/>
    <w:rsid w:val="00276DCE"/>
    <w:rsid w:val="00277337"/>
    <w:rsid w:val="00277A4C"/>
    <w:rsid w:val="00280E91"/>
    <w:rsid w:val="00281BC6"/>
    <w:rsid w:val="00281E25"/>
    <w:rsid w:val="00281FC9"/>
    <w:rsid w:val="00282883"/>
    <w:rsid w:val="00284168"/>
    <w:rsid w:val="00284CE5"/>
    <w:rsid w:val="002852ED"/>
    <w:rsid w:val="00285470"/>
    <w:rsid w:val="0028587A"/>
    <w:rsid w:val="002862E8"/>
    <w:rsid w:val="00286757"/>
    <w:rsid w:val="00286EC1"/>
    <w:rsid w:val="00286F6A"/>
    <w:rsid w:val="00290516"/>
    <w:rsid w:val="002905EF"/>
    <w:rsid w:val="00291609"/>
    <w:rsid w:val="00291BDB"/>
    <w:rsid w:val="00291D19"/>
    <w:rsid w:val="00291FFF"/>
    <w:rsid w:val="0029214A"/>
    <w:rsid w:val="00292DE8"/>
    <w:rsid w:val="00293472"/>
    <w:rsid w:val="00293508"/>
    <w:rsid w:val="002936A0"/>
    <w:rsid w:val="00293EA7"/>
    <w:rsid w:val="00295945"/>
    <w:rsid w:val="00296273"/>
    <w:rsid w:val="0029650E"/>
    <w:rsid w:val="002A2367"/>
    <w:rsid w:val="002A3DEF"/>
    <w:rsid w:val="002A4CA9"/>
    <w:rsid w:val="002A4D43"/>
    <w:rsid w:val="002A60FF"/>
    <w:rsid w:val="002A6160"/>
    <w:rsid w:val="002A61E0"/>
    <w:rsid w:val="002A66ED"/>
    <w:rsid w:val="002A6EDE"/>
    <w:rsid w:val="002A7054"/>
    <w:rsid w:val="002A78AA"/>
    <w:rsid w:val="002A7B2E"/>
    <w:rsid w:val="002B00C4"/>
    <w:rsid w:val="002B1AA8"/>
    <w:rsid w:val="002B2612"/>
    <w:rsid w:val="002B2735"/>
    <w:rsid w:val="002B2A86"/>
    <w:rsid w:val="002B406F"/>
    <w:rsid w:val="002B4D3C"/>
    <w:rsid w:val="002B5408"/>
    <w:rsid w:val="002B5812"/>
    <w:rsid w:val="002B69F6"/>
    <w:rsid w:val="002B725F"/>
    <w:rsid w:val="002B7335"/>
    <w:rsid w:val="002B7765"/>
    <w:rsid w:val="002B78DD"/>
    <w:rsid w:val="002C00AF"/>
    <w:rsid w:val="002C0106"/>
    <w:rsid w:val="002C166E"/>
    <w:rsid w:val="002C1DCE"/>
    <w:rsid w:val="002C2312"/>
    <w:rsid w:val="002C2383"/>
    <w:rsid w:val="002C242E"/>
    <w:rsid w:val="002C398C"/>
    <w:rsid w:val="002C3A60"/>
    <w:rsid w:val="002C3CBB"/>
    <w:rsid w:val="002C5000"/>
    <w:rsid w:val="002C5896"/>
    <w:rsid w:val="002C6424"/>
    <w:rsid w:val="002C665D"/>
    <w:rsid w:val="002C71E3"/>
    <w:rsid w:val="002C75EE"/>
    <w:rsid w:val="002D05FF"/>
    <w:rsid w:val="002D0E2E"/>
    <w:rsid w:val="002D2E41"/>
    <w:rsid w:val="002D3A0E"/>
    <w:rsid w:val="002D3D02"/>
    <w:rsid w:val="002D45D1"/>
    <w:rsid w:val="002D58FD"/>
    <w:rsid w:val="002D5D82"/>
    <w:rsid w:val="002D79A2"/>
    <w:rsid w:val="002D7A95"/>
    <w:rsid w:val="002D7FA4"/>
    <w:rsid w:val="002E0838"/>
    <w:rsid w:val="002E0D9D"/>
    <w:rsid w:val="002E13EC"/>
    <w:rsid w:val="002E1A97"/>
    <w:rsid w:val="002E1EED"/>
    <w:rsid w:val="002E3799"/>
    <w:rsid w:val="002E4098"/>
    <w:rsid w:val="002E4FCF"/>
    <w:rsid w:val="002E546C"/>
    <w:rsid w:val="002E5DA6"/>
    <w:rsid w:val="002E653F"/>
    <w:rsid w:val="002E6570"/>
    <w:rsid w:val="002F0B31"/>
    <w:rsid w:val="002F0C08"/>
    <w:rsid w:val="002F19C5"/>
    <w:rsid w:val="002F1E3E"/>
    <w:rsid w:val="002F1E55"/>
    <w:rsid w:val="002F227A"/>
    <w:rsid w:val="002F2838"/>
    <w:rsid w:val="002F2FC5"/>
    <w:rsid w:val="002F3558"/>
    <w:rsid w:val="002F3EE1"/>
    <w:rsid w:val="002F4850"/>
    <w:rsid w:val="002F6B84"/>
    <w:rsid w:val="002F71AE"/>
    <w:rsid w:val="002F7588"/>
    <w:rsid w:val="002F774A"/>
    <w:rsid w:val="003015CD"/>
    <w:rsid w:val="00301F30"/>
    <w:rsid w:val="00302874"/>
    <w:rsid w:val="00302A6D"/>
    <w:rsid w:val="00303857"/>
    <w:rsid w:val="00304B8F"/>
    <w:rsid w:val="00304FE2"/>
    <w:rsid w:val="0030574A"/>
    <w:rsid w:val="00305923"/>
    <w:rsid w:val="00305D74"/>
    <w:rsid w:val="00306D96"/>
    <w:rsid w:val="00307417"/>
    <w:rsid w:val="0031070E"/>
    <w:rsid w:val="00310B19"/>
    <w:rsid w:val="003124FC"/>
    <w:rsid w:val="003127C4"/>
    <w:rsid w:val="00312F9F"/>
    <w:rsid w:val="00313833"/>
    <w:rsid w:val="00314519"/>
    <w:rsid w:val="00314B32"/>
    <w:rsid w:val="00314D31"/>
    <w:rsid w:val="00317627"/>
    <w:rsid w:val="00320F10"/>
    <w:rsid w:val="0032153C"/>
    <w:rsid w:val="003216DA"/>
    <w:rsid w:val="00321F00"/>
    <w:rsid w:val="0032281C"/>
    <w:rsid w:val="00323128"/>
    <w:rsid w:val="003234F5"/>
    <w:rsid w:val="00323C7F"/>
    <w:rsid w:val="00324312"/>
    <w:rsid w:val="00324FF1"/>
    <w:rsid w:val="00325AD3"/>
    <w:rsid w:val="003262EF"/>
    <w:rsid w:val="003264F1"/>
    <w:rsid w:val="00326F75"/>
    <w:rsid w:val="003271DE"/>
    <w:rsid w:val="00330422"/>
    <w:rsid w:val="003304AF"/>
    <w:rsid w:val="0033077F"/>
    <w:rsid w:val="0033114B"/>
    <w:rsid w:val="003320A5"/>
    <w:rsid w:val="003332E9"/>
    <w:rsid w:val="00333743"/>
    <w:rsid w:val="00333C21"/>
    <w:rsid w:val="00333E5D"/>
    <w:rsid w:val="00333F8F"/>
    <w:rsid w:val="00337415"/>
    <w:rsid w:val="00337524"/>
    <w:rsid w:val="00337862"/>
    <w:rsid w:val="00340895"/>
    <w:rsid w:val="00341495"/>
    <w:rsid w:val="00341CAE"/>
    <w:rsid w:val="003426C9"/>
    <w:rsid w:val="0034374B"/>
    <w:rsid w:val="00343CD8"/>
    <w:rsid w:val="00344367"/>
    <w:rsid w:val="00344C0B"/>
    <w:rsid w:val="003450D5"/>
    <w:rsid w:val="003465D9"/>
    <w:rsid w:val="00346CBC"/>
    <w:rsid w:val="003500FF"/>
    <w:rsid w:val="0035049A"/>
    <w:rsid w:val="00350CC5"/>
    <w:rsid w:val="00351346"/>
    <w:rsid w:val="00351F39"/>
    <w:rsid w:val="00352683"/>
    <w:rsid w:val="003531AF"/>
    <w:rsid w:val="00353E4E"/>
    <w:rsid w:val="00354D97"/>
    <w:rsid w:val="00355A1B"/>
    <w:rsid w:val="003573AE"/>
    <w:rsid w:val="003575D7"/>
    <w:rsid w:val="00357B7E"/>
    <w:rsid w:val="0036104B"/>
    <w:rsid w:val="00362686"/>
    <w:rsid w:val="00362EA2"/>
    <w:rsid w:val="00363AAB"/>
    <w:rsid w:val="00363ADD"/>
    <w:rsid w:val="00364825"/>
    <w:rsid w:val="003662E1"/>
    <w:rsid w:val="00366A9D"/>
    <w:rsid w:val="00366DDF"/>
    <w:rsid w:val="00367C9A"/>
    <w:rsid w:val="00367E99"/>
    <w:rsid w:val="0037043D"/>
    <w:rsid w:val="00370894"/>
    <w:rsid w:val="00370A05"/>
    <w:rsid w:val="00370AFC"/>
    <w:rsid w:val="0037197D"/>
    <w:rsid w:val="00372271"/>
    <w:rsid w:val="003725E3"/>
    <w:rsid w:val="00372DCB"/>
    <w:rsid w:val="00372E0C"/>
    <w:rsid w:val="0037302A"/>
    <w:rsid w:val="00374608"/>
    <w:rsid w:val="00374E61"/>
    <w:rsid w:val="00374F2B"/>
    <w:rsid w:val="0037508B"/>
    <w:rsid w:val="003756D2"/>
    <w:rsid w:val="00375A0B"/>
    <w:rsid w:val="00376639"/>
    <w:rsid w:val="00376858"/>
    <w:rsid w:val="003768EB"/>
    <w:rsid w:val="00376F6B"/>
    <w:rsid w:val="00377790"/>
    <w:rsid w:val="0038137B"/>
    <w:rsid w:val="00381F5E"/>
    <w:rsid w:val="003824F6"/>
    <w:rsid w:val="00382B97"/>
    <w:rsid w:val="00382C34"/>
    <w:rsid w:val="00382CBF"/>
    <w:rsid w:val="00383038"/>
    <w:rsid w:val="003834D7"/>
    <w:rsid w:val="003838B9"/>
    <w:rsid w:val="00384A39"/>
    <w:rsid w:val="00384C37"/>
    <w:rsid w:val="00385DCB"/>
    <w:rsid w:val="003861F0"/>
    <w:rsid w:val="00386955"/>
    <w:rsid w:val="0038724D"/>
    <w:rsid w:val="00387835"/>
    <w:rsid w:val="00391018"/>
    <w:rsid w:val="00391F07"/>
    <w:rsid w:val="0039272C"/>
    <w:rsid w:val="00392C84"/>
    <w:rsid w:val="00392D91"/>
    <w:rsid w:val="00392E89"/>
    <w:rsid w:val="0039374E"/>
    <w:rsid w:val="00393B86"/>
    <w:rsid w:val="003946AE"/>
    <w:rsid w:val="00394715"/>
    <w:rsid w:val="0039486D"/>
    <w:rsid w:val="00395648"/>
    <w:rsid w:val="003956F4"/>
    <w:rsid w:val="003961ED"/>
    <w:rsid w:val="00396D06"/>
    <w:rsid w:val="00396DE8"/>
    <w:rsid w:val="00397012"/>
    <w:rsid w:val="00397735"/>
    <w:rsid w:val="0039789B"/>
    <w:rsid w:val="003A040B"/>
    <w:rsid w:val="003A1A73"/>
    <w:rsid w:val="003A2BEE"/>
    <w:rsid w:val="003A36F3"/>
    <w:rsid w:val="003A5B32"/>
    <w:rsid w:val="003A5D32"/>
    <w:rsid w:val="003A72B0"/>
    <w:rsid w:val="003B116B"/>
    <w:rsid w:val="003B1AF3"/>
    <w:rsid w:val="003B1DEE"/>
    <w:rsid w:val="003B205A"/>
    <w:rsid w:val="003B2342"/>
    <w:rsid w:val="003B2E30"/>
    <w:rsid w:val="003B3B23"/>
    <w:rsid w:val="003B3B2E"/>
    <w:rsid w:val="003B42E7"/>
    <w:rsid w:val="003B5458"/>
    <w:rsid w:val="003B5667"/>
    <w:rsid w:val="003B5C86"/>
    <w:rsid w:val="003B645B"/>
    <w:rsid w:val="003B71A0"/>
    <w:rsid w:val="003B78F7"/>
    <w:rsid w:val="003C031D"/>
    <w:rsid w:val="003C032E"/>
    <w:rsid w:val="003C0491"/>
    <w:rsid w:val="003C04E8"/>
    <w:rsid w:val="003C08DA"/>
    <w:rsid w:val="003C0E2C"/>
    <w:rsid w:val="003C23C4"/>
    <w:rsid w:val="003C280C"/>
    <w:rsid w:val="003C2A44"/>
    <w:rsid w:val="003C3594"/>
    <w:rsid w:val="003C3DD9"/>
    <w:rsid w:val="003C44B6"/>
    <w:rsid w:val="003C4D8C"/>
    <w:rsid w:val="003C5A11"/>
    <w:rsid w:val="003C64A0"/>
    <w:rsid w:val="003C6D65"/>
    <w:rsid w:val="003C7165"/>
    <w:rsid w:val="003C7A78"/>
    <w:rsid w:val="003C7D98"/>
    <w:rsid w:val="003D0172"/>
    <w:rsid w:val="003D09B8"/>
    <w:rsid w:val="003D112B"/>
    <w:rsid w:val="003D33F6"/>
    <w:rsid w:val="003D3AD4"/>
    <w:rsid w:val="003D43BA"/>
    <w:rsid w:val="003D53CA"/>
    <w:rsid w:val="003D55B8"/>
    <w:rsid w:val="003D575B"/>
    <w:rsid w:val="003D7B0C"/>
    <w:rsid w:val="003E03B7"/>
    <w:rsid w:val="003E04B5"/>
    <w:rsid w:val="003E2005"/>
    <w:rsid w:val="003E24CD"/>
    <w:rsid w:val="003E302B"/>
    <w:rsid w:val="003E3203"/>
    <w:rsid w:val="003E378F"/>
    <w:rsid w:val="003E410A"/>
    <w:rsid w:val="003E4CB0"/>
    <w:rsid w:val="003E56D8"/>
    <w:rsid w:val="003E6024"/>
    <w:rsid w:val="003E670A"/>
    <w:rsid w:val="003E759D"/>
    <w:rsid w:val="003E786D"/>
    <w:rsid w:val="003E7C8A"/>
    <w:rsid w:val="003F03DB"/>
    <w:rsid w:val="003F0910"/>
    <w:rsid w:val="003F0A3F"/>
    <w:rsid w:val="003F104E"/>
    <w:rsid w:val="003F1704"/>
    <w:rsid w:val="003F25AC"/>
    <w:rsid w:val="003F2E42"/>
    <w:rsid w:val="003F32D0"/>
    <w:rsid w:val="003F3FA2"/>
    <w:rsid w:val="003F4292"/>
    <w:rsid w:val="003F459E"/>
    <w:rsid w:val="003F45A1"/>
    <w:rsid w:val="003F46DD"/>
    <w:rsid w:val="003F471D"/>
    <w:rsid w:val="003F565E"/>
    <w:rsid w:val="003F5EE8"/>
    <w:rsid w:val="003F610F"/>
    <w:rsid w:val="003F6606"/>
    <w:rsid w:val="003F67C2"/>
    <w:rsid w:val="003F684F"/>
    <w:rsid w:val="003F7A45"/>
    <w:rsid w:val="003F7E03"/>
    <w:rsid w:val="003F7FCA"/>
    <w:rsid w:val="004001F8"/>
    <w:rsid w:val="004002B0"/>
    <w:rsid w:val="00401830"/>
    <w:rsid w:val="00402057"/>
    <w:rsid w:val="00402BCF"/>
    <w:rsid w:val="00402F36"/>
    <w:rsid w:val="004034CE"/>
    <w:rsid w:val="00403B5A"/>
    <w:rsid w:val="00405EFF"/>
    <w:rsid w:val="00405FDA"/>
    <w:rsid w:val="004062D5"/>
    <w:rsid w:val="0040648E"/>
    <w:rsid w:val="00407509"/>
    <w:rsid w:val="004110EC"/>
    <w:rsid w:val="00411CF7"/>
    <w:rsid w:val="004123F9"/>
    <w:rsid w:val="00415F43"/>
    <w:rsid w:val="0041604C"/>
    <w:rsid w:val="00416181"/>
    <w:rsid w:val="00416E4C"/>
    <w:rsid w:val="004204E1"/>
    <w:rsid w:val="00420E18"/>
    <w:rsid w:val="0042143C"/>
    <w:rsid w:val="00421A70"/>
    <w:rsid w:val="00421EA5"/>
    <w:rsid w:val="004229A6"/>
    <w:rsid w:val="004230D1"/>
    <w:rsid w:val="0042323A"/>
    <w:rsid w:val="004246C0"/>
    <w:rsid w:val="0042498C"/>
    <w:rsid w:val="004258F4"/>
    <w:rsid w:val="00425C34"/>
    <w:rsid w:val="004265CE"/>
    <w:rsid w:val="00426CEB"/>
    <w:rsid w:val="0043010B"/>
    <w:rsid w:val="00430E36"/>
    <w:rsid w:val="00431DBF"/>
    <w:rsid w:val="004320DE"/>
    <w:rsid w:val="004347B0"/>
    <w:rsid w:val="004351AD"/>
    <w:rsid w:val="004365FC"/>
    <w:rsid w:val="00436721"/>
    <w:rsid w:val="00436E84"/>
    <w:rsid w:val="004371BC"/>
    <w:rsid w:val="004372C2"/>
    <w:rsid w:val="00437368"/>
    <w:rsid w:val="0043784A"/>
    <w:rsid w:val="004406DB"/>
    <w:rsid w:val="004406FC"/>
    <w:rsid w:val="004408CD"/>
    <w:rsid w:val="00441278"/>
    <w:rsid w:val="00442FA6"/>
    <w:rsid w:val="00443126"/>
    <w:rsid w:val="00443515"/>
    <w:rsid w:val="00443DE2"/>
    <w:rsid w:val="00443E23"/>
    <w:rsid w:val="0044471F"/>
    <w:rsid w:val="00446AD8"/>
    <w:rsid w:val="00446DDD"/>
    <w:rsid w:val="00446F4A"/>
    <w:rsid w:val="00450625"/>
    <w:rsid w:val="00451B56"/>
    <w:rsid w:val="00455ACD"/>
    <w:rsid w:val="00456083"/>
    <w:rsid w:val="00456585"/>
    <w:rsid w:val="00456720"/>
    <w:rsid w:val="00456AF6"/>
    <w:rsid w:val="00456D91"/>
    <w:rsid w:val="00456F70"/>
    <w:rsid w:val="00457018"/>
    <w:rsid w:val="004573EF"/>
    <w:rsid w:val="00457F55"/>
    <w:rsid w:val="004607A6"/>
    <w:rsid w:val="00460B35"/>
    <w:rsid w:val="00460DCC"/>
    <w:rsid w:val="00461E61"/>
    <w:rsid w:val="0046289F"/>
    <w:rsid w:val="0046382E"/>
    <w:rsid w:val="00463EFA"/>
    <w:rsid w:val="00463FD8"/>
    <w:rsid w:val="00464228"/>
    <w:rsid w:val="00464B98"/>
    <w:rsid w:val="00466080"/>
    <w:rsid w:val="004661AD"/>
    <w:rsid w:val="004663B3"/>
    <w:rsid w:val="00466A79"/>
    <w:rsid w:val="00466C76"/>
    <w:rsid w:val="00466D1D"/>
    <w:rsid w:val="00466E13"/>
    <w:rsid w:val="00472B7D"/>
    <w:rsid w:val="00472C44"/>
    <w:rsid w:val="00472CC3"/>
    <w:rsid w:val="0047375A"/>
    <w:rsid w:val="004738B9"/>
    <w:rsid w:val="00474243"/>
    <w:rsid w:val="004746D0"/>
    <w:rsid w:val="00475928"/>
    <w:rsid w:val="00475949"/>
    <w:rsid w:val="00475D83"/>
    <w:rsid w:val="00475F0B"/>
    <w:rsid w:val="00477D11"/>
    <w:rsid w:val="00477E20"/>
    <w:rsid w:val="00480736"/>
    <w:rsid w:val="00480806"/>
    <w:rsid w:val="00481259"/>
    <w:rsid w:val="00481A65"/>
    <w:rsid w:val="0048289A"/>
    <w:rsid w:val="00482D88"/>
    <w:rsid w:val="004834AB"/>
    <w:rsid w:val="00483E47"/>
    <w:rsid w:val="00485294"/>
    <w:rsid w:val="00485861"/>
    <w:rsid w:val="00486532"/>
    <w:rsid w:val="00486F03"/>
    <w:rsid w:val="004873C6"/>
    <w:rsid w:val="00487A3E"/>
    <w:rsid w:val="00487B09"/>
    <w:rsid w:val="0049144A"/>
    <w:rsid w:val="004918BB"/>
    <w:rsid w:val="00491B03"/>
    <w:rsid w:val="00492E7B"/>
    <w:rsid w:val="00493BB3"/>
    <w:rsid w:val="00494264"/>
    <w:rsid w:val="00494FB0"/>
    <w:rsid w:val="0049510E"/>
    <w:rsid w:val="004951A5"/>
    <w:rsid w:val="0049783F"/>
    <w:rsid w:val="00497922"/>
    <w:rsid w:val="004A0896"/>
    <w:rsid w:val="004A11A1"/>
    <w:rsid w:val="004A1AF9"/>
    <w:rsid w:val="004A204C"/>
    <w:rsid w:val="004A2E6B"/>
    <w:rsid w:val="004A2F0B"/>
    <w:rsid w:val="004A42C4"/>
    <w:rsid w:val="004A499B"/>
    <w:rsid w:val="004A5802"/>
    <w:rsid w:val="004A5C58"/>
    <w:rsid w:val="004A5D7C"/>
    <w:rsid w:val="004A69DB"/>
    <w:rsid w:val="004A6FD2"/>
    <w:rsid w:val="004A75CA"/>
    <w:rsid w:val="004A7E26"/>
    <w:rsid w:val="004B0BCC"/>
    <w:rsid w:val="004B0F6B"/>
    <w:rsid w:val="004B1570"/>
    <w:rsid w:val="004B1B60"/>
    <w:rsid w:val="004B2AB2"/>
    <w:rsid w:val="004B3046"/>
    <w:rsid w:val="004B3061"/>
    <w:rsid w:val="004B35CD"/>
    <w:rsid w:val="004B55EE"/>
    <w:rsid w:val="004B5F47"/>
    <w:rsid w:val="004B60FF"/>
    <w:rsid w:val="004B62A8"/>
    <w:rsid w:val="004C000B"/>
    <w:rsid w:val="004C1114"/>
    <w:rsid w:val="004C21C3"/>
    <w:rsid w:val="004C2285"/>
    <w:rsid w:val="004C24C3"/>
    <w:rsid w:val="004C264B"/>
    <w:rsid w:val="004C2677"/>
    <w:rsid w:val="004C3995"/>
    <w:rsid w:val="004C39BC"/>
    <w:rsid w:val="004C5E0F"/>
    <w:rsid w:val="004C6775"/>
    <w:rsid w:val="004C6C62"/>
    <w:rsid w:val="004D00F1"/>
    <w:rsid w:val="004D0854"/>
    <w:rsid w:val="004D0CD5"/>
    <w:rsid w:val="004D31EC"/>
    <w:rsid w:val="004D3350"/>
    <w:rsid w:val="004D5D57"/>
    <w:rsid w:val="004D6760"/>
    <w:rsid w:val="004D749A"/>
    <w:rsid w:val="004D7523"/>
    <w:rsid w:val="004E00D2"/>
    <w:rsid w:val="004E07F9"/>
    <w:rsid w:val="004E0EDD"/>
    <w:rsid w:val="004E109F"/>
    <w:rsid w:val="004E12A2"/>
    <w:rsid w:val="004E1D7C"/>
    <w:rsid w:val="004E1DC6"/>
    <w:rsid w:val="004E2B33"/>
    <w:rsid w:val="004E3785"/>
    <w:rsid w:val="004E53CA"/>
    <w:rsid w:val="004E5717"/>
    <w:rsid w:val="004E5A27"/>
    <w:rsid w:val="004E5D60"/>
    <w:rsid w:val="004E6B46"/>
    <w:rsid w:val="004E74A6"/>
    <w:rsid w:val="004E75A8"/>
    <w:rsid w:val="004E76DB"/>
    <w:rsid w:val="004F0C93"/>
    <w:rsid w:val="004F1A3C"/>
    <w:rsid w:val="004F2BEE"/>
    <w:rsid w:val="004F52DC"/>
    <w:rsid w:val="004F5BBA"/>
    <w:rsid w:val="004F5BCC"/>
    <w:rsid w:val="004F61AE"/>
    <w:rsid w:val="004F6F90"/>
    <w:rsid w:val="004F7610"/>
    <w:rsid w:val="004F7E21"/>
    <w:rsid w:val="005001B7"/>
    <w:rsid w:val="00500740"/>
    <w:rsid w:val="005007B1"/>
    <w:rsid w:val="0050099A"/>
    <w:rsid w:val="00500C09"/>
    <w:rsid w:val="005011AF"/>
    <w:rsid w:val="005016A9"/>
    <w:rsid w:val="00502443"/>
    <w:rsid w:val="00503B86"/>
    <w:rsid w:val="00503D0F"/>
    <w:rsid w:val="00503E54"/>
    <w:rsid w:val="005048B2"/>
    <w:rsid w:val="00504EB6"/>
    <w:rsid w:val="00505A90"/>
    <w:rsid w:val="00505EEE"/>
    <w:rsid w:val="005062FF"/>
    <w:rsid w:val="0050663A"/>
    <w:rsid w:val="00506C92"/>
    <w:rsid w:val="00506EEA"/>
    <w:rsid w:val="0050721B"/>
    <w:rsid w:val="00507EDD"/>
    <w:rsid w:val="00510725"/>
    <w:rsid w:val="00510B5D"/>
    <w:rsid w:val="00511CE3"/>
    <w:rsid w:val="00511FBD"/>
    <w:rsid w:val="0051316C"/>
    <w:rsid w:val="00513391"/>
    <w:rsid w:val="00513CB4"/>
    <w:rsid w:val="005154AC"/>
    <w:rsid w:val="005171C1"/>
    <w:rsid w:val="005172EA"/>
    <w:rsid w:val="00520156"/>
    <w:rsid w:val="005201EE"/>
    <w:rsid w:val="0052087C"/>
    <w:rsid w:val="00520BA7"/>
    <w:rsid w:val="005219CE"/>
    <w:rsid w:val="005221CF"/>
    <w:rsid w:val="00522427"/>
    <w:rsid w:val="00522997"/>
    <w:rsid w:val="00522D1C"/>
    <w:rsid w:val="00522E20"/>
    <w:rsid w:val="00522F5D"/>
    <w:rsid w:val="005230E2"/>
    <w:rsid w:val="00525EF0"/>
    <w:rsid w:val="00526D7A"/>
    <w:rsid w:val="00530A65"/>
    <w:rsid w:val="0053114E"/>
    <w:rsid w:val="005312D7"/>
    <w:rsid w:val="00532079"/>
    <w:rsid w:val="00532867"/>
    <w:rsid w:val="00532B8B"/>
    <w:rsid w:val="00532C97"/>
    <w:rsid w:val="00532F7C"/>
    <w:rsid w:val="00533581"/>
    <w:rsid w:val="00533822"/>
    <w:rsid w:val="0053679A"/>
    <w:rsid w:val="00536BCB"/>
    <w:rsid w:val="005407D2"/>
    <w:rsid w:val="005409C5"/>
    <w:rsid w:val="00541710"/>
    <w:rsid w:val="00541863"/>
    <w:rsid w:val="00541FE1"/>
    <w:rsid w:val="00542A59"/>
    <w:rsid w:val="00543B4D"/>
    <w:rsid w:val="00545B07"/>
    <w:rsid w:val="005469BF"/>
    <w:rsid w:val="005470FD"/>
    <w:rsid w:val="00547A09"/>
    <w:rsid w:val="00547E46"/>
    <w:rsid w:val="00550669"/>
    <w:rsid w:val="00550CA6"/>
    <w:rsid w:val="00550E68"/>
    <w:rsid w:val="005527E3"/>
    <w:rsid w:val="005529E6"/>
    <w:rsid w:val="005555A5"/>
    <w:rsid w:val="00556696"/>
    <w:rsid w:val="00556E7B"/>
    <w:rsid w:val="0055700A"/>
    <w:rsid w:val="00561193"/>
    <w:rsid w:val="00561908"/>
    <w:rsid w:val="005624B6"/>
    <w:rsid w:val="00562D3A"/>
    <w:rsid w:val="0056496B"/>
    <w:rsid w:val="005656A8"/>
    <w:rsid w:val="00566B6E"/>
    <w:rsid w:val="00566FDB"/>
    <w:rsid w:val="005675B1"/>
    <w:rsid w:val="00567A3A"/>
    <w:rsid w:val="0057031D"/>
    <w:rsid w:val="00572CAC"/>
    <w:rsid w:val="005739F4"/>
    <w:rsid w:val="005747F6"/>
    <w:rsid w:val="00574BC6"/>
    <w:rsid w:val="00574E2F"/>
    <w:rsid w:val="00577747"/>
    <w:rsid w:val="00577E2C"/>
    <w:rsid w:val="00582597"/>
    <w:rsid w:val="005829ED"/>
    <w:rsid w:val="00582BDF"/>
    <w:rsid w:val="00582C00"/>
    <w:rsid w:val="00582F1E"/>
    <w:rsid w:val="00583043"/>
    <w:rsid w:val="00583385"/>
    <w:rsid w:val="00583F5E"/>
    <w:rsid w:val="0058421D"/>
    <w:rsid w:val="00584F33"/>
    <w:rsid w:val="00586449"/>
    <w:rsid w:val="00586623"/>
    <w:rsid w:val="00586718"/>
    <w:rsid w:val="00586AF9"/>
    <w:rsid w:val="00586B71"/>
    <w:rsid w:val="0058761E"/>
    <w:rsid w:val="005901BD"/>
    <w:rsid w:val="00590B2D"/>
    <w:rsid w:val="00590C92"/>
    <w:rsid w:val="005918DF"/>
    <w:rsid w:val="0059317E"/>
    <w:rsid w:val="0059326C"/>
    <w:rsid w:val="00593772"/>
    <w:rsid w:val="00593B6D"/>
    <w:rsid w:val="00594827"/>
    <w:rsid w:val="005948F4"/>
    <w:rsid w:val="00594AE8"/>
    <w:rsid w:val="0059536E"/>
    <w:rsid w:val="00595A71"/>
    <w:rsid w:val="005970D4"/>
    <w:rsid w:val="005A34BE"/>
    <w:rsid w:val="005A3685"/>
    <w:rsid w:val="005A3ABC"/>
    <w:rsid w:val="005A553A"/>
    <w:rsid w:val="005A579F"/>
    <w:rsid w:val="005A5F18"/>
    <w:rsid w:val="005A6C80"/>
    <w:rsid w:val="005A6E9D"/>
    <w:rsid w:val="005A7A07"/>
    <w:rsid w:val="005A7F69"/>
    <w:rsid w:val="005B16F3"/>
    <w:rsid w:val="005B223E"/>
    <w:rsid w:val="005B2577"/>
    <w:rsid w:val="005B273E"/>
    <w:rsid w:val="005B2B71"/>
    <w:rsid w:val="005B3179"/>
    <w:rsid w:val="005B31C8"/>
    <w:rsid w:val="005B3232"/>
    <w:rsid w:val="005B330F"/>
    <w:rsid w:val="005B3562"/>
    <w:rsid w:val="005B53FA"/>
    <w:rsid w:val="005B5483"/>
    <w:rsid w:val="005B72FC"/>
    <w:rsid w:val="005C0391"/>
    <w:rsid w:val="005C0D2B"/>
    <w:rsid w:val="005C1D12"/>
    <w:rsid w:val="005C30C9"/>
    <w:rsid w:val="005C3A48"/>
    <w:rsid w:val="005C4420"/>
    <w:rsid w:val="005C5352"/>
    <w:rsid w:val="005C5469"/>
    <w:rsid w:val="005C7488"/>
    <w:rsid w:val="005C780A"/>
    <w:rsid w:val="005D0166"/>
    <w:rsid w:val="005D0227"/>
    <w:rsid w:val="005D130A"/>
    <w:rsid w:val="005D1BDE"/>
    <w:rsid w:val="005D1F80"/>
    <w:rsid w:val="005D24CE"/>
    <w:rsid w:val="005D26CB"/>
    <w:rsid w:val="005D2A76"/>
    <w:rsid w:val="005D2CD4"/>
    <w:rsid w:val="005D2CF2"/>
    <w:rsid w:val="005D460A"/>
    <w:rsid w:val="005D5186"/>
    <w:rsid w:val="005D51D5"/>
    <w:rsid w:val="005D59BB"/>
    <w:rsid w:val="005D62DA"/>
    <w:rsid w:val="005D7F6F"/>
    <w:rsid w:val="005E01A0"/>
    <w:rsid w:val="005E100E"/>
    <w:rsid w:val="005E14D4"/>
    <w:rsid w:val="005E169B"/>
    <w:rsid w:val="005E1908"/>
    <w:rsid w:val="005E1CCD"/>
    <w:rsid w:val="005E20D1"/>
    <w:rsid w:val="005E2BB6"/>
    <w:rsid w:val="005E2E59"/>
    <w:rsid w:val="005E3319"/>
    <w:rsid w:val="005E349A"/>
    <w:rsid w:val="005E397D"/>
    <w:rsid w:val="005E3B4F"/>
    <w:rsid w:val="005E3E57"/>
    <w:rsid w:val="005E3E8A"/>
    <w:rsid w:val="005E51CD"/>
    <w:rsid w:val="005E6B58"/>
    <w:rsid w:val="005E6BAC"/>
    <w:rsid w:val="005E7596"/>
    <w:rsid w:val="005E75E4"/>
    <w:rsid w:val="005E7961"/>
    <w:rsid w:val="005E7BEB"/>
    <w:rsid w:val="005E7FF3"/>
    <w:rsid w:val="005F02B0"/>
    <w:rsid w:val="005F0362"/>
    <w:rsid w:val="005F0681"/>
    <w:rsid w:val="005F0DD7"/>
    <w:rsid w:val="005F1B8D"/>
    <w:rsid w:val="005F1C7E"/>
    <w:rsid w:val="005F1FCA"/>
    <w:rsid w:val="005F2201"/>
    <w:rsid w:val="005F35D7"/>
    <w:rsid w:val="005F3814"/>
    <w:rsid w:val="005F41B5"/>
    <w:rsid w:val="005F4280"/>
    <w:rsid w:val="005F4E63"/>
    <w:rsid w:val="005F6022"/>
    <w:rsid w:val="005F6736"/>
    <w:rsid w:val="005F68FF"/>
    <w:rsid w:val="00600512"/>
    <w:rsid w:val="0060243A"/>
    <w:rsid w:val="006028A7"/>
    <w:rsid w:val="006032A8"/>
    <w:rsid w:val="0060331F"/>
    <w:rsid w:val="006037EF"/>
    <w:rsid w:val="00603D85"/>
    <w:rsid w:val="006042B7"/>
    <w:rsid w:val="00604D9F"/>
    <w:rsid w:val="00604EEE"/>
    <w:rsid w:val="0060524E"/>
    <w:rsid w:val="006057DE"/>
    <w:rsid w:val="00605888"/>
    <w:rsid w:val="00605DC5"/>
    <w:rsid w:val="006064D4"/>
    <w:rsid w:val="00606750"/>
    <w:rsid w:val="006067A1"/>
    <w:rsid w:val="006105D0"/>
    <w:rsid w:val="0061246F"/>
    <w:rsid w:val="00613752"/>
    <w:rsid w:val="00613BF1"/>
    <w:rsid w:val="00615BB8"/>
    <w:rsid w:val="00615D0A"/>
    <w:rsid w:val="006166A0"/>
    <w:rsid w:val="00616CCF"/>
    <w:rsid w:val="00616F7B"/>
    <w:rsid w:val="00617D73"/>
    <w:rsid w:val="0062020C"/>
    <w:rsid w:val="0062025B"/>
    <w:rsid w:val="0062137B"/>
    <w:rsid w:val="00621A53"/>
    <w:rsid w:val="00622426"/>
    <w:rsid w:val="00623287"/>
    <w:rsid w:val="0062520A"/>
    <w:rsid w:val="006256B6"/>
    <w:rsid w:val="00625CD2"/>
    <w:rsid w:val="00626872"/>
    <w:rsid w:val="00626FCB"/>
    <w:rsid w:val="00627898"/>
    <w:rsid w:val="00627A2B"/>
    <w:rsid w:val="00630EB4"/>
    <w:rsid w:val="00631336"/>
    <w:rsid w:val="00631B51"/>
    <w:rsid w:val="006321EE"/>
    <w:rsid w:val="00632AA1"/>
    <w:rsid w:val="00632AD7"/>
    <w:rsid w:val="006336D7"/>
    <w:rsid w:val="0063436E"/>
    <w:rsid w:val="00634DDA"/>
    <w:rsid w:val="0063529C"/>
    <w:rsid w:val="006353B9"/>
    <w:rsid w:val="006353E5"/>
    <w:rsid w:val="006354A4"/>
    <w:rsid w:val="006354C1"/>
    <w:rsid w:val="0063626F"/>
    <w:rsid w:val="00636573"/>
    <w:rsid w:val="00636963"/>
    <w:rsid w:val="00637E6E"/>
    <w:rsid w:val="006401E8"/>
    <w:rsid w:val="00640746"/>
    <w:rsid w:val="00641579"/>
    <w:rsid w:val="00641629"/>
    <w:rsid w:val="00641FBD"/>
    <w:rsid w:val="0064211C"/>
    <w:rsid w:val="006438BD"/>
    <w:rsid w:val="00644547"/>
    <w:rsid w:val="00644ABB"/>
    <w:rsid w:val="00644B43"/>
    <w:rsid w:val="00644E30"/>
    <w:rsid w:val="006472F6"/>
    <w:rsid w:val="00647C81"/>
    <w:rsid w:val="0065008E"/>
    <w:rsid w:val="006510C1"/>
    <w:rsid w:val="00651754"/>
    <w:rsid w:val="00652798"/>
    <w:rsid w:val="00652BC4"/>
    <w:rsid w:val="00653C1A"/>
    <w:rsid w:val="0065425D"/>
    <w:rsid w:val="00654315"/>
    <w:rsid w:val="00654CC6"/>
    <w:rsid w:val="00654F90"/>
    <w:rsid w:val="0065547F"/>
    <w:rsid w:val="00656C60"/>
    <w:rsid w:val="0065794A"/>
    <w:rsid w:val="00657E49"/>
    <w:rsid w:val="00660AC8"/>
    <w:rsid w:val="00662E10"/>
    <w:rsid w:val="00663436"/>
    <w:rsid w:val="00663B8A"/>
    <w:rsid w:val="00665135"/>
    <w:rsid w:val="00665318"/>
    <w:rsid w:val="006654F1"/>
    <w:rsid w:val="00665C79"/>
    <w:rsid w:val="00666EA7"/>
    <w:rsid w:val="00667157"/>
    <w:rsid w:val="006676D1"/>
    <w:rsid w:val="006677EE"/>
    <w:rsid w:val="0066792F"/>
    <w:rsid w:val="006707E8"/>
    <w:rsid w:val="00670904"/>
    <w:rsid w:val="006725AF"/>
    <w:rsid w:val="00672D33"/>
    <w:rsid w:val="00673463"/>
    <w:rsid w:val="006765AB"/>
    <w:rsid w:val="0067773D"/>
    <w:rsid w:val="00677B86"/>
    <w:rsid w:val="006807DC"/>
    <w:rsid w:val="00680EA7"/>
    <w:rsid w:val="006821C5"/>
    <w:rsid w:val="00682255"/>
    <w:rsid w:val="00682995"/>
    <w:rsid w:val="006831A4"/>
    <w:rsid w:val="00683A60"/>
    <w:rsid w:val="0068439A"/>
    <w:rsid w:val="006849CE"/>
    <w:rsid w:val="00685947"/>
    <w:rsid w:val="00685B43"/>
    <w:rsid w:val="00685BD8"/>
    <w:rsid w:val="00685EC0"/>
    <w:rsid w:val="0068692C"/>
    <w:rsid w:val="006877EA"/>
    <w:rsid w:val="00687E26"/>
    <w:rsid w:val="00690065"/>
    <w:rsid w:val="0069011B"/>
    <w:rsid w:val="006906C5"/>
    <w:rsid w:val="00690C53"/>
    <w:rsid w:val="00691985"/>
    <w:rsid w:val="00691B60"/>
    <w:rsid w:val="00691C9D"/>
    <w:rsid w:val="00693BB2"/>
    <w:rsid w:val="00694BB0"/>
    <w:rsid w:val="00695BD3"/>
    <w:rsid w:val="00696579"/>
    <w:rsid w:val="00697213"/>
    <w:rsid w:val="00697844"/>
    <w:rsid w:val="006A10DE"/>
    <w:rsid w:val="006A1B4A"/>
    <w:rsid w:val="006A4009"/>
    <w:rsid w:val="006A5395"/>
    <w:rsid w:val="006A6ADB"/>
    <w:rsid w:val="006A6FAD"/>
    <w:rsid w:val="006A73DE"/>
    <w:rsid w:val="006B011C"/>
    <w:rsid w:val="006B0567"/>
    <w:rsid w:val="006B0593"/>
    <w:rsid w:val="006B10A8"/>
    <w:rsid w:val="006B2114"/>
    <w:rsid w:val="006B252A"/>
    <w:rsid w:val="006B28A7"/>
    <w:rsid w:val="006B2AC4"/>
    <w:rsid w:val="006B3FBF"/>
    <w:rsid w:val="006B4635"/>
    <w:rsid w:val="006B52B9"/>
    <w:rsid w:val="006B7C7A"/>
    <w:rsid w:val="006C06F9"/>
    <w:rsid w:val="006C0951"/>
    <w:rsid w:val="006C11E0"/>
    <w:rsid w:val="006C13AB"/>
    <w:rsid w:val="006C1767"/>
    <w:rsid w:val="006C17E8"/>
    <w:rsid w:val="006C184E"/>
    <w:rsid w:val="006C2745"/>
    <w:rsid w:val="006C4908"/>
    <w:rsid w:val="006C4E10"/>
    <w:rsid w:val="006C6D7E"/>
    <w:rsid w:val="006C7409"/>
    <w:rsid w:val="006C742D"/>
    <w:rsid w:val="006D0342"/>
    <w:rsid w:val="006D0ADD"/>
    <w:rsid w:val="006D0CCD"/>
    <w:rsid w:val="006D100A"/>
    <w:rsid w:val="006D1FC7"/>
    <w:rsid w:val="006D2D88"/>
    <w:rsid w:val="006D4730"/>
    <w:rsid w:val="006D4C23"/>
    <w:rsid w:val="006D5065"/>
    <w:rsid w:val="006D5DAE"/>
    <w:rsid w:val="006D5E05"/>
    <w:rsid w:val="006D5F38"/>
    <w:rsid w:val="006D69AA"/>
    <w:rsid w:val="006D7F32"/>
    <w:rsid w:val="006E0829"/>
    <w:rsid w:val="006E0CC8"/>
    <w:rsid w:val="006E11B8"/>
    <w:rsid w:val="006E12B8"/>
    <w:rsid w:val="006E22EE"/>
    <w:rsid w:val="006E27E9"/>
    <w:rsid w:val="006E473A"/>
    <w:rsid w:val="006E4873"/>
    <w:rsid w:val="006E4C51"/>
    <w:rsid w:val="006E4D8A"/>
    <w:rsid w:val="006E5AAC"/>
    <w:rsid w:val="006E660F"/>
    <w:rsid w:val="006E687A"/>
    <w:rsid w:val="006E720A"/>
    <w:rsid w:val="006F1D4D"/>
    <w:rsid w:val="006F2650"/>
    <w:rsid w:val="006F3543"/>
    <w:rsid w:val="006F3CEE"/>
    <w:rsid w:val="006F4271"/>
    <w:rsid w:val="006F4E90"/>
    <w:rsid w:val="006F500E"/>
    <w:rsid w:val="006F5393"/>
    <w:rsid w:val="006F6D35"/>
    <w:rsid w:val="00700054"/>
    <w:rsid w:val="00700F0A"/>
    <w:rsid w:val="00701767"/>
    <w:rsid w:val="00702E81"/>
    <w:rsid w:val="007030D0"/>
    <w:rsid w:val="00704A3F"/>
    <w:rsid w:val="00704A41"/>
    <w:rsid w:val="00705290"/>
    <w:rsid w:val="007055F6"/>
    <w:rsid w:val="0070582A"/>
    <w:rsid w:val="00705B9A"/>
    <w:rsid w:val="00706EAD"/>
    <w:rsid w:val="00706FF4"/>
    <w:rsid w:val="007071A5"/>
    <w:rsid w:val="007071F6"/>
    <w:rsid w:val="0070782F"/>
    <w:rsid w:val="0071063F"/>
    <w:rsid w:val="00711DB4"/>
    <w:rsid w:val="007125E3"/>
    <w:rsid w:val="00712C16"/>
    <w:rsid w:val="007142EF"/>
    <w:rsid w:val="007145FF"/>
    <w:rsid w:val="007148DF"/>
    <w:rsid w:val="007159DB"/>
    <w:rsid w:val="00715ACC"/>
    <w:rsid w:val="007161BC"/>
    <w:rsid w:val="007172AA"/>
    <w:rsid w:val="00717FDB"/>
    <w:rsid w:val="007203F9"/>
    <w:rsid w:val="00720527"/>
    <w:rsid w:val="00720A5D"/>
    <w:rsid w:val="00720B15"/>
    <w:rsid w:val="00720BB7"/>
    <w:rsid w:val="00720EC2"/>
    <w:rsid w:val="00721121"/>
    <w:rsid w:val="00721125"/>
    <w:rsid w:val="007212EE"/>
    <w:rsid w:val="0072152C"/>
    <w:rsid w:val="00721B90"/>
    <w:rsid w:val="007226B6"/>
    <w:rsid w:val="00723174"/>
    <w:rsid w:val="007238AB"/>
    <w:rsid w:val="00724502"/>
    <w:rsid w:val="0072506F"/>
    <w:rsid w:val="00725A67"/>
    <w:rsid w:val="0072657D"/>
    <w:rsid w:val="007269F9"/>
    <w:rsid w:val="007273A8"/>
    <w:rsid w:val="0072794D"/>
    <w:rsid w:val="00727999"/>
    <w:rsid w:val="00730DDB"/>
    <w:rsid w:val="007312F6"/>
    <w:rsid w:val="0073193D"/>
    <w:rsid w:val="00731E45"/>
    <w:rsid w:val="00735029"/>
    <w:rsid w:val="0073518A"/>
    <w:rsid w:val="00735952"/>
    <w:rsid w:val="00736917"/>
    <w:rsid w:val="007375FB"/>
    <w:rsid w:val="00737FEC"/>
    <w:rsid w:val="0074066D"/>
    <w:rsid w:val="00743068"/>
    <w:rsid w:val="00743C40"/>
    <w:rsid w:val="007453B1"/>
    <w:rsid w:val="0074592A"/>
    <w:rsid w:val="00745C3B"/>
    <w:rsid w:val="007466C6"/>
    <w:rsid w:val="0075044C"/>
    <w:rsid w:val="0075097C"/>
    <w:rsid w:val="00750D18"/>
    <w:rsid w:val="00751F22"/>
    <w:rsid w:val="00752331"/>
    <w:rsid w:val="00753152"/>
    <w:rsid w:val="00753FD1"/>
    <w:rsid w:val="007544B1"/>
    <w:rsid w:val="00754791"/>
    <w:rsid w:val="00754893"/>
    <w:rsid w:val="00755583"/>
    <w:rsid w:val="00755971"/>
    <w:rsid w:val="00755E5F"/>
    <w:rsid w:val="00755F09"/>
    <w:rsid w:val="007568F8"/>
    <w:rsid w:val="00756F5F"/>
    <w:rsid w:val="007573BD"/>
    <w:rsid w:val="007606FD"/>
    <w:rsid w:val="0076245B"/>
    <w:rsid w:val="007647B4"/>
    <w:rsid w:val="00764B43"/>
    <w:rsid w:val="00765D7A"/>
    <w:rsid w:val="0076672C"/>
    <w:rsid w:val="00766817"/>
    <w:rsid w:val="00766A47"/>
    <w:rsid w:val="00766D16"/>
    <w:rsid w:val="00766E4B"/>
    <w:rsid w:val="00767FA3"/>
    <w:rsid w:val="00770354"/>
    <w:rsid w:val="00770F9F"/>
    <w:rsid w:val="007712D5"/>
    <w:rsid w:val="00772059"/>
    <w:rsid w:val="0077333C"/>
    <w:rsid w:val="007733E4"/>
    <w:rsid w:val="007736F4"/>
    <w:rsid w:val="00774D85"/>
    <w:rsid w:val="0077529F"/>
    <w:rsid w:val="007765FE"/>
    <w:rsid w:val="00777657"/>
    <w:rsid w:val="00777872"/>
    <w:rsid w:val="00781356"/>
    <w:rsid w:val="00781D0B"/>
    <w:rsid w:val="00781FD9"/>
    <w:rsid w:val="007836AD"/>
    <w:rsid w:val="0078397F"/>
    <w:rsid w:val="007847DE"/>
    <w:rsid w:val="00785DFF"/>
    <w:rsid w:val="00786881"/>
    <w:rsid w:val="00787581"/>
    <w:rsid w:val="00787AB7"/>
    <w:rsid w:val="007910EF"/>
    <w:rsid w:val="00792432"/>
    <w:rsid w:val="007938B7"/>
    <w:rsid w:val="0079417E"/>
    <w:rsid w:val="0079466F"/>
    <w:rsid w:val="007951F6"/>
    <w:rsid w:val="0079526D"/>
    <w:rsid w:val="00796336"/>
    <w:rsid w:val="0079668E"/>
    <w:rsid w:val="007966F9"/>
    <w:rsid w:val="007A01F8"/>
    <w:rsid w:val="007A1155"/>
    <w:rsid w:val="007A1F4D"/>
    <w:rsid w:val="007A202A"/>
    <w:rsid w:val="007A2046"/>
    <w:rsid w:val="007A2505"/>
    <w:rsid w:val="007A2B6B"/>
    <w:rsid w:val="007A2BF9"/>
    <w:rsid w:val="007A2F09"/>
    <w:rsid w:val="007A2F2F"/>
    <w:rsid w:val="007A3D45"/>
    <w:rsid w:val="007A3E44"/>
    <w:rsid w:val="007A5940"/>
    <w:rsid w:val="007A721B"/>
    <w:rsid w:val="007B0095"/>
    <w:rsid w:val="007B1062"/>
    <w:rsid w:val="007B19AC"/>
    <w:rsid w:val="007B1E26"/>
    <w:rsid w:val="007B2034"/>
    <w:rsid w:val="007B21F4"/>
    <w:rsid w:val="007B25AD"/>
    <w:rsid w:val="007B3C78"/>
    <w:rsid w:val="007B505F"/>
    <w:rsid w:val="007B69C6"/>
    <w:rsid w:val="007B6C4A"/>
    <w:rsid w:val="007B7F33"/>
    <w:rsid w:val="007C00B2"/>
    <w:rsid w:val="007C0186"/>
    <w:rsid w:val="007C0B84"/>
    <w:rsid w:val="007C1657"/>
    <w:rsid w:val="007C34FB"/>
    <w:rsid w:val="007C391B"/>
    <w:rsid w:val="007C3AF0"/>
    <w:rsid w:val="007C3E5A"/>
    <w:rsid w:val="007C44A0"/>
    <w:rsid w:val="007C4B96"/>
    <w:rsid w:val="007C5470"/>
    <w:rsid w:val="007C5CA4"/>
    <w:rsid w:val="007C65E9"/>
    <w:rsid w:val="007C65FB"/>
    <w:rsid w:val="007C715B"/>
    <w:rsid w:val="007D00D9"/>
    <w:rsid w:val="007D0D5D"/>
    <w:rsid w:val="007D19CE"/>
    <w:rsid w:val="007D1CD7"/>
    <w:rsid w:val="007D2640"/>
    <w:rsid w:val="007D32FA"/>
    <w:rsid w:val="007D480F"/>
    <w:rsid w:val="007D49E4"/>
    <w:rsid w:val="007D4B51"/>
    <w:rsid w:val="007D5D33"/>
    <w:rsid w:val="007D7F7A"/>
    <w:rsid w:val="007E0AC3"/>
    <w:rsid w:val="007E0DE5"/>
    <w:rsid w:val="007E23B7"/>
    <w:rsid w:val="007E2B04"/>
    <w:rsid w:val="007E3456"/>
    <w:rsid w:val="007E422C"/>
    <w:rsid w:val="007E4F3F"/>
    <w:rsid w:val="007E4F7B"/>
    <w:rsid w:val="007E5467"/>
    <w:rsid w:val="007E5732"/>
    <w:rsid w:val="007E6314"/>
    <w:rsid w:val="007E6426"/>
    <w:rsid w:val="007E7528"/>
    <w:rsid w:val="007F0356"/>
    <w:rsid w:val="007F0451"/>
    <w:rsid w:val="007F0952"/>
    <w:rsid w:val="007F0EBD"/>
    <w:rsid w:val="007F18A6"/>
    <w:rsid w:val="007F1B3C"/>
    <w:rsid w:val="007F21B9"/>
    <w:rsid w:val="007F240A"/>
    <w:rsid w:val="007F25AA"/>
    <w:rsid w:val="007F3175"/>
    <w:rsid w:val="007F3220"/>
    <w:rsid w:val="007F332E"/>
    <w:rsid w:val="007F55A8"/>
    <w:rsid w:val="007F5AE3"/>
    <w:rsid w:val="007F6F43"/>
    <w:rsid w:val="007F7F28"/>
    <w:rsid w:val="00800753"/>
    <w:rsid w:val="008026D0"/>
    <w:rsid w:val="008065C6"/>
    <w:rsid w:val="00807663"/>
    <w:rsid w:val="00807959"/>
    <w:rsid w:val="00807C5F"/>
    <w:rsid w:val="00807D17"/>
    <w:rsid w:val="0081005E"/>
    <w:rsid w:val="00810A2F"/>
    <w:rsid w:val="00812BB7"/>
    <w:rsid w:val="00812D1B"/>
    <w:rsid w:val="00815510"/>
    <w:rsid w:val="0081647E"/>
    <w:rsid w:val="00816FE5"/>
    <w:rsid w:val="0081720D"/>
    <w:rsid w:val="00817323"/>
    <w:rsid w:val="008177E4"/>
    <w:rsid w:val="00817A1E"/>
    <w:rsid w:val="0082018F"/>
    <w:rsid w:val="00820A0C"/>
    <w:rsid w:val="00820ED7"/>
    <w:rsid w:val="00820EF0"/>
    <w:rsid w:val="00821CEF"/>
    <w:rsid w:val="00824CC2"/>
    <w:rsid w:val="008253E7"/>
    <w:rsid w:val="00825BFD"/>
    <w:rsid w:val="00825C97"/>
    <w:rsid w:val="008260AA"/>
    <w:rsid w:val="008268E2"/>
    <w:rsid w:val="00827F90"/>
    <w:rsid w:val="008304C8"/>
    <w:rsid w:val="00830CFD"/>
    <w:rsid w:val="00831192"/>
    <w:rsid w:val="00831BEA"/>
    <w:rsid w:val="00831F84"/>
    <w:rsid w:val="008324DA"/>
    <w:rsid w:val="0083349F"/>
    <w:rsid w:val="008341BA"/>
    <w:rsid w:val="00834B0B"/>
    <w:rsid w:val="008355D3"/>
    <w:rsid w:val="00836231"/>
    <w:rsid w:val="00836757"/>
    <w:rsid w:val="008375C2"/>
    <w:rsid w:val="00837B3B"/>
    <w:rsid w:val="00837F6A"/>
    <w:rsid w:val="0084113C"/>
    <w:rsid w:val="00841309"/>
    <w:rsid w:val="0084212A"/>
    <w:rsid w:val="00842A09"/>
    <w:rsid w:val="0084300C"/>
    <w:rsid w:val="00843852"/>
    <w:rsid w:val="0084385D"/>
    <w:rsid w:val="00844037"/>
    <w:rsid w:val="00845007"/>
    <w:rsid w:val="0084525D"/>
    <w:rsid w:val="0084647B"/>
    <w:rsid w:val="0085011F"/>
    <w:rsid w:val="00850E6F"/>
    <w:rsid w:val="008511FD"/>
    <w:rsid w:val="00851BAA"/>
    <w:rsid w:val="00852731"/>
    <w:rsid w:val="00853689"/>
    <w:rsid w:val="00853852"/>
    <w:rsid w:val="00854545"/>
    <w:rsid w:val="00855B52"/>
    <w:rsid w:val="00857923"/>
    <w:rsid w:val="00857F21"/>
    <w:rsid w:val="00860063"/>
    <w:rsid w:val="008605DB"/>
    <w:rsid w:val="00860F1E"/>
    <w:rsid w:val="008611EB"/>
    <w:rsid w:val="0086183F"/>
    <w:rsid w:val="008627DA"/>
    <w:rsid w:val="00862C37"/>
    <w:rsid w:val="00862ED8"/>
    <w:rsid w:val="00864378"/>
    <w:rsid w:val="008646D8"/>
    <w:rsid w:val="00864D37"/>
    <w:rsid w:val="00865587"/>
    <w:rsid w:val="00866116"/>
    <w:rsid w:val="00866A06"/>
    <w:rsid w:val="0086746B"/>
    <w:rsid w:val="0086770D"/>
    <w:rsid w:val="00870CDF"/>
    <w:rsid w:val="00870FDC"/>
    <w:rsid w:val="00871C4E"/>
    <w:rsid w:val="0087426A"/>
    <w:rsid w:val="00874884"/>
    <w:rsid w:val="00874DF5"/>
    <w:rsid w:val="00876834"/>
    <w:rsid w:val="00876884"/>
    <w:rsid w:val="00877702"/>
    <w:rsid w:val="00877ADC"/>
    <w:rsid w:val="00880197"/>
    <w:rsid w:val="00880410"/>
    <w:rsid w:val="00881B83"/>
    <w:rsid w:val="00882888"/>
    <w:rsid w:val="008831FA"/>
    <w:rsid w:val="00883C3D"/>
    <w:rsid w:val="008840E7"/>
    <w:rsid w:val="00884945"/>
    <w:rsid w:val="00884F4A"/>
    <w:rsid w:val="00885CD4"/>
    <w:rsid w:val="00886493"/>
    <w:rsid w:val="00886683"/>
    <w:rsid w:val="008866C7"/>
    <w:rsid w:val="00886960"/>
    <w:rsid w:val="0088728A"/>
    <w:rsid w:val="008879F5"/>
    <w:rsid w:val="0089084E"/>
    <w:rsid w:val="00891330"/>
    <w:rsid w:val="00892232"/>
    <w:rsid w:val="00892917"/>
    <w:rsid w:val="00892969"/>
    <w:rsid w:val="00893A02"/>
    <w:rsid w:val="00893F35"/>
    <w:rsid w:val="00893F68"/>
    <w:rsid w:val="00894A6F"/>
    <w:rsid w:val="008952C5"/>
    <w:rsid w:val="008955B1"/>
    <w:rsid w:val="00895FBB"/>
    <w:rsid w:val="00897A03"/>
    <w:rsid w:val="008A199D"/>
    <w:rsid w:val="008A2224"/>
    <w:rsid w:val="008A296A"/>
    <w:rsid w:val="008A36CB"/>
    <w:rsid w:val="008A38FA"/>
    <w:rsid w:val="008A3980"/>
    <w:rsid w:val="008A3ACC"/>
    <w:rsid w:val="008A3F67"/>
    <w:rsid w:val="008A40CB"/>
    <w:rsid w:val="008A4379"/>
    <w:rsid w:val="008A4C14"/>
    <w:rsid w:val="008A4DAA"/>
    <w:rsid w:val="008A65E7"/>
    <w:rsid w:val="008A70B4"/>
    <w:rsid w:val="008A7334"/>
    <w:rsid w:val="008A747A"/>
    <w:rsid w:val="008A7DB0"/>
    <w:rsid w:val="008B00FE"/>
    <w:rsid w:val="008B1335"/>
    <w:rsid w:val="008B1C07"/>
    <w:rsid w:val="008B1F53"/>
    <w:rsid w:val="008B393A"/>
    <w:rsid w:val="008B3E5F"/>
    <w:rsid w:val="008B4B12"/>
    <w:rsid w:val="008B56B6"/>
    <w:rsid w:val="008B5CBB"/>
    <w:rsid w:val="008B6F2B"/>
    <w:rsid w:val="008B761C"/>
    <w:rsid w:val="008C0750"/>
    <w:rsid w:val="008C0CC3"/>
    <w:rsid w:val="008C0EE5"/>
    <w:rsid w:val="008C0F6E"/>
    <w:rsid w:val="008C1AB7"/>
    <w:rsid w:val="008C1B33"/>
    <w:rsid w:val="008C20EC"/>
    <w:rsid w:val="008C2159"/>
    <w:rsid w:val="008C2807"/>
    <w:rsid w:val="008C5F11"/>
    <w:rsid w:val="008C6598"/>
    <w:rsid w:val="008C6C7C"/>
    <w:rsid w:val="008C6DF1"/>
    <w:rsid w:val="008C7A85"/>
    <w:rsid w:val="008D093D"/>
    <w:rsid w:val="008D11BB"/>
    <w:rsid w:val="008D1CD4"/>
    <w:rsid w:val="008D2708"/>
    <w:rsid w:val="008D35DF"/>
    <w:rsid w:val="008D4696"/>
    <w:rsid w:val="008D5922"/>
    <w:rsid w:val="008D5EB7"/>
    <w:rsid w:val="008D6A49"/>
    <w:rsid w:val="008D7AE4"/>
    <w:rsid w:val="008E1C33"/>
    <w:rsid w:val="008E22F9"/>
    <w:rsid w:val="008E2D02"/>
    <w:rsid w:val="008E30E5"/>
    <w:rsid w:val="008E34FE"/>
    <w:rsid w:val="008E3917"/>
    <w:rsid w:val="008E6AF2"/>
    <w:rsid w:val="008E7D23"/>
    <w:rsid w:val="008F017A"/>
    <w:rsid w:val="008F0230"/>
    <w:rsid w:val="008F02A9"/>
    <w:rsid w:val="008F10FD"/>
    <w:rsid w:val="008F1C3C"/>
    <w:rsid w:val="008F241A"/>
    <w:rsid w:val="008F2863"/>
    <w:rsid w:val="008F2B64"/>
    <w:rsid w:val="008F32E3"/>
    <w:rsid w:val="008F3D70"/>
    <w:rsid w:val="008F5173"/>
    <w:rsid w:val="008F7534"/>
    <w:rsid w:val="0090091E"/>
    <w:rsid w:val="00901071"/>
    <w:rsid w:val="0090153F"/>
    <w:rsid w:val="00901973"/>
    <w:rsid w:val="00901A2A"/>
    <w:rsid w:val="00901A3D"/>
    <w:rsid w:val="0090213B"/>
    <w:rsid w:val="00902430"/>
    <w:rsid w:val="009036E5"/>
    <w:rsid w:val="00904675"/>
    <w:rsid w:val="00905130"/>
    <w:rsid w:val="009068C9"/>
    <w:rsid w:val="00907313"/>
    <w:rsid w:val="009075E8"/>
    <w:rsid w:val="00907EC4"/>
    <w:rsid w:val="00910553"/>
    <w:rsid w:val="00910755"/>
    <w:rsid w:val="00910B82"/>
    <w:rsid w:val="00911A02"/>
    <w:rsid w:val="00911D1D"/>
    <w:rsid w:val="009125F3"/>
    <w:rsid w:val="00912850"/>
    <w:rsid w:val="0091286D"/>
    <w:rsid w:val="00912CE5"/>
    <w:rsid w:val="009136D6"/>
    <w:rsid w:val="00914F87"/>
    <w:rsid w:val="009159A8"/>
    <w:rsid w:val="00915BF2"/>
    <w:rsid w:val="00916A57"/>
    <w:rsid w:val="00916B55"/>
    <w:rsid w:val="00917013"/>
    <w:rsid w:val="00917B59"/>
    <w:rsid w:val="00920115"/>
    <w:rsid w:val="00920650"/>
    <w:rsid w:val="00920D07"/>
    <w:rsid w:val="0092172E"/>
    <w:rsid w:val="00921F9D"/>
    <w:rsid w:val="00922359"/>
    <w:rsid w:val="0092242D"/>
    <w:rsid w:val="0092380E"/>
    <w:rsid w:val="0092406D"/>
    <w:rsid w:val="00924287"/>
    <w:rsid w:val="009250AD"/>
    <w:rsid w:val="00926644"/>
    <w:rsid w:val="009268A3"/>
    <w:rsid w:val="009276A4"/>
    <w:rsid w:val="00930A00"/>
    <w:rsid w:val="00930A93"/>
    <w:rsid w:val="00930E49"/>
    <w:rsid w:val="0093135F"/>
    <w:rsid w:val="009314C3"/>
    <w:rsid w:val="009320B6"/>
    <w:rsid w:val="009326EF"/>
    <w:rsid w:val="00935382"/>
    <w:rsid w:val="009375DA"/>
    <w:rsid w:val="00940104"/>
    <w:rsid w:val="00940284"/>
    <w:rsid w:val="0094041A"/>
    <w:rsid w:val="00940787"/>
    <w:rsid w:val="00940E3C"/>
    <w:rsid w:val="009413B8"/>
    <w:rsid w:val="00941573"/>
    <w:rsid w:val="009420E3"/>
    <w:rsid w:val="00943130"/>
    <w:rsid w:val="009437E2"/>
    <w:rsid w:val="00943AB1"/>
    <w:rsid w:val="00943E6C"/>
    <w:rsid w:val="00943E75"/>
    <w:rsid w:val="0094541B"/>
    <w:rsid w:val="00945822"/>
    <w:rsid w:val="00945835"/>
    <w:rsid w:val="00945DE7"/>
    <w:rsid w:val="00945FEC"/>
    <w:rsid w:val="00946911"/>
    <w:rsid w:val="00946CA1"/>
    <w:rsid w:val="00946F1F"/>
    <w:rsid w:val="00947377"/>
    <w:rsid w:val="0094742A"/>
    <w:rsid w:val="009479E6"/>
    <w:rsid w:val="00947B23"/>
    <w:rsid w:val="00950239"/>
    <w:rsid w:val="0095032A"/>
    <w:rsid w:val="009508E5"/>
    <w:rsid w:val="00950984"/>
    <w:rsid w:val="00950BD0"/>
    <w:rsid w:val="00951170"/>
    <w:rsid w:val="00951995"/>
    <w:rsid w:val="00951D8F"/>
    <w:rsid w:val="00953659"/>
    <w:rsid w:val="00953B78"/>
    <w:rsid w:val="00953C11"/>
    <w:rsid w:val="00953C14"/>
    <w:rsid w:val="00954705"/>
    <w:rsid w:val="00954C22"/>
    <w:rsid w:val="00954E3B"/>
    <w:rsid w:val="00954FC5"/>
    <w:rsid w:val="00954FFB"/>
    <w:rsid w:val="0095679C"/>
    <w:rsid w:val="0095720C"/>
    <w:rsid w:val="00957CB7"/>
    <w:rsid w:val="0096118B"/>
    <w:rsid w:val="009624DD"/>
    <w:rsid w:val="00962711"/>
    <w:rsid w:val="00962854"/>
    <w:rsid w:val="0096285C"/>
    <w:rsid w:val="00962F73"/>
    <w:rsid w:val="00963DCD"/>
    <w:rsid w:val="00964C53"/>
    <w:rsid w:val="00964E0E"/>
    <w:rsid w:val="00965150"/>
    <w:rsid w:val="00965302"/>
    <w:rsid w:val="0096555C"/>
    <w:rsid w:val="00965596"/>
    <w:rsid w:val="00965935"/>
    <w:rsid w:val="009662FE"/>
    <w:rsid w:val="0096666D"/>
    <w:rsid w:val="00966C1A"/>
    <w:rsid w:val="00967C29"/>
    <w:rsid w:val="00967E73"/>
    <w:rsid w:val="00971270"/>
    <w:rsid w:val="00971330"/>
    <w:rsid w:val="00972480"/>
    <w:rsid w:val="009736C1"/>
    <w:rsid w:val="0097466D"/>
    <w:rsid w:val="0097524A"/>
    <w:rsid w:val="00975481"/>
    <w:rsid w:val="00977106"/>
    <w:rsid w:val="00977CAE"/>
    <w:rsid w:val="00980066"/>
    <w:rsid w:val="009807ED"/>
    <w:rsid w:val="0098185A"/>
    <w:rsid w:val="00982F40"/>
    <w:rsid w:val="00983505"/>
    <w:rsid w:val="00983EA0"/>
    <w:rsid w:val="00984CB6"/>
    <w:rsid w:val="00985497"/>
    <w:rsid w:val="0098558C"/>
    <w:rsid w:val="00986682"/>
    <w:rsid w:val="009867B6"/>
    <w:rsid w:val="00986B5F"/>
    <w:rsid w:val="0098741C"/>
    <w:rsid w:val="009919DB"/>
    <w:rsid w:val="00991C41"/>
    <w:rsid w:val="00991F2D"/>
    <w:rsid w:val="00992621"/>
    <w:rsid w:val="00993512"/>
    <w:rsid w:val="00994E33"/>
    <w:rsid w:val="00995309"/>
    <w:rsid w:val="00995707"/>
    <w:rsid w:val="0099577C"/>
    <w:rsid w:val="0099680B"/>
    <w:rsid w:val="00997368"/>
    <w:rsid w:val="00997697"/>
    <w:rsid w:val="00997793"/>
    <w:rsid w:val="0099796B"/>
    <w:rsid w:val="009979D7"/>
    <w:rsid w:val="00997CDB"/>
    <w:rsid w:val="009A11AC"/>
    <w:rsid w:val="009A18E2"/>
    <w:rsid w:val="009A1C16"/>
    <w:rsid w:val="009A2154"/>
    <w:rsid w:val="009A217F"/>
    <w:rsid w:val="009A22A5"/>
    <w:rsid w:val="009A2F42"/>
    <w:rsid w:val="009A3772"/>
    <w:rsid w:val="009A436E"/>
    <w:rsid w:val="009A5962"/>
    <w:rsid w:val="009A64B8"/>
    <w:rsid w:val="009A6778"/>
    <w:rsid w:val="009A6D1E"/>
    <w:rsid w:val="009B051C"/>
    <w:rsid w:val="009B0EF9"/>
    <w:rsid w:val="009B2240"/>
    <w:rsid w:val="009B243D"/>
    <w:rsid w:val="009B25EB"/>
    <w:rsid w:val="009B2B58"/>
    <w:rsid w:val="009B3326"/>
    <w:rsid w:val="009B3755"/>
    <w:rsid w:val="009B5396"/>
    <w:rsid w:val="009B5AA0"/>
    <w:rsid w:val="009B5B9D"/>
    <w:rsid w:val="009B5E4F"/>
    <w:rsid w:val="009C01A7"/>
    <w:rsid w:val="009C01E7"/>
    <w:rsid w:val="009C099B"/>
    <w:rsid w:val="009C0A00"/>
    <w:rsid w:val="009C0A14"/>
    <w:rsid w:val="009C0CA6"/>
    <w:rsid w:val="009C0D06"/>
    <w:rsid w:val="009C1D25"/>
    <w:rsid w:val="009C230C"/>
    <w:rsid w:val="009C24BC"/>
    <w:rsid w:val="009C2FF7"/>
    <w:rsid w:val="009C36A8"/>
    <w:rsid w:val="009C3D4C"/>
    <w:rsid w:val="009C51C2"/>
    <w:rsid w:val="009C58E5"/>
    <w:rsid w:val="009C5DC3"/>
    <w:rsid w:val="009C656D"/>
    <w:rsid w:val="009C6899"/>
    <w:rsid w:val="009C7BF0"/>
    <w:rsid w:val="009D069F"/>
    <w:rsid w:val="009D1D99"/>
    <w:rsid w:val="009D22F4"/>
    <w:rsid w:val="009D2B9E"/>
    <w:rsid w:val="009D315A"/>
    <w:rsid w:val="009E03F7"/>
    <w:rsid w:val="009E1321"/>
    <w:rsid w:val="009E2093"/>
    <w:rsid w:val="009E2BD6"/>
    <w:rsid w:val="009E4161"/>
    <w:rsid w:val="009E4226"/>
    <w:rsid w:val="009E54F2"/>
    <w:rsid w:val="009E5916"/>
    <w:rsid w:val="009E5C21"/>
    <w:rsid w:val="009E6292"/>
    <w:rsid w:val="009F0BEF"/>
    <w:rsid w:val="009F1062"/>
    <w:rsid w:val="009F3737"/>
    <w:rsid w:val="009F445D"/>
    <w:rsid w:val="009F6013"/>
    <w:rsid w:val="009F611D"/>
    <w:rsid w:val="009F7E45"/>
    <w:rsid w:val="00A001BE"/>
    <w:rsid w:val="00A008DB"/>
    <w:rsid w:val="00A00AA7"/>
    <w:rsid w:val="00A00F2D"/>
    <w:rsid w:val="00A01209"/>
    <w:rsid w:val="00A016B9"/>
    <w:rsid w:val="00A01C90"/>
    <w:rsid w:val="00A0244B"/>
    <w:rsid w:val="00A0260B"/>
    <w:rsid w:val="00A02A5D"/>
    <w:rsid w:val="00A0364D"/>
    <w:rsid w:val="00A037EB"/>
    <w:rsid w:val="00A03B08"/>
    <w:rsid w:val="00A03D07"/>
    <w:rsid w:val="00A0419B"/>
    <w:rsid w:val="00A04F27"/>
    <w:rsid w:val="00A056DB"/>
    <w:rsid w:val="00A05FCF"/>
    <w:rsid w:val="00A06B6B"/>
    <w:rsid w:val="00A07D60"/>
    <w:rsid w:val="00A1010F"/>
    <w:rsid w:val="00A1050B"/>
    <w:rsid w:val="00A108C4"/>
    <w:rsid w:val="00A10F18"/>
    <w:rsid w:val="00A1150E"/>
    <w:rsid w:val="00A1170F"/>
    <w:rsid w:val="00A12A5C"/>
    <w:rsid w:val="00A14EA7"/>
    <w:rsid w:val="00A15EEE"/>
    <w:rsid w:val="00A16467"/>
    <w:rsid w:val="00A1666F"/>
    <w:rsid w:val="00A16B4F"/>
    <w:rsid w:val="00A16CFA"/>
    <w:rsid w:val="00A16CFE"/>
    <w:rsid w:val="00A16E65"/>
    <w:rsid w:val="00A171F3"/>
    <w:rsid w:val="00A17889"/>
    <w:rsid w:val="00A207F9"/>
    <w:rsid w:val="00A20AF0"/>
    <w:rsid w:val="00A20CED"/>
    <w:rsid w:val="00A20D6A"/>
    <w:rsid w:val="00A20F0C"/>
    <w:rsid w:val="00A213DE"/>
    <w:rsid w:val="00A21911"/>
    <w:rsid w:val="00A21A36"/>
    <w:rsid w:val="00A230A2"/>
    <w:rsid w:val="00A231CE"/>
    <w:rsid w:val="00A23EEF"/>
    <w:rsid w:val="00A2416D"/>
    <w:rsid w:val="00A24951"/>
    <w:rsid w:val="00A258EB"/>
    <w:rsid w:val="00A267EC"/>
    <w:rsid w:val="00A26D9B"/>
    <w:rsid w:val="00A27103"/>
    <w:rsid w:val="00A27F13"/>
    <w:rsid w:val="00A31864"/>
    <w:rsid w:val="00A33DD5"/>
    <w:rsid w:val="00A34056"/>
    <w:rsid w:val="00A34882"/>
    <w:rsid w:val="00A34F49"/>
    <w:rsid w:val="00A35896"/>
    <w:rsid w:val="00A36D45"/>
    <w:rsid w:val="00A36D91"/>
    <w:rsid w:val="00A36DF7"/>
    <w:rsid w:val="00A3736C"/>
    <w:rsid w:val="00A37CE1"/>
    <w:rsid w:val="00A401F2"/>
    <w:rsid w:val="00A4025C"/>
    <w:rsid w:val="00A408D7"/>
    <w:rsid w:val="00A40DD7"/>
    <w:rsid w:val="00A417E6"/>
    <w:rsid w:val="00A435B6"/>
    <w:rsid w:val="00A44258"/>
    <w:rsid w:val="00A45267"/>
    <w:rsid w:val="00A456DD"/>
    <w:rsid w:val="00A458C0"/>
    <w:rsid w:val="00A461F8"/>
    <w:rsid w:val="00A468D4"/>
    <w:rsid w:val="00A470EF"/>
    <w:rsid w:val="00A47161"/>
    <w:rsid w:val="00A47C19"/>
    <w:rsid w:val="00A50907"/>
    <w:rsid w:val="00A51129"/>
    <w:rsid w:val="00A522C7"/>
    <w:rsid w:val="00A53B37"/>
    <w:rsid w:val="00A5506C"/>
    <w:rsid w:val="00A551A8"/>
    <w:rsid w:val="00A559AF"/>
    <w:rsid w:val="00A55E4E"/>
    <w:rsid w:val="00A56A36"/>
    <w:rsid w:val="00A574E2"/>
    <w:rsid w:val="00A57923"/>
    <w:rsid w:val="00A57F59"/>
    <w:rsid w:val="00A60D83"/>
    <w:rsid w:val="00A61137"/>
    <w:rsid w:val="00A61247"/>
    <w:rsid w:val="00A6294C"/>
    <w:rsid w:val="00A64E7C"/>
    <w:rsid w:val="00A65A1C"/>
    <w:rsid w:val="00A65E2A"/>
    <w:rsid w:val="00A66540"/>
    <w:rsid w:val="00A66D06"/>
    <w:rsid w:val="00A678EA"/>
    <w:rsid w:val="00A72472"/>
    <w:rsid w:val="00A72AA2"/>
    <w:rsid w:val="00A74AE5"/>
    <w:rsid w:val="00A74CA6"/>
    <w:rsid w:val="00A751B8"/>
    <w:rsid w:val="00A75A9D"/>
    <w:rsid w:val="00A75DF9"/>
    <w:rsid w:val="00A7621A"/>
    <w:rsid w:val="00A763A8"/>
    <w:rsid w:val="00A76EDA"/>
    <w:rsid w:val="00A7793F"/>
    <w:rsid w:val="00A81642"/>
    <w:rsid w:val="00A81EB7"/>
    <w:rsid w:val="00A82691"/>
    <w:rsid w:val="00A82BC1"/>
    <w:rsid w:val="00A83524"/>
    <w:rsid w:val="00A839BA"/>
    <w:rsid w:val="00A84376"/>
    <w:rsid w:val="00A84D50"/>
    <w:rsid w:val="00A8564A"/>
    <w:rsid w:val="00A87C77"/>
    <w:rsid w:val="00A909C4"/>
    <w:rsid w:val="00A90AC4"/>
    <w:rsid w:val="00A90F08"/>
    <w:rsid w:val="00A91AE4"/>
    <w:rsid w:val="00A92ED9"/>
    <w:rsid w:val="00A93BBB"/>
    <w:rsid w:val="00A94577"/>
    <w:rsid w:val="00A954BD"/>
    <w:rsid w:val="00A9559D"/>
    <w:rsid w:val="00A95800"/>
    <w:rsid w:val="00A96010"/>
    <w:rsid w:val="00A961DC"/>
    <w:rsid w:val="00A966FD"/>
    <w:rsid w:val="00A96A18"/>
    <w:rsid w:val="00A96D8F"/>
    <w:rsid w:val="00AA1011"/>
    <w:rsid w:val="00AA1646"/>
    <w:rsid w:val="00AA1C58"/>
    <w:rsid w:val="00AA20B2"/>
    <w:rsid w:val="00AA213E"/>
    <w:rsid w:val="00AA22A6"/>
    <w:rsid w:val="00AA2489"/>
    <w:rsid w:val="00AA2BFD"/>
    <w:rsid w:val="00AA2FC6"/>
    <w:rsid w:val="00AA3340"/>
    <w:rsid w:val="00AA5B4D"/>
    <w:rsid w:val="00AA5C4C"/>
    <w:rsid w:val="00AA60F4"/>
    <w:rsid w:val="00AA6826"/>
    <w:rsid w:val="00AA6DB6"/>
    <w:rsid w:val="00AA75DA"/>
    <w:rsid w:val="00AB08CD"/>
    <w:rsid w:val="00AB1357"/>
    <w:rsid w:val="00AB195D"/>
    <w:rsid w:val="00AB2ED0"/>
    <w:rsid w:val="00AB34DB"/>
    <w:rsid w:val="00AB37D5"/>
    <w:rsid w:val="00AB38FA"/>
    <w:rsid w:val="00AB3DCC"/>
    <w:rsid w:val="00AB3E36"/>
    <w:rsid w:val="00AB520A"/>
    <w:rsid w:val="00AB6499"/>
    <w:rsid w:val="00AB749D"/>
    <w:rsid w:val="00AB7F37"/>
    <w:rsid w:val="00AC0186"/>
    <w:rsid w:val="00AC0FAB"/>
    <w:rsid w:val="00AC0FBC"/>
    <w:rsid w:val="00AC2DB7"/>
    <w:rsid w:val="00AC3532"/>
    <w:rsid w:val="00AC38C4"/>
    <w:rsid w:val="00AC454B"/>
    <w:rsid w:val="00AC5DF4"/>
    <w:rsid w:val="00AC5F44"/>
    <w:rsid w:val="00AC65E2"/>
    <w:rsid w:val="00AC6991"/>
    <w:rsid w:val="00AC6C2D"/>
    <w:rsid w:val="00AC6EE8"/>
    <w:rsid w:val="00AC722D"/>
    <w:rsid w:val="00AC7290"/>
    <w:rsid w:val="00AC72F9"/>
    <w:rsid w:val="00AC74B5"/>
    <w:rsid w:val="00AD0C94"/>
    <w:rsid w:val="00AD1238"/>
    <w:rsid w:val="00AD21E1"/>
    <w:rsid w:val="00AD281C"/>
    <w:rsid w:val="00AD3DED"/>
    <w:rsid w:val="00AD51D8"/>
    <w:rsid w:val="00AD5A50"/>
    <w:rsid w:val="00AD60C4"/>
    <w:rsid w:val="00AD6DE5"/>
    <w:rsid w:val="00AD6E2D"/>
    <w:rsid w:val="00AD74AC"/>
    <w:rsid w:val="00AD7983"/>
    <w:rsid w:val="00AD7A98"/>
    <w:rsid w:val="00AD7D0A"/>
    <w:rsid w:val="00AE06D3"/>
    <w:rsid w:val="00AE1B7E"/>
    <w:rsid w:val="00AE1E96"/>
    <w:rsid w:val="00AE231B"/>
    <w:rsid w:val="00AE2FC1"/>
    <w:rsid w:val="00AE6066"/>
    <w:rsid w:val="00AE68D4"/>
    <w:rsid w:val="00AE6E3A"/>
    <w:rsid w:val="00AE7A0A"/>
    <w:rsid w:val="00AE7F92"/>
    <w:rsid w:val="00AF022B"/>
    <w:rsid w:val="00AF2254"/>
    <w:rsid w:val="00AF29B5"/>
    <w:rsid w:val="00AF2FB8"/>
    <w:rsid w:val="00AF3324"/>
    <w:rsid w:val="00AF49E8"/>
    <w:rsid w:val="00AF5A08"/>
    <w:rsid w:val="00AF67AE"/>
    <w:rsid w:val="00AF6B25"/>
    <w:rsid w:val="00AF732C"/>
    <w:rsid w:val="00AF79FC"/>
    <w:rsid w:val="00B00FDF"/>
    <w:rsid w:val="00B04219"/>
    <w:rsid w:val="00B06ECA"/>
    <w:rsid w:val="00B0728D"/>
    <w:rsid w:val="00B0780B"/>
    <w:rsid w:val="00B07A6C"/>
    <w:rsid w:val="00B07B2E"/>
    <w:rsid w:val="00B07F6A"/>
    <w:rsid w:val="00B11196"/>
    <w:rsid w:val="00B13271"/>
    <w:rsid w:val="00B135B8"/>
    <w:rsid w:val="00B1367F"/>
    <w:rsid w:val="00B137C9"/>
    <w:rsid w:val="00B14913"/>
    <w:rsid w:val="00B14D61"/>
    <w:rsid w:val="00B14E5D"/>
    <w:rsid w:val="00B14F6B"/>
    <w:rsid w:val="00B15EFB"/>
    <w:rsid w:val="00B15FBE"/>
    <w:rsid w:val="00B17A45"/>
    <w:rsid w:val="00B205EC"/>
    <w:rsid w:val="00B210F0"/>
    <w:rsid w:val="00B21863"/>
    <w:rsid w:val="00B21E57"/>
    <w:rsid w:val="00B224F8"/>
    <w:rsid w:val="00B22BD3"/>
    <w:rsid w:val="00B232EE"/>
    <w:rsid w:val="00B2377E"/>
    <w:rsid w:val="00B23F37"/>
    <w:rsid w:val="00B23F83"/>
    <w:rsid w:val="00B241C8"/>
    <w:rsid w:val="00B2512F"/>
    <w:rsid w:val="00B26404"/>
    <w:rsid w:val="00B26A52"/>
    <w:rsid w:val="00B3163F"/>
    <w:rsid w:val="00B3178B"/>
    <w:rsid w:val="00B31C75"/>
    <w:rsid w:val="00B33419"/>
    <w:rsid w:val="00B33CB5"/>
    <w:rsid w:val="00B356A4"/>
    <w:rsid w:val="00B35DA0"/>
    <w:rsid w:val="00B35EEB"/>
    <w:rsid w:val="00B36CC3"/>
    <w:rsid w:val="00B3718B"/>
    <w:rsid w:val="00B37350"/>
    <w:rsid w:val="00B403A9"/>
    <w:rsid w:val="00B4045F"/>
    <w:rsid w:val="00B409AC"/>
    <w:rsid w:val="00B40C92"/>
    <w:rsid w:val="00B41BC3"/>
    <w:rsid w:val="00B420CB"/>
    <w:rsid w:val="00B42D67"/>
    <w:rsid w:val="00B432E8"/>
    <w:rsid w:val="00B437C8"/>
    <w:rsid w:val="00B43D18"/>
    <w:rsid w:val="00B43E27"/>
    <w:rsid w:val="00B4463A"/>
    <w:rsid w:val="00B44BF7"/>
    <w:rsid w:val="00B44BF8"/>
    <w:rsid w:val="00B4523E"/>
    <w:rsid w:val="00B4699C"/>
    <w:rsid w:val="00B46B86"/>
    <w:rsid w:val="00B46BFF"/>
    <w:rsid w:val="00B47536"/>
    <w:rsid w:val="00B477F3"/>
    <w:rsid w:val="00B47CB5"/>
    <w:rsid w:val="00B5024F"/>
    <w:rsid w:val="00B51AB1"/>
    <w:rsid w:val="00B51B4D"/>
    <w:rsid w:val="00B521DC"/>
    <w:rsid w:val="00B52BF7"/>
    <w:rsid w:val="00B53079"/>
    <w:rsid w:val="00B5348C"/>
    <w:rsid w:val="00B53A29"/>
    <w:rsid w:val="00B54ABC"/>
    <w:rsid w:val="00B55400"/>
    <w:rsid w:val="00B55BF9"/>
    <w:rsid w:val="00B5703C"/>
    <w:rsid w:val="00B5707C"/>
    <w:rsid w:val="00B6000D"/>
    <w:rsid w:val="00B60C3B"/>
    <w:rsid w:val="00B61066"/>
    <w:rsid w:val="00B6128F"/>
    <w:rsid w:val="00B61F17"/>
    <w:rsid w:val="00B61F24"/>
    <w:rsid w:val="00B63474"/>
    <w:rsid w:val="00B63D25"/>
    <w:rsid w:val="00B63EEF"/>
    <w:rsid w:val="00B64663"/>
    <w:rsid w:val="00B647C5"/>
    <w:rsid w:val="00B6545C"/>
    <w:rsid w:val="00B65E9D"/>
    <w:rsid w:val="00B66D65"/>
    <w:rsid w:val="00B674C8"/>
    <w:rsid w:val="00B67810"/>
    <w:rsid w:val="00B67C7C"/>
    <w:rsid w:val="00B67E2E"/>
    <w:rsid w:val="00B67FE1"/>
    <w:rsid w:val="00B70BD3"/>
    <w:rsid w:val="00B71F6E"/>
    <w:rsid w:val="00B72423"/>
    <w:rsid w:val="00B7384B"/>
    <w:rsid w:val="00B73D11"/>
    <w:rsid w:val="00B740BD"/>
    <w:rsid w:val="00B742E9"/>
    <w:rsid w:val="00B755C2"/>
    <w:rsid w:val="00B75826"/>
    <w:rsid w:val="00B75DD4"/>
    <w:rsid w:val="00B766DC"/>
    <w:rsid w:val="00B76A92"/>
    <w:rsid w:val="00B77631"/>
    <w:rsid w:val="00B776A2"/>
    <w:rsid w:val="00B77704"/>
    <w:rsid w:val="00B7770F"/>
    <w:rsid w:val="00B77FDE"/>
    <w:rsid w:val="00B80AC9"/>
    <w:rsid w:val="00B80BBF"/>
    <w:rsid w:val="00B81090"/>
    <w:rsid w:val="00B819CC"/>
    <w:rsid w:val="00B81AA9"/>
    <w:rsid w:val="00B81DCC"/>
    <w:rsid w:val="00B82BD3"/>
    <w:rsid w:val="00B83BF3"/>
    <w:rsid w:val="00B83C8D"/>
    <w:rsid w:val="00B83E59"/>
    <w:rsid w:val="00B8424E"/>
    <w:rsid w:val="00B84AEB"/>
    <w:rsid w:val="00B858FB"/>
    <w:rsid w:val="00B86488"/>
    <w:rsid w:val="00B90D55"/>
    <w:rsid w:val="00B922DC"/>
    <w:rsid w:val="00B92BC9"/>
    <w:rsid w:val="00B92D74"/>
    <w:rsid w:val="00B92DA4"/>
    <w:rsid w:val="00B949BD"/>
    <w:rsid w:val="00B94A06"/>
    <w:rsid w:val="00B95103"/>
    <w:rsid w:val="00B95D67"/>
    <w:rsid w:val="00B95DEE"/>
    <w:rsid w:val="00B9621B"/>
    <w:rsid w:val="00B963EF"/>
    <w:rsid w:val="00B96540"/>
    <w:rsid w:val="00BA011B"/>
    <w:rsid w:val="00BA0872"/>
    <w:rsid w:val="00BA1206"/>
    <w:rsid w:val="00BA1735"/>
    <w:rsid w:val="00BA2170"/>
    <w:rsid w:val="00BA2B24"/>
    <w:rsid w:val="00BA2D01"/>
    <w:rsid w:val="00BA2EAE"/>
    <w:rsid w:val="00BA309E"/>
    <w:rsid w:val="00BA33AB"/>
    <w:rsid w:val="00BA3843"/>
    <w:rsid w:val="00BA40DD"/>
    <w:rsid w:val="00BA4584"/>
    <w:rsid w:val="00BA4D08"/>
    <w:rsid w:val="00BA4D59"/>
    <w:rsid w:val="00BA5C15"/>
    <w:rsid w:val="00BA6231"/>
    <w:rsid w:val="00BA66BE"/>
    <w:rsid w:val="00BA6FB4"/>
    <w:rsid w:val="00BA74F1"/>
    <w:rsid w:val="00BB07B5"/>
    <w:rsid w:val="00BB0A60"/>
    <w:rsid w:val="00BB0C9F"/>
    <w:rsid w:val="00BB1285"/>
    <w:rsid w:val="00BB1C88"/>
    <w:rsid w:val="00BB1EEC"/>
    <w:rsid w:val="00BB2136"/>
    <w:rsid w:val="00BB2F35"/>
    <w:rsid w:val="00BB39FA"/>
    <w:rsid w:val="00BB515E"/>
    <w:rsid w:val="00BB5EFD"/>
    <w:rsid w:val="00BB6105"/>
    <w:rsid w:val="00BB678C"/>
    <w:rsid w:val="00BB752F"/>
    <w:rsid w:val="00BB7BA3"/>
    <w:rsid w:val="00BB7EDD"/>
    <w:rsid w:val="00BC1758"/>
    <w:rsid w:val="00BC1B00"/>
    <w:rsid w:val="00BC1C73"/>
    <w:rsid w:val="00BC22C8"/>
    <w:rsid w:val="00BC38C6"/>
    <w:rsid w:val="00BC3BE9"/>
    <w:rsid w:val="00BC4222"/>
    <w:rsid w:val="00BC447C"/>
    <w:rsid w:val="00BC4CAC"/>
    <w:rsid w:val="00BC5623"/>
    <w:rsid w:val="00BC593F"/>
    <w:rsid w:val="00BC5E94"/>
    <w:rsid w:val="00BC6415"/>
    <w:rsid w:val="00BD0CF1"/>
    <w:rsid w:val="00BD0D1B"/>
    <w:rsid w:val="00BD0F53"/>
    <w:rsid w:val="00BD15F0"/>
    <w:rsid w:val="00BD30A5"/>
    <w:rsid w:val="00BD35C3"/>
    <w:rsid w:val="00BD3964"/>
    <w:rsid w:val="00BD3E1C"/>
    <w:rsid w:val="00BD54E8"/>
    <w:rsid w:val="00BD57BC"/>
    <w:rsid w:val="00BD5A67"/>
    <w:rsid w:val="00BD69C4"/>
    <w:rsid w:val="00BD6EF8"/>
    <w:rsid w:val="00BD711A"/>
    <w:rsid w:val="00BD7980"/>
    <w:rsid w:val="00BD7BCB"/>
    <w:rsid w:val="00BE07A0"/>
    <w:rsid w:val="00BE0B3A"/>
    <w:rsid w:val="00BE0C4A"/>
    <w:rsid w:val="00BE13BD"/>
    <w:rsid w:val="00BE1882"/>
    <w:rsid w:val="00BE1D10"/>
    <w:rsid w:val="00BE1ECC"/>
    <w:rsid w:val="00BE2421"/>
    <w:rsid w:val="00BE2CA3"/>
    <w:rsid w:val="00BE2CD1"/>
    <w:rsid w:val="00BE2F79"/>
    <w:rsid w:val="00BE352F"/>
    <w:rsid w:val="00BE57D7"/>
    <w:rsid w:val="00BE65D8"/>
    <w:rsid w:val="00BE65FA"/>
    <w:rsid w:val="00BE6BD0"/>
    <w:rsid w:val="00BE6CE4"/>
    <w:rsid w:val="00BE7627"/>
    <w:rsid w:val="00BF0478"/>
    <w:rsid w:val="00BF0826"/>
    <w:rsid w:val="00BF12CA"/>
    <w:rsid w:val="00BF14F0"/>
    <w:rsid w:val="00BF1949"/>
    <w:rsid w:val="00BF1BBF"/>
    <w:rsid w:val="00BF223A"/>
    <w:rsid w:val="00BF299C"/>
    <w:rsid w:val="00BF2A19"/>
    <w:rsid w:val="00BF2ADE"/>
    <w:rsid w:val="00BF41E6"/>
    <w:rsid w:val="00BF4367"/>
    <w:rsid w:val="00BF6191"/>
    <w:rsid w:val="00BF648C"/>
    <w:rsid w:val="00BF7ED6"/>
    <w:rsid w:val="00C000A8"/>
    <w:rsid w:val="00C0123D"/>
    <w:rsid w:val="00C01880"/>
    <w:rsid w:val="00C018B5"/>
    <w:rsid w:val="00C0194F"/>
    <w:rsid w:val="00C023D8"/>
    <w:rsid w:val="00C0256F"/>
    <w:rsid w:val="00C02594"/>
    <w:rsid w:val="00C0339A"/>
    <w:rsid w:val="00C03B88"/>
    <w:rsid w:val="00C041B3"/>
    <w:rsid w:val="00C0435C"/>
    <w:rsid w:val="00C0458C"/>
    <w:rsid w:val="00C04FEC"/>
    <w:rsid w:val="00C052B8"/>
    <w:rsid w:val="00C05B41"/>
    <w:rsid w:val="00C05D91"/>
    <w:rsid w:val="00C068A2"/>
    <w:rsid w:val="00C07482"/>
    <w:rsid w:val="00C10DBA"/>
    <w:rsid w:val="00C11106"/>
    <w:rsid w:val="00C11908"/>
    <w:rsid w:val="00C11C4E"/>
    <w:rsid w:val="00C134FC"/>
    <w:rsid w:val="00C136D1"/>
    <w:rsid w:val="00C13BA8"/>
    <w:rsid w:val="00C14F1D"/>
    <w:rsid w:val="00C1698C"/>
    <w:rsid w:val="00C16E89"/>
    <w:rsid w:val="00C215D3"/>
    <w:rsid w:val="00C21E65"/>
    <w:rsid w:val="00C223E5"/>
    <w:rsid w:val="00C22B98"/>
    <w:rsid w:val="00C239F2"/>
    <w:rsid w:val="00C24FB3"/>
    <w:rsid w:val="00C25135"/>
    <w:rsid w:val="00C25DCD"/>
    <w:rsid w:val="00C26934"/>
    <w:rsid w:val="00C26BA9"/>
    <w:rsid w:val="00C27176"/>
    <w:rsid w:val="00C2720B"/>
    <w:rsid w:val="00C273A0"/>
    <w:rsid w:val="00C3069F"/>
    <w:rsid w:val="00C315BB"/>
    <w:rsid w:val="00C32A59"/>
    <w:rsid w:val="00C33327"/>
    <w:rsid w:val="00C337E0"/>
    <w:rsid w:val="00C36224"/>
    <w:rsid w:val="00C36C18"/>
    <w:rsid w:val="00C40F59"/>
    <w:rsid w:val="00C4154F"/>
    <w:rsid w:val="00C4182A"/>
    <w:rsid w:val="00C41C20"/>
    <w:rsid w:val="00C435D4"/>
    <w:rsid w:val="00C43C58"/>
    <w:rsid w:val="00C43E8C"/>
    <w:rsid w:val="00C44469"/>
    <w:rsid w:val="00C44B20"/>
    <w:rsid w:val="00C4555E"/>
    <w:rsid w:val="00C4656B"/>
    <w:rsid w:val="00C47687"/>
    <w:rsid w:val="00C477F6"/>
    <w:rsid w:val="00C50693"/>
    <w:rsid w:val="00C5104C"/>
    <w:rsid w:val="00C5168F"/>
    <w:rsid w:val="00C5245D"/>
    <w:rsid w:val="00C525AE"/>
    <w:rsid w:val="00C52CF5"/>
    <w:rsid w:val="00C5370C"/>
    <w:rsid w:val="00C541DD"/>
    <w:rsid w:val="00C54675"/>
    <w:rsid w:val="00C55319"/>
    <w:rsid w:val="00C5781E"/>
    <w:rsid w:val="00C60731"/>
    <w:rsid w:val="00C60C95"/>
    <w:rsid w:val="00C61944"/>
    <w:rsid w:val="00C63007"/>
    <w:rsid w:val="00C6446C"/>
    <w:rsid w:val="00C64555"/>
    <w:rsid w:val="00C6497F"/>
    <w:rsid w:val="00C64D91"/>
    <w:rsid w:val="00C65567"/>
    <w:rsid w:val="00C65D42"/>
    <w:rsid w:val="00C70961"/>
    <w:rsid w:val="00C70971"/>
    <w:rsid w:val="00C70D74"/>
    <w:rsid w:val="00C72A35"/>
    <w:rsid w:val="00C74020"/>
    <w:rsid w:val="00C74C84"/>
    <w:rsid w:val="00C7548A"/>
    <w:rsid w:val="00C757E0"/>
    <w:rsid w:val="00C7595C"/>
    <w:rsid w:val="00C77F43"/>
    <w:rsid w:val="00C80275"/>
    <w:rsid w:val="00C803D5"/>
    <w:rsid w:val="00C807F7"/>
    <w:rsid w:val="00C81FA7"/>
    <w:rsid w:val="00C8226E"/>
    <w:rsid w:val="00C8360E"/>
    <w:rsid w:val="00C836FF"/>
    <w:rsid w:val="00C8394A"/>
    <w:rsid w:val="00C8576F"/>
    <w:rsid w:val="00C859CB"/>
    <w:rsid w:val="00C85EDA"/>
    <w:rsid w:val="00C86888"/>
    <w:rsid w:val="00C8698D"/>
    <w:rsid w:val="00C86CD5"/>
    <w:rsid w:val="00C86EDC"/>
    <w:rsid w:val="00C8710E"/>
    <w:rsid w:val="00C8763F"/>
    <w:rsid w:val="00C8773D"/>
    <w:rsid w:val="00C87D84"/>
    <w:rsid w:val="00C87EBB"/>
    <w:rsid w:val="00C90AFD"/>
    <w:rsid w:val="00C90D59"/>
    <w:rsid w:val="00C921E2"/>
    <w:rsid w:val="00C9335A"/>
    <w:rsid w:val="00C939A9"/>
    <w:rsid w:val="00C93F8D"/>
    <w:rsid w:val="00C940BA"/>
    <w:rsid w:val="00C94596"/>
    <w:rsid w:val="00C95299"/>
    <w:rsid w:val="00C95A39"/>
    <w:rsid w:val="00C95AA4"/>
    <w:rsid w:val="00C97132"/>
    <w:rsid w:val="00CA039C"/>
    <w:rsid w:val="00CA10DD"/>
    <w:rsid w:val="00CA1749"/>
    <w:rsid w:val="00CA2672"/>
    <w:rsid w:val="00CA2EA5"/>
    <w:rsid w:val="00CA3258"/>
    <w:rsid w:val="00CA3AF3"/>
    <w:rsid w:val="00CA3BF2"/>
    <w:rsid w:val="00CA4022"/>
    <w:rsid w:val="00CA4525"/>
    <w:rsid w:val="00CA4F94"/>
    <w:rsid w:val="00CA5581"/>
    <w:rsid w:val="00CA6029"/>
    <w:rsid w:val="00CA66C0"/>
    <w:rsid w:val="00CA6F92"/>
    <w:rsid w:val="00CA7826"/>
    <w:rsid w:val="00CB033F"/>
    <w:rsid w:val="00CB06E9"/>
    <w:rsid w:val="00CB090D"/>
    <w:rsid w:val="00CB0A05"/>
    <w:rsid w:val="00CB1358"/>
    <w:rsid w:val="00CB1375"/>
    <w:rsid w:val="00CB2293"/>
    <w:rsid w:val="00CB38CB"/>
    <w:rsid w:val="00CB4223"/>
    <w:rsid w:val="00CB54E4"/>
    <w:rsid w:val="00CB56CE"/>
    <w:rsid w:val="00CB5914"/>
    <w:rsid w:val="00CB5C53"/>
    <w:rsid w:val="00CB602D"/>
    <w:rsid w:val="00CB7E7E"/>
    <w:rsid w:val="00CC00E7"/>
    <w:rsid w:val="00CC053F"/>
    <w:rsid w:val="00CC057D"/>
    <w:rsid w:val="00CC1E13"/>
    <w:rsid w:val="00CC2C94"/>
    <w:rsid w:val="00CC312B"/>
    <w:rsid w:val="00CC34B2"/>
    <w:rsid w:val="00CC37F1"/>
    <w:rsid w:val="00CC3B04"/>
    <w:rsid w:val="00CC3B26"/>
    <w:rsid w:val="00CC4229"/>
    <w:rsid w:val="00CC4837"/>
    <w:rsid w:val="00CC5A0F"/>
    <w:rsid w:val="00CC6182"/>
    <w:rsid w:val="00CC6BBA"/>
    <w:rsid w:val="00CC6E95"/>
    <w:rsid w:val="00CC78FE"/>
    <w:rsid w:val="00CD0387"/>
    <w:rsid w:val="00CD0B01"/>
    <w:rsid w:val="00CD162F"/>
    <w:rsid w:val="00CD1976"/>
    <w:rsid w:val="00CD2AFA"/>
    <w:rsid w:val="00CD2CDD"/>
    <w:rsid w:val="00CD3192"/>
    <w:rsid w:val="00CD3D18"/>
    <w:rsid w:val="00CD3EFF"/>
    <w:rsid w:val="00CD4681"/>
    <w:rsid w:val="00CD4C53"/>
    <w:rsid w:val="00CD4FEF"/>
    <w:rsid w:val="00CD5AE3"/>
    <w:rsid w:val="00CD5F31"/>
    <w:rsid w:val="00CD6109"/>
    <w:rsid w:val="00CD676A"/>
    <w:rsid w:val="00CD718D"/>
    <w:rsid w:val="00CD7A01"/>
    <w:rsid w:val="00CE0219"/>
    <w:rsid w:val="00CE09B6"/>
    <w:rsid w:val="00CE137B"/>
    <w:rsid w:val="00CE1B3A"/>
    <w:rsid w:val="00CE1B61"/>
    <w:rsid w:val="00CE1BAB"/>
    <w:rsid w:val="00CE32DE"/>
    <w:rsid w:val="00CE3530"/>
    <w:rsid w:val="00CE356B"/>
    <w:rsid w:val="00CE47DA"/>
    <w:rsid w:val="00CE4F46"/>
    <w:rsid w:val="00CE5168"/>
    <w:rsid w:val="00CE5FEC"/>
    <w:rsid w:val="00CE6519"/>
    <w:rsid w:val="00CE6A79"/>
    <w:rsid w:val="00CE70C3"/>
    <w:rsid w:val="00CE7A35"/>
    <w:rsid w:val="00CF0B72"/>
    <w:rsid w:val="00CF0C5E"/>
    <w:rsid w:val="00CF1574"/>
    <w:rsid w:val="00CF28D3"/>
    <w:rsid w:val="00CF30D1"/>
    <w:rsid w:val="00CF3A9B"/>
    <w:rsid w:val="00CF4756"/>
    <w:rsid w:val="00CF4BEF"/>
    <w:rsid w:val="00CF4E75"/>
    <w:rsid w:val="00CF4ECB"/>
    <w:rsid w:val="00CF5D20"/>
    <w:rsid w:val="00CF6038"/>
    <w:rsid w:val="00CF6CC6"/>
    <w:rsid w:val="00CF7061"/>
    <w:rsid w:val="00D00318"/>
    <w:rsid w:val="00D004EA"/>
    <w:rsid w:val="00D01DA1"/>
    <w:rsid w:val="00D0244C"/>
    <w:rsid w:val="00D02F9F"/>
    <w:rsid w:val="00D03F86"/>
    <w:rsid w:val="00D04761"/>
    <w:rsid w:val="00D07606"/>
    <w:rsid w:val="00D07B01"/>
    <w:rsid w:val="00D07D43"/>
    <w:rsid w:val="00D10D2B"/>
    <w:rsid w:val="00D10E80"/>
    <w:rsid w:val="00D10F41"/>
    <w:rsid w:val="00D11810"/>
    <w:rsid w:val="00D11997"/>
    <w:rsid w:val="00D12D7C"/>
    <w:rsid w:val="00D13153"/>
    <w:rsid w:val="00D1339E"/>
    <w:rsid w:val="00D1413E"/>
    <w:rsid w:val="00D14277"/>
    <w:rsid w:val="00D15442"/>
    <w:rsid w:val="00D160AA"/>
    <w:rsid w:val="00D174DE"/>
    <w:rsid w:val="00D20694"/>
    <w:rsid w:val="00D20EAA"/>
    <w:rsid w:val="00D20F3C"/>
    <w:rsid w:val="00D21459"/>
    <w:rsid w:val="00D21AEF"/>
    <w:rsid w:val="00D230C7"/>
    <w:rsid w:val="00D23680"/>
    <w:rsid w:val="00D23B06"/>
    <w:rsid w:val="00D25456"/>
    <w:rsid w:val="00D259A7"/>
    <w:rsid w:val="00D25B02"/>
    <w:rsid w:val="00D264C0"/>
    <w:rsid w:val="00D277D0"/>
    <w:rsid w:val="00D2790D"/>
    <w:rsid w:val="00D30F09"/>
    <w:rsid w:val="00D311B4"/>
    <w:rsid w:val="00D3156D"/>
    <w:rsid w:val="00D327A7"/>
    <w:rsid w:val="00D329D1"/>
    <w:rsid w:val="00D32AA5"/>
    <w:rsid w:val="00D33019"/>
    <w:rsid w:val="00D33507"/>
    <w:rsid w:val="00D3392F"/>
    <w:rsid w:val="00D33988"/>
    <w:rsid w:val="00D34FE1"/>
    <w:rsid w:val="00D351BC"/>
    <w:rsid w:val="00D3616D"/>
    <w:rsid w:val="00D36462"/>
    <w:rsid w:val="00D371BA"/>
    <w:rsid w:val="00D37701"/>
    <w:rsid w:val="00D377D4"/>
    <w:rsid w:val="00D407E5"/>
    <w:rsid w:val="00D40DC9"/>
    <w:rsid w:val="00D40F11"/>
    <w:rsid w:val="00D41373"/>
    <w:rsid w:val="00D417CC"/>
    <w:rsid w:val="00D41FB1"/>
    <w:rsid w:val="00D4224A"/>
    <w:rsid w:val="00D42BC8"/>
    <w:rsid w:val="00D42BCE"/>
    <w:rsid w:val="00D42C51"/>
    <w:rsid w:val="00D4314C"/>
    <w:rsid w:val="00D4444F"/>
    <w:rsid w:val="00D44CFA"/>
    <w:rsid w:val="00D45198"/>
    <w:rsid w:val="00D457F5"/>
    <w:rsid w:val="00D45A1F"/>
    <w:rsid w:val="00D461C5"/>
    <w:rsid w:val="00D473E4"/>
    <w:rsid w:val="00D47D89"/>
    <w:rsid w:val="00D47F08"/>
    <w:rsid w:val="00D52053"/>
    <w:rsid w:val="00D52520"/>
    <w:rsid w:val="00D528C6"/>
    <w:rsid w:val="00D52FFB"/>
    <w:rsid w:val="00D5336C"/>
    <w:rsid w:val="00D53E63"/>
    <w:rsid w:val="00D53F20"/>
    <w:rsid w:val="00D5468B"/>
    <w:rsid w:val="00D547E0"/>
    <w:rsid w:val="00D54918"/>
    <w:rsid w:val="00D5508B"/>
    <w:rsid w:val="00D55BB7"/>
    <w:rsid w:val="00D55D11"/>
    <w:rsid w:val="00D563C4"/>
    <w:rsid w:val="00D56C0B"/>
    <w:rsid w:val="00D57536"/>
    <w:rsid w:val="00D600A5"/>
    <w:rsid w:val="00D610DE"/>
    <w:rsid w:val="00D6207A"/>
    <w:rsid w:val="00D6266B"/>
    <w:rsid w:val="00D62B9A"/>
    <w:rsid w:val="00D633E9"/>
    <w:rsid w:val="00D63402"/>
    <w:rsid w:val="00D64A38"/>
    <w:rsid w:val="00D64A7F"/>
    <w:rsid w:val="00D65561"/>
    <w:rsid w:val="00D675A5"/>
    <w:rsid w:val="00D67742"/>
    <w:rsid w:val="00D718DF"/>
    <w:rsid w:val="00D726C7"/>
    <w:rsid w:val="00D733F1"/>
    <w:rsid w:val="00D73D6A"/>
    <w:rsid w:val="00D73F7B"/>
    <w:rsid w:val="00D74BCB"/>
    <w:rsid w:val="00D74CF1"/>
    <w:rsid w:val="00D74D1E"/>
    <w:rsid w:val="00D753D6"/>
    <w:rsid w:val="00D754B1"/>
    <w:rsid w:val="00D75C95"/>
    <w:rsid w:val="00D75E44"/>
    <w:rsid w:val="00D7698B"/>
    <w:rsid w:val="00D76B14"/>
    <w:rsid w:val="00D76ECF"/>
    <w:rsid w:val="00D77590"/>
    <w:rsid w:val="00D80252"/>
    <w:rsid w:val="00D80C6F"/>
    <w:rsid w:val="00D80CF0"/>
    <w:rsid w:val="00D810FB"/>
    <w:rsid w:val="00D8221C"/>
    <w:rsid w:val="00D82429"/>
    <w:rsid w:val="00D82462"/>
    <w:rsid w:val="00D82DBF"/>
    <w:rsid w:val="00D83A23"/>
    <w:rsid w:val="00D83BA6"/>
    <w:rsid w:val="00D845DF"/>
    <w:rsid w:val="00D853DD"/>
    <w:rsid w:val="00D85C50"/>
    <w:rsid w:val="00D8644F"/>
    <w:rsid w:val="00D868C0"/>
    <w:rsid w:val="00D8720A"/>
    <w:rsid w:val="00D877AF"/>
    <w:rsid w:val="00D90702"/>
    <w:rsid w:val="00D908F5"/>
    <w:rsid w:val="00D90CDE"/>
    <w:rsid w:val="00D9296E"/>
    <w:rsid w:val="00D9297C"/>
    <w:rsid w:val="00D92A85"/>
    <w:rsid w:val="00D9314E"/>
    <w:rsid w:val="00D93886"/>
    <w:rsid w:val="00D9405C"/>
    <w:rsid w:val="00D94A3E"/>
    <w:rsid w:val="00D94FA1"/>
    <w:rsid w:val="00D962CC"/>
    <w:rsid w:val="00D96370"/>
    <w:rsid w:val="00D964E2"/>
    <w:rsid w:val="00D9683B"/>
    <w:rsid w:val="00D972B0"/>
    <w:rsid w:val="00D97D9A"/>
    <w:rsid w:val="00DA1096"/>
    <w:rsid w:val="00DA16D3"/>
    <w:rsid w:val="00DA1935"/>
    <w:rsid w:val="00DA19F1"/>
    <w:rsid w:val="00DA1AA5"/>
    <w:rsid w:val="00DA1ABD"/>
    <w:rsid w:val="00DA243D"/>
    <w:rsid w:val="00DA2D35"/>
    <w:rsid w:val="00DA45A0"/>
    <w:rsid w:val="00DA5A74"/>
    <w:rsid w:val="00DA6539"/>
    <w:rsid w:val="00DA65E9"/>
    <w:rsid w:val="00DA734C"/>
    <w:rsid w:val="00DA7AEC"/>
    <w:rsid w:val="00DA7DA4"/>
    <w:rsid w:val="00DB09EB"/>
    <w:rsid w:val="00DB0E1A"/>
    <w:rsid w:val="00DB1843"/>
    <w:rsid w:val="00DB303E"/>
    <w:rsid w:val="00DB3733"/>
    <w:rsid w:val="00DB4421"/>
    <w:rsid w:val="00DB4C03"/>
    <w:rsid w:val="00DB55F6"/>
    <w:rsid w:val="00DB5A58"/>
    <w:rsid w:val="00DB647D"/>
    <w:rsid w:val="00DB6F9D"/>
    <w:rsid w:val="00DB7583"/>
    <w:rsid w:val="00DB7FC1"/>
    <w:rsid w:val="00DC0281"/>
    <w:rsid w:val="00DC03BE"/>
    <w:rsid w:val="00DC058A"/>
    <w:rsid w:val="00DC0DB5"/>
    <w:rsid w:val="00DC1363"/>
    <w:rsid w:val="00DC1A3A"/>
    <w:rsid w:val="00DC2A1F"/>
    <w:rsid w:val="00DC3013"/>
    <w:rsid w:val="00DC3055"/>
    <w:rsid w:val="00DC3317"/>
    <w:rsid w:val="00DC4566"/>
    <w:rsid w:val="00DC4D37"/>
    <w:rsid w:val="00DC4FF6"/>
    <w:rsid w:val="00DC549F"/>
    <w:rsid w:val="00DC554B"/>
    <w:rsid w:val="00DC6F35"/>
    <w:rsid w:val="00DD0566"/>
    <w:rsid w:val="00DD13B7"/>
    <w:rsid w:val="00DD1587"/>
    <w:rsid w:val="00DD225E"/>
    <w:rsid w:val="00DD2F10"/>
    <w:rsid w:val="00DD421C"/>
    <w:rsid w:val="00DD4EB0"/>
    <w:rsid w:val="00DD526E"/>
    <w:rsid w:val="00DD5745"/>
    <w:rsid w:val="00DD6134"/>
    <w:rsid w:val="00DD7572"/>
    <w:rsid w:val="00DD7C0F"/>
    <w:rsid w:val="00DE0176"/>
    <w:rsid w:val="00DE08AD"/>
    <w:rsid w:val="00DE0AE7"/>
    <w:rsid w:val="00DE1502"/>
    <w:rsid w:val="00DE1E09"/>
    <w:rsid w:val="00DE1E33"/>
    <w:rsid w:val="00DE2BD3"/>
    <w:rsid w:val="00DE3120"/>
    <w:rsid w:val="00DE4342"/>
    <w:rsid w:val="00DE449F"/>
    <w:rsid w:val="00DE46DB"/>
    <w:rsid w:val="00DE5633"/>
    <w:rsid w:val="00DE5940"/>
    <w:rsid w:val="00DE5B0B"/>
    <w:rsid w:val="00DE634A"/>
    <w:rsid w:val="00DE6415"/>
    <w:rsid w:val="00DE65E0"/>
    <w:rsid w:val="00DE6610"/>
    <w:rsid w:val="00DE7779"/>
    <w:rsid w:val="00DF0508"/>
    <w:rsid w:val="00DF1364"/>
    <w:rsid w:val="00DF1C16"/>
    <w:rsid w:val="00DF1CD3"/>
    <w:rsid w:val="00DF231E"/>
    <w:rsid w:val="00DF2A1A"/>
    <w:rsid w:val="00DF3023"/>
    <w:rsid w:val="00DF38DF"/>
    <w:rsid w:val="00DF44B0"/>
    <w:rsid w:val="00DF47B8"/>
    <w:rsid w:val="00DF481E"/>
    <w:rsid w:val="00DF499A"/>
    <w:rsid w:val="00DF4A91"/>
    <w:rsid w:val="00DF52C4"/>
    <w:rsid w:val="00DF568E"/>
    <w:rsid w:val="00DF5CD8"/>
    <w:rsid w:val="00DF5F3D"/>
    <w:rsid w:val="00DF6459"/>
    <w:rsid w:val="00DF65DA"/>
    <w:rsid w:val="00DF6689"/>
    <w:rsid w:val="00DF6A34"/>
    <w:rsid w:val="00DF6C63"/>
    <w:rsid w:val="00DF6F52"/>
    <w:rsid w:val="00DF7100"/>
    <w:rsid w:val="00E00070"/>
    <w:rsid w:val="00E00575"/>
    <w:rsid w:val="00E01239"/>
    <w:rsid w:val="00E01CF3"/>
    <w:rsid w:val="00E023E6"/>
    <w:rsid w:val="00E02C2F"/>
    <w:rsid w:val="00E02FC7"/>
    <w:rsid w:val="00E032A1"/>
    <w:rsid w:val="00E03590"/>
    <w:rsid w:val="00E03703"/>
    <w:rsid w:val="00E042D8"/>
    <w:rsid w:val="00E049DB"/>
    <w:rsid w:val="00E056C8"/>
    <w:rsid w:val="00E07C2B"/>
    <w:rsid w:val="00E07D2B"/>
    <w:rsid w:val="00E10339"/>
    <w:rsid w:val="00E115C5"/>
    <w:rsid w:val="00E1221F"/>
    <w:rsid w:val="00E129D3"/>
    <w:rsid w:val="00E13507"/>
    <w:rsid w:val="00E13864"/>
    <w:rsid w:val="00E1415C"/>
    <w:rsid w:val="00E14404"/>
    <w:rsid w:val="00E14506"/>
    <w:rsid w:val="00E14A91"/>
    <w:rsid w:val="00E14AEB"/>
    <w:rsid w:val="00E14B86"/>
    <w:rsid w:val="00E15EFC"/>
    <w:rsid w:val="00E163D0"/>
    <w:rsid w:val="00E1744E"/>
    <w:rsid w:val="00E2005E"/>
    <w:rsid w:val="00E20316"/>
    <w:rsid w:val="00E209F1"/>
    <w:rsid w:val="00E20E39"/>
    <w:rsid w:val="00E21C94"/>
    <w:rsid w:val="00E22A47"/>
    <w:rsid w:val="00E22C83"/>
    <w:rsid w:val="00E2310E"/>
    <w:rsid w:val="00E23685"/>
    <w:rsid w:val="00E236A5"/>
    <w:rsid w:val="00E24E19"/>
    <w:rsid w:val="00E25797"/>
    <w:rsid w:val="00E25BA3"/>
    <w:rsid w:val="00E26CE4"/>
    <w:rsid w:val="00E2731A"/>
    <w:rsid w:val="00E27A8A"/>
    <w:rsid w:val="00E31431"/>
    <w:rsid w:val="00E31FEE"/>
    <w:rsid w:val="00E3214D"/>
    <w:rsid w:val="00E3397C"/>
    <w:rsid w:val="00E33F12"/>
    <w:rsid w:val="00E347AD"/>
    <w:rsid w:val="00E347FD"/>
    <w:rsid w:val="00E34C05"/>
    <w:rsid w:val="00E36EC3"/>
    <w:rsid w:val="00E3718D"/>
    <w:rsid w:val="00E406D8"/>
    <w:rsid w:val="00E4137C"/>
    <w:rsid w:val="00E4193B"/>
    <w:rsid w:val="00E41C38"/>
    <w:rsid w:val="00E42B82"/>
    <w:rsid w:val="00E45361"/>
    <w:rsid w:val="00E4579E"/>
    <w:rsid w:val="00E46511"/>
    <w:rsid w:val="00E51E36"/>
    <w:rsid w:val="00E537DB"/>
    <w:rsid w:val="00E53A83"/>
    <w:rsid w:val="00E55B65"/>
    <w:rsid w:val="00E562B9"/>
    <w:rsid w:val="00E56E54"/>
    <w:rsid w:val="00E573E6"/>
    <w:rsid w:val="00E57A7C"/>
    <w:rsid w:val="00E62386"/>
    <w:rsid w:val="00E6238C"/>
    <w:rsid w:val="00E62615"/>
    <w:rsid w:val="00E627BB"/>
    <w:rsid w:val="00E63298"/>
    <w:rsid w:val="00E64A27"/>
    <w:rsid w:val="00E64C00"/>
    <w:rsid w:val="00E64C7B"/>
    <w:rsid w:val="00E64CB9"/>
    <w:rsid w:val="00E6537A"/>
    <w:rsid w:val="00E656C1"/>
    <w:rsid w:val="00E65BBE"/>
    <w:rsid w:val="00E661B0"/>
    <w:rsid w:val="00E661DD"/>
    <w:rsid w:val="00E66889"/>
    <w:rsid w:val="00E7091E"/>
    <w:rsid w:val="00E70A64"/>
    <w:rsid w:val="00E7218F"/>
    <w:rsid w:val="00E72297"/>
    <w:rsid w:val="00E7258F"/>
    <w:rsid w:val="00E765B2"/>
    <w:rsid w:val="00E76EB6"/>
    <w:rsid w:val="00E77178"/>
    <w:rsid w:val="00E777D1"/>
    <w:rsid w:val="00E801CC"/>
    <w:rsid w:val="00E805F2"/>
    <w:rsid w:val="00E80A41"/>
    <w:rsid w:val="00E835BB"/>
    <w:rsid w:val="00E83731"/>
    <w:rsid w:val="00E839FC"/>
    <w:rsid w:val="00E8403D"/>
    <w:rsid w:val="00E84119"/>
    <w:rsid w:val="00E850E3"/>
    <w:rsid w:val="00E8517A"/>
    <w:rsid w:val="00E858BF"/>
    <w:rsid w:val="00E85EB7"/>
    <w:rsid w:val="00E862D5"/>
    <w:rsid w:val="00E871DC"/>
    <w:rsid w:val="00E90ADA"/>
    <w:rsid w:val="00E90DA9"/>
    <w:rsid w:val="00E910B7"/>
    <w:rsid w:val="00E9265E"/>
    <w:rsid w:val="00E92C13"/>
    <w:rsid w:val="00E92E17"/>
    <w:rsid w:val="00E93239"/>
    <w:rsid w:val="00E932D2"/>
    <w:rsid w:val="00E945FC"/>
    <w:rsid w:val="00E94AE7"/>
    <w:rsid w:val="00E9517A"/>
    <w:rsid w:val="00E95415"/>
    <w:rsid w:val="00E9556B"/>
    <w:rsid w:val="00E9565B"/>
    <w:rsid w:val="00E969E2"/>
    <w:rsid w:val="00E96C7F"/>
    <w:rsid w:val="00E97CD6"/>
    <w:rsid w:val="00EA00D4"/>
    <w:rsid w:val="00EA01A8"/>
    <w:rsid w:val="00EA0DCF"/>
    <w:rsid w:val="00EA0E91"/>
    <w:rsid w:val="00EA1C30"/>
    <w:rsid w:val="00EA2550"/>
    <w:rsid w:val="00EA3131"/>
    <w:rsid w:val="00EA3982"/>
    <w:rsid w:val="00EA3C11"/>
    <w:rsid w:val="00EA3D52"/>
    <w:rsid w:val="00EA5035"/>
    <w:rsid w:val="00EA53BC"/>
    <w:rsid w:val="00EA594E"/>
    <w:rsid w:val="00EA62D6"/>
    <w:rsid w:val="00EB10A7"/>
    <w:rsid w:val="00EB1169"/>
    <w:rsid w:val="00EB3B29"/>
    <w:rsid w:val="00EB3FF7"/>
    <w:rsid w:val="00EB58B4"/>
    <w:rsid w:val="00EB6E59"/>
    <w:rsid w:val="00EB6F27"/>
    <w:rsid w:val="00EB723F"/>
    <w:rsid w:val="00EB782E"/>
    <w:rsid w:val="00EC03E9"/>
    <w:rsid w:val="00EC062A"/>
    <w:rsid w:val="00EC0C61"/>
    <w:rsid w:val="00EC0D5A"/>
    <w:rsid w:val="00EC0DF2"/>
    <w:rsid w:val="00EC283A"/>
    <w:rsid w:val="00EC28DF"/>
    <w:rsid w:val="00EC2942"/>
    <w:rsid w:val="00EC4A90"/>
    <w:rsid w:val="00EC4ACD"/>
    <w:rsid w:val="00EC51B5"/>
    <w:rsid w:val="00EC5DAC"/>
    <w:rsid w:val="00EC66E1"/>
    <w:rsid w:val="00EC7BE7"/>
    <w:rsid w:val="00ED03FE"/>
    <w:rsid w:val="00ED0CCF"/>
    <w:rsid w:val="00ED0D4E"/>
    <w:rsid w:val="00ED11BE"/>
    <w:rsid w:val="00ED1521"/>
    <w:rsid w:val="00ED1C16"/>
    <w:rsid w:val="00ED2A39"/>
    <w:rsid w:val="00ED301C"/>
    <w:rsid w:val="00ED3557"/>
    <w:rsid w:val="00ED3622"/>
    <w:rsid w:val="00ED39FA"/>
    <w:rsid w:val="00ED57FB"/>
    <w:rsid w:val="00ED6759"/>
    <w:rsid w:val="00ED685B"/>
    <w:rsid w:val="00ED719A"/>
    <w:rsid w:val="00ED719D"/>
    <w:rsid w:val="00EE0471"/>
    <w:rsid w:val="00EE17A4"/>
    <w:rsid w:val="00EE18E3"/>
    <w:rsid w:val="00EE227D"/>
    <w:rsid w:val="00EE3AE1"/>
    <w:rsid w:val="00EE4B90"/>
    <w:rsid w:val="00EE51D6"/>
    <w:rsid w:val="00EE53B0"/>
    <w:rsid w:val="00EE54E2"/>
    <w:rsid w:val="00EE588B"/>
    <w:rsid w:val="00EE5DE7"/>
    <w:rsid w:val="00EE7B2B"/>
    <w:rsid w:val="00EE7EDA"/>
    <w:rsid w:val="00EF03C8"/>
    <w:rsid w:val="00EF1FB8"/>
    <w:rsid w:val="00EF23E1"/>
    <w:rsid w:val="00EF29C4"/>
    <w:rsid w:val="00EF3E9C"/>
    <w:rsid w:val="00EF441B"/>
    <w:rsid w:val="00EF5227"/>
    <w:rsid w:val="00EF53A6"/>
    <w:rsid w:val="00EF6033"/>
    <w:rsid w:val="00EF72FA"/>
    <w:rsid w:val="00EF7C62"/>
    <w:rsid w:val="00F000AA"/>
    <w:rsid w:val="00F0200A"/>
    <w:rsid w:val="00F02022"/>
    <w:rsid w:val="00F03479"/>
    <w:rsid w:val="00F0434E"/>
    <w:rsid w:val="00F043F3"/>
    <w:rsid w:val="00F04BC7"/>
    <w:rsid w:val="00F06061"/>
    <w:rsid w:val="00F060CB"/>
    <w:rsid w:val="00F0629F"/>
    <w:rsid w:val="00F11787"/>
    <w:rsid w:val="00F117E2"/>
    <w:rsid w:val="00F11885"/>
    <w:rsid w:val="00F12DF9"/>
    <w:rsid w:val="00F130A9"/>
    <w:rsid w:val="00F13605"/>
    <w:rsid w:val="00F13C85"/>
    <w:rsid w:val="00F155FD"/>
    <w:rsid w:val="00F1718B"/>
    <w:rsid w:val="00F17DE2"/>
    <w:rsid w:val="00F20975"/>
    <w:rsid w:val="00F21611"/>
    <w:rsid w:val="00F24875"/>
    <w:rsid w:val="00F24AAC"/>
    <w:rsid w:val="00F24C25"/>
    <w:rsid w:val="00F251C1"/>
    <w:rsid w:val="00F25D2E"/>
    <w:rsid w:val="00F2704A"/>
    <w:rsid w:val="00F27540"/>
    <w:rsid w:val="00F27D70"/>
    <w:rsid w:val="00F27FDC"/>
    <w:rsid w:val="00F30424"/>
    <w:rsid w:val="00F305EE"/>
    <w:rsid w:val="00F31552"/>
    <w:rsid w:val="00F316FF"/>
    <w:rsid w:val="00F317E5"/>
    <w:rsid w:val="00F31C93"/>
    <w:rsid w:val="00F32702"/>
    <w:rsid w:val="00F32808"/>
    <w:rsid w:val="00F3326B"/>
    <w:rsid w:val="00F333AE"/>
    <w:rsid w:val="00F34C63"/>
    <w:rsid w:val="00F34C86"/>
    <w:rsid w:val="00F34DBB"/>
    <w:rsid w:val="00F35232"/>
    <w:rsid w:val="00F358FC"/>
    <w:rsid w:val="00F3676D"/>
    <w:rsid w:val="00F36A0F"/>
    <w:rsid w:val="00F36DE0"/>
    <w:rsid w:val="00F37AFA"/>
    <w:rsid w:val="00F40C3E"/>
    <w:rsid w:val="00F40CF8"/>
    <w:rsid w:val="00F40FD2"/>
    <w:rsid w:val="00F419F7"/>
    <w:rsid w:val="00F41B89"/>
    <w:rsid w:val="00F41EAE"/>
    <w:rsid w:val="00F42D5A"/>
    <w:rsid w:val="00F42F9C"/>
    <w:rsid w:val="00F43373"/>
    <w:rsid w:val="00F44FE4"/>
    <w:rsid w:val="00F4549B"/>
    <w:rsid w:val="00F45565"/>
    <w:rsid w:val="00F456E3"/>
    <w:rsid w:val="00F474D8"/>
    <w:rsid w:val="00F51162"/>
    <w:rsid w:val="00F511BF"/>
    <w:rsid w:val="00F51ADF"/>
    <w:rsid w:val="00F520F9"/>
    <w:rsid w:val="00F52536"/>
    <w:rsid w:val="00F53AA6"/>
    <w:rsid w:val="00F54459"/>
    <w:rsid w:val="00F549E8"/>
    <w:rsid w:val="00F54A81"/>
    <w:rsid w:val="00F54C69"/>
    <w:rsid w:val="00F57F72"/>
    <w:rsid w:val="00F57FC3"/>
    <w:rsid w:val="00F6004E"/>
    <w:rsid w:val="00F60136"/>
    <w:rsid w:val="00F6078A"/>
    <w:rsid w:val="00F60852"/>
    <w:rsid w:val="00F6172F"/>
    <w:rsid w:val="00F624E6"/>
    <w:rsid w:val="00F62994"/>
    <w:rsid w:val="00F62CCC"/>
    <w:rsid w:val="00F638FC"/>
    <w:rsid w:val="00F648F9"/>
    <w:rsid w:val="00F64C9B"/>
    <w:rsid w:val="00F64D43"/>
    <w:rsid w:val="00F65822"/>
    <w:rsid w:val="00F660E6"/>
    <w:rsid w:val="00F70774"/>
    <w:rsid w:val="00F70D1B"/>
    <w:rsid w:val="00F714CB"/>
    <w:rsid w:val="00F7156F"/>
    <w:rsid w:val="00F72EE4"/>
    <w:rsid w:val="00F73592"/>
    <w:rsid w:val="00F74464"/>
    <w:rsid w:val="00F7741C"/>
    <w:rsid w:val="00F77A7A"/>
    <w:rsid w:val="00F77E71"/>
    <w:rsid w:val="00F77EA1"/>
    <w:rsid w:val="00F77F2B"/>
    <w:rsid w:val="00F81859"/>
    <w:rsid w:val="00F81D7E"/>
    <w:rsid w:val="00F823C6"/>
    <w:rsid w:val="00F83545"/>
    <w:rsid w:val="00F83844"/>
    <w:rsid w:val="00F83EE4"/>
    <w:rsid w:val="00F85A00"/>
    <w:rsid w:val="00F85B69"/>
    <w:rsid w:val="00F85C57"/>
    <w:rsid w:val="00F85F9D"/>
    <w:rsid w:val="00F8648B"/>
    <w:rsid w:val="00F8672B"/>
    <w:rsid w:val="00F8690A"/>
    <w:rsid w:val="00F87D28"/>
    <w:rsid w:val="00F87F12"/>
    <w:rsid w:val="00F9007A"/>
    <w:rsid w:val="00F90238"/>
    <w:rsid w:val="00F90489"/>
    <w:rsid w:val="00F90BC9"/>
    <w:rsid w:val="00F90F6B"/>
    <w:rsid w:val="00F92725"/>
    <w:rsid w:val="00F92A3C"/>
    <w:rsid w:val="00F9307F"/>
    <w:rsid w:val="00F937D6"/>
    <w:rsid w:val="00F93F30"/>
    <w:rsid w:val="00F94A5B"/>
    <w:rsid w:val="00F94C1C"/>
    <w:rsid w:val="00F9541D"/>
    <w:rsid w:val="00F95B54"/>
    <w:rsid w:val="00F965E3"/>
    <w:rsid w:val="00F966D7"/>
    <w:rsid w:val="00F96FE8"/>
    <w:rsid w:val="00F97AD9"/>
    <w:rsid w:val="00FA02D2"/>
    <w:rsid w:val="00FA08A0"/>
    <w:rsid w:val="00FA0B35"/>
    <w:rsid w:val="00FA1243"/>
    <w:rsid w:val="00FA31D5"/>
    <w:rsid w:val="00FA37C7"/>
    <w:rsid w:val="00FA505C"/>
    <w:rsid w:val="00FA58BB"/>
    <w:rsid w:val="00FA5EEB"/>
    <w:rsid w:val="00FA6E2D"/>
    <w:rsid w:val="00FA7643"/>
    <w:rsid w:val="00FA7850"/>
    <w:rsid w:val="00FA786E"/>
    <w:rsid w:val="00FA78BB"/>
    <w:rsid w:val="00FA7F20"/>
    <w:rsid w:val="00FB0456"/>
    <w:rsid w:val="00FB11EF"/>
    <w:rsid w:val="00FB219B"/>
    <w:rsid w:val="00FB2F4C"/>
    <w:rsid w:val="00FB3431"/>
    <w:rsid w:val="00FB4295"/>
    <w:rsid w:val="00FB4438"/>
    <w:rsid w:val="00FB5A71"/>
    <w:rsid w:val="00FB61D2"/>
    <w:rsid w:val="00FB62AB"/>
    <w:rsid w:val="00FB6549"/>
    <w:rsid w:val="00FB65DC"/>
    <w:rsid w:val="00FB7379"/>
    <w:rsid w:val="00FB75E3"/>
    <w:rsid w:val="00FB7B65"/>
    <w:rsid w:val="00FC01EF"/>
    <w:rsid w:val="00FC0303"/>
    <w:rsid w:val="00FC04BA"/>
    <w:rsid w:val="00FC1455"/>
    <w:rsid w:val="00FC194B"/>
    <w:rsid w:val="00FC367D"/>
    <w:rsid w:val="00FC37B8"/>
    <w:rsid w:val="00FC6336"/>
    <w:rsid w:val="00FC73E4"/>
    <w:rsid w:val="00FC7E81"/>
    <w:rsid w:val="00FD1DF2"/>
    <w:rsid w:val="00FD270D"/>
    <w:rsid w:val="00FD290B"/>
    <w:rsid w:val="00FD3164"/>
    <w:rsid w:val="00FD34BD"/>
    <w:rsid w:val="00FD4E42"/>
    <w:rsid w:val="00FD5B47"/>
    <w:rsid w:val="00FD6AC7"/>
    <w:rsid w:val="00FE10A7"/>
    <w:rsid w:val="00FE153E"/>
    <w:rsid w:val="00FE162A"/>
    <w:rsid w:val="00FE1D5C"/>
    <w:rsid w:val="00FE1FBE"/>
    <w:rsid w:val="00FE235F"/>
    <w:rsid w:val="00FE2D3A"/>
    <w:rsid w:val="00FE323C"/>
    <w:rsid w:val="00FE435C"/>
    <w:rsid w:val="00FE449A"/>
    <w:rsid w:val="00FE5ACD"/>
    <w:rsid w:val="00FE5BC5"/>
    <w:rsid w:val="00FE60FB"/>
    <w:rsid w:val="00FE63A5"/>
    <w:rsid w:val="00FE6D1C"/>
    <w:rsid w:val="00FE702D"/>
    <w:rsid w:val="00FE72D8"/>
    <w:rsid w:val="00FE73B7"/>
    <w:rsid w:val="00FE7722"/>
    <w:rsid w:val="00FE79B1"/>
    <w:rsid w:val="00FF02FC"/>
    <w:rsid w:val="00FF061D"/>
    <w:rsid w:val="00FF10FF"/>
    <w:rsid w:val="00FF18C9"/>
    <w:rsid w:val="00FF3722"/>
    <w:rsid w:val="00FF5059"/>
    <w:rsid w:val="00FF5388"/>
    <w:rsid w:val="00FF5570"/>
    <w:rsid w:val="00FF58F9"/>
    <w:rsid w:val="00FF593D"/>
    <w:rsid w:val="00FF65AE"/>
    <w:rsid w:val="00FF6F78"/>
    <w:rsid w:val="00FF7A49"/>
    <w:rsid w:val="00FF7C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uiPriority="39" w:qFormat="1"/>
    <w:lsdException w:name="toc 2" w:uiPriority="39" w:qFormat="1"/>
    <w:lsdException w:name="toc 3" w:uiPriority="39" w:qFormat="1"/>
    <w:lsdException w:name="footnote text" w:qFormat="1"/>
    <w:lsdException w:name="caption" w:locked="1" w:semiHidden="1" w:unhideWhenUsed="1" w:qFormat="1"/>
    <w:lsdException w:name="Title" w:locked="1" w:qFormat="1"/>
    <w:lsdException w:name="Subtitle" w:locked="1" w:qFormat="1"/>
    <w:lsdException w:name="Hyperlink" w:uiPriority="99"/>
    <w:lsdException w:name="Strong" w:locked="1" w:qFormat="1"/>
    <w:lsdException w:name="Emphasis" w:locked="1" w:qFormat="1"/>
    <w:lsdException w:name="Normal (Web)" w:locked="1"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20E3"/>
    <w:rPr>
      <w:sz w:val="24"/>
      <w:szCs w:val="24"/>
    </w:rPr>
  </w:style>
  <w:style w:type="paragraph" w:styleId="Heading1">
    <w:name w:val="heading 1"/>
    <w:basedOn w:val="Normal"/>
    <w:next w:val="Normal"/>
    <w:link w:val="Heading1Char"/>
    <w:qFormat/>
    <w:locked/>
    <w:rsid w:val="009375D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locked/>
    <w:rsid w:val="00FA02D2"/>
    <w:pPr>
      <w:keepNext/>
      <w:spacing w:before="240" w:after="60"/>
      <w:outlineLvl w:val="1"/>
    </w:pPr>
    <w:rPr>
      <w:rFonts w:ascii="Cambria" w:eastAsia="SimSun" w:hAnsi="Cambria"/>
      <w:b/>
      <w:bCs/>
      <w:i/>
      <w:iCs/>
      <w:sz w:val="28"/>
      <w:szCs w:val="28"/>
    </w:rPr>
  </w:style>
  <w:style w:type="paragraph" w:styleId="Heading3">
    <w:name w:val="heading 3"/>
    <w:basedOn w:val="Normal"/>
    <w:next w:val="Normal"/>
    <w:link w:val="Heading3Char"/>
    <w:unhideWhenUsed/>
    <w:qFormat/>
    <w:locked/>
    <w:rsid w:val="00FA02D2"/>
    <w:pPr>
      <w:keepNext/>
      <w:spacing w:before="240" w:after="60"/>
      <w:outlineLvl w:val="2"/>
    </w:pPr>
    <w:rPr>
      <w:rFonts w:ascii="Cambria" w:eastAsia="SimSun" w:hAnsi="Cambria"/>
      <w:b/>
      <w:bCs/>
      <w:sz w:val="26"/>
      <w:szCs w:val="26"/>
    </w:rPr>
  </w:style>
  <w:style w:type="paragraph" w:styleId="Heading4">
    <w:name w:val="heading 4"/>
    <w:basedOn w:val="Normal"/>
    <w:link w:val="Heading4Char"/>
    <w:qFormat/>
    <w:rsid w:val="00E945FC"/>
    <w:pPr>
      <w:spacing w:before="100" w:beforeAutospacing="1" w:after="100" w:afterAutospacing="1"/>
      <w:outlineLvl w:val="3"/>
    </w:pPr>
    <w:rPr>
      <w:b/>
      <w:bCs/>
    </w:rPr>
  </w:style>
  <w:style w:type="paragraph" w:styleId="Heading5">
    <w:name w:val="heading 5"/>
    <w:basedOn w:val="Normal"/>
    <w:next w:val="Normal"/>
    <w:link w:val="Heading5Char"/>
    <w:semiHidden/>
    <w:unhideWhenUsed/>
    <w:qFormat/>
    <w:locked/>
    <w:rsid w:val="00FA02D2"/>
    <w:pPr>
      <w:spacing w:before="240" w:after="60"/>
      <w:outlineLvl w:val="4"/>
    </w:pPr>
    <w:rPr>
      <w:rFonts w:ascii="Calibri" w:eastAsia="SimSu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420E3"/>
    <w:pPr>
      <w:tabs>
        <w:tab w:val="center" w:pos="4320"/>
        <w:tab w:val="right" w:pos="8640"/>
      </w:tabs>
    </w:pPr>
  </w:style>
  <w:style w:type="character" w:styleId="PageNumber">
    <w:name w:val="page number"/>
    <w:rsid w:val="009420E3"/>
    <w:rPr>
      <w:rFonts w:cs="Times New Roman"/>
    </w:rPr>
  </w:style>
  <w:style w:type="paragraph" w:styleId="FootnoteText">
    <w:name w:val="footnote text"/>
    <w:aliases w:val="ALTS FOOTNOTE,fn,Footnote Text 2,Footnote text,FOOTNOTE,ALTS FOOTNOTE Char,fn Char,Footnote Text Char1 Char,Footnote Text Char Char Char,ALTS FOOTNOTE Char Char Char,fn Char Char Char,Footnote Text Char2 Char Char Char,f,Footnote Text Cha"/>
    <w:basedOn w:val="Normal"/>
    <w:link w:val="FootnoteTextChar"/>
    <w:qFormat/>
    <w:rsid w:val="009420E3"/>
    <w:rPr>
      <w:sz w:val="20"/>
      <w:szCs w:val="20"/>
    </w:rPr>
  </w:style>
  <w:style w:type="character" w:styleId="FootnoteReference">
    <w:name w:val="footnote reference"/>
    <w:aliases w:val="fr,o,Style 6,Style 20,Style 9"/>
    <w:rsid w:val="009420E3"/>
    <w:rPr>
      <w:rFonts w:cs="Times New Roman"/>
      <w:vertAlign w:val="superscript"/>
    </w:rPr>
  </w:style>
  <w:style w:type="paragraph" w:styleId="ListParagraph">
    <w:name w:val="List Paragraph"/>
    <w:basedOn w:val="Normal"/>
    <w:uiPriority w:val="99"/>
    <w:qFormat/>
    <w:rsid w:val="0041604C"/>
    <w:pPr>
      <w:ind w:left="720"/>
      <w:contextualSpacing/>
    </w:pPr>
    <w:rPr>
      <w:szCs w:val="22"/>
    </w:rPr>
  </w:style>
  <w:style w:type="character" w:customStyle="1" w:styleId="FootnoteTextChar">
    <w:name w:val="Footnote Text Char"/>
    <w:aliases w:val="ALTS FOOTNOTE Char1,fn Char1,Footnote Text 2 Char,Footnote text Char,FOOTNOTE Char,ALTS FOOTNOTE Char Char,fn Char Char,Footnote Text Char1 Char Char,Footnote Text Char Char Char Char,ALTS FOOTNOTE Char Char Char Char,f Char"/>
    <w:link w:val="FootnoteText"/>
    <w:locked/>
    <w:rsid w:val="0041604C"/>
    <w:rPr>
      <w:rFonts w:cs="Times New Roman"/>
      <w:lang w:val="en-US" w:eastAsia="en-US" w:bidi="ar-SA"/>
    </w:rPr>
  </w:style>
  <w:style w:type="character" w:customStyle="1" w:styleId="Heading4Char">
    <w:name w:val="Heading 4 Char"/>
    <w:link w:val="Heading4"/>
    <w:locked/>
    <w:rsid w:val="00E945FC"/>
    <w:rPr>
      <w:rFonts w:cs="Times New Roman"/>
      <w:b/>
      <w:bCs/>
      <w:sz w:val="24"/>
      <w:szCs w:val="24"/>
    </w:rPr>
  </w:style>
  <w:style w:type="paragraph" w:styleId="NormalWeb">
    <w:name w:val="Normal (Web)"/>
    <w:basedOn w:val="Normal"/>
    <w:uiPriority w:val="99"/>
    <w:rsid w:val="00E945FC"/>
    <w:pPr>
      <w:spacing w:before="100" w:beforeAutospacing="1" w:after="100" w:afterAutospacing="1"/>
    </w:pPr>
  </w:style>
  <w:style w:type="paragraph" w:styleId="Header">
    <w:name w:val="header"/>
    <w:basedOn w:val="Normal"/>
    <w:rsid w:val="00076153"/>
    <w:pPr>
      <w:tabs>
        <w:tab w:val="center" w:pos="4320"/>
        <w:tab w:val="right" w:pos="8640"/>
      </w:tabs>
    </w:pPr>
  </w:style>
  <w:style w:type="character" w:customStyle="1" w:styleId="Heading1Char">
    <w:name w:val="Heading 1 Char"/>
    <w:link w:val="Heading1"/>
    <w:rsid w:val="009375DA"/>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9375DA"/>
    <w:pPr>
      <w:keepLines/>
      <w:spacing w:before="480" w:after="0" w:line="276" w:lineRule="auto"/>
      <w:outlineLvl w:val="9"/>
    </w:pPr>
    <w:rPr>
      <w:color w:val="365F91"/>
      <w:kern w:val="0"/>
      <w:sz w:val="28"/>
      <w:szCs w:val="28"/>
    </w:rPr>
  </w:style>
  <w:style w:type="paragraph" w:styleId="TOC2">
    <w:name w:val="toc 2"/>
    <w:basedOn w:val="Normal"/>
    <w:next w:val="Normal"/>
    <w:autoRedefine/>
    <w:uiPriority w:val="39"/>
    <w:unhideWhenUsed/>
    <w:qFormat/>
    <w:rsid w:val="005D62DA"/>
    <w:pPr>
      <w:tabs>
        <w:tab w:val="right" w:leader="dot" w:pos="9360"/>
      </w:tabs>
      <w:spacing w:after="100" w:line="276" w:lineRule="auto"/>
      <w:ind w:left="720"/>
    </w:pPr>
    <w:rPr>
      <w:rFonts w:ascii="Calibri" w:hAnsi="Calibri"/>
      <w:sz w:val="22"/>
      <w:szCs w:val="22"/>
    </w:rPr>
  </w:style>
  <w:style w:type="paragraph" w:styleId="TOC1">
    <w:name w:val="toc 1"/>
    <w:basedOn w:val="Normal"/>
    <w:next w:val="Normal"/>
    <w:autoRedefine/>
    <w:uiPriority w:val="39"/>
    <w:unhideWhenUsed/>
    <w:qFormat/>
    <w:rsid w:val="00AC0186"/>
    <w:pPr>
      <w:tabs>
        <w:tab w:val="right" w:leader="dot" w:pos="9360"/>
      </w:tabs>
      <w:spacing w:line="360" w:lineRule="auto"/>
      <w:ind w:left="360"/>
    </w:pPr>
    <w:rPr>
      <w:rFonts w:ascii="Calibri" w:hAnsi="Calibri"/>
      <w:sz w:val="22"/>
      <w:szCs w:val="22"/>
    </w:rPr>
  </w:style>
  <w:style w:type="paragraph" w:styleId="TOC3">
    <w:name w:val="toc 3"/>
    <w:basedOn w:val="Normal"/>
    <w:next w:val="Normal"/>
    <w:autoRedefine/>
    <w:uiPriority w:val="39"/>
    <w:unhideWhenUsed/>
    <w:qFormat/>
    <w:rsid w:val="00590B2D"/>
    <w:pPr>
      <w:tabs>
        <w:tab w:val="left" w:pos="720"/>
        <w:tab w:val="right" w:leader="dot" w:pos="9360"/>
      </w:tabs>
      <w:spacing w:after="100" w:line="276" w:lineRule="auto"/>
      <w:ind w:left="360"/>
    </w:pPr>
    <w:rPr>
      <w:rFonts w:ascii="Calibri" w:hAnsi="Calibri"/>
      <w:sz w:val="22"/>
      <w:szCs w:val="22"/>
    </w:rPr>
  </w:style>
  <w:style w:type="paragraph" w:styleId="BalloonText">
    <w:name w:val="Balloon Text"/>
    <w:basedOn w:val="Normal"/>
    <w:link w:val="BalloonTextChar"/>
    <w:rsid w:val="009375DA"/>
    <w:rPr>
      <w:rFonts w:ascii="Tahoma" w:hAnsi="Tahoma" w:cs="Tahoma"/>
      <w:sz w:val="16"/>
      <w:szCs w:val="16"/>
    </w:rPr>
  </w:style>
  <w:style w:type="character" w:customStyle="1" w:styleId="BalloonTextChar">
    <w:name w:val="Balloon Text Char"/>
    <w:link w:val="BalloonText"/>
    <w:rsid w:val="009375DA"/>
    <w:rPr>
      <w:rFonts w:ascii="Tahoma" w:hAnsi="Tahoma" w:cs="Tahoma"/>
      <w:sz w:val="16"/>
      <w:szCs w:val="16"/>
    </w:rPr>
  </w:style>
  <w:style w:type="paragraph" w:customStyle="1" w:styleId="Default">
    <w:name w:val="Default"/>
    <w:rsid w:val="00F74464"/>
    <w:pPr>
      <w:autoSpaceDE w:val="0"/>
      <w:autoSpaceDN w:val="0"/>
      <w:adjustRightInd w:val="0"/>
    </w:pPr>
    <w:rPr>
      <w:rFonts w:eastAsia="Calibri"/>
      <w:color w:val="000000"/>
      <w:sz w:val="24"/>
      <w:szCs w:val="24"/>
    </w:rPr>
  </w:style>
  <w:style w:type="paragraph" w:customStyle="1" w:styleId="S2Heading1">
    <w:name w:val="S2.Heading 1"/>
    <w:basedOn w:val="Normal"/>
    <w:next w:val="Normal"/>
    <w:link w:val="S2Heading1Char"/>
    <w:rsid w:val="00FA02D2"/>
    <w:pPr>
      <w:keepLines/>
      <w:numPr>
        <w:numId w:val="12"/>
      </w:numPr>
      <w:spacing w:before="240" w:line="240" w:lineRule="exact"/>
      <w:outlineLvl w:val="0"/>
    </w:pPr>
    <w:rPr>
      <w:rFonts w:eastAsia="Calibri"/>
      <w:b/>
      <w:caps/>
      <w:color w:val="000000"/>
    </w:rPr>
  </w:style>
  <w:style w:type="character" w:customStyle="1" w:styleId="S2Heading1Char">
    <w:name w:val="S2.Heading 1 Char"/>
    <w:link w:val="S2Heading1"/>
    <w:rsid w:val="00FA02D2"/>
    <w:rPr>
      <w:rFonts w:eastAsia="Calibri"/>
      <w:b/>
      <w:caps/>
      <w:color w:val="000000"/>
      <w:sz w:val="24"/>
      <w:szCs w:val="24"/>
      <w:lang w:eastAsia="en-US"/>
    </w:rPr>
  </w:style>
  <w:style w:type="paragraph" w:customStyle="1" w:styleId="S2Heading2">
    <w:name w:val="S2.Heading 2"/>
    <w:basedOn w:val="Normal"/>
    <w:next w:val="Normal"/>
    <w:rsid w:val="00FA02D2"/>
    <w:pPr>
      <w:keepLines/>
      <w:numPr>
        <w:ilvl w:val="1"/>
        <w:numId w:val="12"/>
      </w:numPr>
      <w:tabs>
        <w:tab w:val="clear" w:pos="1440"/>
        <w:tab w:val="num" w:pos="1260"/>
      </w:tabs>
      <w:spacing w:before="240" w:line="240" w:lineRule="exact"/>
      <w:ind w:left="1260" w:hanging="360"/>
      <w:outlineLvl w:val="1"/>
    </w:pPr>
    <w:rPr>
      <w:rFonts w:eastAsia="Calibri"/>
      <w:b/>
      <w:color w:val="000000"/>
    </w:rPr>
  </w:style>
  <w:style w:type="paragraph" w:customStyle="1" w:styleId="S2Heading3">
    <w:name w:val="S2.Heading 3"/>
    <w:basedOn w:val="Normal"/>
    <w:next w:val="Normal"/>
    <w:rsid w:val="00FA02D2"/>
    <w:pPr>
      <w:keepLines/>
      <w:numPr>
        <w:ilvl w:val="2"/>
        <w:numId w:val="12"/>
      </w:numPr>
      <w:tabs>
        <w:tab w:val="clear" w:pos="2160"/>
        <w:tab w:val="num" w:pos="1980"/>
      </w:tabs>
      <w:spacing w:before="240" w:line="240" w:lineRule="exact"/>
      <w:ind w:left="1980" w:hanging="180"/>
      <w:outlineLvl w:val="2"/>
    </w:pPr>
    <w:rPr>
      <w:rFonts w:eastAsia="Calibri"/>
      <w:color w:val="000000"/>
      <w:u w:val="single"/>
    </w:rPr>
  </w:style>
  <w:style w:type="paragraph" w:customStyle="1" w:styleId="S2Heading4">
    <w:name w:val="S2.Heading 4"/>
    <w:basedOn w:val="Normal"/>
    <w:next w:val="Normal"/>
    <w:rsid w:val="00FA02D2"/>
    <w:pPr>
      <w:keepLines/>
      <w:numPr>
        <w:ilvl w:val="3"/>
        <w:numId w:val="12"/>
      </w:numPr>
      <w:tabs>
        <w:tab w:val="clear" w:pos="2880"/>
        <w:tab w:val="num" w:pos="2700"/>
      </w:tabs>
      <w:spacing w:before="240" w:line="240" w:lineRule="exact"/>
      <w:ind w:left="2700" w:hanging="360"/>
      <w:outlineLvl w:val="3"/>
    </w:pPr>
    <w:rPr>
      <w:rFonts w:eastAsia="Calibri"/>
      <w:color w:val="000000"/>
      <w:u w:val="single"/>
    </w:rPr>
  </w:style>
  <w:style w:type="paragraph" w:customStyle="1" w:styleId="S2Heading5">
    <w:name w:val="S2.Heading 5"/>
    <w:basedOn w:val="Normal"/>
    <w:next w:val="Normal"/>
    <w:rsid w:val="00FA02D2"/>
    <w:pPr>
      <w:keepLines/>
      <w:numPr>
        <w:ilvl w:val="4"/>
        <w:numId w:val="12"/>
      </w:numPr>
      <w:tabs>
        <w:tab w:val="clear" w:pos="3600"/>
        <w:tab w:val="num" w:pos="3420"/>
      </w:tabs>
      <w:spacing w:before="240" w:line="240" w:lineRule="exact"/>
      <w:ind w:left="3420" w:hanging="360"/>
      <w:outlineLvl w:val="4"/>
    </w:pPr>
    <w:rPr>
      <w:rFonts w:eastAsia="Calibri"/>
      <w:color w:val="000000"/>
      <w:u w:val="single"/>
    </w:rPr>
  </w:style>
  <w:style w:type="paragraph" w:customStyle="1" w:styleId="S2Heading6">
    <w:name w:val="S2.Heading 6"/>
    <w:basedOn w:val="Normal"/>
    <w:next w:val="Normal"/>
    <w:rsid w:val="00FA02D2"/>
    <w:pPr>
      <w:keepLines/>
      <w:numPr>
        <w:ilvl w:val="5"/>
        <w:numId w:val="12"/>
      </w:numPr>
      <w:tabs>
        <w:tab w:val="clear" w:pos="4320"/>
        <w:tab w:val="num" w:pos="4140"/>
      </w:tabs>
      <w:spacing w:before="240" w:line="240" w:lineRule="exact"/>
      <w:ind w:left="4140" w:hanging="180"/>
      <w:outlineLvl w:val="5"/>
    </w:pPr>
    <w:rPr>
      <w:rFonts w:eastAsia="Calibri"/>
      <w:color w:val="000000"/>
      <w:u w:val="single"/>
    </w:rPr>
  </w:style>
  <w:style w:type="paragraph" w:customStyle="1" w:styleId="S2Heading7">
    <w:name w:val="S2.Heading 7"/>
    <w:basedOn w:val="Normal"/>
    <w:next w:val="Normal"/>
    <w:rsid w:val="00FA02D2"/>
    <w:pPr>
      <w:keepLines/>
      <w:numPr>
        <w:ilvl w:val="6"/>
        <w:numId w:val="12"/>
      </w:numPr>
      <w:tabs>
        <w:tab w:val="clear" w:pos="5040"/>
        <w:tab w:val="num" w:pos="4860"/>
      </w:tabs>
      <w:spacing w:before="240" w:line="240" w:lineRule="exact"/>
      <w:ind w:left="4860" w:hanging="360"/>
      <w:outlineLvl w:val="6"/>
    </w:pPr>
    <w:rPr>
      <w:rFonts w:eastAsia="Calibri"/>
      <w:color w:val="000000"/>
      <w:u w:val="single"/>
    </w:rPr>
  </w:style>
  <w:style w:type="paragraph" w:customStyle="1" w:styleId="S2Heading8">
    <w:name w:val="S2.Heading 8"/>
    <w:basedOn w:val="Normal"/>
    <w:next w:val="Normal"/>
    <w:rsid w:val="00FA02D2"/>
    <w:pPr>
      <w:keepLines/>
      <w:numPr>
        <w:ilvl w:val="7"/>
        <w:numId w:val="12"/>
      </w:numPr>
      <w:tabs>
        <w:tab w:val="clear" w:pos="5760"/>
        <w:tab w:val="num" w:pos="5580"/>
      </w:tabs>
      <w:spacing w:before="240" w:line="240" w:lineRule="exact"/>
      <w:ind w:left="5580" w:hanging="360"/>
      <w:outlineLvl w:val="7"/>
    </w:pPr>
    <w:rPr>
      <w:rFonts w:eastAsia="Calibri"/>
      <w:color w:val="000000"/>
      <w:u w:val="single"/>
    </w:rPr>
  </w:style>
  <w:style w:type="paragraph" w:customStyle="1" w:styleId="S2Heading9">
    <w:name w:val="S2.Heading 9"/>
    <w:basedOn w:val="Normal"/>
    <w:next w:val="Normal"/>
    <w:rsid w:val="00FA02D2"/>
    <w:pPr>
      <w:keepLines/>
      <w:numPr>
        <w:ilvl w:val="8"/>
        <w:numId w:val="12"/>
      </w:numPr>
      <w:tabs>
        <w:tab w:val="clear" w:pos="6480"/>
        <w:tab w:val="num" w:pos="6300"/>
      </w:tabs>
      <w:spacing w:before="240" w:line="240" w:lineRule="exact"/>
      <w:ind w:left="6300" w:hanging="180"/>
      <w:outlineLvl w:val="8"/>
    </w:pPr>
    <w:rPr>
      <w:rFonts w:eastAsia="Calibri"/>
      <w:color w:val="000000"/>
      <w:u w:val="single"/>
    </w:rPr>
  </w:style>
  <w:style w:type="character" w:customStyle="1" w:styleId="Heading2Char">
    <w:name w:val="Heading 2 Char"/>
    <w:link w:val="Heading2"/>
    <w:rsid w:val="00FA02D2"/>
    <w:rPr>
      <w:rFonts w:ascii="Cambria" w:eastAsia="SimSun" w:hAnsi="Cambria" w:cs="Times New Roman"/>
      <w:b/>
      <w:bCs/>
      <w:i/>
      <w:iCs/>
      <w:sz w:val="28"/>
      <w:szCs w:val="28"/>
      <w:lang w:eastAsia="en-US"/>
    </w:rPr>
  </w:style>
  <w:style w:type="character" w:customStyle="1" w:styleId="Heading3Char">
    <w:name w:val="Heading 3 Char"/>
    <w:link w:val="Heading3"/>
    <w:rsid w:val="00FA02D2"/>
    <w:rPr>
      <w:rFonts w:ascii="Cambria" w:eastAsia="SimSun" w:hAnsi="Cambria" w:cs="Times New Roman"/>
      <w:b/>
      <w:bCs/>
      <w:sz w:val="26"/>
      <w:szCs w:val="26"/>
      <w:lang w:eastAsia="en-US"/>
    </w:rPr>
  </w:style>
  <w:style w:type="character" w:customStyle="1" w:styleId="Heading5Char">
    <w:name w:val="Heading 5 Char"/>
    <w:link w:val="Heading5"/>
    <w:semiHidden/>
    <w:rsid w:val="00FA02D2"/>
    <w:rPr>
      <w:rFonts w:ascii="Calibri" w:eastAsia="SimSun" w:hAnsi="Calibri" w:cs="Times New Roman"/>
      <w:b/>
      <w:bCs/>
      <w:i/>
      <w:iCs/>
      <w:sz w:val="26"/>
      <w:szCs w:val="26"/>
      <w:lang w:eastAsia="en-US"/>
    </w:rPr>
  </w:style>
  <w:style w:type="character" w:styleId="Hyperlink">
    <w:name w:val="Hyperlink"/>
    <w:uiPriority w:val="99"/>
    <w:unhideWhenUsed/>
    <w:rsid w:val="00FA02D2"/>
    <w:rPr>
      <w:color w:val="0000FF"/>
      <w:u w:val="single"/>
    </w:rPr>
  </w:style>
  <w:style w:type="paragraph" w:customStyle="1" w:styleId="answ">
    <w:name w:val="answ"/>
    <w:basedOn w:val="Normal"/>
    <w:next w:val="Normal"/>
    <w:rsid w:val="00FA02D2"/>
    <w:pPr>
      <w:tabs>
        <w:tab w:val="left" w:pos="-1440"/>
        <w:tab w:val="left" w:pos="-720"/>
        <w:tab w:val="left" w:pos="0"/>
        <w:tab w:val="left" w:pos="720"/>
        <w:tab w:val="left" w:pos="1051"/>
        <w:tab w:val="left" w:pos="1440"/>
        <w:tab w:val="left" w:pos="1752"/>
        <w:tab w:val="left" w:pos="2160"/>
      </w:tabs>
      <w:suppressAutoHyphens/>
      <w:snapToGrid w:val="0"/>
      <w:spacing w:after="240" w:line="360" w:lineRule="auto"/>
      <w:ind w:left="720" w:hanging="720"/>
      <w:jc w:val="both"/>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uiPriority="39" w:qFormat="1"/>
    <w:lsdException w:name="toc 2" w:uiPriority="39" w:qFormat="1"/>
    <w:lsdException w:name="toc 3" w:uiPriority="39" w:qFormat="1"/>
    <w:lsdException w:name="footnote text" w:qFormat="1"/>
    <w:lsdException w:name="caption" w:locked="1" w:semiHidden="1" w:unhideWhenUsed="1" w:qFormat="1"/>
    <w:lsdException w:name="Title" w:locked="1" w:qFormat="1"/>
    <w:lsdException w:name="Subtitle" w:locked="1" w:qFormat="1"/>
    <w:lsdException w:name="Hyperlink" w:uiPriority="99"/>
    <w:lsdException w:name="Strong" w:locked="1" w:qFormat="1"/>
    <w:lsdException w:name="Emphasis" w:locked="1" w:qFormat="1"/>
    <w:lsdException w:name="Normal (Web)" w:locked="1"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20E3"/>
    <w:rPr>
      <w:sz w:val="24"/>
      <w:szCs w:val="24"/>
    </w:rPr>
  </w:style>
  <w:style w:type="paragraph" w:styleId="Heading1">
    <w:name w:val="heading 1"/>
    <w:basedOn w:val="Normal"/>
    <w:next w:val="Normal"/>
    <w:link w:val="Heading1Char"/>
    <w:qFormat/>
    <w:locked/>
    <w:rsid w:val="009375D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locked/>
    <w:rsid w:val="00FA02D2"/>
    <w:pPr>
      <w:keepNext/>
      <w:spacing w:before="240" w:after="60"/>
      <w:outlineLvl w:val="1"/>
    </w:pPr>
    <w:rPr>
      <w:rFonts w:ascii="Cambria" w:eastAsia="SimSun" w:hAnsi="Cambria"/>
      <w:b/>
      <w:bCs/>
      <w:i/>
      <w:iCs/>
      <w:sz w:val="28"/>
      <w:szCs w:val="28"/>
    </w:rPr>
  </w:style>
  <w:style w:type="paragraph" w:styleId="Heading3">
    <w:name w:val="heading 3"/>
    <w:basedOn w:val="Normal"/>
    <w:next w:val="Normal"/>
    <w:link w:val="Heading3Char"/>
    <w:unhideWhenUsed/>
    <w:qFormat/>
    <w:locked/>
    <w:rsid w:val="00FA02D2"/>
    <w:pPr>
      <w:keepNext/>
      <w:spacing w:before="240" w:after="60"/>
      <w:outlineLvl w:val="2"/>
    </w:pPr>
    <w:rPr>
      <w:rFonts w:ascii="Cambria" w:eastAsia="SimSun" w:hAnsi="Cambria"/>
      <w:b/>
      <w:bCs/>
      <w:sz w:val="26"/>
      <w:szCs w:val="26"/>
    </w:rPr>
  </w:style>
  <w:style w:type="paragraph" w:styleId="Heading4">
    <w:name w:val="heading 4"/>
    <w:basedOn w:val="Normal"/>
    <w:link w:val="Heading4Char"/>
    <w:qFormat/>
    <w:rsid w:val="00E945FC"/>
    <w:pPr>
      <w:spacing w:before="100" w:beforeAutospacing="1" w:after="100" w:afterAutospacing="1"/>
      <w:outlineLvl w:val="3"/>
    </w:pPr>
    <w:rPr>
      <w:b/>
      <w:bCs/>
    </w:rPr>
  </w:style>
  <w:style w:type="paragraph" w:styleId="Heading5">
    <w:name w:val="heading 5"/>
    <w:basedOn w:val="Normal"/>
    <w:next w:val="Normal"/>
    <w:link w:val="Heading5Char"/>
    <w:semiHidden/>
    <w:unhideWhenUsed/>
    <w:qFormat/>
    <w:locked/>
    <w:rsid w:val="00FA02D2"/>
    <w:pPr>
      <w:spacing w:before="240" w:after="60"/>
      <w:outlineLvl w:val="4"/>
    </w:pPr>
    <w:rPr>
      <w:rFonts w:ascii="Calibri" w:eastAsia="SimSu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420E3"/>
    <w:pPr>
      <w:tabs>
        <w:tab w:val="center" w:pos="4320"/>
        <w:tab w:val="right" w:pos="8640"/>
      </w:tabs>
    </w:pPr>
  </w:style>
  <w:style w:type="character" w:styleId="PageNumber">
    <w:name w:val="page number"/>
    <w:rsid w:val="009420E3"/>
    <w:rPr>
      <w:rFonts w:cs="Times New Roman"/>
    </w:rPr>
  </w:style>
  <w:style w:type="paragraph" w:styleId="FootnoteText">
    <w:name w:val="footnote text"/>
    <w:aliases w:val="ALTS FOOTNOTE,fn,Footnote Text 2,Footnote text,FOOTNOTE,ALTS FOOTNOTE Char,fn Char,Footnote Text Char1 Char,Footnote Text Char Char Char,ALTS FOOTNOTE Char Char Char,fn Char Char Char,Footnote Text Char2 Char Char Char,f,Footnote Text Cha"/>
    <w:basedOn w:val="Normal"/>
    <w:link w:val="FootnoteTextChar"/>
    <w:qFormat/>
    <w:rsid w:val="009420E3"/>
    <w:rPr>
      <w:sz w:val="20"/>
      <w:szCs w:val="20"/>
    </w:rPr>
  </w:style>
  <w:style w:type="character" w:styleId="FootnoteReference">
    <w:name w:val="footnote reference"/>
    <w:aliases w:val="fr,o,Style 6,Style 20,Style 9"/>
    <w:rsid w:val="009420E3"/>
    <w:rPr>
      <w:rFonts w:cs="Times New Roman"/>
      <w:vertAlign w:val="superscript"/>
    </w:rPr>
  </w:style>
  <w:style w:type="paragraph" w:styleId="ListParagraph">
    <w:name w:val="List Paragraph"/>
    <w:basedOn w:val="Normal"/>
    <w:uiPriority w:val="99"/>
    <w:qFormat/>
    <w:rsid w:val="0041604C"/>
    <w:pPr>
      <w:ind w:left="720"/>
      <w:contextualSpacing/>
    </w:pPr>
    <w:rPr>
      <w:szCs w:val="22"/>
    </w:rPr>
  </w:style>
  <w:style w:type="character" w:customStyle="1" w:styleId="FootnoteTextChar">
    <w:name w:val="Footnote Text Char"/>
    <w:aliases w:val="ALTS FOOTNOTE Char1,fn Char1,Footnote Text 2 Char,Footnote text Char,FOOTNOTE Char,ALTS FOOTNOTE Char Char,fn Char Char,Footnote Text Char1 Char Char,Footnote Text Char Char Char Char,ALTS FOOTNOTE Char Char Char Char,f Char"/>
    <w:link w:val="FootnoteText"/>
    <w:locked/>
    <w:rsid w:val="0041604C"/>
    <w:rPr>
      <w:rFonts w:cs="Times New Roman"/>
      <w:lang w:val="en-US" w:eastAsia="en-US" w:bidi="ar-SA"/>
    </w:rPr>
  </w:style>
  <w:style w:type="character" w:customStyle="1" w:styleId="Heading4Char">
    <w:name w:val="Heading 4 Char"/>
    <w:link w:val="Heading4"/>
    <w:locked/>
    <w:rsid w:val="00E945FC"/>
    <w:rPr>
      <w:rFonts w:cs="Times New Roman"/>
      <w:b/>
      <w:bCs/>
      <w:sz w:val="24"/>
      <w:szCs w:val="24"/>
    </w:rPr>
  </w:style>
  <w:style w:type="paragraph" w:styleId="NormalWeb">
    <w:name w:val="Normal (Web)"/>
    <w:basedOn w:val="Normal"/>
    <w:uiPriority w:val="99"/>
    <w:rsid w:val="00E945FC"/>
    <w:pPr>
      <w:spacing w:before="100" w:beforeAutospacing="1" w:after="100" w:afterAutospacing="1"/>
    </w:pPr>
  </w:style>
  <w:style w:type="paragraph" w:styleId="Header">
    <w:name w:val="header"/>
    <w:basedOn w:val="Normal"/>
    <w:rsid w:val="00076153"/>
    <w:pPr>
      <w:tabs>
        <w:tab w:val="center" w:pos="4320"/>
        <w:tab w:val="right" w:pos="8640"/>
      </w:tabs>
    </w:pPr>
  </w:style>
  <w:style w:type="character" w:customStyle="1" w:styleId="Heading1Char">
    <w:name w:val="Heading 1 Char"/>
    <w:link w:val="Heading1"/>
    <w:rsid w:val="009375DA"/>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9375DA"/>
    <w:pPr>
      <w:keepLines/>
      <w:spacing w:before="480" w:after="0" w:line="276" w:lineRule="auto"/>
      <w:outlineLvl w:val="9"/>
    </w:pPr>
    <w:rPr>
      <w:color w:val="365F91"/>
      <w:kern w:val="0"/>
      <w:sz w:val="28"/>
      <w:szCs w:val="28"/>
    </w:rPr>
  </w:style>
  <w:style w:type="paragraph" w:styleId="TOC2">
    <w:name w:val="toc 2"/>
    <w:basedOn w:val="Normal"/>
    <w:next w:val="Normal"/>
    <w:autoRedefine/>
    <w:uiPriority w:val="39"/>
    <w:unhideWhenUsed/>
    <w:qFormat/>
    <w:rsid w:val="005D62DA"/>
    <w:pPr>
      <w:tabs>
        <w:tab w:val="right" w:leader="dot" w:pos="9360"/>
      </w:tabs>
      <w:spacing w:after="100" w:line="276" w:lineRule="auto"/>
      <w:ind w:left="720"/>
    </w:pPr>
    <w:rPr>
      <w:rFonts w:ascii="Calibri" w:hAnsi="Calibri"/>
      <w:sz w:val="22"/>
      <w:szCs w:val="22"/>
    </w:rPr>
  </w:style>
  <w:style w:type="paragraph" w:styleId="TOC1">
    <w:name w:val="toc 1"/>
    <w:basedOn w:val="Normal"/>
    <w:next w:val="Normal"/>
    <w:autoRedefine/>
    <w:uiPriority w:val="39"/>
    <w:unhideWhenUsed/>
    <w:qFormat/>
    <w:rsid w:val="00AC0186"/>
    <w:pPr>
      <w:tabs>
        <w:tab w:val="right" w:leader="dot" w:pos="9360"/>
      </w:tabs>
      <w:spacing w:line="360" w:lineRule="auto"/>
      <w:ind w:left="360"/>
    </w:pPr>
    <w:rPr>
      <w:rFonts w:ascii="Calibri" w:hAnsi="Calibri"/>
      <w:sz w:val="22"/>
      <w:szCs w:val="22"/>
    </w:rPr>
  </w:style>
  <w:style w:type="paragraph" w:styleId="TOC3">
    <w:name w:val="toc 3"/>
    <w:basedOn w:val="Normal"/>
    <w:next w:val="Normal"/>
    <w:autoRedefine/>
    <w:uiPriority w:val="39"/>
    <w:unhideWhenUsed/>
    <w:qFormat/>
    <w:rsid w:val="00590B2D"/>
    <w:pPr>
      <w:tabs>
        <w:tab w:val="left" w:pos="720"/>
        <w:tab w:val="right" w:leader="dot" w:pos="9360"/>
      </w:tabs>
      <w:spacing w:after="100" w:line="276" w:lineRule="auto"/>
      <w:ind w:left="360"/>
    </w:pPr>
    <w:rPr>
      <w:rFonts w:ascii="Calibri" w:hAnsi="Calibri"/>
      <w:sz w:val="22"/>
      <w:szCs w:val="22"/>
    </w:rPr>
  </w:style>
  <w:style w:type="paragraph" w:styleId="BalloonText">
    <w:name w:val="Balloon Text"/>
    <w:basedOn w:val="Normal"/>
    <w:link w:val="BalloonTextChar"/>
    <w:rsid w:val="009375DA"/>
    <w:rPr>
      <w:rFonts w:ascii="Tahoma" w:hAnsi="Tahoma" w:cs="Tahoma"/>
      <w:sz w:val="16"/>
      <w:szCs w:val="16"/>
    </w:rPr>
  </w:style>
  <w:style w:type="character" w:customStyle="1" w:styleId="BalloonTextChar">
    <w:name w:val="Balloon Text Char"/>
    <w:link w:val="BalloonText"/>
    <w:rsid w:val="009375DA"/>
    <w:rPr>
      <w:rFonts w:ascii="Tahoma" w:hAnsi="Tahoma" w:cs="Tahoma"/>
      <w:sz w:val="16"/>
      <w:szCs w:val="16"/>
    </w:rPr>
  </w:style>
  <w:style w:type="paragraph" w:customStyle="1" w:styleId="Default">
    <w:name w:val="Default"/>
    <w:rsid w:val="00F74464"/>
    <w:pPr>
      <w:autoSpaceDE w:val="0"/>
      <w:autoSpaceDN w:val="0"/>
      <w:adjustRightInd w:val="0"/>
    </w:pPr>
    <w:rPr>
      <w:rFonts w:eastAsia="Calibri"/>
      <w:color w:val="000000"/>
      <w:sz w:val="24"/>
      <w:szCs w:val="24"/>
    </w:rPr>
  </w:style>
  <w:style w:type="paragraph" w:customStyle="1" w:styleId="S2Heading1">
    <w:name w:val="S2.Heading 1"/>
    <w:basedOn w:val="Normal"/>
    <w:next w:val="Normal"/>
    <w:link w:val="S2Heading1Char"/>
    <w:rsid w:val="00FA02D2"/>
    <w:pPr>
      <w:keepLines/>
      <w:numPr>
        <w:numId w:val="12"/>
      </w:numPr>
      <w:spacing w:before="240" w:line="240" w:lineRule="exact"/>
      <w:outlineLvl w:val="0"/>
    </w:pPr>
    <w:rPr>
      <w:rFonts w:eastAsia="Calibri"/>
      <w:b/>
      <w:caps/>
      <w:color w:val="000000"/>
    </w:rPr>
  </w:style>
  <w:style w:type="character" w:customStyle="1" w:styleId="S2Heading1Char">
    <w:name w:val="S2.Heading 1 Char"/>
    <w:link w:val="S2Heading1"/>
    <w:rsid w:val="00FA02D2"/>
    <w:rPr>
      <w:rFonts w:eastAsia="Calibri"/>
      <w:b/>
      <w:caps/>
      <w:color w:val="000000"/>
      <w:sz w:val="24"/>
      <w:szCs w:val="24"/>
      <w:lang w:eastAsia="en-US"/>
    </w:rPr>
  </w:style>
  <w:style w:type="paragraph" w:customStyle="1" w:styleId="S2Heading2">
    <w:name w:val="S2.Heading 2"/>
    <w:basedOn w:val="Normal"/>
    <w:next w:val="Normal"/>
    <w:rsid w:val="00FA02D2"/>
    <w:pPr>
      <w:keepLines/>
      <w:numPr>
        <w:ilvl w:val="1"/>
        <w:numId w:val="12"/>
      </w:numPr>
      <w:tabs>
        <w:tab w:val="clear" w:pos="1440"/>
        <w:tab w:val="num" w:pos="1260"/>
      </w:tabs>
      <w:spacing w:before="240" w:line="240" w:lineRule="exact"/>
      <w:ind w:left="1260" w:hanging="360"/>
      <w:outlineLvl w:val="1"/>
    </w:pPr>
    <w:rPr>
      <w:rFonts w:eastAsia="Calibri"/>
      <w:b/>
      <w:color w:val="000000"/>
    </w:rPr>
  </w:style>
  <w:style w:type="paragraph" w:customStyle="1" w:styleId="S2Heading3">
    <w:name w:val="S2.Heading 3"/>
    <w:basedOn w:val="Normal"/>
    <w:next w:val="Normal"/>
    <w:rsid w:val="00FA02D2"/>
    <w:pPr>
      <w:keepLines/>
      <w:numPr>
        <w:ilvl w:val="2"/>
        <w:numId w:val="12"/>
      </w:numPr>
      <w:tabs>
        <w:tab w:val="clear" w:pos="2160"/>
        <w:tab w:val="num" w:pos="1980"/>
      </w:tabs>
      <w:spacing w:before="240" w:line="240" w:lineRule="exact"/>
      <w:ind w:left="1980" w:hanging="180"/>
      <w:outlineLvl w:val="2"/>
    </w:pPr>
    <w:rPr>
      <w:rFonts w:eastAsia="Calibri"/>
      <w:color w:val="000000"/>
      <w:u w:val="single"/>
    </w:rPr>
  </w:style>
  <w:style w:type="paragraph" w:customStyle="1" w:styleId="S2Heading4">
    <w:name w:val="S2.Heading 4"/>
    <w:basedOn w:val="Normal"/>
    <w:next w:val="Normal"/>
    <w:rsid w:val="00FA02D2"/>
    <w:pPr>
      <w:keepLines/>
      <w:numPr>
        <w:ilvl w:val="3"/>
        <w:numId w:val="12"/>
      </w:numPr>
      <w:tabs>
        <w:tab w:val="clear" w:pos="2880"/>
        <w:tab w:val="num" w:pos="2700"/>
      </w:tabs>
      <w:spacing w:before="240" w:line="240" w:lineRule="exact"/>
      <w:ind w:left="2700" w:hanging="360"/>
      <w:outlineLvl w:val="3"/>
    </w:pPr>
    <w:rPr>
      <w:rFonts w:eastAsia="Calibri"/>
      <w:color w:val="000000"/>
      <w:u w:val="single"/>
    </w:rPr>
  </w:style>
  <w:style w:type="paragraph" w:customStyle="1" w:styleId="S2Heading5">
    <w:name w:val="S2.Heading 5"/>
    <w:basedOn w:val="Normal"/>
    <w:next w:val="Normal"/>
    <w:rsid w:val="00FA02D2"/>
    <w:pPr>
      <w:keepLines/>
      <w:numPr>
        <w:ilvl w:val="4"/>
        <w:numId w:val="12"/>
      </w:numPr>
      <w:tabs>
        <w:tab w:val="clear" w:pos="3600"/>
        <w:tab w:val="num" w:pos="3420"/>
      </w:tabs>
      <w:spacing w:before="240" w:line="240" w:lineRule="exact"/>
      <w:ind w:left="3420" w:hanging="360"/>
      <w:outlineLvl w:val="4"/>
    </w:pPr>
    <w:rPr>
      <w:rFonts w:eastAsia="Calibri"/>
      <w:color w:val="000000"/>
      <w:u w:val="single"/>
    </w:rPr>
  </w:style>
  <w:style w:type="paragraph" w:customStyle="1" w:styleId="S2Heading6">
    <w:name w:val="S2.Heading 6"/>
    <w:basedOn w:val="Normal"/>
    <w:next w:val="Normal"/>
    <w:rsid w:val="00FA02D2"/>
    <w:pPr>
      <w:keepLines/>
      <w:numPr>
        <w:ilvl w:val="5"/>
        <w:numId w:val="12"/>
      </w:numPr>
      <w:tabs>
        <w:tab w:val="clear" w:pos="4320"/>
        <w:tab w:val="num" w:pos="4140"/>
      </w:tabs>
      <w:spacing w:before="240" w:line="240" w:lineRule="exact"/>
      <w:ind w:left="4140" w:hanging="180"/>
      <w:outlineLvl w:val="5"/>
    </w:pPr>
    <w:rPr>
      <w:rFonts w:eastAsia="Calibri"/>
      <w:color w:val="000000"/>
      <w:u w:val="single"/>
    </w:rPr>
  </w:style>
  <w:style w:type="paragraph" w:customStyle="1" w:styleId="S2Heading7">
    <w:name w:val="S2.Heading 7"/>
    <w:basedOn w:val="Normal"/>
    <w:next w:val="Normal"/>
    <w:rsid w:val="00FA02D2"/>
    <w:pPr>
      <w:keepLines/>
      <w:numPr>
        <w:ilvl w:val="6"/>
        <w:numId w:val="12"/>
      </w:numPr>
      <w:tabs>
        <w:tab w:val="clear" w:pos="5040"/>
        <w:tab w:val="num" w:pos="4860"/>
      </w:tabs>
      <w:spacing w:before="240" w:line="240" w:lineRule="exact"/>
      <w:ind w:left="4860" w:hanging="360"/>
      <w:outlineLvl w:val="6"/>
    </w:pPr>
    <w:rPr>
      <w:rFonts w:eastAsia="Calibri"/>
      <w:color w:val="000000"/>
      <w:u w:val="single"/>
    </w:rPr>
  </w:style>
  <w:style w:type="paragraph" w:customStyle="1" w:styleId="S2Heading8">
    <w:name w:val="S2.Heading 8"/>
    <w:basedOn w:val="Normal"/>
    <w:next w:val="Normal"/>
    <w:rsid w:val="00FA02D2"/>
    <w:pPr>
      <w:keepLines/>
      <w:numPr>
        <w:ilvl w:val="7"/>
        <w:numId w:val="12"/>
      </w:numPr>
      <w:tabs>
        <w:tab w:val="clear" w:pos="5760"/>
        <w:tab w:val="num" w:pos="5580"/>
      </w:tabs>
      <w:spacing w:before="240" w:line="240" w:lineRule="exact"/>
      <w:ind w:left="5580" w:hanging="360"/>
      <w:outlineLvl w:val="7"/>
    </w:pPr>
    <w:rPr>
      <w:rFonts w:eastAsia="Calibri"/>
      <w:color w:val="000000"/>
      <w:u w:val="single"/>
    </w:rPr>
  </w:style>
  <w:style w:type="paragraph" w:customStyle="1" w:styleId="S2Heading9">
    <w:name w:val="S2.Heading 9"/>
    <w:basedOn w:val="Normal"/>
    <w:next w:val="Normal"/>
    <w:rsid w:val="00FA02D2"/>
    <w:pPr>
      <w:keepLines/>
      <w:numPr>
        <w:ilvl w:val="8"/>
        <w:numId w:val="12"/>
      </w:numPr>
      <w:tabs>
        <w:tab w:val="clear" w:pos="6480"/>
        <w:tab w:val="num" w:pos="6300"/>
      </w:tabs>
      <w:spacing w:before="240" w:line="240" w:lineRule="exact"/>
      <w:ind w:left="6300" w:hanging="180"/>
      <w:outlineLvl w:val="8"/>
    </w:pPr>
    <w:rPr>
      <w:rFonts w:eastAsia="Calibri"/>
      <w:color w:val="000000"/>
      <w:u w:val="single"/>
    </w:rPr>
  </w:style>
  <w:style w:type="character" w:customStyle="1" w:styleId="Heading2Char">
    <w:name w:val="Heading 2 Char"/>
    <w:link w:val="Heading2"/>
    <w:rsid w:val="00FA02D2"/>
    <w:rPr>
      <w:rFonts w:ascii="Cambria" w:eastAsia="SimSun" w:hAnsi="Cambria" w:cs="Times New Roman"/>
      <w:b/>
      <w:bCs/>
      <w:i/>
      <w:iCs/>
      <w:sz w:val="28"/>
      <w:szCs w:val="28"/>
      <w:lang w:eastAsia="en-US"/>
    </w:rPr>
  </w:style>
  <w:style w:type="character" w:customStyle="1" w:styleId="Heading3Char">
    <w:name w:val="Heading 3 Char"/>
    <w:link w:val="Heading3"/>
    <w:rsid w:val="00FA02D2"/>
    <w:rPr>
      <w:rFonts w:ascii="Cambria" w:eastAsia="SimSun" w:hAnsi="Cambria" w:cs="Times New Roman"/>
      <w:b/>
      <w:bCs/>
      <w:sz w:val="26"/>
      <w:szCs w:val="26"/>
      <w:lang w:eastAsia="en-US"/>
    </w:rPr>
  </w:style>
  <w:style w:type="character" w:customStyle="1" w:styleId="Heading5Char">
    <w:name w:val="Heading 5 Char"/>
    <w:link w:val="Heading5"/>
    <w:semiHidden/>
    <w:rsid w:val="00FA02D2"/>
    <w:rPr>
      <w:rFonts w:ascii="Calibri" w:eastAsia="SimSun" w:hAnsi="Calibri" w:cs="Times New Roman"/>
      <w:b/>
      <w:bCs/>
      <w:i/>
      <w:iCs/>
      <w:sz w:val="26"/>
      <w:szCs w:val="26"/>
      <w:lang w:eastAsia="en-US"/>
    </w:rPr>
  </w:style>
  <w:style w:type="character" w:styleId="Hyperlink">
    <w:name w:val="Hyperlink"/>
    <w:uiPriority w:val="99"/>
    <w:unhideWhenUsed/>
    <w:rsid w:val="00FA02D2"/>
    <w:rPr>
      <w:color w:val="0000FF"/>
      <w:u w:val="single"/>
    </w:rPr>
  </w:style>
  <w:style w:type="paragraph" w:customStyle="1" w:styleId="answ">
    <w:name w:val="answ"/>
    <w:basedOn w:val="Normal"/>
    <w:next w:val="Normal"/>
    <w:rsid w:val="00FA02D2"/>
    <w:pPr>
      <w:tabs>
        <w:tab w:val="left" w:pos="-1440"/>
        <w:tab w:val="left" w:pos="-720"/>
        <w:tab w:val="left" w:pos="0"/>
        <w:tab w:val="left" w:pos="720"/>
        <w:tab w:val="left" w:pos="1051"/>
        <w:tab w:val="left" w:pos="1440"/>
        <w:tab w:val="left" w:pos="1752"/>
        <w:tab w:val="left" w:pos="2160"/>
      </w:tabs>
      <w:suppressAutoHyphens/>
      <w:snapToGrid w:val="0"/>
      <w:spacing w:after="240" w:line="360" w:lineRule="auto"/>
      <w:ind w:left="720" w:hanging="720"/>
      <w:jc w:val="both"/>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sChild>
        <w:div w:id="6">
          <w:marLeft w:val="720"/>
          <w:marRight w:val="720"/>
          <w:marTop w:val="100"/>
          <w:marBottom w:val="10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sChild>
        <w:div w:id="8">
          <w:marLeft w:val="720"/>
          <w:marRight w:val="720"/>
          <w:marTop w:val="100"/>
          <w:marBottom w:val="10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720"/>
          <w:marRight w:val="720"/>
          <w:marTop w:val="100"/>
          <w:marBottom w:val="10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4">
          <w:marLeft w:val="720"/>
          <w:marRight w:val="720"/>
          <w:marTop w:val="100"/>
          <w:marBottom w:val="100"/>
          <w:divBdr>
            <w:top w:val="none" w:sz="0" w:space="0" w:color="auto"/>
            <w:left w:val="none" w:sz="0" w:space="0" w:color="auto"/>
            <w:bottom w:val="none" w:sz="0" w:space="0" w:color="auto"/>
            <w:right w:val="none" w:sz="0" w:space="0" w:color="auto"/>
          </w:divBdr>
        </w:div>
      </w:divsChild>
    </w:div>
    <w:div w:id="1195458868">
      <w:bodyDiv w:val="1"/>
      <w:marLeft w:val="0"/>
      <w:marRight w:val="0"/>
      <w:marTop w:val="0"/>
      <w:marBottom w:val="0"/>
      <w:divBdr>
        <w:top w:val="none" w:sz="0" w:space="0" w:color="auto"/>
        <w:left w:val="none" w:sz="0" w:space="0" w:color="auto"/>
        <w:bottom w:val="none" w:sz="0" w:space="0" w:color="auto"/>
        <w:right w:val="none" w:sz="0" w:space="0" w:color="auto"/>
      </w:divBdr>
    </w:div>
    <w:div w:id="1548757138">
      <w:bodyDiv w:val="1"/>
      <w:marLeft w:val="0"/>
      <w:marRight w:val="0"/>
      <w:marTop w:val="0"/>
      <w:marBottom w:val="0"/>
      <w:divBdr>
        <w:top w:val="none" w:sz="0" w:space="0" w:color="auto"/>
        <w:left w:val="none" w:sz="0" w:space="0" w:color="auto"/>
        <w:bottom w:val="none" w:sz="0" w:space="0" w:color="auto"/>
        <w:right w:val="none" w:sz="0" w:space="0" w:color="auto"/>
      </w:divBdr>
    </w:div>
    <w:div w:id="1658025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pacode.com/secure/data/052/chapter60/chap60toc.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9CCDA-04AA-4B7E-8F3F-FC10533FD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43</Pages>
  <Words>11738</Words>
  <Characters>66911</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BEFORE THE</vt:lpstr>
    </vt:vector>
  </TitlesOfParts>
  <Company>PA Public Utility Commission</Company>
  <LinksUpToDate>false</LinksUpToDate>
  <CharactersWithSpaces>78493</CharactersWithSpaces>
  <SharedDoc>false</SharedDoc>
  <HLinks>
    <vt:vector size="6" baseType="variant">
      <vt:variant>
        <vt:i4>7798888</vt:i4>
      </vt:variant>
      <vt:variant>
        <vt:i4>0</vt:i4>
      </vt:variant>
      <vt:variant>
        <vt:i4>0</vt:i4>
      </vt:variant>
      <vt:variant>
        <vt:i4>5</vt:i4>
      </vt:variant>
      <vt:variant>
        <vt:lpwstr>http://www.pacode.com/secure/data/052/chapter60/chap60toc.html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 THE</dc:title>
  <dc:creator>scolwell</dc:creator>
  <cp:lastModifiedBy>shoffner</cp:lastModifiedBy>
  <cp:revision>4</cp:revision>
  <cp:lastPrinted>2014-06-20T19:15:00Z</cp:lastPrinted>
  <dcterms:created xsi:type="dcterms:W3CDTF">2014-06-20T19:09:00Z</dcterms:created>
  <dcterms:modified xsi:type="dcterms:W3CDTF">2014-06-20T19:20:00Z</dcterms:modified>
</cp:coreProperties>
</file>