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5C755B" w:rsidRDefault="001B39BE" w:rsidP="001B39BE">
      <w:pPr>
        <w:jc w:val="center"/>
        <w:rPr>
          <w:b/>
        </w:rPr>
      </w:pPr>
      <w:bookmarkStart w:id="0" w:name="_GoBack"/>
      <w:bookmarkEnd w:id="0"/>
      <w:r w:rsidRPr="005C755B">
        <w:rPr>
          <w:b/>
        </w:rPr>
        <w:t xml:space="preserve">BEFORE THE </w:t>
      </w:r>
    </w:p>
    <w:p w:rsidR="001B39BE" w:rsidRPr="005C755B" w:rsidRDefault="001B39BE" w:rsidP="001B39BE">
      <w:pPr>
        <w:jc w:val="center"/>
        <w:rPr>
          <w:b/>
        </w:rPr>
      </w:pPr>
      <w:r w:rsidRPr="005C755B">
        <w:rPr>
          <w:b/>
        </w:rPr>
        <w:t>PENNSYLVANIA PUBLIC UTILITY COMMISSION</w:t>
      </w:r>
    </w:p>
    <w:p w:rsidR="001B39BE" w:rsidRPr="005C755B" w:rsidRDefault="001B39BE" w:rsidP="001B39BE">
      <w:pPr>
        <w:jc w:val="center"/>
        <w:rPr>
          <w:b/>
        </w:rPr>
      </w:pPr>
    </w:p>
    <w:p w:rsidR="001B39BE" w:rsidRPr="005C755B" w:rsidRDefault="001B39BE" w:rsidP="001B39BE">
      <w:pPr>
        <w:rPr>
          <w:b/>
        </w:rPr>
      </w:pPr>
    </w:p>
    <w:p w:rsidR="001B39BE" w:rsidRPr="00794B08" w:rsidRDefault="00C851AF" w:rsidP="001B39BE">
      <w:r>
        <w:t>Justin L. Herp</w:t>
      </w:r>
      <w:r>
        <w:tab/>
      </w:r>
      <w:r>
        <w:tab/>
      </w:r>
      <w:r w:rsidR="001B39BE" w:rsidRPr="00794B08">
        <w:tab/>
      </w:r>
      <w:r w:rsidR="001B39BE" w:rsidRPr="00794B08">
        <w:tab/>
      </w:r>
      <w:r w:rsidR="001B39BE" w:rsidRPr="00794B08">
        <w:tab/>
      </w:r>
      <w:r w:rsidR="0071434B" w:rsidRPr="00794B08">
        <w:t>:</w:t>
      </w:r>
    </w:p>
    <w:p w:rsidR="001B39BE" w:rsidRPr="00794B08" w:rsidRDefault="001B39BE" w:rsidP="001B39BE">
      <w:r w:rsidRPr="00794B08">
        <w:tab/>
        <w:t>Complainant,</w:t>
      </w:r>
      <w:r w:rsidRPr="00794B08">
        <w:tab/>
      </w:r>
      <w:r w:rsidRPr="00794B08">
        <w:tab/>
      </w:r>
      <w:r w:rsidRPr="00794B08">
        <w:tab/>
      </w:r>
      <w:r w:rsidRPr="00794B08">
        <w:tab/>
      </w:r>
      <w:r w:rsidR="0071434B" w:rsidRPr="00794B08">
        <w:t>:</w:t>
      </w:r>
    </w:p>
    <w:p w:rsidR="001B39BE" w:rsidRPr="00794B08" w:rsidRDefault="001B39BE" w:rsidP="001B39BE">
      <w:r w:rsidRPr="00794B08">
        <w:tab/>
      </w:r>
      <w:r w:rsidRPr="00794B08">
        <w:tab/>
      </w:r>
      <w:r w:rsidRPr="00794B08">
        <w:tab/>
      </w:r>
      <w:r w:rsidRPr="00794B08">
        <w:tab/>
      </w:r>
      <w:r w:rsidRPr="00794B08">
        <w:tab/>
      </w:r>
      <w:r w:rsidRPr="00794B08">
        <w:tab/>
      </w:r>
      <w:r w:rsidR="0071434B" w:rsidRPr="00794B08">
        <w:t>:</w:t>
      </w:r>
    </w:p>
    <w:p w:rsidR="001B39BE" w:rsidRPr="00794B08" w:rsidRDefault="001B39BE" w:rsidP="001B39BE">
      <w:r w:rsidRPr="00794B08">
        <w:tab/>
      </w:r>
      <w:r w:rsidRPr="00794B08">
        <w:tab/>
        <w:t>v.</w:t>
      </w:r>
      <w:r w:rsidRPr="00794B08">
        <w:tab/>
      </w:r>
      <w:r w:rsidRPr="00794B08">
        <w:tab/>
      </w:r>
      <w:r w:rsidRPr="00794B08">
        <w:tab/>
      </w:r>
      <w:r w:rsidRPr="00794B08">
        <w:tab/>
      </w:r>
      <w:r w:rsidR="0071434B" w:rsidRPr="00794B08">
        <w:t>:</w:t>
      </w:r>
      <w:r w:rsidRPr="00794B08">
        <w:t xml:space="preserve">  </w:t>
      </w:r>
      <w:r w:rsidR="0071434B" w:rsidRPr="00794B08">
        <w:tab/>
      </w:r>
      <w:r w:rsidRPr="00794B08">
        <w:t>C-201</w:t>
      </w:r>
      <w:r w:rsidR="00C851AF">
        <w:t>4</w:t>
      </w:r>
      <w:r w:rsidRPr="00794B08">
        <w:t>-</w:t>
      </w:r>
      <w:r w:rsidR="00C851AF">
        <w:t>2413756</w:t>
      </w:r>
    </w:p>
    <w:p w:rsidR="001B39BE" w:rsidRPr="00794B08" w:rsidRDefault="0071434B" w:rsidP="001B39BE">
      <w:r w:rsidRPr="00794B08">
        <w:tab/>
      </w:r>
      <w:r w:rsidRPr="00794B08">
        <w:tab/>
      </w:r>
      <w:r w:rsidRPr="00794B08">
        <w:tab/>
      </w:r>
      <w:r w:rsidRPr="00794B08">
        <w:tab/>
      </w:r>
      <w:r w:rsidRPr="00794B08">
        <w:tab/>
      </w:r>
      <w:r w:rsidRPr="00794B08">
        <w:tab/>
        <w:t>:</w:t>
      </w:r>
    </w:p>
    <w:p w:rsidR="001B39BE" w:rsidRPr="00794B08" w:rsidRDefault="00C851AF" w:rsidP="001B39BE">
      <w:r>
        <w:t>Respond Power LLC</w:t>
      </w:r>
      <w:r w:rsidR="0071434B" w:rsidRPr="00794B08">
        <w:tab/>
      </w:r>
      <w:r w:rsidR="00794B08">
        <w:tab/>
      </w:r>
      <w:r>
        <w:tab/>
      </w:r>
      <w:r>
        <w:tab/>
      </w:r>
      <w:r w:rsidR="0071434B" w:rsidRPr="00794B08">
        <w:t>:</w:t>
      </w:r>
    </w:p>
    <w:p w:rsidR="001B39BE" w:rsidRPr="00794B08" w:rsidRDefault="0071434B" w:rsidP="001B39BE">
      <w:r w:rsidRPr="00794B08">
        <w:tab/>
        <w:t>Respondent.</w:t>
      </w:r>
      <w:r w:rsidRPr="00794B08">
        <w:tab/>
      </w:r>
      <w:r w:rsidRPr="00794B08">
        <w:tab/>
      </w:r>
      <w:r w:rsidRPr="00794B08">
        <w:tab/>
      </w:r>
      <w:r w:rsidRPr="00794B08">
        <w:tab/>
        <w:t>:</w:t>
      </w:r>
    </w:p>
    <w:p w:rsidR="007074AB" w:rsidRPr="00794B08" w:rsidRDefault="007074AB"/>
    <w:p w:rsidR="00CA6A60" w:rsidRDefault="00CA6A60"/>
    <w:p w:rsidR="00374637" w:rsidRDefault="00CA6A60" w:rsidP="005A67D0">
      <w:pPr>
        <w:spacing w:line="360" w:lineRule="auto"/>
        <w:jc w:val="center"/>
        <w:rPr>
          <w:rFonts w:eastAsia="Calibri"/>
          <w:b/>
          <w:lang w:bidi="ar-SA"/>
        </w:rPr>
      </w:pPr>
      <w:r>
        <w:rPr>
          <w:rFonts w:eastAsia="Calibri"/>
          <w:b/>
          <w:lang w:bidi="ar-SA"/>
        </w:rPr>
        <w:t>ORDER</w:t>
      </w:r>
      <w:r w:rsidR="0071434B">
        <w:rPr>
          <w:rFonts w:eastAsia="Calibri"/>
          <w:b/>
          <w:lang w:bidi="ar-SA"/>
        </w:rPr>
        <w:t xml:space="preserve"> DENYING </w:t>
      </w:r>
      <w:r w:rsidR="00374637" w:rsidRPr="00374637">
        <w:rPr>
          <w:rFonts w:eastAsia="Calibri"/>
          <w:b/>
          <w:lang w:bidi="ar-SA"/>
        </w:rPr>
        <w:t xml:space="preserve">MOTION FOR SUMMARY </w:t>
      </w:r>
      <w:r w:rsidR="0071434B">
        <w:rPr>
          <w:rFonts w:eastAsia="Calibri"/>
          <w:b/>
          <w:lang w:bidi="ar-SA"/>
        </w:rPr>
        <w:t>JUDGMENT</w:t>
      </w:r>
    </w:p>
    <w:p w:rsidR="00374637" w:rsidRDefault="00374637" w:rsidP="005A67D0">
      <w:pPr>
        <w:spacing w:line="360" w:lineRule="auto"/>
        <w:jc w:val="center"/>
        <w:rPr>
          <w:rFonts w:eastAsia="Calibri"/>
          <w:b/>
          <w:lang w:bidi="ar-SA"/>
        </w:rPr>
      </w:pPr>
    </w:p>
    <w:p w:rsidR="00374637" w:rsidRDefault="00CA6A60" w:rsidP="005A67D0">
      <w:pPr>
        <w:spacing w:line="360" w:lineRule="auto"/>
        <w:rPr>
          <w:rFonts w:eastAsia="Calibri"/>
          <w:lang w:bidi="ar-SA"/>
        </w:rPr>
      </w:pPr>
      <w:r>
        <w:rPr>
          <w:rFonts w:eastAsia="Calibri"/>
          <w:b/>
          <w:u w:val="single"/>
          <w:lang w:bidi="ar-SA"/>
        </w:rPr>
        <w:t>Procedural History</w:t>
      </w:r>
    </w:p>
    <w:p w:rsidR="00EB20CC" w:rsidRDefault="00374637" w:rsidP="005A67D0">
      <w:pPr>
        <w:spacing w:line="360" w:lineRule="auto"/>
        <w:rPr>
          <w:rFonts w:eastAsia="Calibri"/>
          <w:lang w:bidi="ar-SA"/>
        </w:rPr>
      </w:pPr>
      <w:r>
        <w:rPr>
          <w:rFonts w:eastAsia="Calibri"/>
          <w:lang w:bidi="ar-SA"/>
        </w:rPr>
        <w:tab/>
      </w:r>
      <w:r w:rsidR="00CA6A60">
        <w:rPr>
          <w:rFonts w:eastAsia="Calibri"/>
          <w:lang w:bidi="ar-SA"/>
        </w:rPr>
        <w:t xml:space="preserve">On </w:t>
      </w:r>
      <w:r w:rsidR="00C851AF">
        <w:rPr>
          <w:rFonts w:eastAsia="Calibri"/>
          <w:lang w:bidi="ar-SA"/>
        </w:rPr>
        <w:t>March 18</w:t>
      </w:r>
      <w:r w:rsidR="00CA6A60">
        <w:rPr>
          <w:rFonts w:eastAsia="Calibri"/>
          <w:lang w:bidi="ar-SA"/>
        </w:rPr>
        <w:t>, 201</w:t>
      </w:r>
      <w:r w:rsidR="00C851AF">
        <w:rPr>
          <w:rFonts w:eastAsia="Calibri"/>
          <w:lang w:bidi="ar-SA"/>
        </w:rPr>
        <w:t>4</w:t>
      </w:r>
      <w:r w:rsidR="00CA6A60">
        <w:rPr>
          <w:rFonts w:eastAsia="Calibri"/>
          <w:lang w:bidi="ar-SA"/>
        </w:rPr>
        <w:t xml:space="preserve">, </w:t>
      </w:r>
      <w:r w:rsidR="00C851AF">
        <w:rPr>
          <w:rFonts w:eastAsia="Calibri"/>
          <w:lang w:bidi="ar-SA"/>
        </w:rPr>
        <w:t xml:space="preserve">Justin L. Herp (“Mr. Herp” or “Complainant”) </w:t>
      </w:r>
      <w:r w:rsidR="00CA6A60">
        <w:rPr>
          <w:rFonts w:eastAsia="Calibri"/>
          <w:lang w:bidi="ar-SA"/>
        </w:rPr>
        <w:t xml:space="preserve">filed a formal complaint contending that </w:t>
      </w:r>
      <w:r w:rsidR="00C851AF">
        <w:rPr>
          <w:rFonts w:eastAsia="Calibri"/>
          <w:lang w:bidi="ar-SA"/>
        </w:rPr>
        <w:t>Respond Power, LLC (“Respond” or “Respondent”</w:t>
      </w:r>
      <w:r w:rsidR="00CA6A60">
        <w:rPr>
          <w:rFonts w:eastAsia="Calibri"/>
          <w:lang w:bidi="ar-SA"/>
        </w:rPr>
        <w:t xml:space="preserve">) </w:t>
      </w:r>
      <w:r w:rsidR="00EB20CC">
        <w:rPr>
          <w:rFonts w:eastAsia="Calibri"/>
          <w:lang w:bidi="ar-SA"/>
        </w:rPr>
        <w:t xml:space="preserve">lied to Complainant and misrepresented in their offer of electric generation supply service that by switching to Respond Power, his electric bill would always be lower than his distributor’s (West Penn Power) variable rate.  Complainant claims he has experienced a 150% increase in his electric supply costs since switching to Respond Power in January, 2014, and he asserts Respond lied to him to get him to switch to Respond’s service.  Complainant requests a refund for the difference in the amount he actually paid Respond Power less the amount he would have paid if he had not switched from West Penn Power for the entire time he was with Respond Power.  Complainant requests the Commission make essential changes to allow consumers to know energy costs prior to energy use.  Complainant further requests consumers be </w:t>
      </w:r>
      <w:r w:rsidR="000A143B">
        <w:rPr>
          <w:rFonts w:eastAsia="Calibri"/>
          <w:lang w:bidi="ar-SA"/>
        </w:rPr>
        <w:t>able</w:t>
      </w:r>
      <w:r w:rsidR="00EB20CC">
        <w:rPr>
          <w:rFonts w:eastAsia="Calibri"/>
          <w:lang w:bidi="ar-SA"/>
        </w:rPr>
        <w:t xml:space="preserve"> to change energy providers immediately if faced with rate increases, and not to have to wait until the end of their next billing cycle.  </w:t>
      </w:r>
    </w:p>
    <w:p w:rsidR="00EB20CC" w:rsidRDefault="00EB20CC" w:rsidP="005A67D0">
      <w:pPr>
        <w:spacing w:line="360" w:lineRule="auto"/>
        <w:rPr>
          <w:rFonts w:eastAsia="Calibri"/>
          <w:lang w:bidi="ar-SA"/>
        </w:rPr>
      </w:pPr>
    </w:p>
    <w:p w:rsidR="00EB20CC" w:rsidRDefault="00CA6A60" w:rsidP="005A67D0">
      <w:pPr>
        <w:spacing w:line="360" w:lineRule="auto"/>
        <w:rPr>
          <w:rFonts w:eastAsia="Calibri"/>
          <w:lang w:bidi="ar-SA"/>
        </w:rPr>
      </w:pPr>
      <w:r>
        <w:rPr>
          <w:rFonts w:eastAsia="Calibri"/>
          <w:lang w:bidi="ar-SA"/>
        </w:rPr>
        <w:tab/>
      </w:r>
      <w:r w:rsidR="00EB20CC">
        <w:rPr>
          <w:rFonts w:eastAsia="Calibri"/>
          <w:lang w:bidi="ar-SA"/>
        </w:rPr>
        <w:tab/>
        <w:t xml:space="preserve">On April 2, 2014, the Complaint was served upon Respondent.  Respond </w:t>
      </w:r>
      <w:r>
        <w:rPr>
          <w:rFonts w:eastAsia="Calibri"/>
          <w:lang w:bidi="ar-SA"/>
        </w:rPr>
        <w:t xml:space="preserve">answered the </w:t>
      </w:r>
      <w:r w:rsidR="00B27103">
        <w:rPr>
          <w:rFonts w:eastAsia="Calibri"/>
          <w:lang w:bidi="ar-SA"/>
        </w:rPr>
        <w:t>c</w:t>
      </w:r>
      <w:r>
        <w:rPr>
          <w:rFonts w:eastAsia="Calibri"/>
          <w:lang w:bidi="ar-SA"/>
        </w:rPr>
        <w:t xml:space="preserve">omplaint on </w:t>
      </w:r>
      <w:r w:rsidR="00EB20CC">
        <w:rPr>
          <w:rFonts w:eastAsia="Calibri"/>
          <w:lang w:bidi="ar-SA"/>
        </w:rPr>
        <w:t>April 15, 2014</w:t>
      </w:r>
      <w:r>
        <w:rPr>
          <w:rFonts w:eastAsia="Calibri"/>
          <w:lang w:bidi="ar-SA"/>
        </w:rPr>
        <w:t xml:space="preserve">, and </w:t>
      </w:r>
      <w:r w:rsidR="00EB20CC">
        <w:rPr>
          <w:rFonts w:eastAsia="Calibri"/>
          <w:lang w:bidi="ar-SA"/>
        </w:rPr>
        <w:t xml:space="preserve">denied all allegations in the Complaint.  Respond avers Complainant was validly enrolled in a variable rate plan in October, 2013, and on March 7, 2014, he was offered a fixed rate going forward on his account.  Additionally, Respond offered to adjust the billing cycles ending on January 24, 2014 and February 26, 2014 down to that fixed rate, but </w:t>
      </w:r>
      <w:r w:rsidR="00F10D50">
        <w:rPr>
          <w:rFonts w:eastAsia="Calibri"/>
          <w:lang w:bidi="ar-SA"/>
        </w:rPr>
        <w:t>Mr. Herp</w:t>
      </w:r>
      <w:r w:rsidR="00EB20CC">
        <w:rPr>
          <w:rFonts w:eastAsia="Calibri"/>
          <w:lang w:bidi="ar-SA"/>
        </w:rPr>
        <w:t xml:space="preserve"> refused.  Respond denies it owes Complainant any refund.  </w:t>
      </w:r>
    </w:p>
    <w:p w:rsidR="00EB20CC" w:rsidRDefault="00EB20CC" w:rsidP="005A67D0">
      <w:pPr>
        <w:spacing w:line="360" w:lineRule="auto"/>
        <w:rPr>
          <w:rFonts w:eastAsia="Calibri"/>
          <w:lang w:bidi="ar-SA"/>
        </w:rPr>
      </w:pPr>
    </w:p>
    <w:p w:rsidR="00DD1956" w:rsidRDefault="00EB20CC" w:rsidP="005A67D0">
      <w:pPr>
        <w:spacing w:line="360" w:lineRule="auto"/>
        <w:rPr>
          <w:rFonts w:eastAsia="Calibri"/>
          <w:lang w:bidi="ar-SA"/>
        </w:rPr>
      </w:pPr>
      <w:r>
        <w:rPr>
          <w:rFonts w:eastAsia="Calibri"/>
          <w:lang w:bidi="ar-SA"/>
        </w:rPr>
        <w:tab/>
      </w:r>
      <w:r>
        <w:rPr>
          <w:rFonts w:eastAsia="Calibri"/>
          <w:lang w:bidi="ar-SA"/>
        </w:rPr>
        <w:tab/>
      </w:r>
      <w:r w:rsidR="004E12AC">
        <w:rPr>
          <w:rFonts w:eastAsia="Calibri"/>
          <w:lang w:bidi="ar-SA"/>
        </w:rPr>
        <w:t xml:space="preserve">On May 7, 2014, an </w:t>
      </w:r>
      <w:r w:rsidR="00F10D50">
        <w:rPr>
          <w:rFonts w:eastAsia="Calibri"/>
          <w:lang w:bidi="ar-SA"/>
        </w:rPr>
        <w:t>I</w:t>
      </w:r>
      <w:r w:rsidR="004E12AC">
        <w:rPr>
          <w:rFonts w:eastAsia="Calibri"/>
          <w:lang w:bidi="ar-SA"/>
        </w:rPr>
        <w:t>nitial Telephonic Hearing Notice was issued assigning this case to me and scheduling an initial telephonic hearing for July 1, 2014.  On May 9, 2014, I issued a Prehearing Order setting forth instructions relating to the initial telephonic hearing.  On June 4, 2014, Respond served a Motion for Summary Judgment</w:t>
      </w:r>
      <w:r w:rsidR="00F10D50">
        <w:rPr>
          <w:rFonts w:eastAsia="Calibri"/>
          <w:lang w:bidi="ar-SA"/>
        </w:rPr>
        <w:t xml:space="preserve">, and Karen O. </w:t>
      </w:r>
      <w:r w:rsidR="00BA0FC0">
        <w:rPr>
          <w:rFonts w:eastAsia="Calibri"/>
          <w:lang w:bidi="ar-SA"/>
        </w:rPr>
        <w:t>Moury</w:t>
      </w:r>
      <w:r w:rsidR="00F10D50">
        <w:rPr>
          <w:rFonts w:eastAsia="Calibri"/>
          <w:lang w:bidi="ar-SA"/>
        </w:rPr>
        <w:t>, Esquire, an attorney practicing in Pennsylvania, entered her notice of appearance</w:t>
      </w:r>
      <w:r w:rsidR="004E12AC">
        <w:rPr>
          <w:rFonts w:eastAsia="Calibri"/>
          <w:lang w:bidi="ar-SA"/>
        </w:rPr>
        <w:t xml:space="preserve">.  On June 24, 2014, the Office of Consumer Advocate filed a Notice of Intervention and an Answer in Response to the Motion For Summary Judgment of Respond Power LLC.  </w:t>
      </w:r>
      <w:r w:rsidR="001A7A5F">
        <w:rPr>
          <w:rFonts w:eastAsia="Calibri"/>
          <w:lang w:bidi="ar-SA"/>
        </w:rPr>
        <w:t xml:space="preserve">On June 25, 2014, </w:t>
      </w:r>
      <w:r w:rsidR="004E12AC">
        <w:rPr>
          <w:rFonts w:eastAsia="Calibri"/>
          <w:lang w:bidi="ar-SA"/>
        </w:rPr>
        <w:t>Comp</w:t>
      </w:r>
      <w:r w:rsidR="001A7A5F">
        <w:rPr>
          <w:rFonts w:eastAsia="Calibri"/>
          <w:lang w:bidi="ar-SA"/>
        </w:rPr>
        <w:t xml:space="preserve">lainant faxed the presiding officer and counsel for Respond a Motion for Extension to File requesting </w:t>
      </w:r>
      <w:r w:rsidR="00DD1956">
        <w:rPr>
          <w:rFonts w:eastAsia="Calibri"/>
          <w:lang w:bidi="ar-SA"/>
        </w:rPr>
        <w:t>a</w:t>
      </w:r>
      <w:r w:rsidR="001A7A5F">
        <w:rPr>
          <w:rFonts w:eastAsia="Calibri"/>
          <w:lang w:bidi="ar-SA"/>
        </w:rPr>
        <w:t>15</w:t>
      </w:r>
      <w:r w:rsidR="00DD1956">
        <w:rPr>
          <w:rFonts w:eastAsia="Calibri"/>
          <w:lang w:bidi="ar-SA"/>
        </w:rPr>
        <w:t>-</w:t>
      </w:r>
      <w:r w:rsidR="001A7A5F">
        <w:rPr>
          <w:rFonts w:eastAsia="Calibri"/>
          <w:lang w:bidi="ar-SA"/>
        </w:rPr>
        <w:t>day</w:t>
      </w:r>
      <w:r w:rsidR="00DD1956">
        <w:rPr>
          <w:rFonts w:eastAsia="Calibri"/>
          <w:lang w:bidi="ar-SA"/>
        </w:rPr>
        <w:t xml:space="preserve"> </w:t>
      </w:r>
      <w:r w:rsidR="00853AD7">
        <w:rPr>
          <w:rFonts w:eastAsia="Calibri"/>
          <w:lang w:bidi="ar-SA"/>
        </w:rPr>
        <w:t>extension</w:t>
      </w:r>
      <w:r w:rsidR="001A7A5F">
        <w:rPr>
          <w:rFonts w:eastAsia="Calibri"/>
          <w:lang w:bidi="ar-SA"/>
        </w:rPr>
        <w:t xml:space="preserve"> to file “all related material” to the case</w:t>
      </w:r>
      <w:r w:rsidR="00DD1956">
        <w:rPr>
          <w:rFonts w:eastAsia="Calibri"/>
          <w:lang w:bidi="ar-SA"/>
        </w:rPr>
        <w:t xml:space="preserve"> including a “new matter”</w:t>
      </w:r>
      <w:r w:rsidR="001A7A5F">
        <w:rPr>
          <w:rFonts w:eastAsia="Calibri"/>
          <w:lang w:bidi="ar-SA"/>
        </w:rPr>
        <w:t>.</w:t>
      </w:r>
      <w:r w:rsidR="00853AD7">
        <w:rPr>
          <w:rFonts w:eastAsia="Calibri"/>
          <w:lang w:bidi="ar-SA"/>
        </w:rPr>
        <w:t xml:space="preserve">  Complainant also requests the hearing be continued to include ample time for a response from Respond and any motions they may wish to file on the new matter.</w:t>
      </w:r>
      <w:r w:rsidR="001A7A5F">
        <w:rPr>
          <w:rFonts w:eastAsia="Calibri"/>
          <w:lang w:bidi="ar-SA"/>
        </w:rPr>
        <w:t xml:space="preserve">    </w:t>
      </w:r>
      <w:r w:rsidR="00B2666A">
        <w:rPr>
          <w:rFonts w:eastAsia="Calibri"/>
          <w:lang w:bidi="ar-SA"/>
        </w:rPr>
        <w:t>Complainant does not specifically request an extension of the deadline to Answer the Motion for Summary Judgment</w:t>
      </w:r>
      <w:r w:rsidR="00D753E0">
        <w:rPr>
          <w:rFonts w:eastAsia="Calibri"/>
          <w:lang w:bidi="ar-SA"/>
        </w:rPr>
        <w:t xml:space="preserve"> </w:t>
      </w:r>
      <w:r w:rsidR="00D753E0">
        <w:rPr>
          <w:rFonts w:eastAsia="Calibri"/>
          <w:i/>
          <w:lang w:bidi="ar-SA"/>
        </w:rPr>
        <w:t>nunc pro tunc</w:t>
      </w:r>
      <w:r w:rsidR="00B2666A">
        <w:rPr>
          <w:rFonts w:eastAsia="Calibri"/>
          <w:lang w:bidi="ar-SA"/>
        </w:rPr>
        <w:t>.</w:t>
      </w:r>
    </w:p>
    <w:p w:rsidR="00DD1956" w:rsidRDefault="00DD1956" w:rsidP="005A67D0">
      <w:pPr>
        <w:spacing w:line="360" w:lineRule="auto"/>
        <w:rPr>
          <w:rFonts w:eastAsia="Calibri"/>
          <w:lang w:bidi="ar-SA"/>
        </w:rPr>
      </w:pPr>
    </w:p>
    <w:p w:rsidR="00772C95" w:rsidRDefault="00772C95" w:rsidP="005A67D0">
      <w:pPr>
        <w:spacing w:line="360" w:lineRule="auto"/>
        <w:rPr>
          <w:rFonts w:eastAsia="Calibri"/>
          <w:b/>
          <w:u w:val="single"/>
          <w:lang w:bidi="ar-SA"/>
        </w:rPr>
      </w:pPr>
      <w:r>
        <w:rPr>
          <w:rFonts w:eastAsia="Calibri"/>
          <w:b/>
          <w:u w:val="single"/>
          <w:lang w:bidi="ar-SA"/>
        </w:rPr>
        <w:t xml:space="preserve">Regulations and </w:t>
      </w:r>
      <w:r w:rsidR="005A67D0">
        <w:rPr>
          <w:rFonts w:eastAsia="Calibri"/>
          <w:b/>
          <w:u w:val="single"/>
          <w:lang w:bidi="ar-SA"/>
        </w:rPr>
        <w:t>C</w:t>
      </w:r>
      <w:r>
        <w:rPr>
          <w:rFonts w:eastAsia="Calibri"/>
          <w:b/>
          <w:u w:val="single"/>
          <w:lang w:bidi="ar-SA"/>
        </w:rPr>
        <w:t>aselaw</w:t>
      </w:r>
    </w:p>
    <w:p w:rsidR="00772C95" w:rsidRDefault="00772C95" w:rsidP="005A67D0">
      <w:pPr>
        <w:spacing w:line="360" w:lineRule="auto"/>
        <w:rPr>
          <w:rFonts w:eastAsia="Calibri"/>
          <w:lang w:bidi="ar-SA"/>
        </w:rPr>
      </w:pPr>
      <w:r>
        <w:rPr>
          <w:rFonts w:eastAsia="Calibri"/>
          <w:lang w:bidi="ar-SA"/>
        </w:rPr>
        <w:tab/>
      </w:r>
      <w:r w:rsidR="00F10D50">
        <w:rPr>
          <w:rFonts w:eastAsia="Calibri"/>
          <w:lang w:bidi="ar-SA"/>
        </w:rPr>
        <w:tab/>
      </w:r>
      <w:r>
        <w:rPr>
          <w:rFonts w:eastAsia="Calibri"/>
          <w:lang w:bidi="ar-SA"/>
        </w:rPr>
        <w:t xml:space="preserve">The Commission’s </w:t>
      </w:r>
      <w:r w:rsidR="005A67D0">
        <w:rPr>
          <w:rFonts w:eastAsia="Calibri"/>
          <w:lang w:bidi="ar-SA"/>
        </w:rPr>
        <w:t>r</w:t>
      </w:r>
      <w:r>
        <w:rPr>
          <w:rFonts w:eastAsia="Calibri"/>
          <w:lang w:bidi="ar-SA"/>
        </w:rPr>
        <w:t>egulations at 52 Pa. Code §5.102(d)(1) set forth the standard of review for summary judgment motions:</w:t>
      </w:r>
    </w:p>
    <w:p w:rsidR="00F10D50" w:rsidRDefault="00F10D50" w:rsidP="00F10D50">
      <w:pPr>
        <w:ind w:left="1440" w:right="1440"/>
        <w:rPr>
          <w:rFonts w:eastAsia="Calibri"/>
          <w:lang w:bidi="ar-SA"/>
        </w:rPr>
      </w:pPr>
    </w:p>
    <w:p w:rsidR="00772C95" w:rsidRDefault="00772C95" w:rsidP="00F10D50">
      <w:pPr>
        <w:ind w:left="1440" w:right="1440"/>
        <w:rPr>
          <w:rFonts w:eastAsia="Calibri"/>
          <w:lang w:bidi="ar-SA"/>
        </w:rPr>
      </w:pPr>
      <w:r w:rsidRPr="00B22A44">
        <w:rPr>
          <w:rFonts w:eastAsia="Calibri"/>
          <w:lang w:bidi="ar-SA"/>
        </w:rPr>
        <w:t xml:space="preserve">(1) </w:t>
      </w:r>
      <w:r w:rsidRPr="00B22A44">
        <w:rPr>
          <w:rFonts w:eastAsia="Calibri"/>
          <w:i/>
          <w:iCs/>
          <w:lang w:bidi="ar-SA"/>
        </w:rPr>
        <w:t>Standard for grant or denial on all counts</w:t>
      </w:r>
      <w:r w:rsidRPr="00B22A44">
        <w:rPr>
          <w:rFonts w:eastAsia="Calibri"/>
          <w:lang w:bidi="ar-SA"/>
        </w:rPr>
        <w:t>. The presiding officer will grant or deny a</w:t>
      </w:r>
      <w:r w:rsidR="00F10D50">
        <w:rPr>
          <w:rFonts w:eastAsia="Calibri"/>
          <w:lang w:bidi="ar-SA"/>
        </w:rPr>
        <w:t xml:space="preserve"> </w:t>
      </w:r>
      <w:r w:rsidRPr="00B22A44">
        <w:rPr>
          <w:rFonts w:eastAsia="Calibri"/>
          <w:lang w:bidi="ar-SA"/>
        </w:rPr>
        <w:t>motion for judgment on the pleadings or a motion for summary judgment, as appropriate.</w:t>
      </w:r>
      <w:r w:rsidR="00F10D50">
        <w:rPr>
          <w:rFonts w:eastAsia="Calibri"/>
          <w:lang w:bidi="ar-SA"/>
        </w:rPr>
        <w:t xml:space="preserve">  </w:t>
      </w:r>
      <w:r w:rsidRPr="00B22A44">
        <w:rPr>
          <w:rFonts w:eastAsia="Calibri"/>
          <w:lang w:bidi="ar-SA"/>
        </w:rPr>
        <w:t>The judgment sought will be rendered if the applicable pleadings, depositions, answer to</w:t>
      </w:r>
      <w:r w:rsidR="00F10D50">
        <w:rPr>
          <w:rFonts w:eastAsia="Calibri"/>
          <w:lang w:bidi="ar-SA"/>
        </w:rPr>
        <w:t xml:space="preserve"> </w:t>
      </w:r>
      <w:r w:rsidRPr="00B22A44">
        <w:rPr>
          <w:rFonts w:eastAsia="Calibri"/>
          <w:lang w:bidi="ar-SA"/>
        </w:rPr>
        <w:t>interrogatories and admissions, together with affidavits, if any, show that there is no</w:t>
      </w:r>
      <w:r w:rsidR="00F10D50">
        <w:rPr>
          <w:rFonts w:eastAsia="Calibri"/>
          <w:lang w:bidi="ar-SA"/>
        </w:rPr>
        <w:t xml:space="preserve"> </w:t>
      </w:r>
      <w:r w:rsidR="00342684" w:rsidRPr="00B22A44">
        <w:rPr>
          <w:rFonts w:eastAsia="Calibri"/>
          <w:lang w:bidi="ar-SA"/>
        </w:rPr>
        <w:t xml:space="preserve">genuine issue as to a material fact </w:t>
      </w:r>
      <w:r w:rsidRPr="00B22A44">
        <w:rPr>
          <w:rFonts w:eastAsia="Calibri"/>
          <w:lang w:bidi="ar-SA"/>
        </w:rPr>
        <w:t>and that the moving party is entitled to a judgment as a</w:t>
      </w:r>
      <w:r w:rsidR="00F10D50">
        <w:rPr>
          <w:rFonts w:eastAsia="Calibri"/>
          <w:lang w:bidi="ar-SA"/>
        </w:rPr>
        <w:t xml:space="preserve"> </w:t>
      </w:r>
      <w:r w:rsidRPr="00B22A44">
        <w:rPr>
          <w:rFonts w:eastAsia="Calibri"/>
          <w:lang w:bidi="ar-SA"/>
        </w:rPr>
        <w:t>matter of law.</w:t>
      </w:r>
    </w:p>
    <w:p w:rsidR="00772C95" w:rsidRDefault="00772C95" w:rsidP="00F10D50">
      <w:pPr>
        <w:spacing w:line="360" w:lineRule="auto"/>
        <w:ind w:left="1440" w:right="1440"/>
        <w:rPr>
          <w:rFonts w:eastAsia="Calibri"/>
          <w:lang w:bidi="ar-SA"/>
        </w:rPr>
      </w:pPr>
    </w:p>
    <w:p w:rsidR="00772C95" w:rsidRDefault="002733C5" w:rsidP="005A67D0">
      <w:pPr>
        <w:spacing w:line="360" w:lineRule="auto"/>
        <w:ind w:left="720"/>
        <w:rPr>
          <w:rFonts w:eastAsia="Calibri"/>
          <w:lang w:bidi="ar-SA"/>
        </w:rPr>
      </w:pPr>
      <w:r>
        <w:rPr>
          <w:rFonts w:eastAsia="Calibri"/>
          <w:lang w:bidi="ar-SA"/>
        </w:rPr>
        <w:t>52 Pa.Code § 5.102(d)(1).</w:t>
      </w:r>
    </w:p>
    <w:p w:rsidR="00772C95" w:rsidRDefault="00772C95" w:rsidP="005A67D0">
      <w:pPr>
        <w:spacing w:line="360" w:lineRule="auto"/>
        <w:ind w:left="720"/>
        <w:rPr>
          <w:rFonts w:eastAsia="Calibri"/>
          <w:lang w:bidi="ar-SA"/>
        </w:rPr>
      </w:pPr>
    </w:p>
    <w:p w:rsidR="00772C95" w:rsidRDefault="00772C95" w:rsidP="005A67D0">
      <w:pPr>
        <w:spacing w:line="360" w:lineRule="auto"/>
        <w:rPr>
          <w:bCs/>
          <w:i/>
        </w:rPr>
      </w:pPr>
      <w:r>
        <w:rPr>
          <w:rFonts w:eastAsia="Calibri"/>
          <w:lang w:bidi="ar-SA"/>
        </w:rPr>
        <w:tab/>
      </w:r>
      <w:r w:rsidR="004E12AC">
        <w:rPr>
          <w:rFonts w:eastAsia="Calibri"/>
          <w:lang w:bidi="ar-SA"/>
        </w:rPr>
        <w:tab/>
      </w:r>
      <w:r>
        <w:rPr>
          <w:rFonts w:eastAsia="Calibri"/>
          <w:lang w:bidi="ar-SA"/>
        </w:rPr>
        <w:t>When deciding on a motion for summary judgment, a</w:t>
      </w:r>
      <w:r>
        <w:t xml:space="preserve">ll doubts as to the existence of a genuine issue of material fact must be resolved against the moving party.  </w:t>
      </w:r>
      <w:r w:rsidRPr="00E15AA0">
        <w:rPr>
          <w:i/>
        </w:rPr>
        <w:t xml:space="preserve">Thompson Coal Co. v. Pike Coal Co., </w:t>
      </w:r>
      <w:r w:rsidRPr="003C6982">
        <w:t>488 Pa. 198, 412 A.2d 466 (1979).</w:t>
      </w:r>
      <w:r>
        <w:t xml:space="preserve">  However, once a motion for summary judgment is properly made and supported, it is generally accepted that the nonmoving party may not simply rest upon the mere allegations or denials of its pleading, but must set forth facts showing that there is a genuine issue for trial.  </w:t>
      </w:r>
      <w:r w:rsidRPr="00F64087">
        <w:rPr>
          <w:i/>
        </w:rPr>
        <w:t xml:space="preserve">Fiffick v. GAF Corporation, </w:t>
      </w:r>
      <w:r w:rsidRPr="00606993">
        <w:t xml:space="preserve">603 A.2d 208 (Pa. </w:t>
      </w:r>
      <w:r w:rsidRPr="00606993">
        <w:lastRenderedPageBreak/>
        <w:t>Super. 1991) (Discussing the Pennsylvania Rules of Civil Procedure)</w:t>
      </w:r>
      <w:r w:rsidRPr="00C51B04">
        <w:t>;</w:t>
      </w:r>
      <w:r>
        <w:rPr>
          <w:i/>
        </w:rPr>
        <w:t xml:space="preserve"> </w:t>
      </w:r>
      <w:r>
        <w:t xml:space="preserve"> </w:t>
      </w:r>
      <w:r>
        <w:rPr>
          <w:i/>
        </w:rPr>
        <w:t xml:space="preserve"> </w:t>
      </w:r>
      <w:r w:rsidRPr="00F64087">
        <w:rPr>
          <w:bCs/>
          <w:i/>
        </w:rPr>
        <w:t>A</w:t>
      </w:r>
      <w:r>
        <w:rPr>
          <w:bCs/>
          <w:i/>
        </w:rPr>
        <w:t>nderson</w:t>
      </w:r>
      <w:r w:rsidRPr="00F64087">
        <w:rPr>
          <w:bCs/>
          <w:i/>
        </w:rPr>
        <w:t xml:space="preserve"> v. L</w:t>
      </w:r>
      <w:r>
        <w:rPr>
          <w:bCs/>
          <w:i/>
        </w:rPr>
        <w:t>iberty Lobby, Inc.</w:t>
      </w:r>
      <w:r w:rsidRPr="00F64087">
        <w:rPr>
          <w:bCs/>
          <w:i/>
        </w:rPr>
        <w:t>, I</w:t>
      </w:r>
      <w:r>
        <w:rPr>
          <w:bCs/>
          <w:i/>
        </w:rPr>
        <w:t>nc</w:t>
      </w:r>
      <w:r w:rsidRPr="00F64087">
        <w:rPr>
          <w:bCs/>
          <w:i/>
        </w:rPr>
        <w:t xml:space="preserve">., </w:t>
      </w:r>
      <w:r w:rsidRPr="00606993">
        <w:rPr>
          <w:bCs/>
        </w:rPr>
        <w:t>477 U.S. 242 (1986)</w:t>
      </w:r>
      <w:r>
        <w:rPr>
          <w:bCs/>
        </w:rPr>
        <w:t xml:space="preserve"> </w:t>
      </w:r>
      <w:r w:rsidRPr="00606993">
        <w:rPr>
          <w:bCs/>
        </w:rPr>
        <w:t>(Discussing the Federal Rules of Civil Procedure)</w:t>
      </w:r>
      <w:r>
        <w:rPr>
          <w:bCs/>
          <w:i/>
        </w:rPr>
        <w:t>.</w:t>
      </w:r>
    </w:p>
    <w:p w:rsidR="00772C95" w:rsidRDefault="00772C95" w:rsidP="005A67D0">
      <w:pPr>
        <w:spacing w:line="360" w:lineRule="auto"/>
        <w:rPr>
          <w:bCs/>
          <w:i/>
        </w:rPr>
      </w:pPr>
    </w:p>
    <w:p w:rsidR="009F59EF" w:rsidRDefault="00772C95" w:rsidP="005A67D0">
      <w:pPr>
        <w:spacing w:line="360" w:lineRule="auto"/>
        <w:rPr>
          <w:bCs/>
        </w:rPr>
      </w:pPr>
      <w:r>
        <w:rPr>
          <w:bCs/>
        </w:rPr>
        <w:tab/>
      </w:r>
      <w:r w:rsidR="004E12AC">
        <w:rPr>
          <w:bCs/>
        </w:rPr>
        <w:tab/>
      </w:r>
      <w:r w:rsidR="00F10D50">
        <w:rPr>
          <w:bCs/>
        </w:rPr>
        <w:t xml:space="preserve">In the instant case, </w:t>
      </w:r>
      <w:r>
        <w:rPr>
          <w:bCs/>
        </w:rPr>
        <w:t xml:space="preserve">Complainant has averred in its Complaint that </w:t>
      </w:r>
      <w:r w:rsidR="009F59EF">
        <w:rPr>
          <w:bCs/>
        </w:rPr>
        <w:t>Respond misrepresented information about its rates and pricing to induce him to switch from West Penn Power to Respond for electric generation service.  The Commission’s regulations regarding consumer protection at Section 111.12(d)(2) provide:</w:t>
      </w:r>
    </w:p>
    <w:p w:rsidR="009F59EF" w:rsidRDefault="009F59EF" w:rsidP="005A67D0">
      <w:pPr>
        <w:spacing w:line="360" w:lineRule="auto"/>
        <w:rPr>
          <w:bCs/>
        </w:rPr>
      </w:pPr>
    </w:p>
    <w:p w:rsidR="009F59EF" w:rsidRDefault="00772C95" w:rsidP="00FE6B5E">
      <w:pPr>
        <w:ind w:left="720" w:right="720"/>
        <w:rPr>
          <w:bCs/>
        </w:rPr>
      </w:pPr>
      <w:r>
        <w:rPr>
          <w:bCs/>
        </w:rPr>
        <w:tab/>
        <w:t>(</w:t>
      </w:r>
      <w:r w:rsidR="009F59EF">
        <w:rPr>
          <w:bCs/>
        </w:rPr>
        <w:t>d</w:t>
      </w:r>
      <w:r>
        <w:rPr>
          <w:bCs/>
        </w:rPr>
        <w:t>)</w:t>
      </w:r>
      <w:r>
        <w:rPr>
          <w:bCs/>
        </w:rPr>
        <w:tab/>
      </w:r>
      <w:r w:rsidR="009F59EF">
        <w:rPr>
          <w:bCs/>
        </w:rPr>
        <w:t>A supplier:</w:t>
      </w:r>
    </w:p>
    <w:p w:rsidR="009F59EF" w:rsidRDefault="009F59EF" w:rsidP="00FE6B5E">
      <w:pPr>
        <w:ind w:left="720" w:right="720"/>
        <w:rPr>
          <w:bCs/>
        </w:rPr>
      </w:pPr>
      <w:r>
        <w:rPr>
          <w:bCs/>
        </w:rPr>
        <w:tab/>
        <w:t>(2)</w:t>
      </w:r>
      <w:r>
        <w:rPr>
          <w:bCs/>
        </w:rPr>
        <w:tab/>
        <w:t>May not make false or misleading representations including misrepresenting rates or savings offered by the supplier.</w:t>
      </w:r>
    </w:p>
    <w:p w:rsidR="009F59EF" w:rsidRDefault="009F59EF" w:rsidP="00FE6B5E">
      <w:pPr>
        <w:ind w:left="720" w:right="720"/>
        <w:rPr>
          <w:bCs/>
        </w:rPr>
      </w:pPr>
    </w:p>
    <w:p w:rsidR="009F59EF" w:rsidRDefault="009F59EF" w:rsidP="009F59EF">
      <w:pPr>
        <w:ind w:left="1440" w:right="720"/>
        <w:rPr>
          <w:bCs/>
        </w:rPr>
      </w:pPr>
      <w:r>
        <w:rPr>
          <w:bCs/>
        </w:rPr>
        <w:t xml:space="preserve">* * * * </w:t>
      </w:r>
    </w:p>
    <w:p w:rsidR="009F59EF" w:rsidRDefault="009F59EF" w:rsidP="009F59EF">
      <w:pPr>
        <w:ind w:left="1440" w:right="720"/>
        <w:rPr>
          <w:bCs/>
        </w:rPr>
      </w:pPr>
      <w:r>
        <w:rPr>
          <w:bCs/>
        </w:rPr>
        <w:t>(4)</w:t>
      </w:r>
      <w:r>
        <w:rPr>
          <w:bCs/>
        </w:rPr>
        <w:tab/>
        <w:t xml:space="preserve">Shall provide accurate and timely information about services and products being offered.  Information includes rates being offered, contract terms, early termination fees and right of cancellation and rescission. </w:t>
      </w:r>
    </w:p>
    <w:p w:rsidR="009F59EF" w:rsidRDefault="009F59EF" w:rsidP="009F59EF">
      <w:pPr>
        <w:ind w:left="1440" w:right="720"/>
        <w:rPr>
          <w:bCs/>
        </w:rPr>
      </w:pPr>
    </w:p>
    <w:p w:rsidR="009F59EF" w:rsidRDefault="009F59EF" w:rsidP="009F59EF">
      <w:pPr>
        <w:ind w:right="720"/>
        <w:rPr>
          <w:bCs/>
        </w:rPr>
      </w:pPr>
      <w:r>
        <w:rPr>
          <w:bCs/>
        </w:rPr>
        <w:t>52 Pa. Code § 111.12(d)(2) and (4).</w:t>
      </w:r>
    </w:p>
    <w:p w:rsidR="009F59EF" w:rsidRDefault="009F59EF" w:rsidP="009F59EF">
      <w:pPr>
        <w:ind w:left="1440" w:right="720"/>
        <w:rPr>
          <w:bCs/>
        </w:rPr>
      </w:pPr>
    </w:p>
    <w:p w:rsidR="009F59EF" w:rsidRDefault="009F59EF" w:rsidP="009F59EF">
      <w:pPr>
        <w:ind w:left="1440" w:right="720"/>
        <w:rPr>
          <w:bCs/>
        </w:rPr>
      </w:pPr>
    </w:p>
    <w:p w:rsidR="00A1549E" w:rsidRDefault="00772C95" w:rsidP="00A1549E">
      <w:pPr>
        <w:spacing w:line="360" w:lineRule="auto"/>
        <w:rPr>
          <w:bCs/>
        </w:rPr>
      </w:pPr>
      <w:r>
        <w:rPr>
          <w:bCs/>
        </w:rPr>
        <w:tab/>
      </w:r>
      <w:r w:rsidR="009F59EF">
        <w:rPr>
          <w:bCs/>
        </w:rPr>
        <w:tab/>
        <w:t xml:space="preserve">Further, </w:t>
      </w:r>
      <w:r>
        <w:rPr>
          <w:bCs/>
        </w:rPr>
        <w:t xml:space="preserve">Section </w:t>
      </w:r>
      <w:r w:rsidR="009F59EF">
        <w:rPr>
          <w:bCs/>
        </w:rPr>
        <w:t>111.3</w:t>
      </w:r>
      <w:r>
        <w:rPr>
          <w:bCs/>
        </w:rPr>
        <w:t xml:space="preserve"> provides that a </w:t>
      </w:r>
      <w:r w:rsidR="00A1549E">
        <w:rPr>
          <w:bCs/>
        </w:rPr>
        <w:t xml:space="preserve">supplier may use an agent to conduct marketing or sales activities in accordance with applicable Commission rules, regulations, and orders.  A supplier may be responsible for representations made by an agent in the course of sales and marketing contacts with Complainant.  </w:t>
      </w:r>
    </w:p>
    <w:p w:rsidR="00AE7E4D" w:rsidRDefault="00AE7E4D" w:rsidP="00A1549E">
      <w:pPr>
        <w:spacing w:line="360" w:lineRule="auto"/>
        <w:rPr>
          <w:bCs/>
        </w:rPr>
      </w:pPr>
    </w:p>
    <w:p w:rsidR="00772C95" w:rsidRPr="00124B4B" w:rsidRDefault="00772C95" w:rsidP="005A67D0">
      <w:pPr>
        <w:spacing w:line="360" w:lineRule="auto"/>
        <w:rPr>
          <w:bCs/>
        </w:rPr>
      </w:pPr>
      <w:r>
        <w:rPr>
          <w:bCs/>
        </w:rPr>
        <w:tab/>
      </w:r>
      <w:r w:rsidR="00AE7E4D">
        <w:rPr>
          <w:bCs/>
        </w:rPr>
        <w:tab/>
      </w:r>
      <w:r>
        <w:rPr>
          <w:bCs/>
        </w:rPr>
        <w:t xml:space="preserve">In interpreting an administrative regulation, as in interpreting a statute, the plain language of the regulation is paramount.  </w:t>
      </w:r>
      <w:r>
        <w:rPr>
          <w:bCs/>
          <w:i/>
        </w:rPr>
        <w:t>Schappel v. Motorists Mutual Insurance Company</w:t>
      </w:r>
      <w:r>
        <w:rPr>
          <w:bCs/>
        </w:rPr>
        <w:t xml:space="preserve">, 934 A.2d 1184, 1187 (Pa. 2007).  The principles of statutory construction apply to regulatory provisions as well as statutory provisions.  </w:t>
      </w:r>
      <w:r>
        <w:rPr>
          <w:bCs/>
          <w:i/>
        </w:rPr>
        <w:t xml:space="preserve">Pennsylvania State Police, Bureau of Liquor Control Enforcement v. Benny Enterprises, Inc. </w:t>
      </w:r>
      <w:r w:rsidRPr="00124B4B">
        <w:rPr>
          <w:bCs/>
        </w:rPr>
        <w:t>669 A.2d 1018, 1021 (Pa.Cmwlth. 1996), appeal denied 681 A.2d 1344 (Pa. 1996).</w:t>
      </w:r>
    </w:p>
    <w:p w:rsidR="00772C95" w:rsidRDefault="00772C95" w:rsidP="005A67D0">
      <w:pPr>
        <w:spacing w:line="360" w:lineRule="auto"/>
        <w:rPr>
          <w:bCs/>
        </w:rPr>
      </w:pPr>
    </w:p>
    <w:p w:rsidR="00A0188C" w:rsidRDefault="00A0188C" w:rsidP="005A67D0">
      <w:pPr>
        <w:spacing w:line="360" w:lineRule="auto"/>
        <w:rPr>
          <w:rFonts w:eastAsia="Calibri"/>
          <w:lang w:bidi="ar-SA"/>
        </w:rPr>
      </w:pPr>
    </w:p>
    <w:p w:rsidR="00CA6A60" w:rsidRPr="00E66E83" w:rsidRDefault="00A1549E" w:rsidP="005A67D0">
      <w:pPr>
        <w:spacing w:line="360" w:lineRule="auto"/>
        <w:rPr>
          <w:rFonts w:eastAsia="Calibri"/>
          <w:b/>
          <w:u w:val="single"/>
          <w:lang w:bidi="ar-SA"/>
        </w:rPr>
      </w:pPr>
      <w:r>
        <w:rPr>
          <w:rFonts w:eastAsia="Calibri"/>
          <w:lang w:bidi="ar-SA"/>
        </w:rPr>
        <w:t xml:space="preserve">  </w:t>
      </w:r>
      <w:r w:rsidR="0094385D" w:rsidRPr="00E66E83">
        <w:rPr>
          <w:rFonts w:eastAsia="Calibri"/>
          <w:b/>
          <w:u w:val="single"/>
          <w:lang w:bidi="ar-SA"/>
        </w:rPr>
        <w:t>Discussion</w:t>
      </w:r>
    </w:p>
    <w:p w:rsidR="00C44846" w:rsidRDefault="0094385D" w:rsidP="00C44846">
      <w:pPr>
        <w:spacing w:line="360" w:lineRule="auto"/>
        <w:rPr>
          <w:rFonts w:eastAsia="Calibri"/>
          <w:lang w:bidi="ar-SA"/>
        </w:rPr>
      </w:pPr>
      <w:r>
        <w:rPr>
          <w:rFonts w:eastAsia="Calibri"/>
          <w:lang w:bidi="ar-SA"/>
        </w:rPr>
        <w:tab/>
      </w:r>
      <w:r w:rsidR="00AC2118">
        <w:rPr>
          <w:rFonts w:eastAsia="Calibri"/>
          <w:lang w:bidi="ar-SA"/>
        </w:rPr>
        <w:tab/>
      </w:r>
      <w:r w:rsidR="00C44846">
        <w:rPr>
          <w:bCs/>
        </w:rPr>
        <w:t xml:space="preserve">The issue is whether </w:t>
      </w:r>
      <w:r w:rsidR="00C44846" w:rsidRPr="00B22A44">
        <w:rPr>
          <w:rFonts w:eastAsia="Calibri"/>
          <w:lang w:bidi="ar-SA"/>
        </w:rPr>
        <w:t>the pleadings, depositions, answer</w:t>
      </w:r>
      <w:r w:rsidR="00C44846">
        <w:rPr>
          <w:rFonts w:eastAsia="Calibri"/>
          <w:lang w:bidi="ar-SA"/>
        </w:rPr>
        <w:t>s</w:t>
      </w:r>
      <w:r w:rsidR="00C44846" w:rsidRPr="00B22A44">
        <w:rPr>
          <w:rFonts w:eastAsia="Calibri"/>
          <w:lang w:bidi="ar-SA"/>
        </w:rPr>
        <w:t xml:space="preserve"> to</w:t>
      </w:r>
      <w:r w:rsidR="00C44846">
        <w:rPr>
          <w:rFonts w:eastAsia="Calibri"/>
          <w:lang w:bidi="ar-SA"/>
        </w:rPr>
        <w:t xml:space="preserve"> i</w:t>
      </w:r>
      <w:r w:rsidR="00C44846" w:rsidRPr="00B22A44">
        <w:rPr>
          <w:rFonts w:eastAsia="Calibri"/>
          <w:lang w:bidi="ar-SA"/>
        </w:rPr>
        <w:t>nterrogatories and admiss</w:t>
      </w:r>
      <w:r w:rsidR="00C44846">
        <w:rPr>
          <w:rFonts w:eastAsia="Calibri"/>
          <w:lang w:bidi="ar-SA"/>
        </w:rPr>
        <w:t xml:space="preserve">ions, together with affidavits, </w:t>
      </w:r>
      <w:r w:rsidR="00C44846" w:rsidRPr="00B22A44">
        <w:rPr>
          <w:rFonts w:eastAsia="Calibri"/>
          <w:lang w:bidi="ar-SA"/>
        </w:rPr>
        <w:t>show that there is no</w:t>
      </w:r>
      <w:r w:rsidR="00C44846">
        <w:rPr>
          <w:rFonts w:eastAsia="Calibri"/>
          <w:lang w:bidi="ar-SA"/>
        </w:rPr>
        <w:t xml:space="preserve"> </w:t>
      </w:r>
      <w:r w:rsidR="00C44846" w:rsidRPr="00B22A44">
        <w:rPr>
          <w:rFonts w:eastAsia="Calibri"/>
          <w:lang w:bidi="ar-SA"/>
        </w:rPr>
        <w:t xml:space="preserve">genuine issue as to </w:t>
      </w:r>
      <w:r w:rsidR="00C44846">
        <w:rPr>
          <w:rFonts w:eastAsia="Calibri"/>
          <w:lang w:bidi="ar-SA"/>
        </w:rPr>
        <w:t xml:space="preserve">whether </w:t>
      </w:r>
      <w:r w:rsidR="00C44846">
        <w:rPr>
          <w:rFonts w:eastAsia="Calibri"/>
          <w:lang w:bidi="ar-SA"/>
        </w:rPr>
        <w:lastRenderedPageBreak/>
        <w:t>Respondent violated any statute, Commission regulation, or Commission order in its contractual  dealings with Complainant, thus entitling Respondent to judgment as a matter of law.</w:t>
      </w:r>
    </w:p>
    <w:p w:rsidR="00C44846" w:rsidRDefault="00C44846" w:rsidP="00AC2118">
      <w:pPr>
        <w:spacing w:line="360" w:lineRule="auto"/>
        <w:rPr>
          <w:rFonts w:eastAsia="Calibri"/>
          <w:lang w:bidi="ar-SA"/>
        </w:rPr>
      </w:pPr>
    </w:p>
    <w:p w:rsidR="00AC2118" w:rsidRDefault="00C44846" w:rsidP="00AC2118">
      <w:pPr>
        <w:spacing w:line="360" w:lineRule="auto"/>
        <w:rPr>
          <w:rFonts w:eastAsia="Calibri"/>
          <w:lang w:bidi="ar-SA"/>
        </w:rPr>
      </w:pPr>
      <w:r>
        <w:rPr>
          <w:rFonts w:eastAsia="Calibri"/>
          <w:lang w:bidi="ar-SA"/>
        </w:rPr>
        <w:tab/>
      </w:r>
      <w:r>
        <w:rPr>
          <w:rFonts w:eastAsia="Calibri"/>
          <w:lang w:bidi="ar-SA"/>
        </w:rPr>
        <w:tab/>
      </w:r>
      <w:r w:rsidR="00AC2118">
        <w:rPr>
          <w:rFonts w:eastAsia="Calibri"/>
          <w:lang w:bidi="ar-SA"/>
        </w:rPr>
        <w:t xml:space="preserve">Respond contends that the </w:t>
      </w:r>
      <w:r w:rsidR="00AE7E4D">
        <w:rPr>
          <w:rFonts w:eastAsia="Calibri"/>
          <w:lang w:bidi="ar-SA"/>
        </w:rPr>
        <w:t xml:space="preserve">pleadings together with affidavits show there is no genuine issue as to whether Respondent violated any law in its contractual dealings with Complainant, thus entitling Respondent to judgment as a matter of law.  Specifically, Respond avers that the </w:t>
      </w:r>
      <w:r w:rsidR="00AC2118">
        <w:rPr>
          <w:rFonts w:eastAsia="Calibri"/>
          <w:lang w:bidi="ar-SA"/>
        </w:rPr>
        <w:t>Complaint includes no allegations about the deficiency of Respond Power’s disclosure statement.   However,</w:t>
      </w:r>
      <w:r w:rsidR="0087515B">
        <w:rPr>
          <w:rFonts w:eastAsia="Calibri"/>
          <w:lang w:bidi="ar-SA"/>
        </w:rPr>
        <w:t xml:space="preserve"> </w:t>
      </w:r>
      <w:r w:rsidR="00F10D50">
        <w:rPr>
          <w:rFonts w:eastAsia="Calibri"/>
          <w:lang w:bidi="ar-SA"/>
        </w:rPr>
        <w:t>reviewing the language in the disclosu</w:t>
      </w:r>
      <w:r w:rsidR="00AC2118">
        <w:rPr>
          <w:rFonts w:eastAsia="Calibri"/>
          <w:lang w:bidi="ar-SA"/>
        </w:rPr>
        <w:t>re statement attached to Respond’s Answer dated April 15, 2014</w:t>
      </w:r>
      <w:r w:rsidR="00F10D50">
        <w:rPr>
          <w:rFonts w:eastAsia="Calibri"/>
          <w:lang w:bidi="ar-SA"/>
        </w:rPr>
        <w:t>, t</w:t>
      </w:r>
      <w:r w:rsidR="00AC2118">
        <w:rPr>
          <w:rFonts w:eastAsia="Calibri"/>
          <w:lang w:bidi="ar-SA"/>
        </w:rPr>
        <w:t>here is a sentence which stands out under the Terms of Service, Variable Rate headings as follows:</w:t>
      </w:r>
    </w:p>
    <w:p w:rsidR="00F10D50" w:rsidRDefault="00F10D50" w:rsidP="00AC2118">
      <w:pPr>
        <w:ind w:left="720" w:right="720"/>
        <w:rPr>
          <w:rFonts w:eastAsia="Calibri"/>
          <w:lang w:bidi="ar-SA"/>
        </w:rPr>
      </w:pPr>
    </w:p>
    <w:p w:rsidR="00AC2118" w:rsidRDefault="00AC2118" w:rsidP="00AC2118">
      <w:pPr>
        <w:ind w:left="720" w:right="720"/>
        <w:rPr>
          <w:rFonts w:eastAsia="Calibri"/>
          <w:lang w:bidi="ar-SA"/>
        </w:rPr>
      </w:pPr>
      <w:r>
        <w:rPr>
          <w:rFonts w:eastAsia="Calibri"/>
          <w:lang w:bidi="ar-SA"/>
        </w:rPr>
        <w:t>For their services, Respond Power adds a profit margin to the electricity and Respond Power’s goal each and every month is to deliver your power at a price that is less than what you would have paid had you purchased your power from your local utility company, however, due to market fluctuations and conditions, Respond Power cannot always guarantee that every month you will see savings.</w:t>
      </w:r>
    </w:p>
    <w:p w:rsidR="00AC2118" w:rsidRDefault="00AC2118" w:rsidP="00AC2118">
      <w:pPr>
        <w:ind w:left="720" w:right="720"/>
        <w:rPr>
          <w:rFonts w:eastAsia="Calibri"/>
          <w:lang w:bidi="ar-SA"/>
        </w:rPr>
      </w:pPr>
    </w:p>
    <w:p w:rsidR="00AC2118" w:rsidRDefault="00AC2118" w:rsidP="00AC2118">
      <w:pPr>
        <w:ind w:left="720" w:right="720"/>
        <w:rPr>
          <w:rFonts w:eastAsia="Calibri"/>
          <w:lang w:bidi="ar-SA"/>
        </w:rPr>
      </w:pPr>
    </w:p>
    <w:p w:rsidR="00AC2118" w:rsidRDefault="00AC2118" w:rsidP="00AC2118">
      <w:pPr>
        <w:spacing w:line="360" w:lineRule="auto"/>
        <w:rPr>
          <w:rFonts w:eastAsia="Calibri"/>
          <w:lang w:bidi="ar-SA"/>
        </w:rPr>
      </w:pPr>
      <w:r>
        <w:rPr>
          <w:rFonts w:eastAsia="Calibri"/>
          <w:lang w:bidi="ar-SA"/>
        </w:rPr>
        <w:t>Respond’s Disclosure Statement (as attached to Respond’s Answer of April 15, 2014).</w:t>
      </w:r>
      <w:r w:rsidR="00F10D50">
        <w:rPr>
          <w:rFonts w:eastAsia="Calibri"/>
          <w:lang w:bidi="ar-SA"/>
        </w:rPr>
        <w:t xml:space="preserve">  </w:t>
      </w:r>
    </w:p>
    <w:p w:rsidR="00AC2118" w:rsidRDefault="00AC2118" w:rsidP="005A67D0">
      <w:pPr>
        <w:spacing w:line="360" w:lineRule="auto"/>
        <w:rPr>
          <w:rFonts w:eastAsia="Calibri"/>
          <w:lang w:bidi="ar-SA"/>
        </w:rPr>
      </w:pPr>
    </w:p>
    <w:p w:rsidR="00544B7D" w:rsidRDefault="00AC2118" w:rsidP="005A67D0">
      <w:pPr>
        <w:spacing w:line="360" w:lineRule="auto"/>
        <w:rPr>
          <w:rFonts w:eastAsia="Calibri"/>
          <w:lang w:bidi="ar-SA"/>
        </w:rPr>
      </w:pPr>
      <w:r>
        <w:rPr>
          <w:rFonts w:eastAsia="Calibri"/>
          <w:lang w:bidi="ar-SA"/>
        </w:rPr>
        <w:tab/>
      </w:r>
      <w:r>
        <w:rPr>
          <w:rFonts w:eastAsia="Calibri"/>
          <w:lang w:bidi="ar-SA"/>
        </w:rPr>
        <w:tab/>
      </w:r>
      <w:r w:rsidR="00BD2DD2">
        <w:rPr>
          <w:rFonts w:eastAsia="Calibri"/>
          <w:lang w:bidi="ar-SA"/>
        </w:rPr>
        <w:t xml:space="preserve">There is an affidavit of </w:t>
      </w:r>
      <w:r w:rsidR="00FD3483">
        <w:rPr>
          <w:rFonts w:eastAsia="Calibri"/>
          <w:lang w:bidi="ar-SA"/>
        </w:rPr>
        <w:t>Scott</w:t>
      </w:r>
      <w:r w:rsidR="00FD3483" w:rsidRPr="00FD3483">
        <w:rPr>
          <w:rFonts w:eastAsia="Calibri"/>
          <w:lang w:bidi="ar-SA"/>
        </w:rPr>
        <w:t xml:space="preserve"> </w:t>
      </w:r>
      <w:r w:rsidR="00FD3483">
        <w:rPr>
          <w:rFonts w:eastAsia="Calibri"/>
          <w:lang w:bidi="ar-SA"/>
        </w:rPr>
        <w:t>Foreman-Murray</w:t>
      </w:r>
      <w:r w:rsidR="00BD2DD2">
        <w:rPr>
          <w:rFonts w:eastAsia="Calibri"/>
          <w:lang w:bidi="ar-SA"/>
        </w:rPr>
        <w:t xml:space="preserve">, in-house counsel for Respond attached to the Motion for Summary Judgment.  In his affidavit, Mr. </w:t>
      </w:r>
      <w:r w:rsidR="00FD3483">
        <w:rPr>
          <w:rFonts w:eastAsia="Calibri"/>
          <w:lang w:bidi="ar-SA"/>
        </w:rPr>
        <w:t xml:space="preserve">Foreman-Murray </w:t>
      </w:r>
      <w:r w:rsidR="00BD2DD2">
        <w:rPr>
          <w:rFonts w:eastAsia="Calibri"/>
          <w:lang w:bidi="ar-SA"/>
        </w:rPr>
        <w:t xml:space="preserve">states that Respond began providing service to Complainant in October 2013 under the terms of service section of the disclosure statement provided to Complainant which explained that the price may vary from month to month and that the generation charges were set on the basis of PJM market rates plus a profit margin.  Further, Mr. </w:t>
      </w:r>
      <w:r w:rsidR="00FD3483">
        <w:rPr>
          <w:rFonts w:eastAsia="Calibri"/>
          <w:lang w:bidi="ar-SA"/>
        </w:rPr>
        <w:t xml:space="preserve">Foreman-Murray </w:t>
      </w:r>
      <w:r w:rsidR="00BD2DD2">
        <w:rPr>
          <w:rFonts w:eastAsia="Calibri"/>
          <w:lang w:bidi="ar-SA"/>
        </w:rPr>
        <w:t xml:space="preserve">stated that the disclosure statement provided that Respond’s goal was to deliver power at a </w:t>
      </w:r>
      <w:r w:rsidR="00544B7D">
        <w:rPr>
          <w:rFonts w:eastAsia="Calibri"/>
          <w:lang w:bidi="ar-SA"/>
        </w:rPr>
        <w:t>price</w:t>
      </w:r>
      <w:r w:rsidR="00BD2DD2">
        <w:rPr>
          <w:rFonts w:eastAsia="Calibri"/>
          <w:lang w:bidi="ar-SA"/>
        </w:rPr>
        <w:t xml:space="preserve"> that is less than Complainant would have paid had he purchased power from his local utility company.  Mr. </w:t>
      </w:r>
      <w:r w:rsidR="00FD3483">
        <w:rPr>
          <w:rFonts w:eastAsia="Calibri"/>
          <w:lang w:bidi="ar-SA"/>
        </w:rPr>
        <w:t xml:space="preserve">Foreman-Murray </w:t>
      </w:r>
      <w:r w:rsidR="00BD2DD2">
        <w:rPr>
          <w:rFonts w:eastAsia="Calibri"/>
          <w:lang w:bidi="ar-SA"/>
        </w:rPr>
        <w:t xml:space="preserve">stated that the disclosure statement stated that Respond could not guarantee that Complainant would see </w:t>
      </w:r>
      <w:r w:rsidR="00544B7D">
        <w:rPr>
          <w:rFonts w:eastAsia="Calibri"/>
          <w:lang w:bidi="ar-SA"/>
        </w:rPr>
        <w:t>savings</w:t>
      </w:r>
      <w:r w:rsidR="00BD2DD2">
        <w:rPr>
          <w:rFonts w:eastAsia="Calibri"/>
          <w:lang w:bidi="ar-SA"/>
        </w:rPr>
        <w:t xml:space="preserve"> every month and the contract included no dollar or percentage caps or ceilings on the amount by which the variable rates could change.  Mr. </w:t>
      </w:r>
      <w:r w:rsidR="00FD3483">
        <w:rPr>
          <w:rFonts w:eastAsia="Calibri"/>
          <w:lang w:bidi="ar-SA"/>
        </w:rPr>
        <w:t xml:space="preserve">Foreman-Murray </w:t>
      </w:r>
      <w:r w:rsidR="00BD2DD2">
        <w:rPr>
          <w:rFonts w:eastAsia="Calibri"/>
          <w:lang w:bidi="ar-SA"/>
        </w:rPr>
        <w:t xml:space="preserve">also stated there was a third-party verification recording. </w:t>
      </w:r>
      <w:r w:rsidR="00544B7D">
        <w:rPr>
          <w:rFonts w:eastAsia="Calibri"/>
          <w:lang w:bidi="ar-SA"/>
        </w:rPr>
        <w:t xml:space="preserve"> </w:t>
      </w:r>
      <w:r w:rsidR="00C44846">
        <w:rPr>
          <w:rFonts w:eastAsia="Calibri"/>
          <w:lang w:bidi="ar-SA"/>
        </w:rPr>
        <w:t xml:space="preserve">Mr. Foreman-Murray </w:t>
      </w:r>
      <w:r w:rsidR="00544B7D">
        <w:rPr>
          <w:rFonts w:eastAsia="Calibri"/>
          <w:lang w:bidi="ar-SA"/>
        </w:rPr>
        <w:t xml:space="preserve">stated for usage reflected in March and April, 2014 bills, Respond adjusted the variable rate for Complainant due to the exponential price increases in the PJM wholesale energy market consistent with the disclosure statement </w:t>
      </w:r>
      <w:r w:rsidR="00544B7D">
        <w:rPr>
          <w:rFonts w:eastAsia="Calibri"/>
          <w:lang w:bidi="ar-SA"/>
        </w:rPr>
        <w:lastRenderedPageBreak/>
        <w:t xml:space="preserve">provided to Complainant.  Upon request, Respond returned Complainant to West Penn Power Company for default generation service on May 14, 2014. </w:t>
      </w:r>
    </w:p>
    <w:p w:rsidR="00544B7D" w:rsidRDefault="00544B7D" w:rsidP="005A67D0">
      <w:pPr>
        <w:spacing w:line="360" w:lineRule="auto"/>
        <w:rPr>
          <w:rFonts w:eastAsia="Calibri"/>
          <w:lang w:bidi="ar-SA"/>
        </w:rPr>
      </w:pPr>
    </w:p>
    <w:p w:rsidR="006E1A84" w:rsidRDefault="0044284D" w:rsidP="006E1A84">
      <w:pPr>
        <w:spacing w:line="360" w:lineRule="auto"/>
        <w:rPr>
          <w:rFonts w:eastAsia="Calibri"/>
          <w:lang w:bidi="ar-SA"/>
        </w:rPr>
      </w:pPr>
      <w:r>
        <w:rPr>
          <w:rFonts w:eastAsia="Calibri"/>
          <w:lang w:bidi="ar-SA"/>
        </w:rPr>
        <w:tab/>
      </w:r>
      <w:r>
        <w:rPr>
          <w:rFonts w:eastAsia="Calibri"/>
          <w:lang w:bidi="ar-SA"/>
        </w:rPr>
        <w:tab/>
      </w:r>
      <w:r w:rsidR="009E1E93">
        <w:rPr>
          <w:rFonts w:eastAsia="Calibri"/>
          <w:lang w:bidi="ar-SA"/>
        </w:rPr>
        <w:t xml:space="preserve">It appears at this point in litigation that </w:t>
      </w:r>
      <w:r>
        <w:rPr>
          <w:rFonts w:eastAsia="Calibri"/>
          <w:lang w:bidi="ar-SA"/>
        </w:rPr>
        <w:t xml:space="preserve">the parties have differing views on the interpretation of the same language in the disclosure statement.  </w:t>
      </w:r>
      <w:r w:rsidR="00C44846">
        <w:rPr>
          <w:rFonts w:eastAsia="Calibri"/>
          <w:lang w:bidi="ar-SA"/>
        </w:rPr>
        <w:t xml:space="preserve">The parties dispute the meaning of this disclosure.  Whether or not the disclosure statement language is in compliance with 52 Pa. Code § 54.4(c) is for the finder of fact and concluder of law to determine.   </w:t>
      </w:r>
      <w:r>
        <w:rPr>
          <w:rFonts w:eastAsia="Calibri"/>
          <w:lang w:bidi="ar-SA"/>
        </w:rPr>
        <w:t xml:space="preserve">There may be other statements in addition to this disclosure statement that were made to Complainant prior to his entering into an agreement with the Company.  </w:t>
      </w:r>
      <w:r w:rsidR="00C44846">
        <w:rPr>
          <w:rFonts w:eastAsia="Calibri"/>
          <w:lang w:bidi="ar-SA"/>
        </w:rPr>
        <w:t xml:space="preserve">There is reference to a verification recording in Mr. Foreman-Murray’s Affidavit. </w:t>
      </w:r>
      <w:r w:rsidR="00F00498">
        <w:rPr>
          <w:rFonts w:eastAsia="Calibri"/>
          <w:lang w:bidi="ar-SA"/>
        </w:rPr>
        <w:t xml:space="preserve"> </w:t>
      </w:r>
      <w:r w:rsidR="00DD3C75">
        <w:t xml:space="preserve">I am not persuaded </w:t>
      </w:r>
      <w:r w:rsidR="008A3483">
        <w:t xml:space="preserve">by </w:t>
      </w:r>
      <w:r w:rsidR="00F00498">
        <w:t xml:space="preserve">Respondent </w:t>
      </w:r>
      <w:r w:rsidR="008A3483">
        <w:t>at t</w:t>
      </w:r>
      <w:r w:rsidR="00DD3C75">
        <w:t xml:space="preserve">his point </w:t>
      </w:r>
      <w:r w:rsidR="008A3483">
        <w:t xml:space="preserve">to find there are no </w:t>
      </w:r>
      <w:r w:rsidR="00DD3C75">
        <w:t>genuine issue</w:t>
      </w:r>
      <w:r w:rsidR="008A3483">
        <w:t>s</w:t>
      </w:r>
      <w:r w:rsidR="00DD3C75">
        <w:t xml:space="preserve"> as to material fact</w:t>
      </w:r>
      <w:r w:rsidR="008A3483">
        <w:t>s</w:t>
      </w:r>
      <w:r w:rsidR="00DD3C75">
        <w:t xml:space="preserve"> regarding whether the </w:t>
      </w:r>
      <w:r w:rsidR="00F00498">
        <w:t xml:space="preserve">disclosures made to Complainant were in compliance with the Commission’s regulations.  </w:t>
      </w:r>
      <w:r w:rsidR="006E1A84">
        <w:rPr>
          <w:rFonts w:eastAsia="Calibri"/>
          <w:lang w:bidi="ar-SA"/>
        </w:rPr>
        <w:t xml:space="preserve">I do not have a copy of the verification recording before me, however pursuant to 52 Pa. Code § 111.8(b)(6), I shall request a copy of </w:t>
      </w:r>
      <w:r w:rsidR="00C44846">
        <w:rPr>
          <w:rFonts w:eastAsia="Calibri"/>
          <w:lang w:bidi="ar-SA"/>
        </w:rPr>
        <w:t xml:space="preserve">the </w:t>
      </w:r>
      <w:r w:rsidR="006E1A84">
        <w:rPr>
          <w:rFonts w:eastAsia="Calibri"/>
          <w:lang w:bidi="ar-SA"/>
        </w:rPr>
        <w:t>verification record be produced as a</w:t>
      </w:r>
      <w:r w:rsidR="00C44846">
        <w:rPr>
          <w:rFonts w:eastAsia="Calibri"/>
          <w:lang w:bidi="ar-SA"/>
        </w:rPr>
        <w:t xml:space="preserve"> proposed</w:t>
      </w:r>
      <w:r w:rsidR="006E1A84">
        <w:rPr>
          <w:rFonts w:eastAsia="Calibri"/>
          <w:lang w:bidi="ar-SA"/>
        </w:rPr>
        <w:t xml:space="preserve"> exhibit at the hearing. </w:t>
      </w:r>
    </w:p>
    <w:p w:rsidR="00FD3483" w:rsidRDefault="00FD3483" w:rsidP="006E1A84">
      <w:pPr>
        <w:spacing w:line="360" w:lineRule="auto"/>
        <w:rPr>
          <w:rFonts w:eastAsia="Calibri"/>
          <w:lang w:bidi="ar-SA"/>
        </w:rPr>
      </w:pPr>
    </w:p>
    <w:p w:rsidR="00FD3483" w:rsidRDefault="00FD3483" w:rsidP="006E1A84">
      <w:pPr>
        <w:spacing w:line="360" w:lineRule="auto"/>
        <w:rPr>
          <w:rFonts w:eastAsia="Calibri"/>
          <w:lang w:bidi="ar-SA"/>
        </w:rPr>
      </w:pPr>
      <w:r>
        <w:rPr>
          <w:rFonts w:eastAsia="Calibri"/>
          <w:lang w:bidi="ar-SA"/>
        </w:rPr>
        <w:tab/>
      </w:r>
      <w:r>
        <w:rPr>
          <w:rFonts w:eastAsia="Calibri"/>
          <w:lang w:bidi="ar-SA"/>
        </w:rPr>
        <w:tab/>
      </w:r>
      <w:r w:rsidR="00BA0FC0">
        <w:rPr>
          <w:rFonts w:eastAsia="Calibri"/>
          <w:lang w:bidi="ar-SA"/>
        </w:rPr>
        <w:t xml:space="preserve">Further, there remains in dispute the date Complainant became a customer of Respondent.  </w:t>
      </w:r>
      <w:r>
        <w:rPr>
          <w:rFonts w:eastAsia="Calibri"/>
          <w:lang w:bidi="ar-SA"/>
        </w:rPr>
        <w:t>Complain</w:t>
      </w:r>
      <w:r w:rsidR="00C44846">
        <w:rPr>
          <w:rFonts w:eastAsia="Calibri"/>
          <w:lang w:bidi="ar-SA"/>
        </w:rPr>
        <w:t>an</w:t>
      </w:r>
      <w:r>
        <w:rPr>
          <w:rFonts w:eastAsia="Calibri"/>
          <w:lang w:bidi="ar-SA"/>
        </w:rPr>
        <w:t xml:space="preserve">t averred he switched in January.  However, Mr. Foreman-Murray’s </w:t>
      </w:r>
      <w:r w:rsidR="00C44846">
        <w:rPr>
          <w:rFonts w:eastAsia="Calibri"/>
          <w:lang w:bidi="ar-SA"/>
        </w:rPr>
        <w:t>A</w:t>
      </w:r>
      <w:r>
        <w:rPr>
          <w:rFonts w:eastAsia="Calibri"/>
          <w:lang w:bidi="ar-SA"/>
        </w:rPr>
        <w:t xml:space="preserve">ffidavit states </w:t>
      </w:r>
      <w:r w:rsidR="00C44846">
        <w:rPr>
          <w:rFonts w:eastAsia="Calibri"/>
          <w:lang w:bidi="ar-SA"/>
        </w:rPr>
        <w:t xml:space="preserve">that </w:t>
      </w:r>
      <w:r>
        <w:rPr>
          <w:rFonts w:eastAsia="Calibri"/>
          <w:lang w:bidi="ar-SA"/>
        </w:rPr>
        <w:t>Complainant began receiving service from Respond in October, 2013.  Whether the third</w:t>
      </w:r>
      <w:r w:rsidR="00C44846">
        <w:rPr>
          <w:rFonts w:eastAsia="Calibri"/>
          <w:lang w:bidi="ar-SA"/>
        </w:rPr>
        <w:t>-</w:t>
      </w:r>
      <w:r>
        <w:rPr>
          <w:rFonts w:eastAsia="Calibri"/>
          <w:lang w:bidi="ar-SA"/>
        </w:rPr>
        <w:t xml:space="preserve">party verification process was followed properly is also </w:t>
      </w:r>
      <w:r w:rsidR="00C44846">
        <w:rPr>
          <w:rFonts w:eastAsia="Calibri"/>
          <w:lang w:bidi="ar-SA"/>
        </w:rPr>
        <w:t>an</w:t>
      </w:r>
      <w:r>
        <w:rPr>
          <w:rFonts w:eastAsia="Calibri"/>
          <w:lang w:bidi="ar-SA"/>
        </w:rPr>
        <w:t xml:space="preserve"> issue in this case.  Thus, there remains an issue regarding whether Respond Power provided Complainant with accurate and adequate information to make an informed decision about whether to switch to Respond Power for service.  Th</w:t>
      </w:r>
      <w:r w:rsidR="00C44846">
        <w:rPr>
          <w:rFonts w:eastAsia="Calibri"/>
          <w:lang w:bidi="ar-SA"/>
        </w:rPr>
        <w:t>ere are</w:t>
      </w:r>
      <w:r>
        <w:rPr>
          <w:rFonts w:eastAsia="Calibri"/>
          <w:lang w:bidi="ar-SA"/>
        </w:rPr>
        <w:t xml:space="preserve"> consumer protection</w:t>
      </w:r>
      <w:r w:rsidR="00C44846">
        <w:rPr>
          <w:rFonts w:eastAsia="Calibri"/>
          <w:lang w:bidi="ar-SA"/>
        </w:rPr>
        <w:t>s which must be followed</w:t>
      </w:r>
      <w:r>
        <w:rPr>
          <w:rFonts w:eastAsia="Calibri"/>
          <w:lang w:bidi="ar-SA"/>
        </w:rPr>
        <w:t xml:space="preserve"> as set forth in 66 Pa. C.S. § 2807(d)(2) and the Commi</w:t>
      </w:r>
      <w:r w:rsidR="0087515B">
        <w:rPr>
          <w:rFonts w:eastAsia="Calibri"/>
          <w:lang w:bidi="ar-SA"/>
        </w:rPr>
        <w:t>ss</w:t>
      </w:r>
      <w:r>
        <w:rPr>
          <w:rFonts w:eastAsia="Calibri"/>
          <w:lang w:bidi="ar-SA"/>
        </w:rPr>
        <w:t xml:space="preserve">ion’s regulations found in Chapters 54 and 56 of the </w:t>
      </w:r>
      <w:r w:rsidR="0087515B">
        <w:rPr>
          <w:rFonts w:eastAsia="Calibri"/>
          <w:lang w:bidi="ar-SA"/>
        </w:rPr>
        <w:t>Pennsylvania</w:t>
      </w:r>
      <w:r>
        <w:rPr>
          <w:rFonts w:eastAsia="Calibri"/>
          <w:lang w:bidi="ar-SA"/>
        </w:rPr>
        <w:t xml:space="preserve"> Code.  52 Pa. Code §</w:t>
      </w:r>
      <w:r w:rsidR="0087515B">
        <w:rPr>
          <w:rFonts w:eastAsia="Calibri"/>
          <w:lang w:bidi="ar-SA"/>
        </w:rPr>
        <w:t>§</w:t>
      </w:r>
      <w:r>
        <w:rPr>
          <w:rFonts w:eastAsia="Calibri"/>
          <w:lang w:bidi="ar-SA"/>
        </w:rPr>
        <w:t xml:space="preserve"> 54.1</w:t>
      </w:r>
      <w:r w:rsidR="0087515B">
        <w:rPr>
          <w:rFonts w:eastAsia="Calibri"/>
          <w:lang w:bidi="ar-SA"/>
        </w:rPr>
        <w:t xml:space="preserve"> -</w:t>
      </w:r>
      <w:r>
        <w:rPr>
          <w:rFonts w:eastAsia="Calibri"/>
          <w:lang w:bidi="ar-SA"/>
        </w:rPr>
        <w:t xml:space="preserve"> </w:t>
      </w:r>
      <w:r w:rsidR="0087515B">
        <w:rPr>
          <w:rFonts w:eastAsia="Calibri"/>
          <w:lang w:bidi="ar-SA"/>
        </w:rPr>
        <w:t xml:space="preserve">54.7.  </w:t>
      </w:r>
    </w:p>
    <w:p w:rsidR="00F00498" w:rsidRDefault="00F00498" w:rsidP="0065002E">
      <w:pPr>
        <w:spacing w:line="360" w:lineRule="auto"/>
      </w:pPr>
    </w:p>
    <w:p w:rsidR="00DD3C75" w:rsidRDefault="00F00498" w:rsidP="0065002E">
      <w:pPr>
        <w:spacing w:line="360" w:lineRule="auto"/>
      </w:pPr>
      <w:r>
        <w:tab/>
      </w:r>
      <w:r>
        <w:tab/>
      </w:r>
      <w:r w:rsidR="00BA0FC0">
        <w:t xml:space="preserve">Whether the language of the disclosure statement is sufficiently clear and in conformity with the Commission’s order and regulations and whether the verification record further clarifies the terms of agreement through any questions or answers are issues which involve factual disputes.   </w:t>
      </w:r>
      <w:r w:rsidR="00C44846">
        <w:t>A</w:t>
      </w:r>
      <w:r w:rsidR="005C5D88">
        <w:t xml:space="preserve">lthough I </w:t>
      </w:r>
      <w:r w:rsidR="00C44846">
        <w:t>have</w:t>
      </w:r>
      <w:r w:rsidR="005C5D88">
        <w:t xml:space="preserve"> </w:t>
      </w:r>
      <w:r w:rsidR="00C44846">
        <w:t xml:space="preserve">treated </w:t>
      </w:r>
      <w:r w:rsidR="0087515B">
        <w:t>Respond Power’s Letter from its Compliance Analyst for Major Energy/Respond Power,</w:t>
      </w:r>
      <w:r w:rsidR="00C44846">
        <w:t xml:space="preserve"> as an Answer, the pleading </w:t>
      </w:r>
      <w:r w:rsidR="0087515B">
        <w:t xml:space="preserve">does not contain a verification regarding the </w:t>
      </w:r>
      <w:r w:rsidR="00C44846">
        <w:t>facts</w:t>
      </w:r>
      <w:r w:rsidR="0087515B">
        <w:t xml:space="preserve"> </w:t>
      </w:r>
      <w:r w:rsidR="00C44846">
        <w:t xml:space="preserve">averred </w:t>
      </w:r>
      <w:r w:rsidR="0087515B">
        <w:t xml:space="preserve">in the Answer.  </w:t>
      </w:r>
      <w:r w:rsidR="00AE7E4D">
        <w:t xml:space="preserve">Answers to a formal complaint “containing an averment of fact not appearing of record in the action or containing a denial of </w:t>
      </w:r>
      <w:r w:rsidR="00AE7E4D">
        <w:lastRenderedPageBreak/>
        <w:t>fact must be personally verified. . .</w:t>
      </w:r>
      <w:r w:rsidR="00C44846">
        <w:t>”</w:t>
      </w:r>
      <w:r w:rsidR="00AE7E4D">
        <w:t xml:space="preserve"> </w:t>
      </w:r>
      <w:r w:rsidR="00C44846">
        <w:t xml:space="preserve">  </w:t>
      </w:r>
      <w:r w:rsidR="00AE7E4D">
        <w:t>52 Pa. Code § 1.36(a).  The Answer denies misrepresentation, but it is not accompanied by oath or affirmation or made subject to the penalties of 18 Pa. C.S</w:t>
      </w:r>
      <w:r w:rsidR="00C44846">
        <w:t>.</w:t>
      </w:r>
      <w:r w:rsidR="00AE7E4D">
        <w:t xml:space="preserve"> § 4904 (relating to unsworn falsification to authorities).”  52 Pa. Code § 1.36(a).</w:t>
      </w:r>
      <w:r w:rsidR="00C44846">
        <w:t xml:space="preserve">  Therefore, I cannot rely upon the facts averred in the Answer or the documents attached to the Answer to find no issue as to material fact.</w:t>
      </w:r>
    </w:p>
    <w:p w:rsidR="00DD3C75" w:rsidRDefault="00DD3C75" w:rsidP="00DD3C75">
      <w:pPr>
        <w:autoSpaceDE w:val="0"/>
        <w:autoSpaceDN w:val="0"/>
        <w:adjustRightInd w:val="0"/>
        <w:spacing w:line="360" w:lineRule="auto"/>
      </w:pPr>
    </w:p>
    <w:p w:rsidR="00BA0FC0" w:rsidRDefault="005C5D88" w:rsidP="00DD3C75">
      <w:pPr>
        <w:autoSpaceDE w:val="0"/>
        <w:autoSpaceDN w:val="0"/>
        <w:adjustRightInd w:val="0"/>
        <w:spacing w:line="360" w:lineRule="auto"/>
      </w:pPr>
      <w:r>
        <w:tab/>
      </w:r>
      <w:r>
        <w:tab/>
        <w:t>The Motion for Summary Judgment further challenges the legal sufficiency of Mr. Herp’s formal Complaint as well as the Commission’s jurisdiction to direct a refund or to regulate the prices electric generation suppliers charge their customers.  These arguments should have been raised as preliminary objections, filed within 20 days of the date of service of the Complaint.  They are being untimely raised through a Motion for Summary Judgment.</w:t>
      </w:r>
      <w:r w:rsidR="0087515B">
        <w:t xml:space="preserve">  I am liberally allowing Respond Power’s Letter from its Compliance Analyst for Major Energy/Respond Power, to serve as an Answer even though it was neither submitted by an attorney for a corporation, nor did it contain a proper verification regarding the statements set forth in the Answer, this despite Mr. Foreman-Murray’s later affidavit that he is in-house counsel for Respond Power, with responsibility for regulatory compliance.  </w:t>
      </w:r>
      <w:r w:rsidR="00BA0FC0">
        <w:t>However,</w:t>
      </w:r>
      <w:r w:rsidR="0087515B">
        <w:t xml:space="preserve"> there is no good excuse for the untimely raising of preliminary objections against a </w:t>
      </w:r>
      <w:r w:rsidR="0087515B">
        <w:rPr>
          <w:i/>
        </w:rPr>
        <w:t xml:space="preserve">pro se </w:t>
      </w:r>
      <w:r w:rsidR="0087515B">
        <w:t xml:space="preserve">Complaint.  </w:t>
      </w:r>
      <w:r>
        <w:t xml:space="preserve">  </w:t>
      </w:r>
      <w:r w:rsidR="000A143B">
        <w:t xml:space="preserve">52 Pa. Code § 1.2(d).  52 Pa. Code §5.101.  </w:t>
      </w:r>
      <w:r w:rsidR="000A143B">
        <w:rPr>
          <w:i/>
        </w:rPr>
        <w:t xml:space="preserve">See In re: Structural Separation of Bell Atlantic-Pennsylvania, Inc. Retail and Wholesale Operations, </w:t>
      </w:r>
      <w:r w:rsidR="000A143B">
        <w:t xml:space="preserve">M-00001353, 2000 Pa. PUC LEXIS 56, Initial Decision (June 16, 2000).   </w:t>
      </w:r>
    </w:p>
    <w:p w:rsidR="00BA0FC0" w:rsidRDefault="00BA0FC0" w:rsidP="00DD3C75">
      <w:pPr>
        <w:autoSpaceDE w:val="0"/>
        <w:autoSpaceDN w:val="0"/>
        <w:adjustRightInd w:val="0"/>
        <w:spacing w:line="360" w:lineRule="auto"/>
      </w:pPr>
    </w:p>
    <w:p w:rsidR="005C5D88" w:rsidRPr="000A143B" w:rsidRDefault="00BA0FC0" w:rsidP="00DD3C75">
      <w:pPr>
        <w:autoSpaceDE w:val="0"/>
        <w:autoSpaceDN w:val="0"/>
        <w:adjustRightInd w:val="0"/>
        <w:spacing w:line="360" w:lineRule="auto"/>
      </w:pPr>
      <w:r>
        <w:tab/>
      </w:r>
      <w:r>
        <w:tab/>
      </w:r>
      <w:r w:rsidR="000A143B">
        <w:t xml:space="preserve">While the issue of jurisdiction may be raised at anytime, I find this Commission does have jurisdiction over complaints involving the marketing and sales activities of electric generation suppliers.  Therefore, </w:t>
      </w:r>
      <w:r>
        <w:t xml:space="preserve">since the instant Complaint involves the marketing and sales activities of Respond, </w:t>
      </w:r>
      <w:r w:rsidR="000A143B">
        <w:t>the Commission has jurisdiction</w:t>
      </w:r>
      <w:r>
        <w:t xml:space="preserve"> to hear this Complaint</w:t>
      </w:r>
      <w:r w:rsidR="000A143B">
        <w:t xml:space="preserve">.  66 Pa. C.S. §2807(d)(2).  See also, </w:t>
      </w:r>
      <w:r w:rsidR="000A143B" w:rsidRPr="00BA0FC0">
        <w:rPr>
          <w:i/>
        </w:rPr>
        <w:t>Grmusa v. Dominion Retail, Inc.,</w:t>
      </w:r>
      <w:r w:rsidR="000A143B">
        <w:t xml:space="preserve"> C-2009-2124359, Order (April 16, 2010).</w:t>
      </w:r>
    </w:p>
    <w:p w:rsidR="005D6396" w:rsidRDefault="00DD3C75" w:rsidP="00DD3C75">
      <w:pPr>
        <w:autoSpaceDE w:val="0"/>
        <w:autoSpaceDN w:val="0"/>
        <w:adjustRightInd w:val="0"/>
        <w:spacing w:line="360" w:lineRule="auto"/>
        <w:rPr>
          <w:rFonts w:eastAsia="Calibri"/>
        </w:rPr>
      </w:pPr>
      <w:r>
        <w:tab/>
      </w:r>
      <w:r w:rsidR="000410F6">
        <w:tab/>
      </w:r>
    </w:p>
    <w:p w:rsidR="00DD3C75" w:rsidRPr="00DD3C75" w:rsidRDefault="00364A57" w:rsidP="005A67D0">
      <w:pPr>
        <w:spacing w:line="360" w:lineRule="auto"/>
        <w:rPr>
          <w:rFonts w:eastAsia="Calibri"/>
          <w:b/>
          <w:u w:val="single"/>
        </w:rPr>
      </w:pPr>
      <w:r w:rsidRPr="00DD3C75">
        <w:rPr>
          <w:rFonts w:eastAsia="Calibri"/>
          <w:b/>
          <w:u w:val="single"/>
        </w:rPr>
        <w:t>C</w:t>
      </w:r>
      <w:r w:rsidR="00DD3C75" w:rsidRPr="00DD3C75">
        <w:rPr>
          <w:rFonts w:eastAsia="Calibri"/>
          <w:b/>
          <w:u w:val="single"/>
        </w:rPr>
        <w:t>onclusion</w:t>
      </w:r>
    </w:p>
    <w:p w:rsidR="00BA0FC0" w:rsidRDefault="00BB426F" w:rsidP="00AE7E4D">
      <w:pPr>
        <w:spacing w:line="360" w:lineRule="auto"/>
      </w:pPr>
      <w:r>
        <w:rPr>
          <w:rFonts w:eastAsia="Calibri"/>
        </w:rPr>
        <w:tab/>
      </w:r>
      <w:r w:rsidR="00FD3483">
        <w:rPr>
          <w:rFonts w:eastAsia="Calibri"/>
        </w:rPr>
        <w:tab/>
      </w:r>
      <w:r w:rsidR="00AE7E4D">
        <w:rPr>
          <w:bCs/>
        </w:rPr>
        <w:t xml:space="preserve">It is averred by Complainant that he was told his bills would not be higher than West Penn Power’s bills under a variable rate plan.  There remains a genuine issue as to material fact regarding whether Complainant communicated with an agent of Respond Power, and relied </w:t>
      </w:r>
      <w:r w:rsidR="00AE7E4D">
        <w:rPr>
          <w:bCs/>
        </w:rPr>
        <w:lastRenderedPageBreak/>
        <w:t>upon certain statements and representations made by the agent prior to accepting the offer.  There is a genuine issue as to material fact regarding what information was given to Complainant and whether this information was accurate and timely regarding the service being offered to Complainant.</w:t>
      </w:r>
      <w:r w:rsidR="000A143B">
        <w:rPr>
          <w:bCs/>
        </w:rPr>
        <w:t xml:space="preserve">  </w:t>
      </w:r>
      <w:r w:rsidR="00BA0FC0">
        <w:rPr>
          <w:bCs/>
        </w:rPr>
        <w:t>T</w:t>
      </w:r>
      <w:r w:rsidR="00BA0FC0">
        <w:rPr>
          <w:rFonts w:eastAsia="Calibri"/>
          <w:lang w:bidi="ar-SA"/>
        </w:rPr>
        <w:t xml:space="preserve">here remains in dispute the date Complainant became a customer of Respondent.  </w:t>
      </w:r>
      <w:r w:rsidR="00BA0FC0">
        <w:t>Whether the language of the disclosure statement is sufficiently clear and in conformity with the Commission’s order and regulations and whether the verification record further clarifies the terms of agreement through any questions or answers are issues which involve factual disputes.   Accordingly, Respond’s Motion for Summary Judgment shall be denied.</w:t>
      </w:r>
    </w:p>
    <w:p w:rsidR="00BA0FC0" w:rsidRDefault="00BA0FC0" w:rsidP="00AE7E4D">
      <w:pPr>
        <w:spacing w:line="360" w:lineRule="auto"/>
      </w:pPr>
    </w:p>
    <w:p w:rsidR="00AE7E4D" w:rsidRDefault="00BA0FC0" w:rsidP="00AE7E4D">
      <w:pPr>
        <w:spacing w:line="360" w:lineRule="auto"/>
        <w:rPr>
          <w:bCs/>
        </w:rPr>
      </w:pPr>
      <w:r>
        <w:tab/>
      </w:r>
      <w:r>
        <w:tab/>
      </w:r>
      <w:r w:rsidR="00DD1956">
        <w:t xml:space="preserve">Complainant’s Motion for </w:t>
      </w:r>
      <w:r w:rsidR="00B2666A">
        <w:t>Extension of Time</w:t>
      </w:r>
      <w:r w:rsidR="00D753E0">
        <w:t xml:space="preserve"> treated as a Motion for Continuance</w:t>
      </w:r>
      <w:r w:rsidR="00DD1956">
        <w:t xml:space="preserve"> is granted.  The July 1, 2014 evidentiary hearing shall be cancelled and rescheduled to August 1, 2014.  The parties will receive a notice of cancellation/rescheduling in the mail.  I</w:t>
      </w:r>
      <w:r w:rsidR="000A143B">
        <w:rPr>
          <w:bCs/>
        </w:rPr>
        <w:t xml:space="preserve"> will allow extra time for the parties to provide </w:t>
      </w:r>
      <w:r>
        <w:rPr>
          <w:bCs/>
        </w:rPr>
        <w:t xml:space="preserve">each other and me </w:t>
      </w:r>
      <w:r w:rsidR="000A143B">
        <w:rPr>
          <w:bCs/>
        </w:rPr>
        <w:t>copies of proposed exhibits by Ju</w:t>
      </w:r>
      <w:r w:rsidR="00DD1956">
        <w:rPr>
          <w:bCs/>
        </w:rPr>
        <w:t>ly 28, 2014</w:t>
      </w:r>
      <w:r w:rsidR="000A143B">
        <w:rPr>
          <w:bCs/>
        </w:rPr>
        <w:t xml:space="preserve">, </w:t>
      </w:r>
      <w:r w:rsidR="00DD1956">
        <w:rPr>
          <w:bCs/>
        </w:rPr>
        <w:t>four</w:t>
      </w:r>
      <w:r w:rsidR="000A143B">
        <w:rPr>
          <w:bCs/>
        </w:rPr>
        <w:t xml:space="preserve"> day</w:t>
      </w:r>
      <w:r w:rsidR="00DD1956">
        <w:rPr>
          <w:bCs/>
        </w:rPr>
        <w:t>s</w:t>
      </w:r>
      <w:r w:rsidR="000A143B">
        <w:rPr>
          <w:bCs/>
        </w:rPr>
        <w:t xml:space="preserve"> before the hearing.</w:t>
      </w:r>
      <w:r w:rsidR="00B2666A">
        <w:rPr>
          <w:bCs/>
        </w:rPr>
        <w:t xml:space="preserve">  The regulations governing the</w:t>
      </w:r>
      <w:r w:rsidR="00D753E0">
        <w:rPr>
          <w:bCs/>
        </w:rPr>
        <w:t xml:space="preserve"> withdrawal or </w:t>
      </w:r>
      <w:r w:rsidR="00B2666A">
        <w:rPr>
          <w:bCs/>
        </w:rPr>
        <w:t xml:space="preserve">amendment of complaints are found at 52 Pa. Code §§5.91 – 5.94. </w:t>
      </w:r>
      <w:r w:rsidR="00D753E0">
        <w:rPr>
          <w:bCs/>
        </w:rPr>
        <w:t xml:space="preserve"> </w:t>
      </w:r>
    </w:p>
    <w:p w:rsidR="000A143B" w:rsidRDefault="000A143B" w:rsidP="00AE7E4D">
      <w:pPr>
        <w:spacing w:line="360" w:lineRule="auto"/>
        <w:rPr>
          <w:bCs/>
        </w:rPr>
      </w:pPr>
    </w:p>
    <w:p w:rsidR="00FD3483" w:rsidRDefault="00FD3483" w:rsidP="005A67D0">
      <w:pPr>
        <w:spacing w:line="360" w:lineRule="auto"/>
        <w:rPr>
          <w:rFonts w:eastAsia="Calibri"/>
          <w:b/>
        </w:rPr>
      </w:pPr>
    </w:p>
    <w:p w:rsidR="00BB426F" w:rsidRDefault="00FD3483" w:rsidP="005A67D0">
      <w:pPr>
        <w:spacing w:line="360" w:lineRule="auto"/>
        <w:rPr>
          <w:rFonts w:eastAsia="Calibri"/>
          <w:b/>
        </w:rPr>
      </w:pPr>
      <w:r>
        <w:rPr>
          <w:rFonts w:eastAsia="Calibri"/>
          <w:b/>
        </w:rPr>
        <w:tab/>
      </w:r>
      <w:r w:rsidR="006E70E4">
        <w:rPr>
          <w:rFonts w:eastAsia="Calibri"/>
          <w:b/>
        </w:rPr>
        <w:t>THEREFORE,</w:t>
      </w:r>
    </w:p>
    <w:p w:rsidR="006E70E4" w:rsidRDefault="006E70E4" w:rsidP="005A67D0">
      <w:pPr>
        <w:spacing w:line="360" w:lineRule="auto"/>
        <w:rPr>
          <w:rFonts w:eastAsia="Calibri"/>
          <w:b/>
        </w:rPr>
      </w:pPr>
    </w:p>
    <w:p w:rsidR="006E70E4" w:rsidRDefault="006E70E4" w:rsidP="005A67D0">
      <w:pPr>
        <w:spacing w:line="360" w:lineRule="auto"/>
        <w:rPr>
          <w:rFonts w:eastAsia="Calibri"/>
          <w:b/>
        </w:rPr>
      </w:pPr>
      <w:r>
        <w:rPr>
          <w:rFonts w:eastAsia="Calibri"/>
          <w:b/>
        </w:rPr>
        <w:tab/>
        <w:t>IT IS ORDERED,</w:t>
      </w:r>
    </w:p>
    <w:p w:rsidR="006E70E4" w:rsidRDefault="006E70E4" w:rsidP="005A67D0">
      <w:pPr>
        <w:spacing w:line="360" w:lineRule="auto"/>
        <w:rPr>
          <w:rFonts w:eastAsia="Calibri"/>
          <w:b/>
        </w:rPr>
      </w:pPr>
    </w:p>
    <w:p w:rsidR="006E70E4" w:rsidRPr="006E70E4" w:rsidRDefault="006E70E4" w:rsidP="006E70E4">
      <w:pPr>
        <w:numPr>
          <w:ilvl w:val="0"/>
          <w:numId w:val="6"/>
        </w:numPr>
        <w:spacing w:line="360" w:lineRule="auto"/>
      </w:pPr>
      <w:r w:rsidRPr="006E70E4">
        <w:rPr>
          <w:rFonts w:eastAsia="Calibri"/>
        </w:rPr>
        <w:t xml:space="preserve">That the Motion for Summary Judgment of </w:t>
      </w:r>
      <w:r w:rsidR="005C5D88">
        <w:rPr>
          <w:rFonts w:eastAsia="Calibri"/>
        </w:rPr>
        <w:t>Respond Power LLC</w:t>
      </w:r>
      <w:r w:rsidRPr="006E70E4">
        <w:rPr>
          <w:rFonts w:eastAsia="Calibri"/>
        </w:rPr>
        <w:t xml:space="preserve"> is denied.</w:t>
      </w:r>
    </w:p>
    <w:p w:rsidR="00342684" w:rsidRDefault="00342684" w:rsidP="00342684">
      <w:pPr>
        <w:spacing w:line="360" w:lineRule="auto"/>
        <w:ind w:left="720"/>
        <w:rPr>
          <w:rFonts w:eastAsia="Calibri"/>
        </w:rPr>
      </w:pPr>
    </w:p>
    <w:p w:rsidR="00DD1956" w:rsidRPr="00DD1956" w:rsidRDefault="006E70E4" w:rsidP="006E70E4">
      <w:pPr>
        <w:numPr>
          <w:ilvl w:val="0"/>
          <w:numId w:val="6"/>
        </w:numPr>
        <w:spacing w:line="360" w:lineRule="auto"/>
      </w:pPr>
      <w:r w:rsidRPr="006E70E4">
        <w:rPr>
          <w:rFonts w:eastAsia="Calibri"/>
        </w:rPr>
        <w:t xml:space="preserve">That </w:t>
      </w:r>
      <w:r w:rsidR="00DD1956">
        <w:rPr>
          <w:rFonts w:eastAsia="Calibri"/>
        </w:rPr>
        <w:t>the Initial Telephonic Hearing scheduled for July 1, 2014, shall be cancelled and rescheduled for August 1, 2014.</w:t>
      </w:r>
    </w:p>
    <w:p w:rsidR="00DD1956" w:rsidRPr="00DD1956" w:rsidRDefault="00DD1956" w:rsidP="00DD1956">
      <w:pPr>
        <w:spacing w:line="360" w:lineRule="auto"/>
        <w:ind w:left="1080"/>
      </w:pPr>
    </w:p>
    <w:p w:rsidR="006E70E4" w:rsidRPr="00F10D50" w:rsidRDefault="00DD1956" w:rsidP="006E70E4">
      <w:pPr>
        <w:numPr>
          <w:ilvl w:val="0"/>
          <w:numId w:val="6"/>
        </w:numPr>
        <w:spacing w:line="360" w:lineRule="auto"/>
      </w:pPr>
      <w:r>
        <w:rPr>
          <w:rFonts w:eastAsia="Calibri"/>
        </w:rPr>
        <w:t xml:space="preserve">That </w:t>
      </w:r>
      <w:r w:rsidR="006E1A84">
        <w:rPr>
          <w:rFonts w:eastAsia="Calibri"/>
        </w:rPr>
        <w:t xml:space="preserve">proposed exhibits for the July 1, 2014 </w:t>
      </w:r>
      <w:r w:rsidR="005C5D88">
        <w:rPr>
          <w:rFonts w:eastAsia="Calibri"/>
        </w:rPr>
        <w:t xml:space="preserve">telephonic </w:t>
      </w:r>
      <w:r w:rsidR="006E1A84">
        <w:rPr>
          <w:rFonts w:eastAsia="Calibri"/>
        </w:rPr>
        <w:t xml:space="preserve">hearing must be </w:t>
      </w:r>
      <w:r w:rsidR="002D3E2F">
        <w:rPr>
          <w:rFonts w:eastAsia="Calibri"/>
        </w:rPr>
        <w:t xml:space="preserve">delivered to the parties including Intervenor Office of Consumer Advocate </w:t>
      </w:r>
      <w:r w:rsidR="006E1A84">
        <w:rPr>
          <w:rFonts w:eastAsia="Calibri"/>
        </w:rPr>
        <w:t>by Ju</w:t>
      </w:r>
      <w:r>
        <w:rPr>
          <w:rFonts w:eastAsia="Calibri"/>
        </w:rPr>
        <w:t>ly 28</w:t>
      </w:r>
      <w:r w:rsidR="006E1A84">
        <w:rPr>
          <w:rFonts w:eastAsia="Calibri"/>
        </w:rPr>
        <w:t>, 2014</w:t>
      </w:r>
      <w:r w:rsidR="005C5D88">
        <w:rPr>
          <w:rFonts w:eastAsia="Calibri"/>
        </w:rPr>
        <w:t>, and Respond Power LLC should include in its submission a copy of its verification record regarding Mr. Justin L. Herp’s account.</w:t>
      </w:r>
    </w:p>
    <w:p w:rsidR="00F10D50" w:rsidRPr="00F10D50" w:rsidRDefault="00F10D50" w:rsidP="00F10D50">
      <w:pPr>
        <w:spacing w:line="360" w:lineRule="auto"/>
        <w:ind w:left="1080"/>
      </w:pPr>
    </w:p>
    <w:p w:rsidR="00F10D50" w:rsidRPr="006E70E4" w:rsidRDefault="00F10D50" w:rsidP="006E70E4">
      <w:pPr>
        <w:numPr>
          <w:ilvl w:val="0"/>
          <w:numId w:val="6"/>
        </w:numPr>
        <w:spacing w:line="360" w:lineRule="auto"/>
      </w:pPr>
      <w:r>
        <w:lastRenderedPageBreak/>
        <w:t>That the Office of Consumer Advocate be added as an Intervenor to the Parties of Record service list.</w:t>
      </w:r>
    </w:p>
    <w:p w:rsidR="006E70E4" w:rsidRDefault="006E70E4" w:rsidP="006E70E4">
      <w:pPr>
        <w:spacing w:line="360" w:lineRule="auto"/>
        <w:ind w:left="1080"/>
        <w:rPr>
          <w:rFonts w:eastAsia="Calibri"/>
        </w:rPr>
      </w:pPr>
    </w:p>
    <w:p w:rsidR="006E70E4" w:rsidRDefault="006E70E4" w:rsidP="006E70E4">
      <w:pPr>
        <w:spacing w:line="360" w:lineRule="auto"/>
        <w:ind w:left="1080"/>
        <w:rPr>
          <w:rFonts w:eastAsia="Calibri"/>
        </w:rPr>
      </w:pPr>
    </w:p>
    <w:p w:rsidR="006E70E4" w:rsidRDefault="006E70E4" w:rsidP="006E70E4">
      <w:pPr>
        <w:rPr>
          <w:rFonts w:eastAsia="Calibri"/>
        </w:rPr>
      </w:pPr>
      <w:r>
        <w:rPr>
          <w:rFonts w:eastAsia="Calibri"/>
        </w:rPr>
        <w:t xml:space="preserve">Dated: </w:t>
      </w:r>
      <w:r>
        <w:rPr>
          <w:rFonts w:eastAsia="Calibri"/>
        </w:rPr>
        <w:tab/>
      </w:r>
      <w:r w:rsidR="005C5D88" w:rsidRPr="005C5D88">
        <w:rPr>
          <w:rFonts w:eastAsia="Calibri"/>
          <w:u w:val="single"/>
        </w:rPr>
        <w:t>June 25, 2014</w:t>
      </w:r>
      <w:r w:rsidRPr="005C5D88">
        <w:rPr>
          <w:rFonts w:eastAsia="Calibri"/>
          <w:u w:val="single"/>
        </w:rPr>
        <w:tab/>
      </w:r>
      <w:r>
        <w:rPr>
          <w:rFonts w:eastAsia="Calibri"/>
        </w:rPr>
        <w:tab/>
      </w:r>
      <w:r>
        <w:rPr>
          <w:rFonts w:eastAsia="Calibri"/>
        </w:rPr>
        <w:tab/>
      </w:r>
      <w:r>
        <w:rPr>
          <w:rFonts w:eastAsia="Calibri"/>
        </w:rPr>
        <w:tab/>
      </w:r>
      <w:r>
        <w:rPr>
          <w:rFonts w:eastAsia="Calibri"/>
        </w:rPr>
        <w:tab/>
      </w:r>
      <w:r w:rsidR="005C5D88">
        <w:rPr>
          <w:rFonts w:eastAsia="Calibri"/>
        </w:rPr>
        <w:tab/>
      </w:r>
      <w:r>
        <w:rPr>
          <w:rFonts w:eastAsia="Calibri"/>
        </w:rPr>
        <w:t>____________________________</w:t>
      </w:r>
    </w:p>
    <w:p w:rsidR="006E70E4" w:rsidRDefault="006E70E4" w:rsidP="006E70E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Elizabeth H. Barnes</w:t>
      </w:r>
    </w:p>
    <w:p w:rsidR="006E70E4" w:rsidRPr="006E70E4" w:rsidRDefault="006E70E4" w:rsidP="006E70E4">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sectPr w:rsidR="006E70E4" w:rsidRPr="006E70E4" w:rsidSect="00CB4DEC">
      <w:headerReference w:type="default" r:id="rId8"/>
      <w:footerReference w:type="default" r:id="rId9"/>
      <w:pgSz w:w="12240" w:h="15840"/>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82" w:rsidRDefault="007F4582" w:rsidP="00A068F4">
      <w:r>
        <w:separator/>
      </w:r>
    </w:p>
  </w:endnote>
  <w:endnote w:type="continuationSeparator" w:id="0">
    <w:p w:rsidR="007F4582" w:rsidRDefault="007F4582" w:rsidP="00A0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E" w:rsidRDefault="00943DE4">
    <w:pPr>
      <w:pStyle w:val="Footer"/>
      <w:jc w:val="center"/>
    </w:pPr>
    <w:r>
      <w:fldChar w:fldCharType="begin"/>
    </w:r>
    <w:r>
      <w:instrText xml:space="preserve"> PAGE   \* MERGEFORMAT </w:instrText>
    </w:r>
    <w:r>
      <w:fldChar w:fldCharType="separate"/>
    </w:r>
    <w:r w:rsidR="004915F4">
      <w:rPr>
        <w:noProof/>
      </w:rPr>
      <w:t>1</w:t>
    </w:r>
    <w:r>
      <w:fldChar w:fldCharType="end"/>
    </w:r>
  </w:p>
  <w:p w:rsidR="0044029E" w:rsidRDefault="00440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82" w:rsidRDefault="007F4582" w:rsidP="00A068F4">
      <w:r>
        <w:separator/>
      </w:r>
    </w:p>
  </w:footnote>
  <w:footnote w:type="continuationSeparator" w:id="0">
    <w:p w:rsidR="007F4582" w:rsidRDefault="007F4582" w:rsidP="00A0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0D" w:rsidRDefault="0048350D">
    <w:pPr>
      <w:pStyle w:val="Header"/>
    </w:pPr>
  </w:p>
  <w:p w:rsidR="000B6C8B" w:rsidRDefault="000B6C8B" w:rsidP="005646F2">
    <w:pPr>
      <w:pStyle w:val="Header"/>
      <w:tabs>
        <w:tab w:val="clear" w:pos="4680"/>
        <w:tab w:val="clear" w:pos="9360"/>
        <w:tab w:val="left" w:pos="265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503"/>
    <w:multiLevelType w:val="hybridMultilevel"/>
    <w:tmpl w:val="A3B62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5347B0"/>
    <w:multiLevelType w:val="hybridMultilevel"/>
    <w:tmpl w:val="8ECED700"/>
    <w:lvl w:ilvl="0" w:tplc="4A040CC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F627BA"/>
    <w:multiLevelType w:val="hybridMultilevel"/>
    <w:tmpl w:val="896095F2"/>
    <w:lvl w:ilvl="0" w:tplc="1C44A53C">
      <w:start w:val="13"/>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409F8"/>
    <w:multiLevelType w:val="hybridMultilevel"/>
    <w:tmpl w:val="54220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268E1"/>
    <w:multiLevelType w:val="hybridMultilevel"/>
    <w:tmpl w:val="5CFC8D5A"/>
    <w:lvl w:ilvl="0" w:tplc="31EA6C82">
      <w:start w:val="13"/>
      <w:numFmt w:val="decimal"/>
      <w:lvlText w:val="%1."/>
      <w:lvlJc w:val="left"/>
      <w:pPr>
        <w:ind w:left="-605"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636A2C07"/>
    <w:multiLevelType w:val="hybridMultilevel"/>
    <w:tmpl w:val="A06C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AC"/>
    <w:rsid w:val="000149D0"/>
    <w:rsid w:val="000176E5"/>
    <w:rsid w:val="00021DA8"/>
    <w:rsid w:val="000231B6"/>
    <w:rsid w:val="000258D1"/>
    <w:rsid w:val="000264E6"/>
    <w:rsid w:val="00027FD1"/>
    <w:rsid w:val="0003166E"/>
    <w:rsid w:val="00032FE7"/>
    <w:rsid w:val="000410F6"/>
    <w:rsid w:val="00051FB8"/>
    <w:rsid w:val="00057FE3"/>
    <w:rsid w:val="000600EC"/>
    <w:rsid w:val="0006028B"/>
    <w:rsid w:val="00064474"/>
    <w:rsid w:val="000653E9"/>
    <w:rsid w:val="000701E0"/>
    <w:rsid w:val="00071E5A"/>
    <w:rsid w:val="00073D85"/>
    <w:rsid w:val="00076349"/>
    <w:rsid w:val="0007694D"/>
    <w:rsid w:val="0007772F"/>
    <w:rsid w:val="000811C8"/>
    <w:rsid w:val="00086B4E"/>
    <w:rsid w:val="00092F17"/>
    <w:rsid w:val="0009485B"/>
    <w:rsid w:val="000A12AF"/>
    <w:rsid w:val="000A143B"/>
    <w:rsid w:val="000A701E"/>
    <w:rsid w:val="000B20CF"/>
    <w:rsid w:val="000B2D1C"/>
    <w:rsid w:val="000B6C8B"/>
    <w:rsid w:val="000C20C1"/>
    <w:rsid w:val="000D05E4"/>
    <w:rsid w:val="000D1272"/>
    <w:rsid w:val="000D1A96"/>
    <w:rsid w:val="000D2E99"/>
    <w:rsid w:val="000D348D"/>
    <w:rsid w:val="000D37D3"/>
    <w:rsid w:val="000D3F12"/>
    <w:rsid w:val="000D4D4F"/>
    <w:rsid w:val="000D4FB6"/>
    <w:rsid w:val="000E0431"/>
    <w:rsid w:val="000E04C3"/>
    <w:rsid w:val="000E3A6C"/>
    <w:rsid w:val="000E5398"/>
    <w:rsid w:val="000E5768"/>
    <w:rsid w:val="000E5914"/>
    <w:rsid w:val="000E73A9"/>
    <w:rsid w:val="000E7862"/>
    <w:rsid w:val="000F08AE"/>
    <w:rsid w:val="000F0A3C"/>
    <w:rsid w:val="000F3FA1"/>
    <w:rsid w:val="000F4B9D"/>
    <w:rsid w:val="000F5532"/>
    <w:rsid w:val="000F5750"/>
    <w:rsid w:val="001016BB"/>
    <w:rsid w:val="0010236F"/>
    <w:rsid w:val="001077F3"/>
    <w:rsid w:val="00110B46"/>
    <w:rsid w:val="00114853"/>
    <w:rsid w:val="001217A3"/>
    <w:rsid w:val="00121F23"/>
    <w:rsid w:val="001220FF"/>
    <w:rsid w:val="00124B4B"/>
    <w:rsid w:val="00133AC0"/>
    <w:rsid w:val="0013566E"/>
    <w:rsid w:val="00135C90"/>
    <w:rsid w:val="0013718E"/>
    <w:rsid w:val="00137A75"/>
    <w:rsid w:val="00145EBC"/>
    <w:rsid w:val="001474A4"/>
    <w:rsid w:val="00150C7F"/>
    <w:rsid w:val="00150F2E"/>
    <w:rsid w:val="001514D5"/>
    <w:rsid w:val="00154E71"/>
    <w:rsid w:val="00155374"/>
    <w:rsid w:val="00156D8C"/>
    <w:rsid w:val="00157F19"/>
    <w:rsid w:val="00162B07"/>
    <w:rsid w:val="0016469D"/>
    <w:rsid w:val="00166240"/>
    <w:rsid w:val="0017092D"/>
    <w:rsid w:val="00170A3D"/>
    <w:rsid w:val="00171FBF"/>
    <w:rsid w:val="00173C38"/>
    <w:rsid w:val="00181005"/>
    <w:rsid w:val="00182F32"/>
    <w:rsid w:val="0018497A"/>
    <w:rsid w:val="001850EC"/>
    <w:rsid w:val="00186D96"/>
    <w:rsid w:val="00191C26"/>
    <w:rsid w:val="00195648"/>
    <w:rsid w:val="00197067"/>
    <w:rsid w:val="001A1035"/>
    <w:rsid w:val="001A23E5"/>
    <w:rsid w:val="001A7A5F"/>
    <w:rsid w:val="001A7C64"/>
    <w:rsid w:val="001B20C6"/>
    <w:rsid w:val="001B39BE"/>
    <w:rsid w:val="001B5CDA"/>
    <w:rsid w:val="001B7CFC"/>
    <w:rsid w:val="001C0DF2"/>
    <w:rsid w:val="001C4224"/>
    <w:rsid w:val="001C4501"/>
    <w:rsid w:val="001C66AE"/>
    <w:rsid w:val="001D09B1"/>
    <w:rsid w:val="001D2129"/>
    <w:rsid w:val="001D3DB7"/>
    <w:rsid w:val="001D5A2E"/>
    <w:rsid w:val="001E2879"/>
    <w:rsid w:val="001E3750"/>
    <w:rsid w:val="001F096C"/>
    <w:rsid w:val="001F5477"/>
    <w:rsid w:val="0020068C"/>
    <w:rsid w:val="00200871"/>
    <w:rsid w:val="002013D7"/>
    <w:rsid w:val="00202B2B"/>
    <w:rsid w:val="002175EC"/>
    <w:rsid w:val="00217DE6"/>
    <w:rsid w:val="002255BB"/>
    <w:rsid w:val="00232D80"/>
    <w:rsid w:val="002334BB"/>
    <w:rsid w:val="00235B67"/>
    <w:rsid w:val="002456C5"/>
    <w:rsid w:val="00251748"/>
    <w:rsid w:val="00253964"/>
    <w:rsid w:val="00253AEB"/>
    <w:rsid w:val="002548BA"/>
    <w:rsid w:val="00255431"/>
    <w:rsid w:val="00262BD7"/>
    <w:rsid w:val="002639C1"/>
    <w:rsid w:val="002647DA"/>
    <w:rsid w:val="0026536C"/>
    <w:rsid w:val="00271F5E"/>
    <w:rsid w:val="002733C5"/>
    <w:rsid w:val="00276C6D"/>
    <w:rsid w:val="00282CC9"/>
    <w:rsid w:val="0028593E"/>
    <w:rsid w:val="0028636E"/>
    <w:rsid w:val="0029248A"/>
    <w:rsid w:val="00295943"/>
    <w:rsid w:val="00295FE1"/>
    <w:rsid w:val="00296B5F"/>
    <w:rsid w:val="00296F05"/>
    <w:rsid w:val="002A152D"/>
    <w:rsid w:val="002A421B"/>
    <w:rsid w:val="002B168D"/>
    <w:rsid w:val="002B64B5"/>
    <w:rsid w:val="002B6984"/>
    <w:rsid w:val="002C03D4"/>
    <w:rsid w:val="002C23EB"/>
    <w:rsid w:val="002D1945"/>
    <w:rsid w:val="002D3E2F"/>
    <w:rsid w:val="002D572C"/>
    <w:rsid w:val="002D6CB1"/>
    <w:rsid w:val="002E37D1"/>
    <w:rsid w:val="002F325F"/>
    <w:rsid w:val="002F672A"/>
    <w:rsid w:val="0030267B"/>
    <w:rsid w:val="00302AF4"/>
    <w:rsid w:val="00305B1B"/>
    <w:rsid w:val="003103C8"/>
    <w:rsid w:val="00314603"/>
    <w:rsid w:val="0031633D"/>
    <w:rsid w:val="00332110"/>
    <w:rsid w:val="00334B23"/>
    <w:rsid w:val="00335303"/>
    <w:rsid w:val="00337213"/>
    <w:rsid w:val="00342684"/>
    <w:rsid w:val="00345DCE"/>
    <w:rsid w:val="00346B53"/>
    <w:rsid w:val="0034781A"/>
    <w:rsid w:val="00354E4B"/>
    <w:rsid w:val="00363362"/>
    <w:rsid w:val="00364A57"/>
    <w:rsid w:val="00364EE9"/>
    <w:rsid w:val="003732A4"/>
    <w:rsid w:val="00374637"/>
    <w:rsid w:val="00374AD8"/>
    <w:rsid w:val="00382B36"/>
    <w:rsid w:val="0038513C"/>
    <w:rsid w:val="003900C4"/>
    <w:rsid w:val="0039134C"/>
    <w:rsid w:val="003932D7"/>
    <w:rsid w:val="00397171"/>
    <w:rsid w:val="003A2A2E"/>
    <w:rsid w:val="003B1E9C"/>
    <w:rsid w:val="003B41A3"/>
    <w:rsid w:val="003B4FF6"/>
    <w:rsid w:val="003C0AA0"/>
    <w:rsid w:val="003C1A3D"/>
    <w:rsid w:val="003C6982"/>
    <w:rsid w:val="003D54B2"/>
    <w:rsid w:val="003E0323"/>
    <w:rsid w:val="003E22BE"/>
    <w:rsid w:val="003E57AF"/>
    <w:rsid w:val="003E655B"/>
    <w:rsid w:val="003E677D"/>
    <w:rsid w:val="003E6CB1"/>
    <w:rsid w:val="003F2EDF"/>
    <w:rsid w:val="00405E1F"/>
    <w:rsid w:val="004065EB"/>
    <w:rsid w:val="00415D19"/>
    <w:rsid w:val="00416B16"/>
    <w:rsid w:val="00420580"/>
    <w:rsid w:val="00420ACC"/>
    <w:rsid w:val="00422AA6"/>
    <w:rsid w:val="004237D3"/>
    <w:rsid w:val="00432621"/>
    <w:rsid w:val="004363D5"/>
    <w:rsid w:val="00436B4A"/>
    <w:rsid w:val="0044029E"/>
    <w:rsid w:val="0044284D"/>
    <w:rsid w:val="00442E85"/>
    <w:rsid w:val="0044615A"/>
    <w:rsid w:val="0044677A"/>
    <w:rsid w:val="004472E3"/>
    <w:rsid w:val="00450D58"/>
    <w:rsid w:val="004510DA"/>
    <w:rsid w:val="00451B8C"/>
    <w:rsid w:val="00456667"/>
    <w:rsid w:val="00464A33"/>
    <w:rsid w:val="004707D3"/>
    <w:rsid w:val="004716A5"/>
    <w:rsid w:val="0047552D"/>
    <w:rsid w:val="00475701"/>
    <w:rsid w:val="00476E4A"/>
    <w:rsid w:val="0048350D"/>
    <w:rsid w:val="0048468D"/>
    <w:rsid w:val="00484B56"/>
    <w:rsid w:val="0049045E"/>
    <w:rsid w:val="004915F4"/>
    <w:rsid w:val="004A19AC"/>
    <w:rsid w:val="004A7EC8"/>
    <w:rsid w:val="004A7F8F"/>
    <w:rsid w:val="004B2CF6"/>
    <w:rsid w:val="004B4688"/>
    <w:rsid w:val="004C1CD0"/>
    <w:rsid w:val="004C3711"/>
    <w:rsid w:val="004C3D92"/>
    <w:rsid w:val="004C4248"/>
    <w:rsid w:val="004C6BD8"/>
    <w:rsid w:val="004D2E18"/>
    <w:rsid w:val="004D51E7"/>
    <w:rsid w:val="004E0FAC"/>
    <w:rsid w:val="004E12AC"/>
    <w:rsid w:val="004E1A95"/>
    <w:rsid w:val="004E7D90"/>
    <w:rsid w:val="004F00DD"/>
    <w:rsid w:val="004F02D2"/>
    <w:rsid w:val="004F287B"/>
    <w:rsid w:val="004F3E26"/>
    <w:rsid w:val="004F5CE4"/>
    <w:rsid w:val="004F68DE"/>
    <w:rsid w:val="0050417F"/>
    <w:rsid w:val="00504784"/>
    <w:rsid w:val="005134D7"/>
    <w:rsid w:val="00515C8F"/>
    <w:rsid w:val="00523D07"/>
    <w:rsid w:val="005322A7"/>
    <w:rsid w:val="00533111"/>
    <w:rsid w:val="00540391"/>
    <w:rsid w:val="0054428C"/>
    <w:rsid w:val="00544B7D"/>
    <w:rsid w:val="005450E4"/>
    <w:rsid w:val="00552649"/>
    <w:rsid w:val="005614F9"/>
    <w:rsid w:val="00563EE8"/>
    <w:rsid w:val="005646F2"/>
    <w:rsid w:val="0056487A"/>
    <w:rsid w:val="0057339C"/>
    <w:rsid w:val="0058513F"/>
    <w:rsid w:val="00591CC0"/>
    <w:rsid w:val="00593DD2"/>
    <w:rsid w:val="00596706"/>
    <w:rsid w:val="005979F8"/>
    <w:rsid w:val="005A22D7"/>
    <w:rsid w:val="005A336C"/>
    <w:rsid w:val="005A363D"/>
    <w:rsid w:val="005A3E27"/>
    <w:rsid w:val="005A67D0"/>
    <w:rsid w:val="005B22D2"/>
    <w:rsid w:val="005B28CE"/>
    <w:rsid w:val="005B3250"/>
    <w:rsid w:val="005B3B57"/>
    <w:rsid w:val="005B4DF8"/>
    <w:rsid w:val="005C5D88"/>
    <w:rsid w:val="005D415D"/>
    <w:rsid w:val="005D6396"/>
    <w:rsid w:val="005D748E"/>
    <w:rsid w:val="005E2685"/>
    <w:rsid w:val="005E32E2"/>
    <w:rsid w:val="005E6750"/>
    <w:rsid w:val="005F49D5"/>
    <w:rsid w:val="006024EA"/>
    <w:rsid w:val="00602BB8"/>
    <w:rsid w:val="006050D8"/>
    <w:rsid w:val="0060542A"/>
    <w:rsid w:val="00606993"/>
    <w:rsid w:val="006069D7"/>
    <w:rsid w:val="00611E28"/>
    <w:rsid w:val="00612AD9"/>
    <w:rsid w:val="00617B34"/>
    <w:rsid w:val="006230D9"/>
    <w:rsid w:val="00625587"/>
    <w:rsid w:val="006277F1"/>
    <w:rsid w:val="00627D93"/>
    <w:rsid w:val="00635B57"/>
    <w:rsid w:val="006377F6"/>
    <w:rsid w:val="0064453C"/>
    <w:rsid w:val="00645600"/>
    <w:rsid w:val="0065002E"/>
    <w:rsid w:val="00652A8A"/>
    <w:rsid w:val="00656402"/>
    <w:rsid w:val="0066261A"/>
    <w:rsid w:val="006649C6"/>
    <w:rsid w:val="00665B78"/>
    <w:rsid w:val="00667E53"/>
    <w:rsid w:val="006714DB"/>
    <w:rsid w:val="00671CC8"/>
    <w:rsid w:val="0067245A"/>
    <w:rsid w:val="00683B4B"/>
    <w:rsid w:val="00685952"/>
    <w:rsid w:val="00686397"/>
    <w:rsid w:val="00686E65"/>
    <w:rsid w:val="006871E1"/>
    <w:rsid w:val="006927BD"/>
    <w:rsid w:val="00694CB5"/>
    <w:rsid w:val="00695BDE"/>
    <w:rsid w:val="006A25A6"/>
    <w:rsid w:val="006A3662"/>
    <w:rsid w:val="006A5E7E"/>
    <w:rsid w:val="006A790B"/>
    <w:rsid w:val="006B1B30"/>
    <w:rsid w:val="006B2F30"/>
    <w:rsid w:val="006C22DC"/>
    <w:rsid w:val="006C31D6"/>
    <w:rsid w:val="006C39CC"/>
    <w:rsid w:val="006C5EB3"/>
    <w:rsid w:val="006D01A9"/>
    <w:rsid w:val="006D0BF0"/>
    <w:rsid w:val="006D2521"/>
    <w:rsid w:val="006D5047"/>
    <w:rsid w:val="006E173F"/>
    <w:rsid w:val="006E1A84"/>
    <w:rsid w:val="006E70E4"/>
    <w:rsid w:val="006F10F2"/>
    <w:rsid w:val="007007BF"/>
    <w:rsid w:val="007016BB"/>
    <w:rsid w:val="00703735"/>
    <w:rsid w:val="007074AB"/>
    <w:rsid w:val="007074DC"/>
    <w:rsid w:val="0071434B"/>
    <w:rsid w:val="007201BA"/>
    <w:rsid w:val="007207B7"/>
    <w:rsid w:val="00720D26"/>
    <w:rsid w:val="00721AD4"/>
    <w:rsid w:val="0072219B"/>
    <w:rsid w:val="00732938"/>
    <w:rsid w:val="007332CA"/>
    <w:rsid w:val="00733D67"/>
    <w:rsid w:val="007364C7"/>
    <w:rsid w:val="00743DB7"/>
    <w:rsid w:val="00744CB0"/>
    <w:rsid w:val="00754E06"/>
    <w:rsid w:val="0076111B"/>
    <w:rsid w:val="007656E9"/>
    <w:rsid w:val="00772C95"/>
    <w:rsid w:val="00781BA0"/>
    <w:rsid w:val="00782EBE"/>
    <w:rsid w:val="00786D00"/>
    <w:rsid w:val="00794B08"/>
    <w:rsid w:val="007A305B"/>
    <w:rsid w:val="007A671C"/>
    <w:rsid w:val="007B023D"/>
    <w:rsid w:val="007B3E3E"/>
    <w:rsid w:val="007B625D"/>
    <w:rsid w:val="007B71AA"/>
    <w:rsid w:val="007C0D99"/>
    <w:rsid w:val="007C1516"/>
    <w:rsid w:val="007C2430"/>
    <w:rsid w:val="007C287D"/>
    <w:rsid w:val="007C5F93"/>
    <w:rsid w:val="007C6412"/>
    <w:rsid w:val="007C6D63"/>
    <w:rsid w:val="007C70A7"/>
    <w:rsid w:val="007D14A7"/>
    <w:rsid w:val="007D1E80"/>
    <w:rsid w:val="007D34FB"/>
    <w:rsid w:val="007E6766"/>
    <w:rsid w:val="007E7F3A"/>
    <w:rsid w:val="007F13F0"/>
    <w:rsid w:val="007F20D2"/>
    <w:rsid w:val="007F2586"/>
    <w:rsid w:val="007F32F6"/>
    <w:rsid w:val="007F4582"/>
    <w:rsid w:val="007F7CB6"/>
    <w:rsid w:val="00801E1E"/>
    <w:rsid w:val="008048BC"/>
    <w:rsid w:val="00804DF5"/>
    <w:rsid w:val="008051A0"/>
    <w:rsid w:val="0080564B"/>
    <w:rsid w:val="008059EF"/>
    <w:rsid w:val="008115AD"/>
    <w:rsid w:val="00814404"/>
    <w:rsid w:val="008166C1"/>
    <w:rsid w:val="00817F11"/>
    <w:rsid w:val="008255BA"/>
    <w:rsid w:val="008345EB"/>
    <w:rsid w:val="00851862"/>
    <w:rsid w:val="00853AD7"/>
    <w:rsid w:val="00854ECD"/>
    <w:rsid w:val="00855350"/>
    <w:rsid w:val="00861646"/>
    <w:rsid w:val="008668AC"/>
    <w:rsid w:val="00866DC8"/>
    <w:rsid w:val="0087515B"/>
    <w:rsid w:val="0087567A"/>
    <w:rsid w:val="00877B3B"/>
    <w:rsid w:val="0088010A"/>
    <w:rsid w:val="00882145"/>
    <w:rsid w:val="00884EA2"/>
    <w:rsid w:val="008860A5"/>
    <w:rsid w:val="00891961"/>
    <w:rsid w:val="0089288B"/>
    <w:rsid w:val="00897307"/>
    <w:rsid w:val="008A3483"/>
    <w:rsid w:val="008A48C6"/>
    <w:rsid w:val="008A5E1C"/>
    <w:rsid w:val="008B129E"/>
    <w:rsid w:val="008B17F0"/>
    <w:rsid w:val="008B76D3"/>
    <w:rsid w:val="008C0568"/>
    <w:rsid w:val="008C55FD"/>
    <w:rsid w:val="008C5B5D"/>
    <w:rsid w:val="008C7090"/>
    <w:rsid w:val="008E1413"/>
    <w:rsid w:val="008E15D3"/>
    <w:rsid w:val="008E5022"/>
    <w:rsid w:val="008E551D"/>
    <w:rsid w:val="008E76CC"/>
    <w:rsid w:val="008F0620"/>
    <w:rsid w:val="008F10E9"/>
    <w:rsid w:val="008F2040"/>
    <w:rsid w:val="008F4556"/>
    <w:rsid w:val="008F6830"/>
    <w:rsid w:val="009004BE"/>
    <w:rsid w:val="009053EF"/>
    <w:rsid w:val="0090654E"/>
    <w:rsid w:val="009123D6"/>
    <w:rsid w:val="00912FFA"/>
    <w:rsid w:val="00913DB7"/>
    <w:rsid w:val="00915E9F"/>
    <w:rsid w:val="009166F7"/>
    <w:rsid w:val="00917D2F"/>
    <w:rsid w:val="009211D0"/>
    <w:rsid w:val="0093288E"/>
    <w:rsid w:val="009329AC"/>
    <w:rsid w:val="00934946"/>
    <w:rsid w:val="009420B6"/>
    <w:rsid w:val="00943446"/>
    <w:rsid w:val="0094385D"/>
    <w:rsid w:val="00943DE4"/>
    <w:rsid w:val="009453AD"/>
    <w:rsid w:val="00951FEC"/>
    <w:rsid w:val="00955747"/>
    <w:rsid w:val="00971CEA"/>
    <w:rsid w:val="00971D91"/>
    <w:rsid w:val="0097421D"/>
    <w:rsid w:val="009803E0"/>
    <w:rsid w:val="009818EB"/>
    <w:rsid w:val="00981C2A"/>
    <w:rsid w:val="00981EC0"/>
    <w:rsid w:val="00996D05"/>
    <w:rsid w:val="009A08C4"/>
    <w:rsid w:val="009A0B0D"/>
    <w:rsid w:val="009B332B"/>
    <w:rsid w:val="009B33D7"/>
    <w:rsid w:val="009B5454"/>
    <w:rsid w:val="009C064B"/>
    <w:rsid w:val="009C3B58"/>
    <w:rsid w:val="009D08B9"/>
    <w:rsid w:val="009E1E93"/>
    <w:rsid w:val="009E4420"/>
    <w:rsid w:val="009F2015"/>
    <w:rsid w:val="009F4AFA"/>
    <w:rsid w:val="009F5089"/>
    <w:rsid w:val="009F59EF"/>
    <w:rsid w:val="009F5C6A"/>
    <w:rsid w:val="009F75D9"/>
    <w:rsid w:val="00A0188C"/>
    <w:rsid w:val="00A048C7"/>
    <w:rsid w:val="00A068F4"/>
    <w:rsid w:val="00A079E1"/>
    <w:rsid w:val="00A07ABA"/>
    <w:rsid w:val="00A07F28"/>
    <w:rsid w:val="00A131FB"/>
    <w:rsid w:val="00A1549E"/>
    <w:rsid w:val="00A168FA"/>
    <w:rsid w:val="00A16ADB"/>
    <w:rsid w:val="00A22C37"/>
    <w:rsid w:val="00A22D62"/>
    <w:rsid w:val="00A234ED"/>
    <w:rsid w:val="00A2528D"/>
    <w:rsid w:val="00A2569F"/>
    <w:rsid w:val="00A30A9C"/>
    <w:rsid w:val="00A31392"/>
    <w:rsid w:val="00A33C66"/>
    <w:rsid w:val="00A36648"/>
    <w:rsid w:val="00A370A6"/>
    <w:rsid w:val="00A43B62"/>
    <w:rsid w:val="00A518EB"/>
    <w:rsid w:val="00A52DE2"/>
    <w:rsid w:val="00A5573C"/>
    <w:rsid w:val="00A55EDE"/>
    <w:rsid w:val="00A615B9"/>
    <w:rsid w:val="00A673A1"/>
    <w:rsid w:val="00A67BC5"/>
    <w:rsid w:val="00A70354"/>
    <w:rsid w:val="00A72382"/>
    <w:rsid w:val="00A73E0A"/>
    <w:rsid w:val="00A760BA"/>
    <w:rsid w:val="00A80069"/>
    <w:rsid w:val="00A82573"/>
    <w:rsid w:val="00A84ABC"/>
    <w:rsid w:val="00A85255"/>
    <w:rsid w:val="00A90738"/>
    <w:rsid w:val="00A92CBB"/>
    <w:rsid w:val="00A93420"/>
    <w:rsid w:val="00A947B3"/>
    <w:rsid w:val="00AA0A3D"/>
    <w:rsid w:val="00AA56A3"/>
    <w:rsid w:val="00AA6373"/>
    <w:rsid w:val="00AB762D"/>
    <w:rsid w:val="00AC1F7C"/>
    <w:rsid w:val="00AC2118"/>
    <w:rsid w:val="00AC239B"/>
    <w:rsid w:val="00AC2762"/>
    <w:rsid w:val="00AC5F3D"/>
    <w:rsid w:val="00AD06E8"/>
    <w:rsid w:val="00AD7DA2"/>
    <w:rsid w:val="00AE1409"/>
    <w:rsid w:val="00AE4BC9"/>
    <w:rsid w:val="00AE5791"/>
    <w:rsid w:val="00AE7E4D"/>
    <w:rsid w:val="00AF1E59"/>
    <w:rsid w:val="00AF30B5"/>
    <w:rsid w:val="00AF7441"/>
    <w:rsid w:val="00B01BF0"/>
    <w:rsid w:val="00B038D9"/>
    <w:rsid w:val="00B06B23"/>
    <w:rsid w:val="00B13B4F"/>
    <w:rsid w:val="00B14049"/>
    <w:rsid w:val="00B144AC"/>
    <w:rsid w:val="00B14E37"/>
    <w:rsid w:val="00B15610"/>
    <w:rsid w:val="00B1758F"/>
    <w:rsid w:val="00B20F0B"/>
    <w:rsid w:val="00B22A44"/>
    <w:rsid w:val="00B237F5"/>
    <w:rsid w:val="00B2666A"/>
    <w:rsid w:val="00B27103"/>
    <w:rsid w:val="00B352EE"/>
    <w:rsid w:val="00B36261"/>
    <w:rsid w:val="00B363B6"/>
    <w:rsid w:val="00B41E01"/>
    <w:rsid w:val="00B4245E"/>
    <w:rsid w:val="00B43461"/>
    <w:rsid w:val="00B44285"/>
    <w:rsid w:val="00B45F57"/>
    <w:rsid w:val="00B46778"/>
    <w:rsid w:val="00B52432"/>
    <w:rsid w:val="00B52E38"/>
    <w:rsid w:val="00B57AB8"/>
    <w:rsid w:val="00B62F51"/>
    <w:rsid w:val="00B63330"/>
    <w:rsid w:val="00B639F9"/>
    <w:rsid w:val="00B659AF"/>
    <w:rsid w:val="00B67B91"/>
    <w:rsid w:val="00B67EF8"/>
    <w:rsid w:val="00B725B0"/>
    <w:rsid w:val="00B736BA"/>
    <w:rsid w:val="00B77373"/>
    <w:rsid w:val="00B77CDC"/>
    <w:rsid w:val="00B81C40"/>
    <w:rsid w:val="00B82A92"/>
    <w:rsid w:val="00B85845"/>
    <w:rsid w:val="00B869EE"/>
    <w:rsid w:val="00B930D3"/>
    <w:rsid w:val="00B95B40"/>
    <w:rsid w:val="00BA01B0"/>
    <w:rsid w:val="00BA0206"/>
    <w:rsid w:val="00BA0FC0"/>
    <w:rsid w:val="00BA2678"/>
    <w:rsid w:val="00BA349C"/>
    <w:rsid w:val="00BA34DA"/>
    <w:rsid w:val="00BA59FC"/>
    <w:rsid w:val="00BB0788"/>
    <w:rsid w:val="00BB1DA7"/>
    <w:rsid w:val="00BB426F"/>
    <w:rsid w:val="00BC5A93"/>
    <w:rsid w:val="00BD2ABB"/>
    <w:rsid w:val="00BD2DD2"/>
    <w:rsid w:val="00BE296A"/>
    <w:rsid w:val="00BE678F"/>
    <w:rsid w:val="00BF3CE0"/>
    <w:rsid w:val="00BF3CE8"/>
    <w:rsid w:val="00BF52FF"/>
    <w:rsid w:val="00BF5A0F"/>
    <w:rsid w:val="00BF72D8"/>
    <w:rsid w:val="00C036BD"/>
    <w:rsid w:val="00C058C0"/>
    <w:rsid w:val="00C0680C"/>
    <w:rsid w:val="00C136DD"/>
    <w:rsid w:val="00C26B86"/>
    <w:rsid w:val="00C368BC"/>
    <w:rsid w:val="00C44846"/>
    <w:rsid w:val="00C51B04"/>
    <w:rsid w:val="00C524E8"/>
    <w:rsid w:val="00C54BE0"/>
    <w:rsid w:val="00C55C80"/>
    <w:rsid w:val="00C60CC8"/>
    <w:rsid w:val="00C624F0"/>
    <w:rsid w:val="00C64331"/>
    <w:rsid w:val="00C652E2"/>
    <w:rsid w:val="00C66B84"/>
    <w:rsid w:val="00C725AE"/>
    <w:rsid w:val="00C72A19"/>
    <w:rsid w:val="00C817E7"/>
    <w:rsid w:val="00C818EE"/>
    <w:rsid w:val="00C851AF"/>
    <w:rsid w:val="00C86724"/>
    <w:rsid w:val="00C86E05"/>
    <w:rsid w:val="00C87FBB"/>
    <w:rsid w:val="00C94561"/>
    <w:rsid w:val="00C97AF2"/>
    <w:rsid w:val="00CA02A7"/>
    <w:rsid w:val="00CA165F"/>
    <w:rsid w:val="00CA2886"/>
    <w:rsid w:val="00CA373E"/>
    <w:rsid w:val="00CA40CE"/>
    <w:rsid w:val="00CA6A60"/>
    <w:rsid w:val="00CB4DEC"/>
    <w:rsid w:val="00CB5044"/>
    <w:rsid w:val="00CC2A09"/>
    <w:rsid w:val="00CC5D91"/>
    <w:rsid w:val="00CC6162"/>
    <w:rsid w:val="00CD3893"/>
    <w:rsid w:val="00CE3023"/>
    <w:rsid w:val="00CE5085"/>
    <w:rsid w:val="00CF0B1D"/>
    <w:rsid w:val="00CF1F59"/>
    <w:rsid w:val="00D01DBB"/>
    <w:rsid w:val="00D031DE"/>
    <w:rsid w:val="00D0361B"/>
    <w:rsid w:val="00D05F75"/>
    <w:rsid w:val="00D11B06"/>
    <w:rsid w:val="00D11D5C"/>
    <w:rsid w:val="00D131BB"/>
    <w:rsid w:val="00D159AA"/>
    <w:rsid w:val="00D22E03"/>
    <w:rsid w:val="00D25AF0"/>
    <w:rsid w:val="00D275CE"/>
    <w:rsid w:val="00D27BED"/>
    <w:rsid w:val="00D33F7F"/>
    <w:rsid w:val="00D3431A"/>
    <w:rsid w:val="00D42074"/>
    <w:rsid w:val="00D44D69"/>
    <w:rsid w:val="00D476D0"/>
    <w:rsid w:val="00D527A2"/>
    <w:rsid w:val="00D54C34"/>
    <w:rsid w:val="00D568D3"/>
    <w:rsid w:val="00D572EC"/>
    <w:rsid w:val="00D57908"/>
    <w:rsid w:val="00D60EBA"/>
    <w:rsid w:val="00D66403"/>
    <w:rsid w:val="00D753E0"/>
    <w:rsid w:val="00D777CA"/>
    <w:rsid w:val="00D8090F"/>
    <w:rsid w:val="00D83484"/>
    <w:rsid w:val="00D90186"/>
    <w:rsid w:val="00D9062F"/>
    <w:rsid w:val="00D91F92"/>
    <w:rsid w:val="00DB0BAB"/>
    <w:rsid w:val="00DB1B2C"/>
    <w:rsid w:val="00DB2934"/>
    <w:rsid w:val="00DB2955"/>
    <w:rsid w:val="00DB2EB9"/>
    <w:rsid w:val="00DB5D69"/>
    <w:rsid w:val="00DC15AF"/>
    <w:rsid w:val="00DC32F0"/>
    <w:rsid w:val="00DC3DE1"/>
    <w:rsid w:val="00DC53D9"/>
    <w:rsid w:val="00DC5BB4"/>
    <w:rsid w:val="00DD1956"/>
    <w:rsid w:val="00DD22A7"/>
    <w:rsid w:val="00DD3C75"/>
    <w:rsid w:val="00DD575C"/>
    <w:rsid w:val="00DD72C3"/>
    <w:rsid w:val="00DD7D47"/>
    <w:rsid w:val="00DE21FF"/>
    <w:rsid w:val="00DF4FA6"/>
    <w:rsid w:val="00E015B2"/>
    <w:rsid w:val="00E01FF8"/>
    <w:rsid w:val="00E0296A"/>
    <w:rsid w:val="00E06104"/>
    <w:rsid w:val="00E06407"/>
    <w:rsid w:val="00E12C07"/>
    <w:rsid w:val="00E15AA0"/>
    <w:rsid w:val="00E2261E"/>
    <w:rsid w:val="00E2392A"/>
    <w:rsid w:val="00E243D6"/>
    <w:rsid w:val="00E30931"/>
    <w:rsid w:val="00E37C36"/>
    <w:rsid w:val="00E42DB9"/>
    <w:rsid w:val="00E43EA0"/>
    <w:rsid w:val="00E51541"/>
    <w:rsid w:val="00E60586"/>
    <w:rsid w:val="00E62986"/>
    <w:rsid w:val="00E6309E"/>
    <w:rsid w:val="00E63D04"/>
    <w:rsid w:val="00E64FB6"/>
    <w:rsid w:val="00E667B6"/>
    <w:rsid w:val="00E66E83"/>
    <w:rsid w:val="00E678E2"/>
    <w:rsid w:val="00E716DB"/>
    <w:rsid w:val="00E73DD9"/>
    <w:rsid w:val="00E76CBD"/>
    <w:rsid w:val="00E777DE"/>
    <w:rsid w:val="00E868C2"/>
    <w:rsid w:val="00E87FF6"/>
    <w:rsid w:val="00E960BE"/>
    <w:rsid w:val="00EA479F"/>
    <w:rsid w:val="00EB0FFB"/>
    <w:rsid w:val="00EB20CC"/>
    <w:rsid w:val="00EB701C"/>
    <w:rsid w:val="00EC2A83"/>
    <w:rsid w:val="00EC520A"/>
    <w:rsid w:val="00EC6ED5"/>
    <w:rsid w:val="00EC7665"/>
    <w:rsid w:val="00ED3DFA"/>
    <w:rsid w:val="00ED5EDF"/>
    <w:rsid w:val="00ED5F37"/>
    <w:rsid w:val="00EE1159"/>
    <w:rsid w:val="00EE3663"/>
    <w:rsid w:val="00EF71AA"/>
    <w:rsid w:val="00F00498"/>
    <w:rsid w:val="00F004C6"/>
    <w:rsid w:val="00F0302B"/>
    <w:rsid w:val="00F054D0"/>
    <w:rsid w:val="00F05D4D"/>
    <w:rsid w:val="00F10D50"/>
    <w:rsid w:val="00F1252C"/>
    <w:rsid w:val="00F12E83"/>
    <w:rsid w:val="00F13CA1"/>
    <w:rsid w:val="00F16072"/>
    <w:rsid w:val="00F17526"/>
    <w:rsid w:val="00F203C4"/>
    <w:rsid w:val="00F2627F"/>
    <w:rsid w:val="00F27284"/>
    <w:rsid w:val="00F31DB2"/>
    <w:rsid w:val="00F33DFF"/>
    <w:rsid w:val="00F36ACE"/>
    <w:rsid w:val="00F37BC2"/>
    <w:rsid w:val="00F453E2"/>
    <w:rsid w:val="00F46E53"/>
    <w:rsid w:val="00F50532"/>
    <w:rsid w:val="00F53280"/>
    <w:rsid w:val="00F61528"/>
    <w:rsid w:val="00F64087"/>
    <w:rsid w:val="00F706B5"/>
    <w:rsid w:val="00F82726"/>
    <w:rsid w:val="00F90C15"/>
    <w:rsid w:val="00F94275"/>
    <w:rsid w:val="00F95D9E"/>
    <w:rsid w:val="00F972F2"/>
    <w:rsid w:val="00FA0B4C"/>
    <w:rsid w:val="00FA7CF9"/>
    <w:rsid w:val="00FB0F70"/>
    <w:rsid w:val="00FB105B"/>
    <w:rsid w:val="00FB12B6"/>
    <w:rsid w:val="00FB1D63"/>
    <w:rsid w:val="00FB6765"/>
    <w:rsid w:val="00FC2B82"/>
    <w:rsid w:val="00FC399D"/>
    <w:rsid w:val="00FD2D3A"/>
    <w:rsid w:val="00FD3483"/>
    <w:rsid w:val="00FD7817"/>
    <w:rsid w:val="00FE40B2"/>
    <w:rsid w:val="00FE6B5E"/>
    <w:rsid w:val="00FE75FA"/>
    <w:rsid w:val="00FF53D4"/>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iPriority w:val="99"/>
    <w:unhideWhenUsed/>
    <w:rsid w:val="00A068F4"/>
    <w:rPr>
      <w:sz w:val="20"/>
      <w:szCs w:val="20"/>
      <w:lang w:val="x-none" w:eastAsia="x-none"/>
    </w:rPr>
  </w:style>
  <w:style w:type="character" w:customStyle="1" w:styleId="FootnoteTextChar">
    <w:name w:val="Footnote Text Char"/>
    <w:link w:val="FootnoteText"/>
    <w:uiPriority w:val="99"/>
    <w:rsid w:val="00A068F4"/>
    <w:rPr>
      <w:rFonts w:eastAsia="Times New Roman"/>
      <w:sz w:val="20"/>
      <w:szCs w:val="20"/>
      <w:lang w:bidi="en-US"/>
    </w:rPr>
  </w:style>
  <w:style w:type="character" w:styleId="FootnoteReference">
    <w:name w:val="footnote reference"/>
    <w:uiPriority w:val="99"/>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lang w:val="x-none" w:eastAsia="x-none"/>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lang w:val="x-none" w:eastAsia="x-none"/>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lang w:val="x-none" w:eastAsia="x-none"/>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D463-48E3-4726-AEA6-4D41F0F6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2014-06-25T20:03:00Z</dcterms:created>
  <dcterms:modified xsi:type="dcterms:W3CDTF">2014-06-25T20:03:00Z</dcterms:modified>
</cp:coreProperties>
</file>