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21D" w:rsidRPr="002A5D4B" w:rsidRDefault="003A121D" w:rsidP="00F85022">
      <w:pPr>
        <w:jc w:val="center"/>
        <w:rPr>
          <w:b/>
          <w:sz w:val="26"/>
          <w:szCs w:val="26"/>
        </w:rPr>
      </w:pPr>
      <w:r w:rsidRPr="002A5D4B">
        <w:rPr>
          <w:b/>
          <w:sz w:val="26"/>
          <w:szCs w:val="26"/>
        </w:rPr>
        <w:t>PENNSYLVANIA</w:t>
      </w:r>
    </w:p>
    <w:p w:rsidR="003A121D" w:rsidRPr="002A5D4B" w:rsidRDefault="003A121D" w:rsidP="00F85022">
      <w:pPr>
        <w:jc w:val="center"/>
        <w:rPr>
          <w:b/>
          <w:sz w:val="26"/>
          <w:szCs w:val="26"/>
        </w:rPr>
      </w:pPr>
      <w:r w:rsidRPr="002A5D4B">
        <w:rPr>
          <w:b/>
          <w:sz w:val="26"/>
          <w:szCs w:val="26"/>
        </w:rPr>
        <w:t>PUBLIC UTILITY COMMISSION</w:t>
      </w:r>
    </w:p>
    <w:p w:rsidR="003A121D" w:rsidRPr="002A5D4B" w:rsidRDefault="003A121D" w:rsidP="00F85022">
      <w:pPr>
        <w:jc w:val="center"/>
        <w:rPr>
          <w:b/>
          <w:sz w:val="26"/>
          <w:szCs w:val="26"/>
        </w:rPr>
      </w:pPr>
      <w:r w:rsidRPr="002A5D4B">
        <w:rPr>
          <w:b/>
          <w:sz w:val="26"/>
          <w:szCs w:val="26"/>
        </w:rPr>
        <w:t>Harrisburg, PA 17105-3265</w:t>
      </w:r>
    </w:p>
    <w:p w:rsidR="003A121D" w:rsidRDefault="003A121D" w:rsidP="00F85022">
      <w:pPr>
        <w:rPr>
          <w:sz w:val="26"/>
          <w:szCs w:val="26"/>
        </w:rPr>
      </w:pPr>
    </w:p>
    <w:p w:rsidR="003A121D" w:rsidRPr="00BA66A4" w:rsidRDefault="003A121D" w:rsidP="00F85022">
      <w:pPr>
        <w:rPr>
          <w:sz w:val="26"/>
          <w:szCs w:val="26"/>
        </w:rPr>
      </w:pPr>
    </w:p>
    <w:p w:rsidR="003A121D" w:rsidRPr="002A5D4B" w:rsidRDefault="003A121D" w:rsidP="00F85022">
      <w:pPr>
        <w:jc w:val="right"/>
        <w:rPr>
          <w:sz w:val="26"/>
          <w:szCs w:val="26"/>
        </w:rPr>
      </w:pPr>
      <w:r>
        <w:rPr>
          <w:sz w:val="26"/>
          <w:szCs w:val="26"/>
        </w:rPr>
        <w:t xml:space="preserve"> </w:t>
      </w:r>
      <w:r>
        <w:rPr>
          <w:sz w:val="26"/>
          <w:szCs w:val="26"/>
        </w:rPr>
        <w:tab/>
        <w:t xml:space="preserve">                 P</w:t>
      </w:r>
      <w:r w:rsidRPr="002A5D4B">
        <w:rPr>
          <w:sz w:val="26"/>
          <w:szCs w:val="26"/>
        </w:rPr>
        <w:t xml:space="preserve">ublic Meeting held </w:t>
      </w:r>
      <w:r w:rsidR="00E66675">
        <w:rPr>
          <w:sz w:val="26"/>
          <w:szCs w:val="26"/>
        </w:rPr>
        <w:t>June 5</w:t>
      </w:r>
      <w:r w:rsidR="006C147B">
        <w:rPr>
          <w:sz w:val="26"/>
          <w:szCs w:val="26"/>
        </w:rPr>
        <w:t>, 2014</w:t>
      </w:r>
      <w:r>
        <w:rPr>
          <w:sz w:val="26"/>
          <w:szCs w:val="26"/>
        </w:rPr>
        <w:t xml:space="preserve"> </w:t>
      </w:r>
    </w:p>
    <w:p w:rsidR="003A121D" w:rsidRDefault="003A121D" w:rsidP="00F85022">
      <w:pPr>
        <w:rPr>
          <w:sz w:val="26"/>
          <w:szCs w:val="26"/>
        </w:rPr>
      </w:pPr>
    </w:p>
    <w:p w:rsidR="003A121D" w:rsidRPr="002A5D4B" w:rsidRDefault="003A121D" w:rsidP="00F85022">
      <w:pPr>
        <w:rPr>
          <w:sz w:val="26"/>
          <w:szCs w:val="26"/>
        </w:rPr>
      </w:pPr>
    </w:p>
    <w:p w:rsidR="003A121D" w:rsidRPr="002A5D4B" w:rsidRDefault="003A121D" w:rsidP="00F85022">
      <w:pPr>
        <w:rPr>
          <w:sz w:val="26"/>
          <w:szCs w:val="26"/>
        </w:rPr>
      </w:pPr>
      <w:r w:rsidRPr="002A5D4B">
        <w:rPr>
          <w:sz w:val="26"/>
          <w:szCs w:val="26"/>
        </w:rPr>
        <w:t>Commissioners Present:</w:t>
      </w:r>
    </w:p>
    <w:p w:rsidR="003A121D" w:rsidRPr="002A5D4B" w:rsidRDefault="003A121D" w:rsidP="00F85022">
      <w:pPr>
        <w:rPr>
          <w:sz w:val="26"/>
          <w:szCs w:val="26"/>
        </w:rPr>
      </w:pPr>
    </w:p>
    <w:p w:rsidR="00980F3E" w:rsidRPr="008516FF" w:rsidRDefault="00980F3E" w:rsidP="00F85022">
      <w:pPr>
        <w:tabs>
          <w:tab w:val="left" w:pos="705"/>
        </w:tabs>
        <w:ind w:firstLine="720"/>
        <w:contextualSpacing/>
        <w:rPr>
          <w:sz w:val="26"/>
          <w:szCs w:val="26"/>
        </w:rPr>
      </w:pPr>
      <w:r w:rsidRPr="008516FF">
        <w:rPr>
          <w:sz w:val="26"/>
          <w:szCs w:val="26"/>
        </w:rPr>
        <w:t>Robert F. Powelson, Chairman</w:t>
      </w:r>
    </w:p>
    <w:p w:rsidR="00980F3E" w:rsidRPr="008516FF" w:rsidRDefault="00980F3E" w:rsidP="00F85022">
      <w:pPr>
        <w:tabs>
          <w:tab w:val="left" w:pos="705"/>
        </w:tabs>
        <w:ind w:firstLine="720"/>
        <w:contextualSpacing/>
        <w:rPr>
          <w:sz w:val="26"/>
          <w:szCs w:val="26"/>
        </w:rPr>
      </w:pPr>
      <w:r w:rsidRPr="008516FF">
        <w:rPr>
          <w:sz w:val="26"/>
          <w:szCs w:val="26"/>
        </w:rPr>
        <w:t>John F. Coleman, Jr., Vice Chairman</w:t>
      </w:r>
    </w:p>
    <w:p w:rsidR="00980F3E" w:rsidRPr="008516FF" w:rsidRDefault="00980F3E" w:rsidP="00F85022">
      <w:pPr>
        <w:tabs>
          <w:tab w:val="left" w:pos="705"/>
        </w:tabs>
        <w:ind w:firstLine="720"/>
        <w:contextualSpacing/>
        <w:rPr>
          <w:sz w:val="26"/>
          <w:szCs w:val="26"/>
        </w:rPr>
      </w:pPr>
      <w:r w:rsidRPr="008516FF">
        <w:rPr>
          <w:sz w:val="26"/>
          <w:szCs w:val="26"/>
        </w:rPr>
        <w:t>James H. Cawley</w:t>
      </w:r>
    </w:p>
    <w:p w:rsidR="00980F3E" w:rsidRDefault="00980F3E" w:rsidP="00F85022">
      <w:pPr>
        <w:tabs>
          <w:tab w:val="left" w:pos="705"/>
        </w:tabs>
        <w:ind w:firstLine="720"/>
        <w:contextualSpacing/>
        <w:rPr>
          <w:sz w:val="26"/>
          <w:szCs w:val="26"/>
        </w:rPr>
      </w:pPr>
      <w:r w:rsidRPr="008516FF">
        <w:rPr>
          <w:sz w:val="26"/>
          <w:szCs w:val="26"/>
        </w:rPr>
        <w:t>Pamela A. Witmer</w:t>
      </w:r>
    </w:p>
    <w:p w:rsidR="00980F3E" w:rsidRPr="008516FF" w:rsidRDefault="00980F3E" w:rsidP="00F85022">
      <w:pPr>
        <w:tabs>
          <w:tab w:val="left" w:pos="705"/>
        </w:tabs>
        <w:ind w:firstLine="720"/>
        <w:contextualSpacing/>
        <w:rPr>
          <w:sz w:val="26"/>
          <w:szCs w:val="26"/>
        </w:rPr>
      </w:pPr>
      <w:r>
        <w:rPr>
          <w:sz w:val="26"/>
          <w:szCs w:val="26"/>
        </w:rPr>
        <w:t>Gladys M. Brown</w:t>
      </w:r>
    </w:p>
    <w:p w:rsidR="003A121D" w:rsidRDefault="003A121D" w:rsidP="00F85022"/>
    <w:p w:rsidR="003A121D" w:rsidRDefault="003A121D" w:rsidP="00F85022"/>
    <w:p w:rsidR="003A121D" w:rsidRDefault="003A121D" w:rsidP="00F85022"/>
    <w:p w:rsidR="003A121D" w:rsidRPr="00E050C0" w:rsidRDefault="00E66675" w:rsidP="00F85022">
      <w:pPr>
        <w:tabs>
          <w:tab w:val="left" w:pos="-720"/>
          <w:tab w:val="left" w:pos="0"/>
        </w:tabs>
        <w:suppressAutoHyphens/>
        <w:rPr>
          <w:sz w:val="26"/>
          <w:szCs w:val="26"/>
        </w:rPr>
      </w:pPr>
      <w:r>
        <w:rPr>
          <w:sz w:val="26"/>
          <w:szCs w:val="26"/>
        </w:rPr>
        <w:t>Chrystal Garber</w:t>
      </w:r>
      <w:r w:rsidR="003A121D">
        <w:rPr>
          <w:sz w:val="26"/>
          <w:szCs w:val="26"/>
        </w:rPr>
        <w:tab/>
      </w:r>
      <w:r w:rsidR="003A121D">
        <w:rPr>
          <w:sz w:val="26"/>
          <w:szCs w:val="26"/>
        </w:rPr>
        <w:tab/>
      </w:r>
      <w:r w:rsidR="003A121D">
        <w:rPr>
          <w:sz w:val="26"/>
          <w:szCs w:val="26"/>
        </w:rPr>
        <w:tab/>
      </w:r>
      <w:r w:rsidR="003A121D">
        <w:rPr>
          <w:sz w:val="26"/>
          <w:szCs w:val="26"/>
        </w:rPr>
        <w:tab/>
      </w:r>
      <w:r w:rsidR="003A121D">
        <w:rPr>
          <w:sz w:val="26"/>
          <w:szCs w:val="26"/>
        </w:rPr>
        <w:tab/>
      </w:r>
      <w:r w:rsidR="003A121D">
        <w:rPr>
          <w:sz w:val="26"/>
          <w:szCs w:val="26"/>
        </w:rPr>
        <w:tab/>
      </w:r>
      <w:r w:rsidR="003A121D">
        <w:rPr>
          <w:sz w:val="26"/>
          <w:szCs w:val="26"/>
        </w:rPr>
        <w:tab/>
        <w:t xml:space="preserve">                </w:t>
      </w:r>
      <w:r>
        <w:rPr>
          <w:sz w:val="26"/>
          <w:szCs w:val="26"/>
        </w:rPr>
        <w:t>C-2013-2396173</w:t>
      </w:r>
    </w:p>
    <w:p w:rsidR="003A121D" w:rsidRDefault="003A121D" w:rsidP="00F85022">
      <w:pPr>
        <w:tabs>
          <w:tab w:val="left" w:pos="-720"/>
          <w:tab w:val="left" w:pos="0"/>
        </w:tabs>
        <w:suppressAutoHyphens/>
        <w:rPr>
          <w:sz w:val="26"/>
          <w:szCs w:val="26"/>
        </w:rPr>
      </w:pPr>
    </w:p>
    <w:p w:rsidR="003A121D" w:rsidRDefault="003A121D" w:rsidP="00F85022">
      <w:pPr>
        <w:tabs>
          <w:tab w:val="left" w:pos="-720"/>
          <w:tab w:val="left" w:pos="0"/>
        </w:tabs>
        <w:suppressAutoHyphens/>
        <w:rPr>
          <w:sz w:val="26"/>
          <w:szCs w:val="26"/>
        </w:rPr>
      </w:pPr>
      <w:r>
        <w:rPr>
          <w:sz w:val="26"/>
          <w:szCs w:val="26"/>
        </w:rPr>
        <w:tab/>
        <w:t>v.</w:t>
      </w:r>
    </w:p>
    <w:p w:rsidR="003A121D" w:rsidRDefault="003A121D" w:rsidP="00F85022">
      <w:pPr>
        <w:tabs>
          <w:tab w:val="left" w:pos="-720"/>
          <w:tab w:val="left" w:pos="0"/>
        </w:tabs>
        <w:suppressAutoHyphens/>
        <w:rPr>
          <w:sz w:val="26"/>
          <w:szCs w:val="26"/>
        </w:rPr>
      </w:pPr>
    </w:p>
    <w:p w:rsidR="003A121D" w:rsidRPr="00E050C0" w:rsidRDefault="00E66675" w:rsidP="00F85022">
      <w:pPr>
        <w:tabs>
          <w:tab w:val="left" w:pos="-720"/>
          <w:tab w:val="left" w:pos="0"/>
        </w:tabs>
        <w:suppressAutoHyphens/>
        <w:rPr>
          <w:sz w:val="26"/>
          <w:szCs w:val="26"/>
        </w:rPr>
      </w:pPr>
      <w:r>
        <w:rPr>
          <w:sz w:val="26"/>
          <w:szCs w:val="26"/>
        </w:rPr>
        <w:t>PECO Energy Company</w:t>
      </w:r>
      <w:r w:rsidR="003A121D">
        <w:rPr>
          <w:sz w:val="26"/>
          <w:szCs w:val="26"/>
        </w:rPr>
        <w:t xml:space="preserve">      </w:t>
      </w:r>
      <w:r w:rsidR="003A121D" w:rsidRPr="00E050C0">
        <w:rPr>
          <w:sz w:val="26"/>
          <w:szCs w:val="26"/>
        </w:rPr>
        <w:t xml:space="preserve"> </w:t>
      </w:r>
      <w:r w:rsidR="003A121D" w:rsidRPr="00E050C0">
        <w:rPr>
          <w:sz w:val="26"/>
          <w:szCs w:val="26"/>
        </w:rPr>
        <w:tab/>
      </w:r>
      <w:r w:rsidR="003A121D" w:rsidRPr="00E050C0">
        <w:rPr>
          <w:sz w:val="26"/>
          <w:szCs w:val="26"/>
        </w:rPr>
        <w:tab/>
      </w:r>
      <w:r w:rsidR="003A121D" w:rsidRPr="00E050C0">
        <w:rPr>
          <w:sz w:val="26"/>
          <w:szCs w:val="26"/>
        </w:rPr>
        <w:tab/>
      </w:r>
      <w:r w:rsidR="003A121D" w:rsidRPr="00E050C0">
        <w:rPr>
          <w:sz w:val="26"/>
          <w:szCs w:val="26"/>
        </w:rPr>
        <w:tab/>
      </w:r>
    </w:p>
    <w:p w:rsidR="003A121D" w:rsidRDefault="003A121D" w:rsidP="00F85022">
      <w:pPr>
        <w:rPr>
          <w:sz w:val="26"/>
          <w:szCs w:val="26"/>
        </w:rPr>
      </w:pPr>
    </w:p>
    <w:p w:rsidR="003A121D" w:rsidRPr="00624B80" w:rsidRDefault="003A121D" w:rsidP="00F85022">
      <w:pPr>
        <w:tabs>
          <w:tab w:val="left" w:pos="-720"/>
        </w:tabs>
        <w:suppressAutoHyphens/>
        <w:rPr>
          <w:sz w:val="26"/>
        </w:rPr>
      </w:pPr>
    </w:p>
    <w:p w:rsidR="003A121D" w:rsidRPr="00624B80" w:rsidRDefault="003A121D" w:rsidP="00F85022">
      <w:pPr>
        <w:tabs>
          <w:tab w:val="center" w:pos="4680"/>
        </w:tabs>
        <w:suppressAutoHyphens/>
        <w:jc w:val="center"/>
        <w:rPr>
          <w:b/>
          <w:sz w:val="26"/>
        </w:rPr>
      </w:pPr>
      <w:r w:rsidRPr="00624B80">
        <w:rPr>
          <w:b/>
          <w:sz w:val="26"/>
        </w:rPr>
        <w:t>OPINION AND ORDER</w:t>
      </w:r>
    </w:p>
    <w:p w:rsidR="003A121D" w:rsidRPr="00624B80" w:rsidRDefault="003A121D" w:rsidP="00F85022">
      <w:pPr>
        <w:tabs>
          <w:tab w:val="left" w:pos="-720"/>
        </w:tabs>
        <w:suppressAutoHyphens/>
        <w:spacing w:line="360" w:lineRule="auto"/>
        <w:rPr>
          <w:b/>
          <w:sz w:val="26"/>
        </w:rPr>
      </w:pPr>
    </w:p>
    <w:p w:rsidR="003A121D" w:rsidRPr="00624B80" w:rsidRDefault="003A121D" w:rsidP="00F85022">
      <w:pPr>
        <w:tabs>
          <w:tab w:val="left" w:pos="-720"/>
        </w:tabs>
        <w:suppressAutoHyphens/>
        <w:spacing w:line="360" w:lineRule="auto"/>
        <w:rPr>
          <w:sz w:val="26"/>
        </w:rPr>
      </w:pPr>
      <w:r w:rsidRPr="00624B80">
        <w:rPr>
          <w:b/>
          <w:sz w:val="26"/>
        </w:rPr>
        <w:t>BY THE COMMISSION:</w:t>
      </w:r>
    </w:p>
    <w:p w:rsidR="003A121D" w:rsidRPr="00585188" w:rsidRDefault="003A121D" w:rsidP="00F85022">
      <w:pPr>
        <w:rPr>
          <w:sz w:val="26"/>
          <w:szCs w:val="26"/>
        </w:rPr>
      </w:pPr>
    </w:p>
    <w:p w:rsidR="003A121D" w:rsidRDefault="003A121D" w:rsidP="00F85022">
      <w:pPr>
        <w:spacing w:line="360" w:lineRule="auto"/>
        <w:rPr>
          <w:sz w:val="26"/>
          <w:szCs w:val="26"/>
        </w:rPr>
      </w:pPr>
      <w:r>
        <w:rPr>
          <w:sz w:val="26"/>
          <w:szCs w:val="26"/>
        </w:rPr>
        <w:tab/>
      </w:r>
      <w:r>
        <w:rPr>
          <w:sz w:val="26"/>
          <w:szCs w:val="26"/>
        </w:rPr>
        <w:tab/>
      </w: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and disposition is the Initial Decision (I</w:t>
      </w:r>
      <w:r w:rsidR="006C147B">
        <w:rPr>
          <w:sz w:val="26"/>
          <w:szCs w:val="26"/>
        </w:rPr>
        <w:t>.D.) of Administrative Law Judge (ALJ</w:t>
      </w:r>
      <w:r>
        <w:rPr>
          <w:sz w:val="26"/>
          <w:szCs w:val="26"/>
        </w:rPr>
        <w:t xml:space="preserve">) </w:t>
      </w:r>
      <w:r w:rsidR="008634C9">
        <w:rPr>
          <w:sz w:val="26"/>
          <w:szCs w:val="26"/>
        </w:rPr>
        <w:t>Kandace F. Melillo</w:t>
      </w:r>
      <w:r>
        <w:rPr>
          <w:sz w:val="26"/>
          <w:szCs w:val="26"/>
        </w:rPr>
        <w:t xml:space="preserve">, issued on </w:t>
      </w:r>
      <w:r w:rsidR="009351CD">
        <w:rPr>
          <w:sz w:val="26"/>
          <w:szCs w:val="26"/>
        </w:rPr>
        <w:t>March 3</w:t>
      </w:r>
      <w:r w:rsidR="00856134">
        <w:rPr>
          <w:sz w:val="26"/>
          <w:szCs w:val="26"/>
        </w:rPr>
        <w:t>1</w:t>
      </w:r>
      <w:r w:rsidR="006C147B">
        <w:rPr>
          <w:sz w:val="26"/>
          <w:szCs w:val="26"/>
        </w:rPr>
        <w:t>, 2014</w:t>
      </w:r>
      <w:r>
        <w:rPr>
          <w:sz w:val="26"/>
          <w:szCs w:val="26"/>
        </w:rPr>
        <w:t xml:space="preserve">, in the above-captioned proceeding.  Exceptions have not been filed.  </w:t>
      </w:r>
      <w:r w:rsidR="00C26058">
        <w:rPr>
          <w:sz w:val="26"/>
          <w:szCs w:val="26"/>
        </w:rPr>
        <w:t>However, we exercise</w:t>
      </w:r>
      <w:r>
        <w:rPr>
          <w:sz w:val="26"/>
          <w:szCs w:val="26"/>
        </w:rPr>
        <w:t xml:space="preserve"> our right to review the Initial Decision pursuant to Section 332(h) of the Public Utility Code (Code), 66 Pa. C.S. </w:t>
      </w:r>
      <w:r w:rsidR="006B5070">
        <w:rPr>
          <w:sz w:val="26"/>
          <w:szCs w:val="26"/>
        </w:rPr>
        <w:br/>
      </w:r>
      <w:r>
        <w:rPr>
          <w:sz w:val="26"/>
          <w:szCs w:val="26"/>
        </w:rPr>
        <w:t>§ 332(h).  For the reaso</w:t>
      </w:r>
      <w:r w:rsidR="00856134">
        <w:rPr>
          <w:sz w:val="26"/>
          <w:szCs w:val="26"/>
        </w:rPr>
        <w:t>ns stated below, we shall modify</w:t>
      </w:r>
      <w:r w:rsidR="006C147B">
        <w:rPr>
          <w:sz w:val="26"/>
          <w:szCs w:val="26"/>
        </w:rPr>
        <w:t xml:space="preserve"> the ALJ</w:t>
      </w:r>
      <w:r>
        <w:rPr>
          <w:sz w:val="26"/>
          <w:szCs w:val="26"/>
        </w:rPr>
        <w:t xml:space="preserve">’s Initial Decision, consistent with this Opinion and Order.   </w:t>
      </w:r>
    </w:p>
    <w:p w:rsidR="003A121D" w:rsidRDefault="003A121D" w:rsidP="00F85022">
      <w:pPr>
        <w:spacing w:line="360" w:lineRule="auto"/>
        <w:jc w:val="center"/>
        <w:rPr>
          <w:b/>
          <w:sz w:val="26"/>
          <w:szCs w:val="26"/>
        </w:rPr>
      </w:pPr>
    </w:p>
    <w:p w:rsidR="00091A47" w:rsidRDefault="00091A47" w:rsidP="00F85022">
      <w:pPr>
        <w:spacing w:line="360" w:lineRule="auto"/>
        <w:jc w:val="center"/>
        <w:rPr>
          <w:b/>
          <w:sz w:val="26"/>
          <w:szCs w:val="26"/>
        </w:rPr>
      </w:pPr>
    </w:p>
    <w:p w:rsidR="00180DBA" w:rsidRDefault="003A121D" w:rsidP="00F85022">
      <w:pPr>
        <w:spacing w:line="360" w:lineRule="auto"/>
        <w:jc w:val="center"/>
        <w:rPr>
          <w:b/>
          <w:sz w:val="26"/>
          <w:szCs w:val="26"/>
        </w:rPr>
      </w:pPr>
      <w:r w:rsidRPr="00CA1972">
        <w:rPr>
          <w:b/>
          <w:sz w:val="26"/>
          <w:szCs w:val="26"/>
        </w:rPr>
        <w:lastRenderedPageBreak/>
        <w:t>History of the Proceeding</w:t>
      </w:r>
    </w:p>
    <w:p w:rsidR="00436D61" w:rsidRDefault="00436D61" w:rsidP="00F85022">
      <w:pPr>
        <w:spacing w:line="360" w:lineRule="auto"/>
        <w:jc w:val="center"/>
        <w:rPr>
          <w:b/>
          <w:sz w:val="26"/>
          <w:szCs w:val="26"/>
        </w:rPr>
      </w:pPr>
    </w:p>
    <w:p w:rsidR="008A2365" w:rsidRPr="008A2365" w:rsidRDefault="00B94331" w:rsidP="008A2365">
      <w:pPr>
        <w:spacing w:line="360" w:lineRule="auto"/>
        <w:rPr>
          <w:sz w:val="26"/>
          <w:szCs w:val="26"/>
        </w:rPr>
      </w:pPr>
      <w:r>
        <w:rPr>
          <w:sz w:val="26"/>
          <w:szCs w:val="26"/>
        </w:rPr>
        <w:tab/>
      </w:r>
      <w:r>
        <w:rPr>
          <w:sz w:val="26"/>
          <w:szCs w:val="26"/>
        </w:rPr>
        <w:tab/>
      </w:r>
      <w:r w:rsidR="008A2365" w:rsidRPr="008A2365">
        <w:rPr>
          <w:sz w:val="26"/>
          <w:szCs w:val="26"/>
        </w:rPr>
        <w:t>On November 12, 2013</w:t>
      </w:r>
      <w:r w:rsidR="003A4F5A" w:rsidRPr="008A2365">
        <w:rPr>
          <w:sz w:val="26"/>
          <w:szCs w:val="26"/>
        </w:rPr>
        <w:t xml:space="preserve">, </w:t>
      </w:r>
      <w:r w:rsidR="003A4F5A">
        <w:rPr>
          <w:sz w:val="26"/>
          <w:szCs w:val="26"/>
        </w:rPr>
        <w:t>Chrystal</w:t>
      </w:r>
      <w:r w:rsidR="006B5070">
        <w:rPr>
          <w:sz w:val="26"/>
          <w:szCs w:val="26"/>
        </w:rPr>
        <w:t xml:space="preserve"> Garber (</w:t>
      </w:r>
      <w:r w:rsidR="008A2365">
        <w:rPr>
          <w:sz w:val="26"/>
          <w:szCs w:val="26"/>
        </w:rPr>
        <w:t>Complainant</w:t>
      </w:r>
      <w:r w:rsidR="006B5070">
        <w:rPr>
          <w:sz w:val="26"/>
          <w:szCs w:val="26"/>
        </w:rPr>
        <w:t>)</w:t>
      </w:r>
      <w:r w:rsidR="008A2365" w:rsidRPr="008A2365">
        <w:rPr>
          <w:sz w:val="26"/>
          <w:szCs w:val="26"/>
        </w:rPr>
        <w:t xml:space="preserve"> filed a F</w:t>
      </w:r>
      <w:r w:rsidR="008A2365">
        <w:rPr>
          <w:sz w:val="26"/>
          <w:szCs w:val="26"/>
        </w:rPr>
        <w:t>ormal Complaint with the Commission</w:t>
      </w:r>
      <w:r w:rsidR="008A2365" w:rsidRPr="008A2365">
        <w:rPr>
          <w:sz w:val="26"/>
          <w:szCs w:val="26"/>
        </w:rPr>
        <w:t xml:space="preserve"> against PECO</w:t>
      </w:r>
      <w:r w:rsidR="008A2365">
        <w:rPr>
          <w:sz w:val="26"/>
          <w:szCs w:val="26"/>
        </w:rPr>
        <w:t xml:space="preserve"> </w:t>
      </w:r>
      <w:r w:rsidR="006B5070">
        <w:rPr>
          <w:sz w:val="26"/>
          <w:szCs w:val="26"/>
        </w:rPr>
        <w:t xml:space="preserve">Energy Company (PECO) </w:t>
      </w:r>
      <w:r w:rsidR="008A2365">
        <w:rPr>
          <w:sz w:val="26"/>
          <w:szCs w:val="26"/>
        </w:rPr>
        <w:t>alleging</w:t>
      </w:r>
      <w:r w:rsidR="008A2365" w:rsidRPr="008A2365">
        <w:rPr>
          <w:sz w:val="26"/>
          <w:szCs w:val="26"/>
        </w:rPr>
        <w:t xml:space="preserve"> that there were incor</w:t>
      </w:r>
      <w:r w:rsidR="00864CED">
        <w:rPr>
          <w:sz w:val="26"/>
          <w:szCs w:val="26"/>
        </w:rPr>
        <w:t>rect charges on her bill as she did not live at the s</w:t>
      </w:r>
      <w:r w:rsidR="008A2365" w:rsidRPr="008A2365">
        <w:rPr>
          <w:sz w:val="26"/>
          <w:szCs w:val="26"/>
        </w:rPr>
        <w:t>ervi</w:t>
      </w:r>
      <w:r w:rsidR="00864CED">
        <w:rPr>
          <w:sz w:val="26"/>
          <w:szCs w:val="26"/>
        </w:rPr>
        <w:t>ce address</w:t>
      </w:r>
      <w:r w:rsidR="004B0B46">
        <w:rPr>
          <w:sz w:val="26"/>
          <w:szCs w:val="26"/>
        </w:rPr>
        <w:t xml:space="preserve"> during the time</w:t>
      </w:r>
      <w:r w:rsidR="008A2365" w:rsidRPr="008A2365">
        <w:rPr>
          <w:sz w:val="26"/>
          <w:szCs w:val="26"/>
        </w:rPr>
        <w:t xml:space="preserve"> the bills were incurred.  She further alleged that her mother had requested that the service be discontinued, but that PECO had failed to honor the</w:t>
      </w:r>
      <w:r w:rsidR="008A2365">
        <w:rPr>
          <w:sz w:val="26"/>
          <w:szCs w:val="26"/>
        </w:rPr>
        <w:t xml:space="preserve"> request.  As relief, the Complainant</w:t>
      </w:r>
      <w:r w:rsidR="00864CED">
        <w:rPr>
          <w:sz w:val="26"/>
          <w:szCs w:val="26"/>
        </w:rPr>
        <w:t xml:space="preserve"> asked</w:t>
      </w:r>
      <w:r w:rsidR="008A2365" w:rsidRPr="008A2365">
        <w:rPr>
          <w:sz w:val="26"/>
          <w:szCs w:val="26"/>
        </w:rPr>
        <w:t xml:space="preserve"> that the erroneous charges be removed.</w:t>
      </w:r>
      <w:r w:rsidR="004B0B46">
        <w:rPr>
          <w:sz w:val="26"/>
          <w:szCs w:val="26"/>
        </w:rPr>
        <w:t xml:space="preserve">  </w:t>
      </w:r>
      <w:r w:rsidR="008A2365" w:rsidRPr="008A2365">
        <w:rPr>
          <w:sz w:val="26"/>
          <w:szCs w:val="26"/>
        </w:rPr>
        <w:t>On December 16, 2013, PECO filed an Answer which denied the material allegation</w:t>
      </w:r>
      <w:r w:rsidR="00864CED">
        <w:rPr>
          <w:sz w:val="26"/>
          <w:szCs w:val="26"/>
        </w:rPr>
        <w:t>s in the Complaint and</w:t>
      </w:r>
      <w:r w:rsidR="008A2365" w:rsidRPr="008A2365">
        <w:rPr>
          <w:sz w:val="26"/>
          <w:szCs w:val="26"/>
        </w:rPr>
        <w:t xml:space="preserve"> requested that the Complaint be dismissed.</w:t>
      </w:r>
    </w:p>
    <w:p w:rsidR="008A2365" w:rsidRPr="008A2365" w:rsidRDefault="008A2365" w:rsidP="008A2365">
      <w:pPr>
        <w:spacing w:line="360" w:lineRule="auto"/>
        <w:rPr>
          <w:sz w:val="26"/>
          <w:szCs w:val="26"/>
        </w:rPr>
      </w:pPr>
    </w:p>
    <w:p w:rsidR="008A2365" w:rsidRPr="008A2365" w:rsidRDefault="00447B2A" w:rsidP="008A2365">
      <w:pPr>
        <w:spacing w:line="360" w:lineRule="auto"/>
        <w:rPr>
          <w:sz w:val="26"/>
          <w:szCs w:val="26"/>
        </w:rPr>
      </w:pPr>
      <w:r>
        <w:rPr>
          <w:sz w:val="26"/>
          <w:szCs w:val="26"/>
        </w:rPr>
        <w:tab/>
      </w:r>
      <w:r>
        <w:rPr>
          <w:sz w:val="26"/>
          <w:szCs w:val="26"/>
        </w:rPr>
        <w:tab/>
        <w:t>By</w:t>
      </w:r>
      <w:r w:rsidR="008A2365" w:rsidRPr="008A2365">
        <w:rPr>
          <w:sz w:val="26"/>
          <w:szCs w:val="26"/>
        </w:rPr>
        <w:t xml:space="preserve"> Telephone Hearing Notice dated February 12, 2014, the parties were informed </w:t>
      </w:r>
      <w:r>
        <w:rPr>
          <w:sz w:val="26"/>
          <w:szCs w:val="26"/>
        </w:rPr>
        <w:t xml:space="preserve">of the date and time for the initial hearing </w:t>
      </w:r>
      <w:r w:rsidR="008A2365" w:rsidRPr="008A2365">
        <w:rPr>
          <w:sz w:val="26"/>
          <w:szCs w:val="26"/>
        </w:rPr>
        <w:t xml:space="preserve">and </w:t>
      </w:r>
      <w:r w:rsidR="006B5070">
        <w:rPr>
          <w:sz w:val="26"/>
          <w:szCs w:val="26"/>
        </w:rPr>
        <w:t xml:space="preserve">were </w:t>
      </w:r>
      <w:r w:rsidR="008A2365" w:rsidRPr="008A2365">
        <w:rPr>
          <w:sz w:val="26"/>
          <w:szCs w:val="26"/>
        </w:rPr>
        <w:t>also warne</w:t>
      </w:r>
      <w:r w:rsidR="00864CED">
        <w:rPr>
          <w:sz w:val="26"/>
          <w:szCs w:val="26"/>
        </w:rPr>
        <w:t>d that they</w:t>
      </w:r>
      <w:r w:rsidR="008A2365" w:rsidRPr="008A2365">
        <w:rPr>
          <w:sz w:val="26"/>
          <w:szCs w:val="26"/>
        </w:rPr>
        <w:t xml:space="preserve"> c</w:t>
      </w:r>
      <w:r w:rsidR="00864CED">
        <w:rPr>
          <w:sz w:val="26"/>
          <w:szCs w:val="26"/>
        </w:rPr>
        <w:t>ould lose the case if they did not attend</w:t>
      </w:r>
      <w:r w:rsidR="008A2365" w:rsidRPr="008A2365">
        <w:rPr>
          <w:sz w:val="26"/>
          <w:szCs w:val="26"/>
        </w:rPr>
        <w:t xml:space="preserve"> the scheduled hearing</w:t>
      </w:r>
      <w:r>
        <w:rPr>
          <w:sz w:val="26"/>
          <w:szCs w:val="26"/>
        </w:rPr>
        <w:t xml:space="preserve">. </w:t>
      </w:r>
      <w:r w:rsidR="007E3AEF">
        <w:rPr>
          <w:sz w:val="26"/>
          <w:szCs w:val="26"/>
        </w:rPr>
        <w:t xml:space="preserve"> </w:t>
      </w:r>
      <w:r w:rsidR="008A2365" w:rsidRPr="008A2365">
        <w:rPr>
          <w:sz w:val="26"/>
          <w:szCs w:val="26"/>
        </w:rPr>
        <w:t xml:space="preserve">On February 21, 2014, a Prehearing Order </w:t>
      </w:r>
      <w:r w:rsidR="007E3AEF">
        <w:rPr>
          <w:sz w:val="26"/>
          <w:szCs w:val="26"/>
        </w:rPr>
        <w:t xml:space="preserve">was issued </w:t>
      </w:r>
      <w:r w:rsidR="008A2365" w:rsidRPr="008A2365">
        <w:rPr>
          <w:sz w:val="26"/>
          <w:szCs w:val="26"/>
        </w:rPr>
        <w:t>which</w:t>
      </w:r>
      <w:r w:rsidR="007E3AEF">
        <w:rPr>
          <w:sz w:val="26"/>
          <w:szCs w:val="26"/>
        </w:rPr>
        <w:t xml:space="preserve"> also provided notice of the date </w:t>
      </w:r>
      <w:r w:rsidR="008A2365" w:rsidRPr="008A2365">
        <w:rPr>
          <w:sz w:val="26"/>
          <w:szCs w:val="26"/>
        </w:rPr>
        <w:t>and</w:t>
      </w:r>
      <w:r w:rsidR="007E3AEF">
        <w:rPr>
          <w:sz w:val="26"/>
          <w:szCs w:val="26"/>
        </w:rPr>
        <w:t xml:space="preserve"> time of the scheduled hearing and </w:t>
      </w:r>
      <w:r w:rsidR="008A2365" w:rsidRPr="008A2365">
        <w:rPr>
          <w:sz w:val="26"/>
          <w:szCs w:val="26"/>
        </w:rPr>
        <w:t xml:space="preserve">advised the </w:t>
      </w:r>
      <w:r w:rsidR="006B5070">
        <w:rPr>
          <w:sz w:val="26"/>
          <w:szCs w:val="26"/>
        </w:rPr>
        <w:t>P</w:t>
      </w:r>
      <w:r w:rsidR="008A2365" w:rsidRPr="008A2365">
        <w:rPr>
          <w:sz w:val="26"/>
          <w:szCs w:val="26"/>
        </w:rPr>
        <w:t>arties that the case cou</w:t>
      </w:r>
      <w:r w:rsidR="00864CED">
        <w:rPr>
          <w:sz w:val="26"/>
          <w:szCs w:val="26"/>
        </w:rPr>
        <w:t xml:space="preserve">ld be dismissed if the Complainant </w:t>
      </w:r>
      <w:r w:rsidR="008A2365" w:rsidRPr="008A2365">
        <w:rPr>
          <w:sz w:val="26"/>
          <w:szCs w:val="26"/>
        </w:rPr>
        <w:t>failed to be available for the hearing.</w:t>
      </w:r>
    </w:p>
    <w:p w:rsidR="008A2365" w:rsidRPr="008A2365" w:rsidRDefault="008A2365" w:rsidP="008A2365">
      <w:pPr>
        <w:spacing w:line="360" w:lineRule="auto"/>
        <w:rPr>
          <w:sz w:val="26"/>
          <w:szCs w:val="26"/>
        </w:rPr>
      </w:pPr>
    </w:p>
    <w:p w:rsidR="008A2365" w:rsidRDefault="003E7B9A" w:rsidP="008A2365">
      <w:pPr>
        <w:spacing w:line="360" w:lineRule="auto"/>
        <w:rPr>
          <w:sz w:val="26"/>
          <w:szCs w:val="26"/>
        </w:rPr>
      </w:pPr>
      <w:r>
        <w:rPr>
          <w:sz w:val="26"/>
          <w:szCs w:val="26"/>
        </w:rPr>
        <w:tab/>
      </w:r>
      <w:r>
        <w:rPr>
          <w:sz w:val="26"/>
          <w:szCs w:val="26"/>
        </w:rPr>
        <w:tab/>
      </w:r>
      <w:r w:rsidR="008A2365" w:rsidRPr="008A2365">
        <w:rPr>
          <w:sz w:val="26"/>
          <w:szCs w:val="26"/>
        </w:rPr>
        <w:t>Th</w:t>
      </w:r>
      <w:r>
        <w:rPr>
          <w:sz w:val="26"/>
          <w:szCs w:val="26"/>
        </w:rPr>
        <w:t>e telephonic hearing convened as scheduled and the ALJ called</w:t>
      </w:r>
      <w:r w:rsidR="008A2365" w:rsidRPr="008A2365">
        <w:rPr>
          <w:sz w:val="26"/>
          <w:szCs w:val="26"/>
        </w:rPr>
        <w:t xml:space="preserve"> the Complainant at the telephone number listed in her Complaint.  The Complainant was not available but a woman named Donna Garber, who claimed she was </w:t>
      </w:r>
      <w:r w:rsidR="003F3639">
        <w:rPr>
          <w:sz w:val="26"/>
          <w:szCs w:val="26"/>
        </w:rPr>
        <w:t xml:space="preserve">the </w:t>
      </w:r>
      <w:r w:rsidR="008A2365" w:rsidRPr="008A2365">
        <w:rPr>
          <w:sz w:val="26"/>
          <w:szCs w:val="26"/>
        </w:rPr>
        <w:t>Complainant’s mother, answered the phone.  The woman indicated that her daughter, the named Complainant, was incarcerated, but that she had a power of attorney for her daughter.  No documentation of the alleged power of attorney had been provided.</w:t>
      </w:r>
      <w:r>
        <w:rPr>
          <w:sz w:val="26"/>
          <w:szCs w:val="26"/>
        </w:rPr>
        <w:t xml:space="preserve">  </w:t>
      </w:r>
      <w:r w:rsidR="008A2365" w:rsidRPr="008A2365">
        <w:rPr>
          <w:sz w:val="26"/>
          <w:szCs w:val="26"/>
        </w:rPr>
        <w:t>PE</w:t>
      </w:r>
      <w:r>
        <w:rPr>
          <w:sz w:val="26"/>
          <w:szCs w:val="26"/>
        </w:rPr>
        <w:t>CO</w:t>
      </w:r>
      <w:r w:rsidR="008A2365" w:rsidRPr="008A2365">
        <w:rPr>
          <w:sz w:val="26"/>
          <w:szCs w:val="26"/>
        </w:rPr>
        <w:t xml:space="preserve"> objected to Donna Garber’s continuing with the case </w:t>
      </w:r>
      <w:r>
        <w:rPr>
          <w:sz w:val="26"/>
          <w:szCs w:val="26"/>
        </w:rPr>
        <w:t xml:space="preserve">in place of her daughter and </w:t>
      </w:r>
      <w:r w:rsidRPr="003E7B9A">
        <w:rPr>
          <w:sz w:val="26"/>
          <w:szCs w:val="26"/>
        </w:rPr>
        <w:t>moved for dismissal with prejudice for failure of the Complainant to appear and prosecute the case.</w:t>
      </w:r>
      <w:r w:rsidR="00BC3BA5">
        <w:rPr>
          <w:sz w:val="26"/>
          <w:szCs w:val="26"/>
        </w:rPr>
        <w:t xml:space="preserve">  </w:t>
      </w:r>
      <w:r w:rsidR="00BC3BA5" w:rsidRPr="008A2365">
        <w:rPr>
          <w:sz w:val="26"/>
          <w:szCs w:val="26"/>
        </w:rPr>
        <w:t>The record closed at the conclusion of the hearing, on March 25, 2014.</w:t>
      </w:r>
    </w:p>
    <w:p w:rsidR="003E7B9A" w:rsidRPr="008A2365" w:rsidRDefault="003E7B9A" w:rsidP="008A2365">
      <w:pPr>
        <w:spacing w:line="360" w:lineRule="auto"/>
        <w:rPr>
          <w:sz w:val="26"/>
          <w:szCs w:val="26"/>
        </w:rPr>
      </w:pPr>
    </w:p>
    <w:p w:rsidR="0064365A" w:rsidRDefault="003E7B9A" w:rsidP="002C7397">
      <w:pPr>
        <w:spacing w:line="360" w:lineRule="auto"/>
        <w:ind w:firstLine="1440"/>
        <w:rPr>
          <w:sz w:val="26"/>
          <w:szCs w:val="26"/>
        </w:rPr>
      </w:pPr>
      <w:r>
        <w:rPr>
          <w:sz w:val="26"/>
          <w:szCs w:val="26"/>
        </w:rPr>
        <w:lastRenderedPageBreak/>
        <w:t xml:space="preserve">Having </w:t>
      </w:r>
      <w:r w:rsidR="008A2365" w:rsidRPr="008A2365">
        <w:rPr>
          <w:sz w:val="26"/>
          <w:szCs w:val="26"/>
        </w:rPr>
        <w:t xml:space="preserve">received no indication that the Telephone Hearing Notice </w:t>
      </w:r>
      <w:proofErr w:type="gramStart"/>
      <w:r w:rsidR="008A2365" w:rsidRPr="008A2365">
        <w:rPr>
          <w:sz w:val="26"/>
          <w:szCs w:val="26"/>
        </w:rPr>
        <w:t>had been</w:t>
      </w:r>
      <w:proofErr w:type="gramEnd"/>
      <w:r w:rsidR="008A2365" w:rsidRPr="008A2365">
        <w:rPr>
          <w:sz w:val="26"/>
          <w:szCs w:val="26"/>
        </w:rPr>
        <w:t xml:space="preserve"> returned as undeliverable by t</w:t>
      </w:r>
      <w:r>
        <w:rPr>
          <w:sz w:val="26"/>
          <w:szCs w:val="26"/>
        </w:rPr>
        <w:t>he United States Postal Service n</w:t>
      </w:r>
      <w:r w:rsidR="008A2365" w:rsidRPr="008A2365">
        <w:rPr>
          <w:sz w:val="26"/>
          <w:szCs w:val="26"/>
        </w:rPr>
        <w:t>o</w:t>
      </w:r>
      <w:r>
        <w:rPr>
          <w:sz w:val="26"/>
          <w:szCs w:val="26"/>
        </w:rPr>
        <w:t>r any</w:t>
      </w:r>
      <w:r w:rsidR="008A2365" w:rsidRPr="008A2365">
        <w:rPr>
          <w:sz w:val="26"/>
          <w:szCs w:val="26"/>
        </w:rPr>
        <w:t xml:space="preserve"> requests for continuances</w:t>
      </w:r>
      <w:r w:rsidR="008915F8">
        <w:rPr>
          <w:sz w:val="26"/>
          <w:szCs w:val="26"/>
        </w:rPr>
        <w:t>,</w:t>
      </w:r>
      <w:r w:rsidR="008A2365" w:rsidRPr="008A2365">
        <w:rPr>
          <w:sz w:val="26"/>
          <w:szCs w:val="26"/>
        </w:rPr>
        <w:t xml:space="preserve"> </w:t>
      </w:r>
      <w:r>
        <w:rPr>
          <w:sz w:val="26"/>
          <w:szCs w:val="26"/>
        </w:rPr>
        <w:t xml:space="preserve">the ALJ dismissed the Complaint with prejudice </w:t>
      </w:r>
      <w:r w:rsidR="008A2365" w:rsidRPr="008A2365">
        <w:rPr>
          <w:sz w:val="26"/>
          <w:szCs w:val="26"/>
        </w:rPr>
        <w:t>for failure o</w:t>
      </w:r>
      <w:r w:rsidR="008915F8">
        <w:rPr>
          <w:sz w:val="26"/>
          <w:szCs w:val="26"/>
        </w:rPr>
        <w:t xml:space="preserve">f the Complainant to </w:t>
      </w:r>
      <w:r w:rsidR="008A2365" w:rsidRPr="008A2365">
        <w:rPr>
          <w:sz w:val="26"/>
          <w:szCs w:val="26"/>
        </w:rPr>
        <w:t xml:space="preserve">prosecute the case.  </w:t>
      </w:r>
      <w:r w:rsidR="0064365A" w:rsidRPr="008915F8">
        <w:rPr>
          <w:sz w:val="26"/>
          <w:szCs w:val="26"/>
        </w:rPr>
        <w:t>The Administrative Law Judge issued h</w:t>
      </w:r>
      <w:r w:rsidR="00B53F47">
        <w:rPr>
          <w:sz w:val="26"/>
          <w:szCs w:val="26"/>
        </w:rPr>
        <w:t>er Initial Decision dismissing</w:t>
      </w:r>
      <w:r w:rsidR="00655C93" w:rsidRPr="008915F8">
        <w:rPr>
          <w:sz w:val="26"/>
          <w:szCs w:val="26"/>
        </w:rPr>
        <w:t xml:space="preserve"> the Complai</w:t>
      </w:r>
      <w:r w:rsidR="00B53F47">
        <w:rPr>
          <w:sz w:val="26"/>
          <w:szCs w:val="26"/>
        </w:rPr>
        <w:t>nt</w:t>
      </w:r>
      <w:r w:rsidR="00B53F47" w:rsidRPr="00B53F47">
        <w:rPr>
          <w:sz w:val="26"/>
          <w:szCs w:val="26"/>
        </w:rPr>
        <w:t xml:space="preserve"> on March 31, 2014</w:t>
      </w:r>
      <w:r w:rsidR="0064365A" w:rsidRPr="008915F8">
        <w:rPr>
          <w:sz w:val="26"/>
          <w:szCs w:val="26"/>
        </w:rPr>
        <w:t>.  As stated above, no Exceptions have been filed, but we exercised our ri</w:t>
      </w:r>
      <w:r w:rsidR="00C54F58" w:rsidRPr="008915F8">
        <w:rPr>
          <w:sz w:val="26"/>
          <w:szCs w:val="26"/>
        </w:rPr>
        <w:t>ght to review the Initial Decis</w:t>
      </w:r>
      <w:r w:rsidR="0064365A" w:rsidRPr="008915F8">
        <w:rPr>
          <w:sz w:val="26"/>
          <w:szCs w:val="26"/>
        </w:rPr>
        <w:t>i</w:t>
      </w:r>
      <w:r w:rsidR="00C54F58" w:rsidRPr="008915F8">
        <w:rPr>
          <w:sz w:val="26"/>
          <w:szCs w:val="26"/>
        </w:rPr>
        <w:t>o</w:t>
      </w:r>
      <w:r w:rsidR="0064365A" w:rsidRPr="008915F8">
        <w:rPr>
          <w:sz w:val="26"/>
          <w:szCs w:val="26"/>
        </w:rPr>
        <w:t>n</w:t>
      </w:r>
      <w:r w:rsidR="00C54F58" w:rsidRPr="008915F8">
        <w:rPr>
          <w:sz w:val="26"/>
          <w:szCs w:val="26"/>
        </w:rPr>
        <w:t xml:space="preserve"> pursuant to Section 332(h) of the Code.</w:t>
      </w:r>
    </w:p>
    <w:p w:rsidR="0064365A" w:rsidRPr="0003635F" w:rsidRDefault="0064365A" w:rsidP="0003635F">
      <w:pPr>
        <w:spacing w:line="360" w:lineRule="auto"/>
        <w:rPr>
          <w:sz w:val="26"/>
          <w:szCs w:val="26"/>
        </w:rPr>
      </w:pPr>
    </w:p>
    <w:p w:rsidR="00194D37" w:rsidRPr="00391DE2" w:rsidRDefault="00194D37" w:rsidP="00391DE2">
      <w:pPr>
        <w:jc w:val="center"/>
        <w:rPr>
          <w:b/>
          <w:sz w:val="26"/>
          <w:szCs w:val="26"/>
        </w:rPr>
      </w:pPr>
      <w:r>
        <w:rPr>
          <w:b/>
          <w:sz w:val="26"/>
          <w:szCs w:val="26"/>
        </w:rPr>
        <w:t>Discussion</w:t>
      </w:r>
    </w:p>
    <w:p w:rsidR="00194D37" w:rsidRPr="00194D37" w:rsidRDefault="00194D37" w:rsidP="00F85022">
      <w:pPr>
        <w:spacing w:line="360" w:lineRule="auto"/>
        <w:rPr>
          <w:sz w:val="26"/>
        </w:rPr>
      </w:pPr>
    </w:p>
    <w:p w:rsidR="00355C59" w:rsidRPr="002C7397" w:rsidRDefault="00355C59" w:rsidP="002C7397">
      <w:pPr>
        <w:tabs>
          <w:tab w:val="left" w:pos="90"/>
        </w:tabs>
        <w:spacing w:line="360" w:lineRule="auto"/>
        <w:rPr>
          <w:b/>
          <w:sz w:val="26"/>
          <w:szCs w:val="26"/>
        </w:rPr>
      </w:pPr>
      <w:r>
        <w:rPr>
          <w:b/>
          <w:sz w:val="26"/>
          <w:szCs w:val="26"/>
        </w:rPr>
        <w:t>Legal Standard</w:t>
      </w:r>
    </w:p>
    <w:p w:rsidR="00355C59" w:rsidRDefault="00355C59" w:rsidP="00F85022">
      <w:pPr>
        <w:spacing w:line="360" w:lineRule="auto"/>
        <w:ind w:firstLine="1440"/>
        <w:rPr>
          <w:sz w:val="26"/>
          <w:szCs w:val="26"/>
        </w:rPr>
      </w:pPr>
    </w:p>
    <w:p w:rsidR="00355C59" w:rsidRDefault="00355C59" w:rsidP="00355C59">
      <w:pPr>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355C59" w:rsidRPr="00CA43A5" w:rsidRDefault="00355C59" w:rsidP="00355C59">
      <w:pPr>
        <w:spacing w:line="360" w:lineRule="auto"/>
        <w:rPr>
          <w:sz w:val="26"/>
          <w:szCs w:val="26"/>
        </w:rPr>
      </w:pPr>
    </w:p>
    <w:p w:rsidR="00355C59" w:rsidRPr="00ED60F0" w:rsidRDefault="00355C59" w:rsidP="00355C59">
      <w:pPr>
        <w:spacing w:line="360" w:lineRule="auto"/>
        <w:ind w:firstLine="1440"/>
        <w:rPr>
          <w:rFonts w:ascii="Times New (W1)" w:hAnsi="Times New (W1)"/>
          <w:i/>
          <w:sz w:val="26"/>
        </w:rPr>
      </w:pPr>
      <w:r w:rsidRPr="00ED60F0">
        <w:rPr>
          <w:sz w:val="26"/>
        </w:rPr>
        <w:t xml:space="preserve">Upon the presentation by a complainant of evidence sufficient to initially satisfy the burden of proof, the burden of going forward with the evidence to rebut the </w:t>
      </w:r>
      <w:r w:rsidRPr="00ED60F0">
        <w:rPr>
          <w:sz w:val="26"/>
        </w:rPr>
        <w:lastRenderedPageBreak/>
        <w:t xml:space="preserve">evidence of the customer shifts to the respondent. If the evidence presented by the respondent is of co-equal value or “weight,” the burden of proof has not been satisfied. The complainant now has to provide some additional evidence to rebut that of the respondent. </w:t>
      </w:r>
      <w:r w:rsidRPr="00ED60F0">
        <w:rPr>
          <w:iCs/>
          <w:sz w:val="26"/>
        </w:rPr>
        <w:t xml:space="preserve"> </w:t>
      </w:r>
      <w:hyperlink r:id="rId9" w:history="1">
        <w:r w:rsidRPr="00ED60F0">
          <w:rPr>
            <w:rStyle w:val="Hyperlink"/>
            <w:rFonts w:ascii="Times New (W1)" w:hAnsi="Times New (W1)"/>
            <w:i/>
            <w:iCs/>
            <w:color w:val="auto"/>
            <w:sz w:val="26"/>
            <w:u w:val="none"/>
          </w:rPr>
          <w:t>Burleson v. Pa. PUC,</w:t>
        </w:r>
        <w:r w:rsidRPr="00ED60F0">
          <w:rPr>
            <w:rStyle w:val="Hyperlink"/>
            <w:rFonts w:ascii="Times New (W1)" w:hAnsi="Times New (W1)"/>
            <w:iCs/>
            <w:color w:val="auto"/>
            <w:sz w:val="26"/>
            <w:u w:val="none"/>
          </w:rPr>
          <w:t xml:space="preserve"> 443 A.2d 1373 (Pa. Cmwlth. 1982), </w:t>
        </w:r>
        <w:r w:rsidRPr="00ED60F0">
          <w:rPr>
            <w:rStyle w:val="Hyperlink"/>
            <w:rFonts w:ascii="Times New (W1)" w:hAnsi="Times New (W1)"/>
            <w:i/>
            <w:iCs/>
            <w:color w:val="auto"/>
            <w:sz w:val="26"/>
            <w:u w:val="none"/>
          </w:rPr>
          <w:t>aff’d,</w:t>
        </w:r>
        <w:r w:rsidRPr="00ED60F0">
          <w:rPr>
            <w:rStyle w:val="Hyperlink"/>
            <w:rFonts w:ascii="Times New (W1)" w:hAnsi="Times New (W1)"/>
            <w:iCs/>
            <w:color w:val="auto"/>
            <w:sz w:val="26"/>
            <w:u w:val="none"/>
          </w:rPr>
          <w:t xml:space="preserve"> 501 Pa. 433, 461 A.2d 1234 (1983).</w:t>
        </w:r>
      </w:hyperlink>
    </w:p>
    <w:p w:rsidR="00355C59" w:rsidRPr="00182752" w:rsidRDefault="00355C59" w:rsidP="00355C59">
      <w:pPr>
        <w:spacing w:line="360" w:lineRule="auto"/>
        <w:ind w:firstLine="1440"/>
        <w:rPr>
          <w:sz w:val="26"/>
        </w:rPr>
      </w:pPr>
    </w:p>
    <w:p w:rsidR="00355C59" w:rsidRDefault="00355C59" w:rsidP="00355C59">
      <w:pPr>
        <w:spacing w:line="360" w:lineRule="auto"/>
        <w:ind w:firstLine="1440"/>
        <w:rPr>
          <w:sz w:val="26"/>
        </w:rPr>
      </w:pPr>
      <w:r w:rsidRPr="00ED60F0">
        <w:rPr>
          <w:sz w:val="26"/>
        </w:rPr>
        <w:t xml:space="preserve">While the burden of going forward with the evidence may </w:t>
      </w:r>
      <w:r w:rsidRPr="00ED60F0">
        <w:rPr>
          <w:rStyle w:val="term1"/>
          <w:b w:val="0"/>
          <w:sz w:val="26"/>
        </w:rPr>
        <w:t>shift</w:t>
      </w:r>
      <w:r w:rsidRPr="00ED60F0">
        <w:rPr>
          <w:sz w:val="26"/>
        </w:rPr>
        <w:t xml:space="preserve"> back and forth during a proceeding, the </w:t>
      </w:r>
      <w:r w:rsidRPr="00ED60F0">
        <w:rPr>
          <w:rStyle w:val="term1"/>
          <w:b w:val="0"/>
          <w:sz w:val="26"/>
        </w:rPr>
        <w:t>burden of proof</w:t>
      </w:r>
      <w:r w:rsidRPr="00ED60F0">
        <w:rPr>
          <w:sz w:val="26"/>
        </w:rPr>
        <w:t xml:space="preserve"> never </w:t>
      </w:r>
      <w:r w:rsidRPr="00ED60F0">
        <w:rPr>
          <w:rStyle w:val="term1"/>
          <w:b w:val="0"/>
          <w:sz w:val="26"/>
        </w:rPr>
        <w:t>shifts. The burden of proof</w:t>
      </w:r>
      <w:r w:rsidRPr="00ED60F0">
        <w:rPr>
          <w:sz w:val="26"/>
        </w:rPr>
        <w:t xml:space="preserve"> always </w:t>
      </w:r>
      <w:r w:rsidR="006F18B0">
        <w:rPr>
          <w:sz w:val="26"/>
        </w:rPr>
        <w:t>remains on the P</w:t>
      </w:r>
      <w:r w:rsidRPr="00ED60F0">
        <w:rPr>
          <w:sz w:val="26"/>
        </w:rPr>
        <w:t xml:space="preserve">arty seeking affirmative relief from the Commission.  </w:t>
      </w:r>
      <w:r w:rsidRPr="00ED60F0">
        <w:rPr>
          <w:i/>
          <w:sz w:val="26"/>
        </w:rPr>
        <w:t xml:space="preserve">Milkie v. Pa. PUC, </w:t>
      </w:r>
      <w:r w:rsidRPr="00ED60F0">
        <w:rPr>
          <w:sz w:val="26"/>
        </w:rPr>
        <w:t>768 A.2d 1217 (Pa. Cmwlth. 2001).</w:t>
      </w:r>
    </w:p>
    <w:p w:rsidR="002D4B3E" w:rsidRDefault="002D4B3E" w:rsidP="00F85022">
      <w:pPr>
        <w:spacing w:line="360" w:lineRule="auto"/>
        <w:ind w:firstLine="1440"/>
        <w:rPr>
          <w:sz w:val="26"/>
          <w:szCs w:val="26"/>
        </w:rPr>
      </w:pPr>
    </w:p>
    <w:p w:rsidR="0026582E" w:rsidRPr="0064365A" w:rsidRDefault="0026582E" w:rsidP="0026582E">
      <w:pPr>
        <w:spacing w:line="360" w:lineRule="auto"/>
        <w:ind w:firstLine="1440"/>
        <w:rPr>
          <w:sz w:val="26"/>
          <w:szCs w:val="26"/>
        </w:rPr>
      </w:pPr>
      <w:r>
        <w:rPr>
          <w:sz w:val="26"/>
          <w:szCs w:val="26"/>
        </w:rPr>
        <w:t xml:space="preserve">Before addressing the Initial Decision, </w:t>
      </w:r>
      <w:r w:rsidRPr="002A6750">
        <w:rPr>
          <w:sz w:val="26"/>
          <w:szCs w:val="26"/>
        </w:rPr>
        <w:t xml:space="preserve">we note that any issue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64365A">
          <w:rPr>
            <w:rStyle w:val="Emphasis"/>
            <w:color w:val="000000"/>
            <w:sz w:val="26"/>
            <w:szCs w:val="26"/>
          </w:rPr>
          <w:t xml:space="preserve">Consolidated Rail Corp. v. Pa. PUC, </w:t>
        </w:r>
        <w:r w:rsidRPr="002C7397">
          <w:rPr>
            <w:rStyle w:val="Hyperlink"/>
            <w:color w:val="000000"/>
            <w:sz w:val="26"/>
            <w:szCs w:val="26"/>
            <w:u w:val="none"/>
          </w:rPr>
          <w:t>625 A.2d 741 (Pa. Cmwlth. 1993);</w:t>
        </w:r>
      </w:hyperlink>
      <w:r w:rsidRPr="0064365A">
        <w:rPr>
          <w:color w:val="000000"/>
          <w:sz w:val="26"/>
          <w:szCs w:val="26"/>
        </w:rPr>
        <w:t xml:space="preserve"> </w:t>
      </w:r>
      <w:r w:rsidRPr="0064365A">
        <w:rPr>
          <w:i/>
          <w:color w:val="000000"/>
          <w:sz w:val="26"/>
          <w:szCs w:val="26"/>
        </w:rPr>
        <w:t xml:space="preserve">also </w:t>
      </w:r>
      <w:r w:rsidRPr="0064365A">
        <w:rPr>
          <w:rStyle w:val="Emphasis"/>
          <w:color w:val="000000"/>
          <w:sz w:val="26"/>
          <w:szCs w:val="26"/>
        </w:rPr>
        <w:t xml:space="preserve">see, generally, </w:t>
      </w:r>
      <w:hyperlink r:id="rId11" w:history="1">
        <w:r w:rsidRPr="0064365A">
          <w:rPr>
            <w:rStyle w:val="Emphasis"/>
            <w:color w:val="000000"/>
            <w:sz w:val="26"/>
            <w:szCs w:val="26"/>
          </w:rPr>
          <w:t>University of Pennsylvania v. Pa. PUC</w:t>
        </w:r>
        <w:r w:rsidRPr="002C7397">
          <w:rPr>
            <w:rStyle w:val="Hyperlink"/>
            <w:color w:val="000000"/>
            <w:sz w:val="26"/>
            <w:szCs w:val="26"/>
            <w:u w:val="none"/>
          </w:rPr>
          <w:t>, 485 A.2d 1217 (Pa. Cmwlth. 1984).</w:t>
        </w:r>
      </w:hyperlink>
    </w:p>
    <w:p w:rsidR="0026582E" w:rsidRDefault="0026582E" w:rsidP="00F85022">
      <w:pPr>
        <w:spacing w:line="360" w:lineRule="auto"/>
        <w:ind w:firstLine="1440"/>
        <w:rPr>
          <w:sz w:val="26"/>
          <w:szCs w:val="26"/>
        </w:rPr>
      </w:pPr>
    </w:p>
    <w:p w:rsidR="0026582E" w:rsidRDefault="0026582E" w:rsidP="002C7397">
      <w:pPr>
        <w:spacing w:line="360" w:lineRule="auto"/>
        <w:rPr>
          <w:b/>
          <w:sz w:val="26"/>
          <w:szCs w:val="26"/>
        </w:rPr>
      </w:pPr>
      <w:r>
        <w:rPr>
          <w:b/>
          <w:sz w:val="26"/>
          <w:szCs w:val="26"/>
        </w:rPr>
        <w:t>Initial Decision</w:t>
      </w:r>
    </w:p>
    <w:p w:rsidR="0026582E" w:rsidRDefault="0026582E" w:rsidP="002C7397">
      <w:pPr>
        <w:spacing w:line="360" w:lineRule="auto"/>
        <w:rPr>
          <w:sz w:val="26"/>
          <w:szCs w:val="26"/>
        </w:rPr>
      </w:pPr>
    </w:p>
    <w:p w:rsidR="00B53F47" w:rsidRPr="00B53F47" w:rsidRDefault="00B53F47" w:rsidP="00B53F47">
      <w:pPr>
        <w:spacing w:line="360" w:lineRule="auto"/>
        <w:rPr>
          <w:sz w:val="26"/>
          <w:szCs w:val="26"/>
        </w:rPr>
      </w:pPr>
      <w:r>
        <w:rPr>
          <w:sz w:val="26"/>
          <w:szCs w:val="26"/>
        </w:rPr>
        <w:tab/>
      </w:r>
      <w:r>
        <w:rPr>
          <w:sz w:val="26"/>
          <w:szCs w:val="26"/>
        </w:rPr>
        <w:tab/>
        <w:t>ALJ Melillo</w:t>
      </w:r>
      <w:r w:rsidRPr="00B53F47">
        <w:rPr>
          <w:sz w:val="26"/>
          <w:szCs w:val="26"/>
        </w:rPr>
        <w:t xml:space="preserve"> made five Findings of Fact and reached five Conclusions of Law.  I.D. at 3 and 5-6.  The Findings of Fact and Conclusions of Law are incorporated herein by reference and are adopted without comment unless they are either expressly or by necessary implication rejected or modified by this Opinion and Order.   </w:t>
      </w:r>
    </w:p>
    <w:p w:rsidR="00B53F47" w:rsidRPr="0026582E" w:rsidRDefault="00B53F47" w:rsidP="002C7397">
      <w:pPr>
        <w:spacing w:line="360" w:lineRule="auto"/>
        <w:rPr>
          <w:sz w:val="26"/>
          <w:szCs w:val="26"/>
        </w:rPr>
      </w:pPr>
    </w:p>
    <w:p w:rsidR="006A15B1" w:rsidRDefault="00CB68C7" w:rsidP="00F85022">
      <w:pPr>
        <w:spacing w:line="360" w:lineRule="auto"/>
        <w:ind w:firstLine="1440"/>
        <w:rPr>
          <w:sz w:val="26"/>
          <w:szCs w:val="26"/>
        </w:rPr>
      </w:pPr>
      <w:r w:rsidRPr="00B84963">
        <w:rPr>
          <w:sz w:val="26"/>
          <w:szCs w:val="26"/>
        </w:rPr>
        <w:t xml:space="preserve">In her Initial Decision, the ALJ </w:t>
      </w:r>
      <w:r w:rsidR="00292CCD" w:rsidRPr="00292CCD">
        <w:rPr>
          <w:sz w:val="26"/>
          <w:szCs w:val="26"/>
        </w:rPr>
        <w:t xml:space="preserve">noted the presumption that </w:t>
      </w:r>
      <w:r w:rsidR="00292CCD">
        <w:rPr>
          <w:spacing w:val="-3"/>
          <w:sz w:val="26"/>
          <w:szCs w:val="26"/>
        </w:rPr>
        <w:t>n</w:t>
      </w:r>
      <w:r w:rsidR="00292CCD" w:rsidRPr="003A4F5A">
        <w:rPr>
          <w:spacing w:val="-3"/>
          <w:sz w:val="26"/>
          <w:szCs w:val="26"/>
        </w:rPr>
        <w:t>otice mailed to a party’s last known address and not returned by the post office is presumed to have been received.</w:t>
      </w:r>
      <w:r w:rsidR="00BA07D9">
        <w:rPr>
          <w:spacing w:val="-3"/>
          <w:sz w:val="26"/>
          <w:szCs w:val="26"/>
        </w:rPr>
        <w:t xml:space="preserve">  I.D. at 4 (citing</w:t>
      </w:r>
      <w:r w:rsidR="00292CCD" w:rsidRPr="003A4F5A">
        <w:rPr>
          <w:spacing w:val="-3"/>
          <w:sz w:val="26"/>
          <w:szCs w:val="26"/>
        </w:rPr>
        <w:t xml:space="preserve">  </w:t>
      </w:r>
      <w:proofErr w:type="spellStart"/>
      <w:r w:rsidR="00292CCD" w:rsidRPr="003A4F5A">
        <w:rPr>
          <w:i/>
          <w:sz w:val="26"/>
          <w:szCs w:val="26"/>
        </w:rPr>
        <w:t>Chartiers</w:t>
      </w:r>
      <w:proofErr w:type="spellEnd"/>
      <w:r w:rsidR="00292CCD" w:rsidRPr="003A4F5A">
        <w:rPr>
          <w:i/>
          <w:sz w:val="26"/>
          <w:szCs w:val="26"/>
        </w:rPr>
        <w:t xml:space="preserve"> Industrial and Commercial Development Authority v. Allegheny County Board of Property Assessment Appeals and Review</w:t>
      </w:r>
      <w:r w:rsidR="00292CCD" w:rsidRPr="003A4F5A">
        <w:rPr>
          <w:sz w:val="26"/>
          <w:szCs w:val="26"/>
        </w:rPr>
        <w:t xml:space="preserve">, 645 A.2d 944 </w:t>
      </w:r>
      <w:r w:rsidR="00292CCD" w:rsidRPr="003A4F5A">
        <w:rPr>
          <w:sz w:val="26"/>
          <w:szCs w:val="26"/>
        </w:rPr>
        <w:lastRenderedPageBreak/>
        <w:t xml:space="preserve">(1994), </w:t>
      </w:r>
      <w:r w:rsidR="00292CCD" w:rsidRPr="003A4F5A">
        <w:rPr>
          <w:i/>
          <w:sz w:val="26"/>
          <w:szCs w:val="26"/>
        </w:rPr>
        <w:t>app. denied</w:t>
      </w:r>
      <w:r w:rsidR="00292CCD" w:rsidRPr="003A4F5A">
        <w:rPr>
          <w:sz w:val="26"/>
          <w:szCs w:val="26"/>
        </w:rPr>
        <w:t>, 539 Pa. 696, 653 A.2d 1234 (1994)</w:t>
      </w:r>
      <w:r w:rsidR="00BA07D9">
        <w:rPr>
          <w:sz w:val="26"/>
          <w:szCs w:val="26"/>
        </w:rPr>
        <w:t>)</w:t>
      </w:r>
      <w:r w:rsidR="00292CCD" w:rsidRPr="003A4F5A">
        <w:rPr>
          <w:sz w:val="26"/>
          <w:szCs w:val="26"/>
        </w:rPr>
        <w:t>.</w:t>
      </w:r>
      <w:r w:rsidR="00292CCD" w:rsidRPr="003A4F5A">
        <w:rPr>
          <w:spacing w:val="-3"/>
          <w:sz w:val="26"/>
          <w:szCs w:val="26"/>
        </w:rPr>
        <w:t xml:space="preserve">  </w:t>
      </w:r>
      <w:r w:rsidR="00A65D80">
        <w:rPr>
          <w:spacing w:val="-3"/>
          <w:sz w:val="26"/>
          <w:szCs w:val="26"/>
        </w:rPr>
        <w:t>Applying this presumption, s</w:t>
      </w:r>
      <w:r w:rsidR="00292CCD">
        <w:rPr>
          <w:spacing w:val="-3"/>
          <w:sz w:val="26"/>
          <w:szCs w:val="26"/>
        </w:rPr>
        <w:t xml:space="preserve">he </w:t>
      </w:r>
      <w:r>
        <w:rPr>
          <w:sz w:val="26"/>
          <w:szCs w:val="26"/>
        </w:rPr>
        <w:t>determined that the Complainant had received notice of the hearing date</w:t>
      </w:r>
      <w:r w:rsidR="00292CCD">
        <w:rPr>
          <w:sz w:val="26"/>
          <w:szCs w:val="26"/>
        </w:rPr>
        <w:t xml:space="preserve">.  </w:t>
      </w:r>
      <w:r w:rsidR="00A65D80">
        <w:rPr>
          <w:sz w:val="26"/>
          <w:szCs w:val="26"/>
        </w:rPr>
        <w:t xml:space="preserve">The Complainant’s due process rights to notice and an opportunity to be heard had been observed.  </w:t>
      </w:r>
      <w:r w:rsidR="000D45DD">
        <w:rPr>
          <w:sz w:val="26"/>
          <w:szCs w:val="26"/>
        </w:rPr>
        <w:t xml:space="preserve">Because Ms. Garber did not appear at the hearing, the ALJ concluded that the Complainant did not carry her burden of proof.  </w:t>
      </w:r>
      <w:proofErr w:type="gramStart"/>
      <w:r w:rsidR="000D45DD">
        <w:rPr>
          <w:sz w:val="26"/>
          <w:szCs w:val="26"/>
        </w:rPr>
        <w:t xml:space="preserve">I.D. at </w:t>
      </w:r>
      <w:r w:rsidR="006A15B1">
        <w:rPr>
          <w:sz w:val="26"/>
          <w:szCs w:val="26"/>
        </w:rPr>
        <w:t>4.</w:t>
      </w:r>
      <w:proofErr w:type="gramEnd"/>
      <w:r w:rsidR="006A15B1">
        <w:rPr>
          <w:sz w:val="26"/>
          <w:szCs w:val="26"/>
        </w:rPr>
        <w:t xml:space="preserve">  In addition, the</w:t>
      </w:r>
      <w:r w:rsidR="000D45DD">
        <w:rPr>
          <w:sz w:val="26"/>
          <w:szCs w:val="26"/>
        </w:rPr>
        <w:t xml:space="preserve"> ALJ</w:t>
      </w:r>
      <w:r w:rsidR="006A15B1">
        <w:rPr>
          <w:sz w:val="26"/>
          <w:szCs w:val="26"/>
        </w:rPr>
        <w:t xml:space="preserve"> concluded that the Complainant waived the opportunity to participate in the hearing due to her unexcused failure to appear</w:t>
      </w:r>
      <w:r w:rsidR="000D45DD">
        <w:rPr>
          <w:sz w:val="26"/>
          <w:szCs w:val="26"/>
        </w:rPr>
        <w:t xml:space="preserve"> at the hearing</w:t>
      </w:r>
      <w:r w:rsidR="006A15B1">
        <w:rPr>
          <w:sz w:val="26"/>
          <w:szCs w:val="26"/>
        </w:rPr>
        <w:t xml:space="preserve">.  </w:t>
      </w:r>
      <w:r w:rsidR="00A65D80" w:rsidRPr="003A4F5A">
        <w:rPr>
          <w:i/>
          <w:sz w:val="26"/>
          <w:szCs w:val="26"/>
        </w:rPr>
        <w:t>Id</w:t>
      </w:r>
      <w:r w:rsidR="00A65D80">
        <w:rPr>
          <w:sz w:val="26"/>
          <w:szCs w:val="26"/>
        </w:rPr>
        <w:t>.</w:t>
      </w:r>
    </w:p>
    <w:p w:rsidR="006A15B1" w:rsidRDefault="006A15B1" w:rsidP="00F85022">
      <w:pPr>
        <w:spacing w:line="360" w:lineRule="auto"/>
        <w:ind w:firstLine="1440"/>
        <w:rPr>
          <w:sz w:val="26"/>
          <w:szCs w:val="26"/>
        </w:rPr>
      </w:pPr>
    </w:p>
    <w:p w:rsidR="0003635F" w:rsidRDefault="006A15B1" w:rsidP="00F85022">
      <w:pPr>
        <w:spacing w:line="360" w:lineRule="auto"/>
        <w:ind w:firstLine="1440"/>
        <w:rPr>
          <w:sz w:val="26"/>
          <w:szCs w:val="26"/>
        </w:rPr>
      </w:pPr>
      <w:r>
        <w:rPr>
          <w:sz w:val="26"/>
          <w:szCs w:val="26"/>
        </w:rPr>
        <w:t xml:space="preserve">In addition, the ALJ concluded </w:t>
      </w:r>
      <w:r w:rsidR="00CB68C7">
        <w:rPr>
          <w:sz w:val="26"/>
          <w:szCs w:val="26"/>
        </w:rPr>
        <w:t>that</w:t>
      </w:r>
      <w:r w:rsidR="00D42AF2">
        <w:rPr>
          <w:sz w:val="26"/>
          <w:szCs w:val="26"/>
        </w:rPr>
        <w:t>,</w:t>
      </w:r>
      <w:r w:rsidR="00CB68C7">
        <w:rPr>
          <w:sz w:val="26"/>
          <w:szCs w:val="26"/>
        </w:rPr>
        <w:t xml:space="preserve"> although </w:t>
      </w:r>
      <w:r>
        <w:rPr>
          <w:sz w:val="26"/>
          <w:szCs w:val="26"/>
        </w:rPr>
        <w:t xml:space="preserve">the Complainant’s </w:t>
      </w:r>
      <w:r w:rsidR="00CB68C7">
        <w:rPr>
          <w:sz w:val="26"/>
          <w:szCs w:val="26"/>
        </w:rPr>
        <w:t>mothe</w:t>
      </w:r>
      <w:r w:rsidR="003F3639">
        <w:rPr>
          <w:sz w:val="26"/>
          <w:szCs w:val="26"/>
        </w:rPr>
        <w:t>r was available for the hearing,</w:t>
      </w:r>
      <w:r w:rsidR="00CB68C7">
        <w:rPr>
          <w:sz w:val="26"/>
          <w:szCs w:val="26"/>
        </w:rPr>
        <w:t xml:space="preserve"> the </w:t>
      </w:r>
      <w:r w:rsidR="00A65D80">
        <w:rPr>
          <w:sz w:val="26"/>
          <w:szCs w:val="26"/>
        </w:rPr>
        <w:t xml:space="preserve">case could not proceed in the absence of the Complainant.  The Complainant’s mother could not act as the Complainant because the </w:t>
      </w:r>
      <w:r w:rsidR="00CB68C7">
        <w:rPr>
          <w:sz w:val="26"/>
          <w:szCs w:val="26"/>
        </w:rPr>
        <w:t>Complaint had not been filed in both names</w:t>
      </w:r>
      <w:r w:rsidR="003F3639">
        <w:rPr>
          <w:sz w:val="26"/>
          <w:szCs w:val="26"/>
        </w:rPr>
        <w:t xml:space="preserve">.  Additionally, the Complainant’s </w:t>
      </w:r>
      <w:r w:rsidR="00CB68C7">
        <w:rPr>
          <w:sz w:val="26"/>
          <w:szCs w:val="26"/>
        </w:rPr>
        <w:t>mother was not an attorney and could not represent her daughter</w:t>
      </w:r>
      <w:r w:rsidR="005728EE">
        <w:rPr>
          <w:sz w:val="26"/>
          <w:szCs w:val="26"/>
        </w:rPr>
        <w:t xml:space="preserve"> at the hearing.  I.D. at 4-5. </w:t>
      </w:r>
      <w:r w:rsidR="00EE045C">
        <w:rPr>
          <w:sz w:val="26"/>
          <w:szCs w:val="26"/>
        </w:rPr>
        <w:t xml:space="preserve"> Consequently, </w:t>
      </w:r>
      <w:r w:rsidR="00EF5C0E">
        <w:rPr>
          <w:sz w:val="26"/>
          <w:szCs w:val="26"/>
        </w:rPr>
        <w:t>the ALJ dismissed the Complaint</w:t>
      </w:r>
      <w:r w:rsidR="00EE045C">
        <w:rPr>
          <w:sz w:val="26"/>
          <w:szCs w:val="26"/>
        </w:rPr>
        <w:t xml:space="preserve"> with prejudice.</w:t>
      </w:r>
    </w:p>
    <w:p w:rsidR="00292CCD" w:rsidRDefault="00292CCD" w:rsidP="002C7397">
      <w:pPr>
        <w:spacing w:line="360" w:lineRule="auto"/>
        <w:rPr>
          <w:b/>
          <w:sz w:val="26"/>
          <w:szCs w:val="26"/>
        </w:rPr>
      </w:pPr>
    </w:p>
    <w:p w:rsidR="0074031C" w:rsidRPr="002C7397" w:rsidRDefault="0074031C" w:rsidP="002C7397">
      <w:pPr>
        <w:spacing w:line="360" w:lineRule="auto"/>
        <w:rPr>
          <w:b/>
          <w:sz w:val="26"/>
          <w:szCs w:val="26"/>
        </w:rPr>
      </w:pPr>
      <w:r>
        <w:rPr>
          <w:b/>
          <w:sz w:val="26"/>
          <w:szCs w:val="26"/>
        </w:rPr>
        <w:t>Disposition</w:t>
      </w:r>
    </w:p>
    <w:p w:rsidR="0074031C" w:rsidRDefault="0074031C" w:rsidP="00F85022">
      <w:pPr>
        <w:spacing w:line="360" w:lineRule="auto"/>
        <w:ind w:firstLine="1440"/>
        <w:rPr>
          <w:sz w:val="26"/>
          <w:szCs w:val="26"/>
        </w:rPr>
      </w:pPr>
    </w:p>
    <w:p w:rsidR="009351CD" w:rsidRDefault="009351CD" w:rsidP="009351CD">
      <w:pPr>
        <w:spacing w:line="360" w:lineRule="auto"/>
        <w:ind w:firstLine="1440"/>
        <w:rPr>
          <w:sz w:val="26"/>
          <w:szCs w:val="26"/>
        </w:rPr>
      </w:pPr>
      <w:r w:rsidRPr="009351CD">
        <w:rPr>
          <w:sz w:val="26"/>
          <w:szCs w:val="26"/>
        </w:rPr>
        <w:t xml:space="preserve">We note with some consternation that the Commission is regularly inundated with complaints that result in dismissal with prejudice due to complainants’ failure to appear.  This result is both costly and frustrating to all parties involved including the Commission and the </w:t>
      </w:r>
      <w:r w:rsidR="002F1695">
        <w:rPr>
          <w:sz w:val="26"/>
          <w:szCs w:val="26"/>
        </w:rPr>
        <w:t>respondents to the complaint</w:t>
      </w:r>
      <w:r w:rsidR="00B84963">
        <w:rPr>
          <w:sz w:val="26"/>
          <w:szCs w:val="26"/>
        </w:rPr>
        <w:t>s</w:t>
      </w:r>
      <w:r w:rsidR="002F1695">
        <w:rPr>
          <w:sz w:val="26"/>
          <w:szCs w:val="26"/>
        </w:rPr>
        <w:t>.  We</w:t>
      </w:r>
      <w:r w:rsidRPr="009351CD">
        <w:rPr>
          <w:sz w:val="26"/>
          <w:szCs w:val="26"/>
        </w:rPr>
        <w:t xml:space="preserve"> also note that the Commission and specifically our ALJs frequently go beyond what is necessary to provide </w:t>
      </w:r>
      <w:r w:rsidRPr="009351CD">
        <w:rPr>
          <w:i/>
          <w:sz w:val="26"/>
          <w:szCs w:val="26"/>
        </w:rPr>
        <w:t>pro se</w:t>
      </w:r>
      <w:r w:rsidRPr="009351CD">
        <w:rPr>
          <w:sz w:val="26"/>
          <w:szCs w:val="26"/>
        </w:rPr>
        <w:t xml:space="preserve"> complainants the opportunity to be heard and to receive due process.</w:t>
      </w:r>
    </w:p>
    <w:p w:rsidR="009351CD" w:rsidRPr="009351CD" w:rsidRDefault="009351CD" w:rsidP="009351CD">
      <w:pPr>
        <w:spacing w:line="360" w:lineRule="auto"/>
        <w:ind w:firstLine="1440"/>
        <w:rPr>
          <w:sz w:val="26"/>
          <w:szCs w:val="26"/>
        </w:rPr>
      </w:pPr>
    </w:p>
    <w:p w:rsidR="009351CD" w:rsidRDefault="009351CD" w:rsidP="009351CD">
      <w:pPr>
        <w:spacing w:line="360" w:lineRule="auto"/>
        <w:ind w:firstLine="1440"/>
        <w:rPr>
          <w:sz w:val="26"/>
          <w:szCs w:val="26"/>
        </w:rPr>
      </w:pPr>
      <w:r w:rsidRPr="009351CD">
        <w:rPr>
          <w:sz w:val="26"/>
          <w:szCs w:val="26"/>
        </w:rPr>
        <w:t xml:space="preserve">With that said, however, the decision in this case raises some question of due process in that there are statements in the Initial Decision that suggest that </w:t>
      </w:r>
      <w:r w:rsidR="002F1695">
        <w:rPr>
          <w:sz w:val="26"/>
          <w:szCs w:val="26"/>
        </w:rPr>
        <w:t xml:space="preserve">the </w:t>
      </w:r>
      <w:r w:rsidRPr="009351CD">
        <w:rPr>
          <w:sz w:val="26"/>
          <w:szCs w:val="26"/>
        </w:rPr>
        <w:t xml:space="preserve">Complainant’s failure to participate in the hearing at issue was due to her incarceration.  Our </w:t>
      </w:r>
      <w:r w:rsidR="00B84963">
        <w:rPr>
          <w:sz w:val="26"/>
          <w:szCs w:val="26"/>
        </w:rPr>
        <w:t>R</w:t>
      </w:r>
      <w:r w:rsidRPr="009351CD">
        <w:rPr>
          <w:sz w:val="26"/>
          <w:szCs w:val="26"/>
        </w:rPr>
        <w:t xml:space="preserve">egulations provide guidance for these situations in that they provide that a complainant generally waives the opportunity to participate in a hearing if the </w:t>
      </w:r>
      <w:r w:rsidRPr="009351CD">
        <w:rPr>
          <w:sz w:val="26"/>
          <w:szCs w:val="26"/>
        </w:rPr>
        <w:lastRenderedPageBreak/>
        <w:t xml:space="preserve">complainant fails to appear or </w:t>
      </w:r>
      <w:r w:rsidR="00C651C3">
        <w:rPr>
          <w:sz w:val="26"/>
          <w:szCs w:val="26"/>
        </w:rPr>
        <w:t xml:space="preserve">to </w:t>
      </w:r>
      <w:r w:rsidRPr="009351CD">
        <w:rPr>
          <w:sz w:val="26"/>
          <w:szCs w:val="26"/>
        </w:rPr>
        <w:t xml:space="preserve">be represented after receiving notice of a hearing.  However, this provision is specifically not applicable if a complainant’s failure to appear is unavoidable.  </w:t>
      </w:r>
      <w:r w:rsidRPr="003A4F5A">
        <w:rPr>
          <w:i/>
          <w:sz w:val="26"/>
          <w:szCs w:val="26"/>
        </w:rPr>
        <w:t>See</w:t>
      </w:r>
      <w:r w:rsidRPr="009351CD">
        <w:rPr>
          <w:sz w:val="26"/>
          <w:szCs w:val="26"/>
        </w:rPr>
        <w:t xml:space="preserve"> 52 Pa Code § 5.245. </w:t>
      </w:r>
    </w:p>
    <w:p w:rsidR="009351CD" w:rsidRPr="009351CD" w:rsidRDefault="009351CD" w:rsidP="009351CD">
      <w:pPr>
        <w:spacing w:line="360" w:lineRule="auto"/>
        <w:ind w:firstLine="1440"/>
        <w:rPr>
          <w:sz w:val="26"/>
          <w:szCs w:val="26"/>
        </w:rPr>
      </w:pPr>
    </w:p>
    <w:p w:rsidR="009351CD" w:rsidRPr="009351CD" w:rsidRDefault="009351CD" w:rsidP="009351CD">
      <w:pPr>
        <w:spacing w:line="360" w:lineRule="auto"/>
        <w:ind w:firstLine="1440"/>
        <w:rPr>
          <w:sz w:val="26"/>
          <w:szCs w:val="26"/>
        </w:rPr>
      </w:pPr>
      <w:r w:rsidRPr="009351CD">
        <w:rPr>
          <w:sz w:val="26"/>
          <w:szCs w:val="26"/>
        </w:rPr>
        <w:t xml:space="preserve">Although the record is not absolutely clear about the reason for the Complainant’s failure to appear at the hearing in question, incarceration </w:t>
      </w:r>
      <w:r w:rsidR="002F1695">
        <w:rPr>
          <w:sz w:val="26"/>
          <w:szCs w:val="26"/>
        </w:rPr>
        <w:t xml:space="preserve">presents a situation in which the failure to appear </w:t>
      </w:r>
      <w:r w:rsidRPr="009351CD">
        <w:rPr>
          <w:sz w:val="26"/>
          <w:szCs w:val="26"/>
        </w:rPr>
        <w:t>is unavoidable.  Thus in order to maintain the Complainant’s due process</w:t>
      </w:r>
      <w:r w:rsidR="00C651C3">
        <w:rPr>
          <w:sz w:val="26"/>
          <w:szCs w:val="26"/>
        </w:rPr>
        <w:t xml:space="preserve"> rights</w:t>
      </w:r>
      <w:r w:rsidRPr="009351CD">
        <w:rPr>
          <w:sz w:val="26"/>
          <w:szCs w:val="26"/>
        </w:rPr>
        <w:t xml:space="preserve">, the disposition of this case should be modified and </w:t>
      </w:r>
      <w:r w:rsidR="002F1695">
        <w:rPr>
          <w:sz w:val="26"/>
          <w:szCs w:val="26"/>
        </w:rPr>
        <w:t xml:space="preserve">we will dismiss </w:t>
      </w:r>
      <w:r w:rsidRPr="009351CD">
        <w:rPr>
          <w:sz w:val="26"/>
          <w:szCs w:val="26"/>
        </w:rPr>
        <w:t>the case without prejudice.</w:t>
      </w:r>
    </w:p>
    <w:p w:rsidR="009351CD" w:rsidRPr="00391DE2" w:rsidRDefault="00342993" w:rsidP="009351CD">
      <w:pPr>
        <w:spacing w:line="360" w:lineRule="auto"/>
        <w:ind w:firstLine="1440"/>
        <w:rPr>
          <w:sz w:val="26"/>
          <w:szCs w:val="26"/>
        </w:rPr>
      </w:pPr>
      <w:r w:rsidRPr="00342993">
        <w:rPr>
          <w:sz w:val="26"/>
          <w:szCs w:val="26"/>
        </w:rPr>
        <w:t xml:space="preserve"> </w:t>
      </w:r>
    </w:p>
    <w:p w:rsidR="00D620FA" w:rsidRPr="00385898" w:rsidRDefault="00D620FA" w:rsidP="00F85022">
      <w:pPr>
        <w:spacing w:line="360" w:lineRule="auto"/>
        <w:jc w:val="center"/>
        <w:rPr>
          <w:b/>
          <w:sz w:val="26"/>
          <w:szCs w:val="26"/>
        </w:rPr>
      </w:pPr>
      <w:r w:rsidRPr="00385898">
        <w:rPr>
          <w:b/>
          <w:sz w:val="26"/>
          <w:szCs w:val="26"/>
        </w:rPr>
        <w:t>Conclusion</w:t>
      </w:r>
    </w:p>
    <w:p w:rsidR="00D620FA" w:rsidRPr="00385898" w:rsidRDefault="00D620FA" w:rsidP="00F85022">
      <w:pPr>
        <w:spacing w:line="360" w:lineRule="auto"/>
        <w:rPr>
          <w:sz w:val="26"/>
          <w:szCs w:val="26"/>
        </w:rPr>
      </w:pPr>
    </w:p>
    <w:p w:rsidR="00E13C7F" w:rsidRDefault="00D620FA" w:rsidP="00F85022">
      <w:pPr>
        <w:spacing w:line="360" w:lineRule="auto"/>
        <w:rPr>
          <w:sz w:val="26"/>
          <w:szCs w:val="26"/>
        </w:rPr>
      </w:pPr>
      <w:r>
        <w:rPr>
          <w:sz w:val="26"/>
          <w:szCs w:val="26"/>
        </w:rPr>
        <w:tab/>
      </w:r>
      <w:r>
        <w:rPr>
          <w:sz w:val="26"/>
          <w:szCs w:val="26"/>
        </w:rPr>
        <w:tab/>
        <w:t xml:space="preserve">Based on </w:t>
      </w:r>
      <w:r w:rsidR="009351CD">
        <w:rPr>
          <w:sz w:val="26"/>
          <w:szCs w:val="26"/>
        </w:rPr>
        <w:t>our review of the record, we shall modify</w:t>
      </w:r>
      <w:r w:rsidR="00391DE2">
        <w:rPr>
          <w:sz w:val="26"/>
          <w:szCs w:val="26"/>
        </w:rPr>
        <w:t xml:space="preserve"> the ALJ</w:t>
      </w:r>
      <w:r>
        <w:rPr>
          <w:sz w:val="26"/>
          <w:szCs w:val="26"/>
        </w:rPr>
        <w:t xml:space="preserve">’s Initial Decision, consistent with this Opinion and Order; </w:t>
      </w:r>
      <w:r w:rsidRPr="00956972">
        <w:rPr>
          <w:b/>
          <w:sz w:val="26"/>
          <w:szCs w:val="26"/>
        </w:rPr>
        <w:t>THEREFORE,</w:t>
      </w:r>
      <w:r>
        <w:rPr>
          <w:sz w:val="26"/>
          <w:szCs w:val="26"/>
        </w:rPr>
        <w:t xml:space="preserve"> </w:t>
      </w:r>
    </w:p>
    <w:p w:rsidR="007522BC" w:rsidRDefault="007522BC" w:rsidP="00F85022">
      <w:pPr>
        <w:spacing w:line="360" w:lineRule="auto"/>
        <w:rPr>
          <w:sz w:val="26"/>
          <w:szCs w:val="26"/>
        </w:rPr>
      </w:pPr>
    </w:p>
    <w:p w:rsidR="00D620FA" w:rsidRPr="00E13C7F" w:rsidRDefault="00E13C7F" w:rsidP="00F85022">
      <w:pPr>
        <w:spacing w:line="360" w:lineRule="auto"/>
        <w:rPr>
          <w:sz w:val="26"/>
          <w:szCs w:val="26"/>
        </w:rPr>
      </w:pPr>
      <w:r>
        <w:rPr>
          <w:sz w:val="26"/>
          <w:szCs w:val="26"/>
        </w:rPr>
        <w:tab/>
      </w:r>
      <w:r>
        <w:rPr>
          <w:sz w:val="26"/>
          <w:szCs w:val="26"/>
        </w:rPr>
        <w:tab/>
      </w:r>
      <w:r>
        <w:rPr>
          <w:sz w:val="26"/>
          <w:szCs w:val="26"/>
        </w:rPr>
        <w:tab/>
      </w:r>
      <w:r w:rsidR="00D620FA" w:rsidRPr="000D6043">
        <w:rPr>
          <w:b/>
          <w:sz w:val="26"/>
          <w:szCs w:val="26"/>
        </w:rPr>
        <w:t>IT IS ORDERED:</w:t>
      </w:r>
    </w:p>
    <w:p w:rsidR="00D620FA" w:rsidRDefault="00D620FA" w:rsidP="00F85022">
      <w:pPr>
        <w:spacing w:line="360" w:lineRule="auto"/>
        <w:rPr>
          <w:sz w:val="26"/>
          <w:szCs w:val="26"/>
        </w:rPr>
      </w:pPr>
    </w:p>
    <w:p w:rsidR="00D620FA" w:rsidRDefault="00D620FA" w:rsidP="004467D7">
      <w:pPr>
        <w:pStyle w:val="ListParagraph"/>
        <w:numPr>
          <w:ilvl w:val="0"/>
          <w:numId w:val="1"/>
        </w:numPr>
        <w:spacing w:line="360" w:lineRule="auto"/>
        <w:ind w:left="0" w:firstLine="1440"/>
        <w:rPr>
          <w:sz w:val="26"/>
          <w:szCs w:val="26"/>
        </w:rPr>
      </w:pPr>
      <w:r w:rsidRPr="00A41656">
        <w:rPr>
          <w:sz w:val="26"/>
          <w:szCs w:val="26"/>
        </w:rPr>
        <w:t>Tha</w:t>
      </w:r>
      <w:r w:rsidR="002962DC">
        <w:rPr>
          <w:sz w:val="26"/>
          <w:szCs w:val="26"/>
        </w:rPr>
        <w:t>t the Initial Decision of Administrative</w:t>
      </w:r>
      <w:r w:rsidR="009351CD">
        <w:rPr>
          <w:sz w:val="26"/>
          <w:szCs w:val="26"/>
        </w:rPr>
        <w:t xml:space="preserve"> Law Judge Kandace F</w:t>
      </w:r>
      <w:r w:rsidR="005728EE">
        <w:rPr>
          <w:sz w:val="26"/>
          <w:szCs w:val="26"/>
        </w:rPr>
        <w:t>.</w:t>
      </w:r>
      <w:r w:rsidR="009351CD">
        <w:rPr>
          <w:sz w:val="26"/>
          <w:szCs w:val="26"/>
        </w:rPr>
        <w:t xml:space="preserve"> Melillo</w:t>
      </w:r>
      <w:r w:rsidR="003247DB">
        <w:rPr>
          <w:sz w:val="26"/>
          <w:szCs w:val="26"/>
        </w:rPr>
        <w:t xml:space="preserve">, issued </w:t>
      </w:r>
      <w:r w:rsidR="00B84963">
        <w:rPr>
          <w:sz w:val="26"/>
          <w:szCs w:val="26"/>
        </w:rPr>
        <w:t xml:space="preserve">on </w:t>
      </w:r>
      <w:r w:rsidR="009351CD">
        <w:rPr>
          <w:sz w:val="26"/>
          <w:szCs w:val="26"/>
        </w:rPr>
        <w:t>March 31</w:t>
      </w:r>
      <w:r w:rsidR="002962DC">
        <w:rPr>
          <w:sz w:val="26"/>
          <w:szCs w:val="26"/>
        </w:rPr>
        <w:t>, 201</w:t>
      </w:r>
      <w:r w:rsidR="0064365A">
        <w:rPr>
          <w:sz w:val="26"/>
          <w:szCs w:val="26"/>
        </w:rPr>
        <w:t>4</w:t>
      </w:r>
      <w:r w:rsidR="002962DC">
        <w:rPr>
          <w:sz w:val="26"/>
          <w:szCs w:val="26"/>
        </w:rPr>
        <w:t>, is adopted</w:t>
      </w:r>
      <w:r w:rsidR="00D42AF2">
        <w:rPr>
          <w:sz w:val="26"/>
          <w:szCs w:val="26"/>
        </w:rPr>
        <w:t>, as modified</w:t>
      </w:r>
      <w:r w:rsidRPr="00A41656">
        <w:rPr>
          <w:sz w:val="26"/>
          <w:szCs w:val="26"/>
        </w:rPr>
        <w:t>, consistent with this Opinion and Order.</w:t>
      </w:r>
    </w:p>
    <w:p w:rsidR="009351CD" w:rsidRPr="009351CD" w:rsidRDefault="009351CD" w:rsidP="009351CD">
      <w:pPr>
        <w:spacing w:line="360" w:lineRule="auto"/>
        <w:rPr>
          <w:sz w:val="26"/>
          <w:szCs w:val="26"/>
        </w:rPr>
      </w:pPr>
    </w:p>
    <w:p w:rsidR="009351CD" w:rsidRPr="00A41656" w:rsidRDefault="009351CD" w:rsidP="004467D7">
      <w:pPr>
        <w:pStyle w:val="ListParagraph"/>
        <w:numPr>
          <w:ilvl w:val="0"/>
          <w:numId w:val="1"/>
        </w:numPr>
        <w:spacing w:line="360" w:lineRule="auto"/>
        <w:ind w:left="0" w:firstLine="1440"/>
        <w:rPr>
          <w:sz w:val="26"/>
          <w:szCs w:val="26"/>
        </w:rPr>
      </w:pPr>
      <w:r>
        <w:rPr>
          <w:sz w:val="26"/>
          <w:szCs w:val="26"/>
        </w:rPr>
        <w:t>That the Complaint filed by C</w:t>
      </w:r>
      <w:r w:rsidR="00B84963">
        <w:rPr>
          <w:sz w:val="26"/>
          <w:szCs w:val="26"/>
        </w:rPr>
        <w:t>h</w:t>
      </w:r>
      <w:r>
        <w:rPr>
          <w:sz w:val="26"/>
          <w:szCs w:val="26"/>
        </w:rPr>
        <w:t>rystal Garber on November</w:t>
      </w:r>
      <w:r w:rsidRPr="009351CD">
        <w:rPr>
          <w:sz w:val="26"/>
          <w:szCs w:val="26"/>
        </w:rPr>
        <w:t xml:space="preserve"> 12, 2013</w:t>
      </w:r>
      <w:r>
        <w:rPr>
          <w:sz w:val="26"/>
          <w:szCs w:val="26"/>
        </w:rPr>
        <w:t xml:space="preserve"> is dismissed without prejudice.</w:t>
      </w:r>
    </w:p>
    <w:p w:rsidR="00D620FA" w:rsidRPr="001F5074" w:rsidRDefault="00D620FA" w:rsidP="00F85022">
      <w:pPr>
        <w:spacing w:line="360" w:lineRule="auto"/>
        <w:ind w:firstLine="1440"/>
        <w:rPr>
          <w:sz w:val="26"/>
        </w:rPr>
      </w:pPr>
    </w:p>
    <w:p w:rsidR="006235E8" w:rsidRDefault="006235E8">
      <w:pPr>
        <w:spacing w:after="200" w:line="276" w:lineRule="auto"/>
        <w:rPr>
          <w:sz w:val="26"/>
        </w:rPr>
      </w:pPr>
      <w:r>
        <w:rPr>
          <w:sz w:val="26"/>
        </w:rPr>
        <w:br w:type="page"/>
      </w:r>
    </w:p>
    <w:p w:rsidR="00D620FA" w:rsidRPr="003247DB" w:rsidRDefault="00D620FA" w:rsidP="003247DB">
      <w:pPr>
        <w:pStyle w:val="ListParagraph"/>
        <w:numPr>
          <w:ilvl w:val="0"/>
          <w:numId w:val="1"/>
        </w:numPr>
        <w:spacing w:line="360" w:lineRule="auto"/>
        <w:rPr>
          <w:sz w:val="26"/>
        </w:rPr>
      </w:pPr>
      <w:r w:rsidRPr="003247DB">
        <w:rPr>
          <w:sz w:val="26"/>
        </w:rPr>
        <w:lastRenderedPageBreak/>
        <w:t>That the Secretary’s Bureau shall mark this proceeding closed</w:t>
      </w:r>
      <w:r w:rsidR="003247DB" w:rsidRPr="003247DB">
        <w:rPr>
          <w:sz w:val="26"/>
        </w:rPr>
        <w:t>.</w:t>
      </w:r>
      <w:r w:rsidRPr="003247DB">
        <w:rPr>
          <w:sz w:val="26"/>
        </w:rPr>
        <w:t xml:space="preserve"> </w:t>
      </w:r>
    </w:p>
    <w:p w:rsidR="003247DB" w:rsidRDefault="003247DB" w:rsidP="003C071E">
      <w:pPr>
        <w:pStyle w:val="ListParagraph"/>
        <w:spacing w:line="360" w:lineRule="auto"/>
        <w:ind w:left="2160"/>
        <w:rPr>
          <w:sz w:val="26"/>
          <w:szCs w:val="26"/>
        </w:rPr>
      </w:pPr>
    </w:p>
    <w:p w:rsidR="00D620FA" w:rsidRPr="003C63B1" w:rsidRDefault="004F7663" w:rsidP="00F85022">
      <w:pPr>
        <w:spacing w:line="360" w:lineRule="auto"/>
        <w:rPr>
          <w:sz w:val="26"/>
        </w:rPr>
      </w:pPr>
      <w:r>
        <w:rPr>
          <w:noProof/>
        </w:rPr>
        <w:drawing>
          <wp:anchor distT="0" distB="0" distL="114300" distR="114300" simplePos="0" relativeHeight="251659264" behindDoc="1" locked="0" layoutInCell="1" allowOverlap="1" wp14:anchorId="616642D7" wp14:editId="2B1F232D">
            <wp:simplePos x="0" y="0"/>
            <wp:positionH relativeFrom="column">
              <wp:posOffset>2905125</wp:posOffset>
            </wp:positionH>
            <wp:positionV relativeFrom="paragraph">
              <wp:posOffset>113030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620FA">
        <w:rPr>
          <w:sz w:val="26"/>
          <w:szCs w:val="26"/>
        </w:rPr>
        <w:tab/>
      </w:r>
      <w:r w:rsidR="00D620FA">
        <w:rPr>
          <w:sz w:val="26"/>
          <w:szCs w:val="26"/>
        </w:rPr>
        <w:tab/>
        <w:t xml:space="preserve"> </w:t>
      </w:r>
      <w:r w:rsidR="00D620FA">
        <w:rPr>
          <w:sz w:val="26"/>
          <w:szCs w:val="26"/>
        </w:rPr>
        <w:tab/>
      </w:r>
      <w:r w:rsidR="00D620FA">
        <w:rPr>
          <w:sz w:val="26"/>
          <w:szCs w:val="26"/>
        </w:rPr>
        <w:tab/>
      </w:r>
      <w:r w:rsidR="00D620FA">
        <w:rPr>
          <w:sz w:val="26"/>
          <w:szCs w:val="26"/>
        </w:rPr>
        <w:tab/>
      </w:r>
      <w:r w:rsidR="00D620FA" w:rsidRPr="000D6043">
        <w:rPr>
          <w:sz w:val="26"/>
          <w:szCs w:val="26"/>
        </w:rPr>
        <w:tab/>
      </w:r>
      <w:r w:rsidR="00D620FA" w:rsidRPr="000D6043">
        <w:rPr>
          <w:sz w:val="26"/>
          <w:szCs w:val="26"/>
        </w:rPr>
        <w:tab/>
      </w:r>
      <w:r w:rsidR="00D620FA" w:rsidRPr="003C63B1">
        <w:rPr>
          <w:b/>
          <w:sz w:val="26"/>
        </w:rPr>
        <w:t>BY THE COMMISSION,</w:t>
      </w:r>
    </w:p>
    <w:p w:rsidR="004F7663" w:rsidRDefault="004F7663"/>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bookmarkStart w:id="0" w:name="_GoBack"/>
      <w:bookmarkEnd w:id="0"/>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D620FA" w:rsidRPr="003C63B1" w:rsidRDefault="00D620FA" w:rsidP="00F8502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r w:rsidRPr="003C63B1">
        <w:rPr>
          <w:sz w:val="26"/>
        </w:rPr>
        <w:t>(SEAL)</w:t>
      </w:r>
    </w:p>
    <w:p w:rsidR="004F7663" w:rsidRDefault="004F7663" w:rsidP="00F85022">
      <w:pPr>
        <w:tabs>
          <w:tab w:val="left" w:pos="-720"/>
        </w:tabs>
        <w:suppressAutoHyphens/>
        <w:rPr>
          <w:sz w:val="26"/>
        </w:rPr>
      </w:pPr>
    </w:p>
    <w:p w:rsidR="00D620FA" w:rsidRPr="003C63B1" w:rsidRDefault="00D620FA" w:rsidP="00F85022">
      <w:pPr>
        <w:tabs>
          <w:tab w:val="left" w:pos="-720"/>
        </w:tabs>
        <w:suppressAutoHyphens/>
        <w:rPr>
          <w:sz w:val="26"/>
        </w:rPr>
      </w:pPr>
      <w:r>
        <w:rPr>
          <w:sz w:val="26"/>
        </w:rPr>
        <w:t xml:space="preserve">ORDER ADOPTED:  </w:t>
      </w:r>
      <w:r w:rsidR="009351CD">
        <w:rPr>
          <w:sz w:val="26"/>
        </w:rPr>
        <w:t>June 5</w:t>
      </w:r>
      <w:r w:rsidR="00BA4C71">
        <w:rPr>
          <w:sz w:val="26"/>
        </w:rPr>
        <w:t>, 2014</w:t>
      </w:r>
    </w:p>
    <w:p w:rsidR="004F7663" w:rsidRDefault="004F7663" w:rsidP="00F85022">
      <w:pPr>
        <w:tabs>
          <w:tab w:val="left" w:pos="-720"/>
        </w:tabs>
        <w:suppressAutoHyphens/>
        <w:rPr>
          <w:sz w:val="26"/>
        </w:rPr>
      </w:pPr>
    </w:p>
    <w:p w:rsidR="00D620FA" w:rsidRPr="003C63B1" w:rsidRDefault="004F7663" w:rsidP="00F85022">
      <w:pPr>
        <w:tabs>
          <w:tab w:val="left" w:pos="-720"/>
        </w:tabs>
        <w:suppressAutoHyphens/>
        <w:rPr>
          <w:sz w:val="26"/>
        </w:rPr>
      </w:pPr>
      <w:r>
        <w:rPr>
          <w:sz w:val="26"/>
        </w:rPr>
        <w:t>ORDER ENTERED:   July 3, 2014</w:t>
      </w:r>
    </w:p>
    <w:p w:rsidR="00D620FA" w:rsidRPr="0068534B" w:rsidRDefault="00D620FA">
      <w:pPr>
        <w:spacing w:line="360" w:lineRule="auto"/>
        <w:rPr>
          <w:sz w:val="26"/>
        </w:rPr>
      </w:pPr>
    </w:p>
    <w:sectPr w:rsidR="00D620FA" w:rsidRPr="0068534B" w:rsidSect="00F8502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2F" w:rsidRDefault="00830B2F" w:rsidP="00091A47">
      <w:r>
        <w:separator/>
      </w:r>
    </w:p>
  </w:endnote>
  <w:endnote w:type="continuationSeparator" w:id="0">
    <w:p w:rsidR="00830B2F" w:rsidRDefault="00830B2F" w:rsidP="0009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542502"/>
      <w:docPartObj>
        <w:docPartGallery w:val="Page Numbers (Bottom of Page)"/>
        <w:docPartUnique/>
      </w:docPartObj>
    </w:sdtPr>
    <w:sdtEndPr>
      <w:rPr>
        <w:noProof/>
        <w:sz w:val="26"/>
        <w:szCs w:val="26"/>
      </w:rPr>
    </w:sdtEndPr>
    <w:sdtContent>
      <w:p w:rsidR="00F85022" w:rsidRPr="00F00CF4" w:rsidRDefault="00F85022">
        <w:pPr>
          <w:pStyle w:val="Footer"/>
          <w:jc w:val="center"/>
          <w:rPr>
            <w:sz w:val="26"/>
            <w:szCs w:val="26"/>
          </w:rPr>
        </w:pPr>
        <w:r w:rsidRPr="00F00CF4">
          <w:rPr>
            <w:sz w:val="26"/>
            <w:szCs w:val="26"/>
          </w:rPr>
          <w:fldChar w:fldCharType="begin"/>
        </w:r>
        <w:r w:rsidRPr="00F00CF4">
          <w:rPr>
            <w:sz w:val="26"/>
            <w:szCs w:val="26"/>
          </w:rPr>
          <w:instrText xml:space="preserve"> PAGE   \* MERGEFORMAT </w:instrText>
        </w:r>
        <w:r w:rsidRPr="00F00CF4">
          <w:rPr>
            <w:sz w:val="26"/>
            <w:szCs w:val="26"/>
          </w:rPr>
          <w:fldChar w:fldCharType="separate"/>
        </w:r>
        <w:r w:rsidR="004F7663">
          <w:rPr>
            <w:noProof/>
            <w:sz w:val="26"/>
            <w:szCs w:val="26"/>
          </w:rPr>
          <w:t>7</w:t>
        </w:r>
        <w:r w:rsidRPr="00F00CF4">
          <w:rPr>
            <w:noProof/>
            <w:sz w:val="26"/>
            <w:szCs w:val="26"/>
          </w:rPr>
          <w:fldChar w:fldCharType="end"/>
        </w:r>
      </w:p>
    </w:sdtContent>
  </w:sdt>
  <w:p w:rsidR="00F85022" w:rsidRDefault="00F85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2F" w:rsidRDefault="00830B2F" w:rsidP="00091A47">
      <w:r>
        <w:separator/>
      </w:r>
    </w:p>
  </w:footnote>
  <w:footnote w:type="continuationSeparator" w:id="0">
    <w:p w:rsidR="00830B2F" w:rsidRDefault="00830B2F" w:rsidP="00091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404D"/>
    <w:multiLevelType w:val="hybridMultilevel"/>
    <w:tmpl w:val="E6A6EC72"/>
    <w:lvl w:ilvl="0" w:tplc="6838AF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1D"/>
    <w:rsid w:val="000208E4"/>
    <w:rsid w:val="0003635F"/>
    <w:rsid w:val="000917B2"/>
    <w:rsid w:val="00091A47"/>
    <w:rsid w:val="00096EEE"/>
    <w:rsid w:val="000C2F5B"/>
    <w:rsid w:val="000D45DD"/>
    <w:rsid w:val="00134469"/>
    <w:rsid w:val="00162F68"/>
    <w:rsid w:val="00163096"/>
    <w:rsid w:val="00177933"/>
    <w:rsid w:val="00180DBA"/>
    <w:rsid w:val="00180EBC"/>
    <w:rsid w:val="00194D37"/>
    <w:rsid w:val="00202548"/>
    <w:rsid w:val="0026582E"/>
    <w:rsid w:val="00292CCD"/>
    <w:rsid w:val="002962DC"/>
    <w:rsid w:val="002A2B3D"/>
    <w:rsid w:val="002C5696"/>
    <w:rsid w:val="002C7397"/>
    <w:rsid w:val="002D4B3E"/>
    <w:rsid w:val="002E1E7B"/>
    <w:rsid w:val="002F1695"/>
    <w:rsid w:val="003247DB"/>
    <w:rsid w:val="00342993"/>
    <w:rsid w:val="00355C59"/>
    <w:rsid w:val="00375448"/>
    <w:rsid w:val="00391DE2"/>
    <w:rsid w:val="00396462"/>
    <w:rsid w:val="003A121D"/>
    <w:rsid w:val="003A4F5A"/>
    <w:rsid w:val="003C071E"/>
    <w:rsid w:val="003E72F3"/>
    <w:rsid w:val="003E7B9A"/>
    <w:rsid w:val="003F3639"/>
    <w:rsid w:val="00436D61"/>
    <w:rsid w:val="004467D7"/>
    <w:rsid w:val="00447B2A"/>
    <w:rsid w:val="00476A97"/>
    <w:rsid w:val="004B0B46"/>
    <w:rsid w:val="004C690F"/>
    <w:rsid w:val="004F7663"/>
    <w:rsid w:val="005728EE"/>
    <w:rsid w:val="005C5A93"/>
    <w:rsid w:val="005F0CDB"/>
    <w:rsid w:val="00602C29"/>
    <w:rsid w:val="006235E8"/>
    <w:rsid w:val="00640AC8"/>
    <w:rsid w:val="0064365A"/>
    <w:rsid w:val="00650C15"/>
    <w:rsid w:val="00651F7A"/>
    <w:rsid w:val="00655C93"/>
    <w:rsid w:val="0068534B"/>
    <w:rsid w:val="006A15B1"/>
    <w:rsid w:val="006B5070"/>
    <w:rsid w:val="006C147B"/>
    <w:rsid w:val="006F18B0"/>
    <w:rsid w:val="006F489D"/>
    <w:rsid w:val="00705C06"/>
    <w:rsid w:val="0074031C"/>
    <w:rsid w:val="00746F59"/>
    <w:rsid w:val="007522BC"/>
    <w:rsid w:val="00754193"/>
    <w:rsid w:val="00776A4A"/>
    <w:rsid w:val="0079419B"/>
    <w:rsid w:val="007C5454"/>
    <w:rsid w:val="007E3AEF"/>
    <w:rsid w:val="007E7E91"/>
    <w:rsid w:val="0080798B"/>
    <w:rsid w:val="0081081B"/>
    <w:rsid w:val="00830B2F"/>
    <w:rsid w:val="00831EBF"/>
    <w:rsid w:val="00856134"/>
    <w:rsid w:val="008634C9"/>
    <w:rsid w:val="00864CED"/>
    <w:rsid w:val="008915F8"/>
    <w:rsid w:val="008A2365"/>
    <w:rsid w:val="008B5835"/>
    <w:rsid w:val="008C6ABA"/>
    <w:rsid w:val="0091410C"/>
    <w:rsid w:val="009351CD"/>
    <w:rsid w:val="009605E2"/>
    <w:rsid w:val="00963727"/>
    <w:rsid w:val="00980F3E"/>
    <w:rsid w:val="0099249A"/>
    <w:rsid w:val="009B1641"/>
    <w:rsid w:val="009B6FE0"/>
    <w:rsid w:val="009D31C4"/>
    <w:rsid w:val="009D4844"/>
    <w:rsid w:val="00A3187E"/>
    <w:rsid w:val="00A37C4D"/>
    <w:rsid w:val="00A41656"/>
    <w:rsid w:val="00A65D80"/>
    <w:rsid w:val="00AA164F"/>
    <w:rsid w:val="00AA7C31"/>
    <w:rsid w:val="00AB6D89"/>
    <w:rsid w:val="00B245D8"/>
    <w:rsid w:val="00B340A1"/>
    <w:rsid w:val="00B53F47"/>
    <w:rsid w:val="00B84963"/>
    <w:rsid w:val="00B86FE2"/>
    <w:rsid w:val="00B94331"/>
    <w:rsid w:val="00B95764"/>
    <w:rsid w:val="00BA07D9"/>
    <w:rsid w:val="00BA4C71"/>
    <w:rsid w:val="00BC3BA5"/>
    <w:rsid w:val="00BC7C26"/>
    <w:rsid w:val="00C26058"/>
    <w:rsid w:val="00C32CF3"/>
    <w:rsid w:val="00C41BA1"/>
    <w:rsid w:val="00C54F58"/>
    <w:rsid w:val="00C631BA"/>
    <w:rsid w:val="00C651C3"/>
    <w:rsid w:val="00CB68C7"/>
    <w:rsid w:val="00CD0607"/>
    <w:rsid w:val="00D06B9A"/>
    <w:rsid w:val="00D25C44"/>
    <w:rsid w:val="00D42AF2"/>
    <w:rsid w:val="00D46AD3"/>
    <w:rsid w:val="00D46DDB"/>
    <w:rsid w:val="00D60F7F"/>
    <w:rsid w:val="00D620FA"/>
    <w:rsid w:val="00D7396D"/>
    <w:rsid w:val="00DB76BC"/>
    <w:rsid w:val="00E00C52"/>
    <w:rsid w:val="00E13C7F"/>
    <w:rsid w:val="00E323E8"/>
    <w:rsid w:val="00E577F3"/>
    <w:rsid w:val="00E66675"/>
    <w:rsid w:val="00EE045C"/>
    <w:rsid w:val="00EF59EE"/>
    <w:rsid w:val="00EF5C0E"/>
    <w:rsid w:val="00F00CF4"/>
    <w:rsid w:val="00F11588"/>
    <w:rsid w:val="00F4099C"/>
    <w:rsid w:val="00F43E9E"/>
    <w:rsid w:val="00F76A28"/>
    <w:rsid w:val="00F85022"/>
    <w:rsid w:val="00FB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91A47"/>
    <w:rPr>
      <w:vertAlign w:val="superscript"/>
    </w:rPr>
  </w:style>
  <w:style w:type="paragraph" w:styleId="FootnoteText">
    <w:name w:val="footnote text"/>
    <w:aliases w:val="Car"/>
    <w:basedOn w:val="Normal"/>
    <w:link w:val="FootnoteTextChar"/>
    <w:qFormat/>
    <w:rsid w:val="00091A47"/>
    <w:rPr>
      <w:sz w:val="20"/>
      <w:szCs w:val="20"/>
    </w:rPr>
  </w:style>
  <w:style w:type="character" w:customStyle="1" w:styleId="FootnoteTextChar">
    <w:name w:val="Footnote Text Char"/>
    <w:aliases w:val="Car Char"/>
    <w:basedOn w:val="DefaultParagraphFont"/>
    <w:link w:val="FootnoteText"/>
    <w:rsid w:val="00091A47"/>
    <w:rPr>
      <w:rFonts w:ascii="Times New Roman" w:eastAsia="Times New Roman" w:hAnsi="Times New Roman" w:cs="Times New Roman"/>
      <w:sz w:val="20"/>
      <w:szCs w:val="20"/>
    </w:rPr>
  </w:style>
  <w:style w:type="paragraph" w:styleId="ListParagraph">
    <w:name w:val="List Paragraph"/>
    <w:basedOn w:val="Normal"/>
    <w:uiPriority w:val="34"/>
    <w:qFormat/>
    <w:rsid w:val="00A41656"/>
    <w:pPr>
      <w:ind w:left="720"/>
      <w:contextualSpacing/>
    </w:pPr>
  </w:style>
  <w:style w:type="paragraph" w:styleId="Header">
    <w:name w:val="header"/>
    <w:basedOn w:val="Normal"/>
    <w:link w:val="HeaderChar"/>
    <w:uiPriority w:val="99"/>
    <w:unhideWhenUsed/>
    <w:rsid w:val="00F85022"/>
    <w:pPr>
      <w:tabs>
        <w:tab w:val="center" w:pos="4680"/>
        <w:tab w:val="right" w:pos="9360"/>
      </w:tabs>
    </w:pPr>
  </w:style>
  <w:style w:type="character" w:customStyle="1" w:styleId="HeaderChar">
    <w:name w:val="Header Char"/>
    <w:basedOn w:val="DefaultParagraphFont"/>
    <w:link w:val="Header"/>
    <w:uiPriority w:val="99"/>
    <w:rsid w:val="00F850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022"/>
    <w:pPr>
      <w:tabs>
        <w:tab w:val="center" w:pos="4680"/>
        <w:tab w:val="right" w:pos="9360"/>
      </w:tabs>
    </w:pPr>
  </w:style>
  <w:style w:type="character" w:customStyle="1" w:styleId="FooterChar">
    <w:name w:val="Footer Char"/>
    <w:basedOn w:val="DefaultParagraphFont"/>
    <w:link w:val="Footer"/>
    <w:uiPriority w:val="99"/>
    <w:rsid w:val="00F850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90F"/>
    <w:rPr>
      <w:rFonts w:ascii="Tahoma" w:hAnsi="Tahoma" w:cs="Tahoma"/>
      <w:sz w:val="16"/>
      <w:szCs w:val="16"/>
    </w:rPr>
  </w:style>
  <w:style w:type="character" w:customStyle="1" w:styleId="BalloonTextChar">
    <w:name w:val="Balloon Text Char"/>
    <w:basedOn w:val="DefaultParagraphFont"/>
    <w:link w:val="BalloonText"/>
    <w:uiPriority w:val="99"/>
    <w:semiHidden/>
    <w:rsid w:val="004C690F"/>
    <w:rPr>
      <w:rFonts w:ascii="Tahoma" w:eastAsia="Times New Roman" w:hAnsi="Tahoma" w:cs="Tahoma"/>
      <w:sz w:val="16"/>
      <w:szCs w:val="16"/>
    </w:rPr>
  </w:style>
  <w:style w:type="character" w:styleId="Hyperlink">
    <w:name w:val="Hyperlink"/>
    <w:basedOn w:val="DefaultParagraphFont"/>
    <w:rsid w:val="00355C59"/>
    <w:rPr>
      <w:color w:val="0000FF"/>
      <w:u w:val="single"/>
    </w:rPr>
  </w:style>
  <w:style w:type="character" w:customStyle="1" w:styleId="term1">
    <w:name w:val="term1"/>
    <w:basedOn w:val="DefaultParagraphFont"/>
    <w:rsid w:val="00355C59"/>
    <w:rPr>
      <w:b/>
      <w:bCs/>
    </w:rPr>
  </w:style>
  <w:style w:type="character" w:styleId="Emphasis">
    <w:name w:val="Emphasis"/>
    <w:basedOn w:val="DefaultParagraphFont"/>
    <w:qFormat/>
    <w:rsid w:val="00355C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91A47"/>
    <w:rPr>
      <w:vertAlign w:val="superscript"/>
    </w:rPr>
  </w:style>
  <w:style w:type="paragraph" w:styleId="FootnoteText">
    <w:name w:val="footnote text"/>
    <w:aliases w:val="Car"/>
    <w:basedOn w:val="Normal"/>
    <w:link w:val="FootnoteTextChar"/>
    <w:qFormat/>
    <w:rsid w:val="00091A47"/>
    <w:rPr>
      <w:sz w:val="20"/>
      <w:szCs w:val="20"/>
    </w:rPr>
  </w:style>
  <w:style w:type="character" w:customStyle="1" w:styleId="FootnoteTextChar">
    <w:name w:val="Footnote Text Char"/>
    <w:aliases w:val="Car Char"/>
    <w:basedOn w:val="DefaultParagraphFont"/>
    <w:link w:val="FootnoteText"/>
    <w:rsid w:val="00091A47"/>
    <w:rPr>
      <w:rFonts w:ascii="Times New Roman" w:eastAsia="Times New Roman" w:hAnsi="Times New Roman" w:cs="Times New Roman"/>
      <w:sz w:val="20"/>
      <w:szCs w:val="20"/>
    </w:rPr>
  </w:style>
  <w:style w:type="paragraph" w:styleId="ListParagraph">
    <w:name w:val="List Paragraph"/>
    <w:basedOn w:val="Normal"/>
    <w:uiPriority w:val="34"/>
    <w:qFormat/>
    <w:rsid w:val="00A41656"/>
    <w:pPr>
      <w:ind w:left="720"/>
      <w:contextualSpacing/>
    </w:pPr>
  </w:style>
  <w:style w:type="paragraph" w:styleId="Header">
    <w:name w:val="header"/>
    <w:basedOn w:val="Normal"/>
    <w:link w:val="HeaderChar"/>
    <w:uiPriority w:val="99"/>
    <w:unhideWhenUsed/>
    <w:rsid w:val="00F85022"/>
    <w:pPr>
      <w:tabs>
        <w:tab w:val="center" w:pos="4680"/>
        <w:tab w:val="right" w:pos="9360"/>
      </w:tabs>
    </w:pPr>
  </w:style>
  <w:style w:type="character" w:customStyle="1" w:styleId="HeaderChar">
    <w:name w:val="Header Char"/>
    <w:basedOn w:val="DefaultParagraphFont"/>
    <w:link w:val="Header"/>
    <w:uiPriority w:val="99"/>
    <w:rsid w:val="00F850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022"/>
    <w:pPr>
      <w:tabs>
        <w:tab w:val="center" w:pos="4680"/>
        <w:tab w:val="right" w:pos="9360"/>
      </w:tabs>
    </w:pPr>
  </w:style>
  <w:style w:type="character" w:customStyle="1" w:styleId="FooterChar">
    <w:name w:val="Footer Char"/>
    <w:basedOn w:val="DefaultParagraphFont"/>
    <w:link w:val="Footer"/>
    <w:uiPriority w:val="99"/>
    <w:rsid w:val="00F850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90F"/>
    <w:rPr>
      <w:rFonts w:ascii="Tahoma" w:hAnsi="Tahoma" w:cs="Tahoma"/>
      <w:sz w:val="16"/>
      <w:szCs w:val="16"/>
    </w:rPr>
  </w:style>
  <w:style w:type="character" w:customStyle="1" w:styleId="BalloonTextChar">
    <w:name w:val="Balloon Text Char"/>
    <w:basedOn w:val="DefaultParagraphFont"/>
    <w:link w:val="BalloonText"/>
    <w:uiPriority w:val="99"/>
    <w:semiHidden/>
    <w:rsid w:val="004C690F"/>
    <w:rPr>
      <w:rFonts w:ascii="Tahoma" w:eastAsia="Times New Roman" w:hAnsi="Tahoma" w:cs="Tahoma"/>
      <w:sz w:val="16"/>
      <w:szCs w:val="16"/>
    </w:rPr>
  </w:style>
  <w:style w:type="character" w:styleId="Hyperlink">
    <w:name w:val="Hyperlink"/>
    <w:basedOn w:val="DefaultParagraphFont"/>
    <w:rsid w:val="00355C59"/>
    <w:rPr>
      <w:color w:val="0000FF"/>
      <w:u w:val="single"/>
    </w:rPr>
  </w:style>
  <w:style w:type="character" w:customStyle="1" w:styleId="term1">
    <w:name w:val="term1"/>
    <w:basedOn w:val="DefaultParagraphFont"/>
    <w:rsid w:val="00355C59"/>
    <w:rPr>
      <w:b/>
      <w:bCs/>
    </w:rPr>
  </w:style>
  <w:style w:type="character" w:styleId="Emphasis">
    <w:name w:val="Emphasis"/>
    <w:basedOn w:val="DefaultParagraphFont"/>
    <w:qFormat/>
    <w:rsid w:val="00355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8BF6-231D-4CF0-ACAF-B1A584CD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Rebecca</dc:creator>
  <cp:lastModifiedBy>Reynolds, Doris</cp:lastModifiedBy>
  <cp:revision>4</cp:revision>
  <cp:lastPrinted>2014-07-03T13:37:00Z</cp:lastPrinted>
  <dcterms:created xsi:type="dcterms:W3CDTF">2014-07-01T13:21:00Z</dcterms:created>
  <dcterms:modified xsi:type="dcterms:W3CDTF">2014-07-03T13:38:00Z</dcterms:modified>
</cp:coreProperties>
</file>