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14" w:rsidRDefault="008A2A14">
      <w:pPr>
        <w:tabs>
          <w:tab w:val="center" w:pos="468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BEFORE THE</w:t>
      </w:r>
    </w:p>
    <w:p w:rsidR="008A2A14" w:rsidRDefault="008A2A14">
      <w:pPr>
        <w:tabs>
          <w:tab w:val="center" w:pos="4680"/>
        </w:tabs>
        <w:jc w:val="both"/>
        <w:rPr>
          <w:b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CC3C22" w:rsidRDefault="00CC3C22">
      <w:pPr>
        <w:tabs>
          <w:tab w:val="center" w:pos="4680"/>
        </w:tabs>
        <w:jc w:val="both"/>
        <w:rPr>
          <w:sz w:val="24"/>
        </w:rPr>
      </w:pPr>
    </w:p>
    <w:p w:rsidR="008A2A14" w:rsidRDefault="008A2A14">
      <w:pPr>
        <w:jc w:val="both"/>
        <w:rPr>
          <w:sz w:val="24"/>
        </w:rPr>
      </w:pPr>
    </w:p>
    <w:p w:rsidR="00360CB7" w:rsidRPr="00D51E42" w:rsidRDefault="00360CB7" w:rsidP="00360CB7">
      <w:pPr>
        <w:rPr>
          <w:szCs w:val="24"/>
        </w:rPr>
      </w:pPr>
    </w:p>
    <w:p w:rsidR="0087583E" w:rsidRPr="004349C2" w:rsidRDefault="0087583E" w:rsidP="0087583E">
      <w:pPr>
        <w:rPr>
          <w:sz w:val="24"/>
        </w:rPr>
      </w:pPr>
      <w:r w:rsidRPr="004349C2">
        <w:rPr>
          <w:sz w:val="24"/>
          <w:szCs w:val="24"/>
        </w:rPr>
        <w:t>Application of Raiser-PA, LLC, a limited liability company</w:t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  <w:t>:</w:t>
      </w:r>
      <w:r w:rsidRPr="004349C2">
        <w:rPr>
          <w:sz w:val="24"/>
          <w:szCs w:val="24"/>
        </w:rPr>
        <w:tab/>
      </w:r>
      <w:r w:rsidRPr="004349C2">
        <w:rPr>
          <w:sz w:val="24"/>
        </w:rPr>
        <w:t>A-2014-2416127</w:t>
      </w:r>
    </w:p>
    <w:p w:rsidR="0087583E" w:rsidRPr="004349C2" w:rsidRDefault="0087583E" w:rsidP="0087583E">
      <w:pPr>
        <w:rPr>
          <w:sz w:val="24"/>
          <w:szCs w:val="24"/>
        </w:rPr>
      </w:pPr>
      <w:proofErr w:type="gramStart"/>
      <w:r w:rsidRPr="004349C2">
        <w:rPr>
          <w:sz w:val="24"/>
          <w:szCs w:val="24"/>
        </w:rPr>
        <w:t>of</w:t>
      </w:r>
      <w:proofErr w:type="gramEnd"/>
      <w:r w:rsidRPr="004349C2">
        <w:rPr>
          <w:sz w:val="24"/>
          <w:szCs w:val="24"/>
        </w:rPr>
        <w:t xml:space="preserve"> the State of Delaware, for the right to begin to transport, </w:t>
      </w:r>
      <w:r w:rsidRPr="004349C2">
        <w:rPr>
          <w:sz w:val="24"/>
          <w:szCs w:val="24"/>
        </w:rPr>
        <w:tab/>
      </w:r>
      <w:r w:rsidR="00B37CE5">
        <w:rPr>
          <w:sz w:val="24"/>
          <w:szCs w:val="24"/>
        </w:rPr>
        <w:tab/>
      </w:r>
      <w:r w:rsidRPr="004349C2">
        <w:rPr>
          <w:sz w:val="24"/>
          <w:szCs w:val="24"/>
        </w:rPr>
        <w:t>:</w:t>
      </w:r>
    </w:p>
    <w:p w:rsidR="0087583E" w:rsidRPr="004349C2" w:rsidRDefault="0087583E" w:rsidP="0087583E">
      <w:pPr>
        <w:rPr>
          <w:sz w:val="24"/>
          <w:szCs w:val="24"/>
        </w:rPr>
      </w:pPr>
      <w:proofErr w:type="gramStart"/>
      <w:r w:rsidRPr="004349C2">
        <w:rPr>
          <w:sz w:val="24"/>
          <w:szCs w:val="24"/>
        </w:rPr>
        <w:t>by</w:t>
      </w:r>
      <w:proofErr w:type="gramEnd"/>
      <w:r w:rsidRPr="004349C2">
        <w:rPr>
          <w:sz w:val="24"/>
          <w:szCs w:val="24"/>
        </w:rPr>
        <w:t xml:space="preserve"> motor vehicle persons in the experimental service</w:t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  <w:t>:</w:t>
      </w:r>
    </w:p>
    <w:p w:rsidR="0087583E" w:rsidRPr="004349C2" w:rsidRDefault="0087583E" w:rsidP="0087583E">
      <w:pPr>
        <w:jc w:val="both"/>
        <w:rPr>
          <w:sz w:val="24"/>
          <w:szCs w:val="24"/>
        </w:rPr>
      </w:pPr>
      <w:proofErr w:type="gramStart"/>
      <w:r w:rsidRPr="004349C2">
        <w:rPr>
          <w:sz w:val="24"/>
          <w:szCs w:val="24"/>
        </w:rPr>
        <w:t>of</w:t>
      </w:r>
      <w:proofErr w:type="gramEnd"/>
      <w:r w:rsidRPr="004349C2">
        <w:rPr>
          <w:sz w:val="24"/>
          <w:szCs w:val="24"/>
        </w:rPr>
        <w:t xml:space="preserve"> shared-ride network for passenger trips between points in </w:t>
      </w:r>
      <w:r w:rsidRPr="004349C2">
        <w:rPr>
          <w:sz w:val="24"/>
          <w:szCs w:val="24"/>
        </w:rPr>
        <w:tab/>
        <w:t>:</w:t>
      </w:r>
    </w:p>
    <w:p w:rsidR="0087583E" w:rsidRPr="004349C2" w:rsidRDefault="0087583E" w:rsidP="0087583E">
      <w:pPr>
        <w:jc w:val="both"/>
        <w:rPr>
          <w:sz w:val="24"/>
          <w:szCs w:val="24"/>
        </w:rPr>
      </w:pPr>
      <w:r w:rsidRPr="004349C2">
        <w:rPr>
          <w:sz w:val="24"/>
          <w:szCs w:val="24"/>
        </w:rPr>
        <w:t>Allegheny County</w:t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  <w:t>:</w:t>
      </w:r>
    </w:p>
    <w:p w:rsidR="00360CB7" w:rsidRPr="00360CB7" w:rsidRDefault="00360CB7" w:rsidP="00360CB7">
      <w:pPr>
        <w:jc w:val="center"/>
        <w:rPr>
          <w:b/>
          <w:sz w:val="24"/>
          <w:szCs w:val="24"/>
          <w:u w:val="single"/>
        </w:rPr>
      </w:pPr>
    </w:p>
    <w:p w:rsidR="0087583E" w:rsidRPr="004349C2" w:rsidRDefault="0087583E" w:rsidP="0087583E">
      <w:pPr>
        <w:rPr>
          <w:sz w:val="24"/>
        </w:rPr>
      </w:pPr>
      <w:r w:rsidRPr="004349C2">
        <w:rPr>
          <w:sz w:val="24"/>
          <w:szCs w:val="24"/>
        </w:rPr>
        <w:t>Application of Raiser-PA, LLC, a limited liability company</w:t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  <w:t>:</w:t>
      </w:r>
      <w:r w:rsidRPr="004349C2">
        <w:rPr>
          <w:sz w:val="24"/>
          <w:szCs w:val="24"/>
        </w:rPr>
        <w:tab/>
      </w:r>
      <w:r>
        <w:rPr>
          <w:sz w:val="24"/>
        </w:rPr>
        <w:t>A-2014-2424608</w:t>
      </w:r>
    </w:p>
    <w:p w:rsidR="0087583E" w:rsidRPr="004349C2" w:rsidRDefault="0087583E" w:rsidP="0087583E">
      <w:pPr>
        <w:rPr>
          <w:sz w:val="24"/>
          <w:szCs w:val="24"/>
        </w:rPr>
      </w:pPr>
      <w:proofErr w:type="gramStart"/>
      <w:r w:rsidRPr="004349C2">
        <w:rPr>
          <w:sz w:val="24"/>
          <w:szCs w:val="24"/>
        </w:rPr>
        <w:t>of</w:t>
      </w:r>
      <w:proofErr w:type="gramEnd"/>
      <w:r w:rsidRPr="004349C2">
        <w:rPr>
          <w:sz w:val="24"/>
          <w:szCs w:val="24"/>
        </w:rPr>
        <w:t xml:space="preserve"> the State of Delaware,  for the right to begin to transport, </w:t>
      </w:r>
      <w:r w:rsidRPr="004349C2">
        <w:rPr>
          <w:sz w:val="24"/>
          <w:szCs w:val="24"/>
        </w:rPr>
        <w:tab/>
        <w:t>:</w:t>
      </w:r>
    </w:p>
    <w:p w:rsidR="0087583E" w:rsidRPr="004349C2" w:rsidRDefault="0087583E" w:rsidP="0087583E">
      <w:pPr>
        <w:rPr>
          <w:sz w:val="24"/>
          <w:szCs w:val="24"/>
        </w:rPr>
      </w:pPr>
      <w:proofErr w:type="gramStart"/>
      <w:r w:rsidRPr="004349C2">
        <w:rPr>
          <w:sz w:val="24"/>
          <w:szCs w:val="24"/>
        </w:rPr>
        <w:t>by</w:t>
      </w:r>
      <w:proofErr w:type="gramEnd"/>
      <w:r w:rsidRPr="004349C2">
        <w:rPr>
          <w:sz w:val="24"/>
          <w:szCs w:val="24"/>
        </w:rPr>
        <w:t xml:space="preserve"> motor vehicle</w:t>
      </w:r>
      <w:r>
        <w:rPr>
          <w:sz w:val="24"/>
          <w:szCs w:val="24"/>
        </w:rPr>
        <w:t>,</w:t>
      </w:r>
      <w:r w:rsidRPr="004349C2">
        <w:rPr>
          <w:sz w:val="24"/>
          <w:szCs w:val="24"/>
        </w:rPr>
        <w:t xml:space="preserve"> persons in the experimental service</w:t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  <w:t>:</w:t>
      </w:r>
    </w:p>
    <w:p w:rsidR="0087583E" w:rsidRPr="004349C2" w:rsidRDefault="0087583E" w:rsidP="0087583E">
      <w:pPr>
        <w:jc w:val="both"/>
        <w:rPr>
          <w:sz w:val="24"/>
          <w:szCs w:val="24"/>
        </w:rPr>
      </w:pPr>
      <w:proofErr w:type="gramStart"/>
      <w:r w:rsidRPr="004349C2">
        <w:rPr>
          <w:sz w:val="24"/>
          <w:szCs w:val="24"/>
        </w:rPr>
        <w:t>of</w:t>
      </w:r>
      <w:proofErr w:type="gramEnd"/>
      <w:r w:rsidRPr="004349C2">
        <w:rPr>
          <w:sz w:val="24"/>
          <w:szCs w:val="24"/>
        </w:rPr>
        <w:t xml:space="preserve"> shared-ride network for passenger trips between points in </w:t>
      </w:r>
      <w:r w:rsidRPr="004349C2">
        <w:rPr>
          <w:sz w:val="24"/>
          <w:szCs w:val="24"/>
        </w:rPr>
        <w:tab/>
        <w:t>:</w:t>
      </w:r>
    </w:p>
    <w:p w:rsidR="0087583E" w:rsidRDefault="0087583E" w:rsidP="0087583E">
      <w:pPr>
        <w:jc w:val="both"/>
        <w:rPr>
          <w:sz w:val="24"/>
          <w:szCs w:val="24"/>
        </w:rPr>
      </w:pPr>
      <w:r>
        <w:rPr>
          <w:sz w:val="24"/>
          <w:szCs w:val="24"/>
        </w:rPr>
        <w:t>Pennsylvania, excluding those which originate or terminate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7583E" w:rsidRDefault="0087583E" w:rsidP="0087583E">
      <w:pPr>
        <w:jc w:val="both"/>
        <w:rPr>
          <w:sz w:val="24"/>
          <w:szCs w:val="24"/>
        </w:rPr>
      </w:pPr>
      <w:r>
        <w:rPr>
          <w:sz w:val="24"/>
          <w:szCs w:val="24"/>
        </w:rPr>
        <w:t>in the Counties of Beaver, Clinton, Columbia, Crawford,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7583E" w:rsidRPr="004349C2" w:rsidRDefault="0087583E" w:rsidP="0087583E">
      <w:pPr>
        <w:jc w:val="both"/>
        <w:rPr>
          <w:sz w:val="24"/>
          <w:szCs w:val="24"/>
        </w:rPr>
      </w:pPr>
      <w:r>
        <w:rPr>
          <w:sz w:val="24"/>
          <w:szCs w:val="24"/>
        </w:rPr>
        <w:t>Lawrence, Lycoming, Mercer, Northumberland and Union</w:t>
      </w:r>
      <w:r w:rsidRPr="004349C2">
        <w:rPr>
          <w:sz w:val="24"/>
          <w:szCs w:val="24"/>
        </w:rPr>
        <w:tab/>
      </w:r>
      <w:r w:rsidRPr="004349C2">
        <w:rPr>
          <w:sz w:val="24"/>
          <w:szCs w:val="24"/>
        </w:rPr>
        <w:tab/>
        <w:t>:</w:t>
      </w:r>
    </w:p>
    <w:p w:rsidR="00360CB7" w:rsidRPr="00360CB7" w:rsidRDefault="00360CB7" w:rsidP="00360CB7">
      <w:pPr>
        <w:spacing w:line="233" w:lineRule="auto"/>
        <w:jc w:val="both"/>
        <w:rPr>
          <w:b/>
          <w:sz w:val="24"/>
          <w:szCs w:val="24"/>
        </w:rPr>
      </w:pPr>
    </w:p>
    <w:p w:rsidR="00360CB7" w:rsidRPr="00360CB7" w:rsidRDefault="00360CB7" w:rsidP="00360CB7">
      <w:pPr>
        <w:rPr>
          <w:b/>
          <w:sz w:val="24"/>
          <w:szCs w:val="24"/>
          <w:u w:val="single"/>
        </w:rPr>
      </w:pPr>
    </w:p>
    <w:p w:rsidR="006E6E56" w:rsidRDefault="006E6E56">
      <w:pPr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8A2A14" w:rsidRDefault="008A2A14" w:rsidP="00A714C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PREHEARING CONFERENCE ORDER</w:t>
      </w:r>
    </w:p>
    <w:p w:rsidR="00417F0E" w:rsidRDefault="00417F0E">
      <w:pPr>
        <w:tabs>
          <w:tab w:val="center" w:pos="4680"/>
        </w:tabs>
        <w:jc w:val="both"/>
        <w:rPr>
          <w:sz w:val="24"/>
        </w:rPr>
      </w:pPr>
    </w:p>
    <w:p w:rsidR="008A2A14" w:rsidRDefault="008A2A14">
      <w:pPr>
        <w:jc w:val="both"/>
        <w:rPr>
          <w:sz w:val="24"/>
        </w:rPr>
      </w:pPr>
    </w:p>
    <w:p w:rsidR="00364E19" w:rsidRPr="00802D85" w:rsidRDefault="00417F0E" w:rsidP="00364E19">
      <w:pPr>
        <w:spacing w:line="360" w:lineRule="auto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364E19">
        <w:rPr>
          <w:sz w:val="24"/>
        </w:rPr>
        <w:t xml:space="preserve">An Initial Telephonic Prehearing Conference is scheduled in these cases for </w:t>
      </w:r>
      <w:r w:rsidR="00364E19" w:rsidRPr="006E6FC2">
        <w:rPr>
          <w:sz w:val="24"/>
        </w:rPr>
        <w:t xml:space="preserve">Thursday, July 24, 2014, at </w:t>
      </w:r>
      <w:r w:rsidR="009C002E">
        <w:rPr>
          <w:sz w:val="24"/>
        </w:rPr>
        <w:t>10</w:t>
      </w:r>
      <w:r w:rsidR="00364E19" w:rsidRPr="006E6FC2">
        <w:rPr>
          <w:sz w:val="24"/>
        </w:rPr>
        <w:t xml:space="preserve">:00 a.m. </w:t>
      </w:r>
      <w:r w:rsidR="00364E19">
        <w:rPr>
          <w:sz w:val="24"/>
        </w:rPr>
        <w:t xml:space="preserve"> The undersigned presiding officers will preside telephonically from </w:t>
      </w:r>
      <w:r w:rsidR="00364E19" w:rsidRPr="006E6FC2">
        <w:rPr>
          <w:sz w:val="24"/>
        </w:rPr>
        <w:t>a 2</w:t>
      </w:r>
      <w:r w:rsidR="00364E19" w:rsidRPr="006E6FC2">
        <w:rPr>
          <w:sz w:val="24"/>
          <w:vertAlign w:val="superscript"/>
        </w:rPr>
        <w:t>nd</w:t>
      </w:r>
      <w:r w:rsidR="00364E19" w:rsidRPr="006E6FC2">
        <w:rPr>
          <w:sz w:val="24"/>
        </w:rPr>
        <w:t xml:space="preserve"> Floor Hearing Room, Piatt Place, Suite 220, </w:t>
      </w:r>
      <w:proofErr w:type="gramStart"/>
      <w:r w:rsidR="00364E19" w:rsidRPr="006E6FC2">
        <w:rPr>
          <w:sz w:val="24"/>
        </w:rPr>
        <w:t>301</w:t>
      </w:r>
      <w:proofErr w:type="gramEnd"/>
      <w:r w:rsidR="00364E19" w:rsidRPr="006E6FC2">
        <w:rPr>
          <w:sz w:val="24"/>
        </w:rPr>
        <w:t xml:space="preserve"> Fifth Avenue, Pittsburgh, Pennsylvania 15222.</w:t>
      </w:r>
      <w:r w:rsidR="00364E19">
        <w:rPr>
          <w:sz w:val="24"/>
        </w:rPr>
        <w:t xml:space="preserve">  </w:t>
      </w:r>
      <w:r w:rsidR="00364E19" w:rsidRPr="00802D85">
        <w:rPr>
          <w:sz w:val="24"/>
          <w:szCs w:val="24"/>
        </w:rPr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 w:rsidR="00364E19">
        <w:rPr>
          <w:sz w:val="24"/>
          <w:szCs w:val="24"/>
        </w:rPr>
        <w:t xml:space="preserve"> </w:t>
      </w:r>
      <w:r w:rsidR="00364E19" w:rsidRPr="00802D85">
        <w:rPr>
          <w:sz w:val="24"/>
          <w:szCs w:val="24"/>
        </w:rPr>
        <w:t xml:space="preserve">If you have any witnesses you want to have present during the hearing, you must provide them with the telephone number and PIN number.  </w:t>
      </w:r>
    </w:p>
    <w:p w:rsidR="00364E19" w:rsidRDefault="00364E19" w:rsidP="00364E19">
      <w:pPr>
        <w:spacing w:line="360" w:lineRule="auto"/>
        <w:rPr>
          <w:sz w:val="24"/>
          <w:szCs w:val="24"/>
        </w:rPr>
      </w:pPr>
    </w:p>
    <w:p w:rsidR="00364E19" w:rsidRPr="00802D85" w:rsidRDefault="00364E19" w:rsidP="00364E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D85">
        <w:rPr>
          <w:sz w:val="24"/>
          <w:szCs w:val="24"/>
        </w:rPr>
        <w:t>Toll-free Bridge Number:</w:t>
      </w:r>
      <w:r>
        <w:rPr>
          <w:sz w:val="24"/>
          <w:szCs w:val="24"/>
        </w:rPr>
        <w:t xml:space="preserve"> </w:t>
      </w:r>
      <w:r w:rsidRPr="00802D85">
        <w:rPr>
          <w:sz w:val="24"/>
          <w:szCs w:val="24"/>
        </w:rPr>
        <w:t xml:space="preserve"> 1-855-750-1027</w:t>
      </w:r>
    </w:p>
    <w:p w:rsidR="00364E19" w:rsidRPr="00802D85" w:rsidRDefault="00364E19" w:rsidP="00364E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D85">
        <w:rPr>
          <w:sz w:val="24"/>
          <w:szCs w:val="24"/>
        </w:rPr>
        <w:t xml:space="preserve">PIN Number: </w:t>
      </w:r>
      <w:r>
        <w:rPr>
          <w:sz w:val="24"/>
          <w:szCs w:val="24"/>
        </w:rPr>
        <w:t xml:space="preserve"> 341525</w:t>
      </w:r>
    </w:p>
    <w:p w:rsidR="00364E19" w:rsidRDefault="00364E19" w:rsidP="00364E19">
      <w:pPr>
        <w:spacing w:line="360" w:lineRule="auto"/>
      </w:pPr>
    </w:p>
    <w:p w:rsidR="00364E19" w:rsidRDefault="00364E19" w:rsidP="00364E19">
      <w:pPr>
        <w:spacing w:line="360" w:lineRule="auto"/>
        <w:rPr>
          <w:b/>
          <w:sz w:val="24"/>
          <w:szCs w:val="24"/>
          <w:u w:val="single"/>
        </w:rPr>
      </w:pPr>
      <w:r w:rsidRPr="00740357">
        <w:rPr>
          <w:b/>
          <w:sz w:val="24"/>
          <w:szCs w:val="24"/>
          <w:u w:val="single"/>
        </w:rPr>
        <w:t xml:space="preserve">You must call into the </w:t>
      </w:r>
      <w:r>
        <w:rPr>
          <w:b/>
          <w:sz w:val="24"/>
          <w:szCs w:val="24"/>
          <w:u w:val="single"/>
        </w:rPr>
        <w:t>conference</w:t>
      </w:r>
      <w:r w:rsidRPr="00740357">
        <w:rPr>
          <w:b/>
          <w:sz w:val="24"/>
          <w:szCs w:val="24"/>
          <w:u w:val="single"/>
        </w:rPr>
        <w:t xml:space="preserve"> on the scheduled day and time.  </w:t>
      </w:r>
      <w:r>
        <w:rPr>
          <w:b/>
          <w:sz w:val="24"/>
          <w:szCs w:val="24"/>
          <w:u w:val="single"/>
        </w:rPr>
        <w:t xml:space="preserve">Failure of any party to attend the prehearing conference without good cause shall constitute a waiver of all </w:t>
      </w:r>
      <w:r>
        <w:rPr>
          <w:b/>
          <w:sz w:val="24"/>
          <w:szCs w:val="24"/>
          <w:u w:val="single"/>
        </w:rPr>
        <w:lastRenderedPageBreak/>
        <w:t xml:space="preserve">objections to the agreements reached and matters decided at the prehearing conference.  </w:t>
      </w:r>
      <w:r w:rsidRPr="00740357">
        <w:rPr>
          <w:b/>
          <w:sz w:val="24"/>
          <w:szCs w:val="24"/>
          <w:u w:val="single"/>
        </w:rPr>
        <w:t>You will not be called by the Administrative Law Judge</w:t>
      </w:r>
      <w:r>
        <w:rPr>
          <w:b/>
          <w:sz w:val="24"/>
          <w:szCs w:val="24"/>
          <w:u w:val="single"/>
        </w:rPr>
        <w:t>s</w:t>
      </w:r>
      <w:r w:rsidRPr="00740357">
        <w:rPr>
          <w:b/>
          <w:sz w:val="24"/>
          <w:szCs w:val="24"/>
          <w:u w:val="single"/>
        </w:rPr>
        <w:t>.</w:t>
      </w:r>
    </w:p>
    <w:p w:rsidR="008A2A14" w:rsidRDefault="008A2A14">
      <w:pPr>
        <w:jc w:val="both"/>
        <w:rPr>
          <w:sz w:val="24"/>
        </w:rPr>
      </w:pPr>
    </w:p>
    <w:p w:rsidR="00364E19" w:rsidRDefault="00364E19">
      <w:pPr>
        <w:jc w:val="both"/>
        <w:rPr>
          <w:sz w:val="24"/>
        </w:rPr>
      </w:pPr>
    </w:p>
    <w:p w:rsidR="008A2A14" w:rsidRDefault="008A2A14" w:rsidP="00CC3C22">
      <w:pPr>
        <w:spacing w:line="360" w:lineRule="auto"/>
        <w:ind w:firstLine="1440"/>
        <w:rPr>
          <w:sz w:val="24"/>
        </w:rPr>
      </w:pPr>
      <w:r>
        <w:rPr>
          <w:sz w:val="24"/>
        </w:rPr>
        <w:t xml:space="preserve">Accordingly, </w:t>
      </w:r>
      <w:r w:rsidR="0011220F">
        <w:rPr>
          <w:sz w:val="24"/>
        </w:rPr>
        <w:t>in preparation for the pre</w:t>
      </w:r>
      <w:r w:rsidR="001544EE">
        <w:rPr>
          <w:sz w:val="24"/>
        </w:rPr>
        <w:t xml:space="preserve">hearing conference, </w:t>
      </w:r>
      <w:r>
        <w:rPr>
          <w:sz w:val="24"/>
        </w:rPr>
        <w:t>the parties are hereby directed to comply with the following requirements:</w:t>
      </w:r>
    </w:p>
    <w:p w:rsidR="00CC3C22" w:rsidRDefault="00CC3C22" w:rsidP="00CC3C22">
      <w:pPr>
        <w:spacing w:line="360" w:lineRule="auto"/>
        <w:ind w:firstLine="1440"/>
        <w:rPr>
          <w:sz w:val="24"/>
        </w:rPr>
      </w:pPr>
    </w:p>
    <w:p w:rsidR="00360CB7" w:rsidRDefault="001544EE" w:rsidP="001544EE">
      <w:pPr>
        <w:numPr>
          <w:ilvl w:val="0"/>
          <w:numId w:val="3"/>
        </w:numPr>
        <w:tabs>
          <w:tab w:val="clear" w:pos="2160"/>
          <w:tab w:val="num" w:pos="0"/>
        </w:tabs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 xml:space="preserve">Each party, who intends to participate in the prehearing conference, must prepare and serve a prehearing memorandum prior to </w:t>
      </w:r>
      <w:r w:rsidRPr="00E476F2">
        <w:rPr>
          <w:b/>
          <w:sz w:val="24"/>
          <w:szCs w:val="24"/>
        </w:rPr>
        <w:t>2:00 p.m</w:t>
      </w:r>
      <w:r w:rsidR="00360CB7">
        <w:rPr>
          <w:b/>
          <w:sz w:val="24"/>
          <w:szCs w:val="24"/>
        </w:rPr>
        <w:t>.</w:t>
      </w:r>
      <w:r w:rsidR="003634F0">
        <w:rPr>
          <w:b/>
          <w:sz w:val="24"/>
          <w:szCs w:val="24"/>
        </w:rPr>
        <w:t>,</w:t>
      </w:r>
      <w:r w:rsidRPr="00E476F2">
        <w:rPr>
          <w:b/>
          <w:sz w:val="24"/>
          <w:szCs w:val="24"/>
        </w:rPr>
        <w:t xml:space="preserve"> on</w:t>
      </w:r>
      <w:r w:rsidR="00C948CD">
        <w:rPr>
          <w:b/>
          <w:sz w:val="24"/>
          <w:szCs w:val="24"/>
        </w:rPr>
        <w:t xml:space="preserve"> July 23, 2014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This memorandum shall include, but need not be limited to</w:t>
      </w:r>
      <w:r w:rsidR="00C948CD">
        <w:rPr>
          <w:sz w:val="24"/>
          <w:szCs w:val="24"/>
        </w:rPr>
        <w:t>:</w:t>
      </w:r>
    </w:p>
    <w:p w:rsidR="00A251D8" w:rsidRDefault="00A251D8" w:rsidP="00A251D8">
      <w:pPr>
        <w:ind w:left="1440"/>
        <w:rPr>
          <w:sz w:val="24"/>
          <w:szCs w:val="24"/>
        </w:rPr>
      </w:pPr>
    </w:p>
    <w:p w:rsidR="00360CB7" w:rsidRDefault="00360CB7" w:rsidP="00A251D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issues to be resolved, and the statutes, rules and legal precedent involved;</w:t>
      </w:r>
    </w:p>
    <w:p w:rsidR="00A251D8" w:rsidRDefault="00A251D8" w:rsidP="00A251D8">
      <w:pPr>
        <w:ind w:left="2880"/>
        <w:rPr>
          <w:sz w:val="24"/>
          <w:szCs w:val="24"/>
        </w:rPr>
      </w:pPr>
    </w:p>
    <w:p w:rsidR="00360CB7" w:rsidRDefault="00360CB7" w:rsidP="00A251D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brief statement of the facts and the reasons supporting the party’s position on each matter in dispute;</w:t>
      </w:r>
    </w:p>
    <w:p w:rsidR="00A251D8" w:rsidRDefault="00A251D8" w:rsidP="00A251D8">
      <w:pPr>
        <w:ind w:left="2880"/>
        <w:rPr>
          <w:sz w:val="24"/>
          <w:szCs w:val="24"/>
        </w:rPr>
      </w:pPr>
    </w:p>
    <w:p w:rsidR="00360CB7" w:rsidRDefault="00360CB7" w:rsidP="00A251D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list of proposed witnesses and a brief summary of their expected testimony;</w:t>
      </w:r>
    </w:p>
    <w:p w:rsidR="00A251D8" w:rsidRDefault="00A251D8" w:rsidP="00A251D8">
      <w:pPr>
        <w:ind w:left="2880"/>
        <w:rPr>
          <w:sz w:val="24"/>
          <w:szCs w:val="24"/>
        </w:rPr>
      </w:pPr>
    </w:p>
    <w:p w:rsidR="00360CB7" w:rsidRDefault="00C948CD" w:rsidP="00A251D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360CB7">
        <w:rPr>
          <w:sz w:val="24"/>
          <w:szCs w:val="24"/>
        </w:rPr>
        <w:t xml:space="preserve"> you wish to pursue discovery.  If so, the length of time required;</w:t>
      </w:r>
    </w:p>
    <w:p w:rsidR="00A251D8" w:rsidRDefault="00A251D8" w:rsidP="00A251D8">
      <w:pPr>
        <w:ind w:left="2880"/>
        <w:rPr>
          <w:sz w:val="24"/>
          <w:szCs w:val="24"/>
        </w:rPr>
      </w:pPr>
    </w:p>
    <w:p w:rsidR="001A0882" w:rsidRDefault="001A0882" w:rsidP="00A251D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4B5687">
        <w:rPr>
          <w:sz w:val="24"/>
          <w:szCs w:val="24"/>
        </w:rPr>
        <w:t>modifications to discovery rules</w:t>
      </w:r>
      <w:r>
        <w:rPr>
          <w:sz w:val="24"/>
          <w:szCs w:val="24"/>
        </w:rPr>
        <w:t>, if any;</w:t>
      </w:r>
    </w:p>
    <w:p w:rsidR="00A251D8" w:rsidRDefault="00A251D8" w:rsidP="00A251D8">
      <w:pPr>
        <w:ind w:left="2880"/>
        <w:rPr>
          <w:sz w:val="24"/>
          <w:szCs w:val="24"/>
        </w:rPr>
      </w:pPr>
    </w:p>
    <w:p w:rsidR="00360CB7" w:rsidRDefault="00360CB7" w:rsidP="00A251D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Requested location of hearing(s);</w:t>
      </w:r>
    </w:p>
    <w:p w:rsidR="00A251D8" w:rsidRDefault="00A251D8" w:rsidP="00A251D8">
      <w:pPr>
        <w:ind w:left="2880"/>
        <w:rPr>
          <w:sz w:val="24"/>
          <w:szCs w:val="24"/>
        </w:rPr>
      </w:pPr>
    </w:p>
    <w:p w:rsidR="00360CB7" w:rsidRDefault="00360CB7" w:rsidP="00A251D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Estimated length of hearing;</w:t>
      </w:r>
    </w:p>
    <w:p w:rsidR="00A251D8" w:rsidRDefault="00A251D8" w:rsidP="00A251D8">
      <w:pPr>
        <w:ind w:left="2880"/>
        <w:rPr>
          <w:sz w:val="24"/>
          <w:szCs w:val="24"/>
        </w:rPr>
      </w:pPr>
    </w:p>
    <w:p w:rsidR="00360CB7" w:rsidRDefault="00360CB7" w:rsidP="00A251D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date by which you will be ready to have a hearing in this case;</w:t>
      </w:r>
      <w:r w:rsidR="00A251D8">
        <w:rPr>
          <w:sz w:val="24"/>
          <w:szCs w:val="24"/>
        </w:rPr>
        <w:t xml:space="preserve"> and</w:t>
      </w:r>
    </w:p>
    <w:p w:rsidR="00A251D8" w:rsidRDefault="00A251D8" w:rsidP="00A251D8">
      <w:pPr>
        <w:ind w:left="2880"/>
        <w:rPr>
          <w:sz w:val="24"/>
          <w:szCs w:val="24"/>
        </w:rPr>
      </w:pPr>
    </w:p>
    <w:p w:rsidR="00360CB7" w:rsidRDefault="00360CB7" w:rsidP="00A251D8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other special matters.</w:t>
      </w:r>
    </w:p>
    <w:p w:rsidR="00A251D8" w:rsidRDefault="00A251D8" w:rsidP="00A251D8">
      <w:pPr>
        <w:pStyle w:val="ListParagraph"/>
        <w:rPr>
          <w:sz w:val="24"/>
          <w:szCs w:val="24"/>
        </w:rPr>
      </w:pPr>
    </w:p>
    <w:p w:rsidR="00A251D8" w:rsidRDefault="00A251D8" w:rsidP="00A251D8">
      <w:pPr>
        <w:ind w:left="2880"/>
        <w:rPr>
          <w:sz w:val="24"/>
          <w:szCs w:val="24"/>
        </w:rPr>
      </w:pPr>
    </w:p>
    <w:p w:rsidR="001544EE" w:rsidRDefault="001544EE" w:rsidP="00360C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Each party must serve the prehearing memorandum upon the Administrative Law Judge</w:t>
      </w:r>
      <w:r w:rsidR="00413A11">
        <w:rPr>
          <w:sz w:val="24"/>
          <w:szCs w:val="24"/>
        </w:rPr>
        <w:t>s</w:t>
      </w:r>
      <w:r>
        <w:rPr>
          <w:sz w:val="24"/>
          <w:szCs w:val="24"/>
        </w:rPr>
        <w:t xml:space="preserve"> and all other parties.  </w:t>
      </w:r>
      <w:proofErr w:type="gramStart"/>
      <w:r w:rsidRPr="00292335">
        <w:rPr>
          <w:sz w:val="24"/>
          <w:szCs w:val="24"/>
        </w:rPr>
        <w:t>52</w:t>
      </w:r>
      <w:r w:rsidR="007A6573">
        <w:rPr>
          <w:sz w:val="24"/>
          <w:szCs w:val="24"/>
        </w:rPr>
        <w:t> </w:t>
      </w:r>
      <w:r w:rsidRPr="00292335">
        <w:rPr>
          <w:sz w:val="24"/>
          <w:szCs w:val="24"/>
        </w:rPr>
        <w:t>Pa. Code §5.222</w:t>
      </w:r>
      <w:r>
        <w:rPr>
          <w:sz w:val="24"/>
          <w:szCs w:val="24"/>
        </w:rPr>
        <w:t>(d).</w:t>
      </w:r>
      <w:proofErr w:type="gramEnd"/>
    </w:p>
    <w:p w:rsidR="001544EE" w:rsidRDefault="001544EE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360CB7" w:rsidRDefault="0011220F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360CB7">
        <w:rPr>
          <w:sz w:val="24"/>
        </w:rPr>
        <w:t>The parties shall meet and attempt to agree upon a proposed litigation schedule.</w:t>
      </w:r>
    </w:p>
    <w:p w:rsidR="008A2A14" w:rsidRPr="00360CB7" w:rsidRDefault="00360CB7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b/>
          <w:sz w:val="24"/>
        </w:rPr>
      </w:pPr>
      <w:r>
        <w:rPr>
          <w:sz w:val="24"/>
        </w:rPr>
        <w:lastRenderedPageBreak/>
        <w:t>3.</w:t>
      </w:r>
      <w:r>
        <w:rPr>
          <w:sz w:val="24"/>
        </w:rPr>
        <w:tab/>
      </w:r>
      <w:r w:rsidR="008A2A14">
        <w:rPr>
          <w:sz w:val="24"/>
        </w:rPr>
        <w:t xml:space="preserve">A request for a change of the scheduled prehearing conference date must be submitted in writing no later than five (5) </w:t>
      </w:r>
      <w:r w:rsidR="0011220F">
        <w:rPr>
          <w:sz w:val="24"/>
        </w:rPr>
        <w:t xml:space="preserve">working </w:t>
      </w:r>
      <w:r w:rsidR="008A2A14">
        <w:rPr>
          <w:sz w:val="24"/>
        </w:rPr>
        <w:t>days prior to the prehearing conference.  52</w:t>
      </w:r>
      <w:r w:rsidR="007A6573">
        <w:rPr>
          <w:sz w:val="24"/>
        </w:rPr>
        <w:t> </w:t>
      </w:r>
      <w:smartTag w:uri="urn:schemas-microsoft-com:office:smarttags" w:element="place">
        <w:smartTag w:uri="urn:schemas-microsoft-com:office:smarttags" w:element="State">
          <w:r w:rsidR="008A2A14">
            <w:rPr>
              <w:sz w:val="24"/>
            </w:rPr>
            <w:t>Pa.</w:t>
          </w:r>
        </w:smartTag>
      </w:smartTag>
      <w:r w:rsidR="008A2A14">
        <w:rPr>
          <w:sz w:val="24"/>
        </w:rPr>
        <w:t xml:space="preserve"> Code §1.15(b).  Requests for changes of initial prehearing conferences must be sent to the Administrative Law Judge</w:t>
      </w:r>
      <w:r w:rsidR="00413A11">
        <w:rPr>
          <w:sz w:val="24"/>
        </w:rPr>
        <w:t>s</w:t>
      </w:r>
      <w:r w:rsidR="008A2A14">
        <w:rPr>
          <w:sz w:val="24"/>
        </w:rPr>
        <w:t xml:space="preserve">, </w:t>
      </w:r>
      <w:r w:rsidR="00413A11">
        <w:rPr>
          <w:sz w:val="24"/>
        </w:rPr>
        <w:t>Piatt Place, Suite 220, 301 Fifth Avenue, Pittsburgh, Pennsylvania 15222</w:t>
      </w:r>
      <w:r w:rsidR="008A2A14">
        <w:rPr>
          <w:sz w:val="24"/>
        </w:rPr>
        <w:t>, with copies to all parties of record.  Only the Administrative Law Judge</w:t>
      </w:r>
      <w:r w:rsidR="00413A11">
        <w:rPr>
          <w:sz w:val="24"/>
        </w:rPr>
        <w:t>s</w:t>
      </w:r>
      <w:r w:rsidR="008A2A14">
        <w:rPr>
          <w:sz w:val="24"/>
        </w:rPr>
        <w:t xml:space="preserve"> or Office of Administrative Law Judge Scheduling Unit may grant a request for a change of a prehearing conference.  </w:t>
      </w:r>
      <w:r w:rsidR="008A2A14" w:rsidRPr="00360CB7">
        <w:rPr>
          <w:b/>
          <w:sz w:val="24"/>
        </w:rPr>
        <w:t xml:space="preserve">Such changes are granted only in rare situations where sufficient cause exists.  Requests for changes of subsequent prehearing conferences or hearings, if any, should be served directly on </w:t>
      </w:r>
      <w:r w:rsidR="000C3B10" w:rsidRPr="00360CB7">
        <w:rPr>
          <w:b/>
          <w:sz w:val="24"/>
        </w:rPr>
        <w:t>us</w:t>
      </w:r>
      <w:r w:rsidR="008A2A14" w:rsidRPr="00360CB7">
        <w:rPr>
          <w:b/>
          <w:sz w:val="24"/>
        </w:rPr>
        <w:t>.</w:t>
      </w:r>
    </w:p>
    <w:p w:rsidR="00CC3C22" w:rsidRDefault="00CC3C22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934547" w:rsidRDefault="00934547" w:rsidP="00CC3C22">
      <w:pPr>
        <w:spacing w:line="480" w:lineRule="auto"/>
        <w:ind w:firstLine="1440"/>
        <w:rPr>
          <w:sz w:val="24"/>
        </w:rPr>
        <w:sectPr w:rsidR="00934547" w:rsidSect="001E5A07">
          <w:footerReference w:type="even" r:id="rId8"/>
          <w:footerReference w:type="default" r:id="rId9"/>
          <w:footerReference w:type="first" r:id="rId10"/>
          <w:endnotePr>
            <w:numFmt w:val="decimal"/>
          </w:endnotePr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</w:p>
    <w:p w:rsidR="009033E3" w:rsidRDefault="00360CB7" w:rsidP="0011220F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11220F">
        <w:rPr>
          <w:sz w:val="24"/>
          <w:szCs w:val="24"/>
        </w:rPr>
        <w:tab/>
      </w:r>
      <w:r w:rsidR="009033E3" w:rsidRPr="00292335">
        <w:rPr>
          <w:sz w:val="24"/>
          <w:szCs w:val="24"/>
        </w:rPr>
        <w:t>Please review the regulation pertaining to prehearing conferences, 52 Pa. Code §5.222, and in particular, subsection (d) which provides</w:t>
      </w:r>
      <w:r w:rsidR="009033E3">
        <w:rPr>
          <w:sz w:val="24"/>
          <w:szCs w:val="24"/>
        </w:rPr>
        <w:t>, in part:</w:t>
      </w:r>
    </w:p>
    <w:p w:rsidR="009033E3" w:rsidRDefault="009033E3" w:rsidP="009033E3">
      <w:pPr>
        <w:ind w:left="1440" w:right="1440"/>
        <w:rPr>
          <w:sz w:val="24"/>
          <w:szCs w:val="24"/>
        </w:rPr>
      </w:pPr>
    </w:p>
    <w:p w:rsidR="009033E3" w:rsidRDefault="009033E3" w:rsidP="002C080D">
      <w:pPr>
        <w:tabs>
          <w:tab w:val="left" w:pos="2070"/>
        </w:tabs>
        <w:ind w:left="2160" w:right="1440"/>
        <w:rPr>
          <w:sz w:val="24"/>
          <w:szCs w:val="24"/>
        </w:rPr>
      </w:pPr>
      <w:r w:rsidRPr="00292335">
        <w:rPr>
          <w:sz w:val="24"/>
          <w:szCs w:val="24"/>
        </w:rPr>
        <w:t>(d)</w:t>
      </w:r>
      <w:r w:rsidRPr="00292335">
        <w:rPr>
          <w:sz w:val="24"/>
          <w:szCs w:val="24"/>
        </w:rPr>
        <w:tab/>
        <w:t>Part</w:t>
      </w:r>
      <w:r>
        <w:rPr>
          <w:sz w:val="24"/>
          <w:szCs w:val="24"/>
        </w:rPr>
        <w:t xml:space="preserve">ies </w:t>
      </w:r>
      <w:r w:rsidRPr="00292335">
        <w:rPr>
          <w:sz w:val="24"/>
          <w:szCs w:val="24"/>
        </w:rPr>
        <w:t xml:space="preserve">and counsel will be expected to attend the conference </w:t>
      </w:r>
      <w:r w:rsidRPr="00292335">
        <w:rPr>
          <w:sz w:val="24"/>
          <w:szCs w:val="24"/>
          <w:u w:val="single"/>
        </w:rPr>
        <w:t>fully prepared for useful discussion</w:t>
      </w:r>
      <w:r w:rsidRPr="00292335">
        <w:rPr>
          <w:sz w:val="24"/>
          <w:szCs w:val="24"/>
        </w:rPr>
        <w:t xml:space="preserve"> of all problems involved in the proceeding, both procedural and substantive, and </w:t>
      </w:r>
      <w:r w:rsidRPr="00292335">
        <w:rPr>
          <w:sz w:val="24"/>
          <w:szCs w:val="24"/>
          <w:u w:val="single"/>
        </w:rPr>
        <w:t>fully authorized to make commitments</w:t>
      </w:r>
      <w:r w:rsidRPr="00292335">
        <w:rPr>
          <w:sz w:val="24"/>
          <w:szCs w:val="24"/>
        </w:rPr>
        <w:t xml:space="preserve"> with respect thereto. </w:t>
      </w:r>
    </w:p>
    <w:p w:rsidR="009033E3" w:rsidRDefault="009033E3" w:rsidP="009033E3">
      <w:pPr>
        <w:ind w:left="1260" w:right="1440" w:firstLine="180"/>
        <w:rPr>
          <w:sz w:val="24"/>
          <w:szCs w:val="24"/>
        </w:rPr>
      </w:pPr>
    </w:p>
    <w:p w:rsidR="000C3B10" w:rsidRDefault="000C3B10" w:rsidP="002505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firstLine="1440"/>
        <w:rPr>
          <w:sz w:val="24"/>
        </w:rPr>
      </w:pPr>
    </w:p>
    <w:p w:rsidR="008A2A14" w:rsidRDefault="00C948CD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5</w:t>
      </w:r>
      <w:r w:rsidR="008A2A14">
        <w:rPr>
          <w:sz w:val="24"/>
        </w:rPr>
        <w:t>.</w:t>
      </w:r>
      <w:r w:rsidR="008A2A14">
        <w:rPr>
          <w:sz w:val="24"/>
        </w:rPr>
        <w:tab/>
        <w:t xml:space="preserve">Please review the regulations relating to discovery, specifically 52 </w:t>
      </w:r>
      <w:smartTag w:uri="urn:schemas-microsoft-com:office:smarttags" w:element="State">
        <w:r w:rsidR="008A2A14">
          <w:rPr>
            <w:sz w:val="24"/>
          </w:rPr>
          <w:t>Pa.</w:t>
        </w:r>
      </w:smartTag>
      <w:r w:rsidR="008A2A14">
        <w:rPr>
          <w:sz w:val="24"/>
        </w:rPr>
        <w:t xml:space="preserve"> Code §5.331(b), which provides, </w:t>
      </w:r>
      <w:r w:rsidR="008A2A14">
        <w:rPr>
          <w:sz w:val="24"/>
          <w:u w:val="single"/>
        </w:rPr>
        <w:t>inter</w:t>
      </w:r>
      <w:r w:rsidR="008A2A14">
        <w:rPr>
          <w:sz w:val="24"/>
        </w:rPr>
        <w:t xml:space="preserve"> </w:t>
      </w:r>
      <w:r w:rsidR="008A2A14">
        <w:rPr>
          <w:sz w:val="24"/>
          <w:u w:val="single"/>
        </w:rPr>
        <w:t>alia</w:t>
      </w:r>
      <w:r w:rsidR="008A2A14">
        <w:rPr>
          <w:sz w:val="24"/>
        </w:rPr>
        <w:t>, “[p]</w:t>
      </w:r>
      <w:proofErr w:type="spellStart"/>
      <w:r w:rsidR="008A2A14">
        <w:rPr>
          <w:sz w:val="24"/>
        </w:rPr>
        <w:t>articipants</w:t>
      </w:r>
      <w:proofErr w:type="spellEnd"/>
      <w:r w:rsidR="008A2A14">
        <w:rPr>
          <w:sz w:val="24"/>
        </w:rPr>
        <w:t xml:space="preserve"> shall endeavor to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8A2A14">
            <w:rPr>
              <w:sz w:val="24"/>
            </w:rPr>
            <w:t>Pa.</w:t>
          </w:r>
        </w:smartTag>
      </w:smartTag>
      <w:r w:rsidR="008A2A14">
        <w:rPr>
          <w:sz w:val="24"/>
        </w:rPr>
        <w:t xml:space="preserve"> Code §5.322, which encourages participants to exchange information on an informal basis.  </w:t>
      </w:r>
      <w:r w:rsidR="000C3B10">
        <w:rPr>
          <w:sz w:val="24"/>
        </w:rPr>
        <w:t>We</w:t>
      </w:r>
      <w:r w:rsidR="008A2A14">
        <w:rPr>
          <w:sz w:val="24"/>
        </w:rPr>
        <w:t xml:space="preserve"> urge all parties to cooperate in discovery.  Such cooperation is preferable to numerous or protracted discovery disagreements, whic</w:t>
      </w:r>
      <w:r w:rsidR="000C3B10">
        <w:rPr>
          <w:sz w:val="24"/>
        </w:rPr>
        <w:t>h require the presiding officer</w:t>
      </w:r>
      <w:r w:rsidR="008A2A14">
        <w:rPr>
          <w:sz w:val="24"/>
        </w:rPr>
        <w:t>s</w:t>
      </w:r>
      <w:r w:rsidR="000C3B10">
        <w:rPr>
          <w:sz w:val="24"/>
        </w:rPr>
        <w:t>’</w:t>
      </w:r>
      <w:r w:rsidR="008A2A14">
        <w:rPr>
          <w:sz w:val="24"/>
        </w:rPr>
        <w:t xml:space="preserve"> participation for resolution.  Please be aware there are limitations on discovery and sanctions for abuse of the discovery process.  52 </w:t>
      </w:r>
      <w:smartTag w:uri="urn:schemas-microsoft-com:office:smarttags" w:element="place">
        <w:smartTag w:uri="urn:schemas-microsoft-com:office:smarttags" w:element="State">
          <w:r w:rsidR="008A2A14">
            <w:rPr>
              <w:sz w:val="24"/>
            </w:rPr>
            <w:t>Pa.</w:t>
          </w:r>
        </w:smartTag>
      </w:smartTag>
      <w:r w:rsidR="008A2A14">
        <w:rPr>
          <w:sz w:val="24"/>
        </w:rPr>
        <w:t xml:space="preserve"> Code §§5.361, 5.371</w:t>
      </w:r>
      <w:r w:rsidR="008A2A14">
        <w:rPr>
          <w:sz w:val="24"/>
        </w:rPr>
        <w:noBreakHyphen/>
        <w:t>5.372.</w:t>
      </w:r>
    </w:p>
    <w:p w:rsidR="003D6796" w:rsidRDefault="003D6796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1E5A07" w:rsidRDefault="00C948CD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  <w:szCs w:val="24"/>
        </w:rPr>
        <w:sectPr w:rsidR="001E5A07" w:rsidSect="004F2024">
          <w:footerReference w:type="default" r:id="rId11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</w:sectPr>
      </w:pPr>
      <w:r>
        <w:rPr>
          <w:sz w:val="24"/>
        </w:rPr>
        <w:t>6</w:t>
      </w:r>
      <w:r w:rsidR="008A2A14">
        <w:rPr>
          <w:sz w:val="24"/>
        </w:rPr>
        <w:t>.</w:t>
      </w:r>
      <w:r w:rsidR="008A2A14">
        <w:rPr>
          <w:sz w:val="24"/>
        </w:rPr>
        <w:tab/>
      </w:r>
      <w:r w:rsidR="00263CED" w:rsidRPr="00292335">
        <w:rPr>
          <w:sz w:val="24"/>
          <w:szCs w:val="24"/>
        </w:rPr>
        <w:t xml:space="preserve">Pursuant to 52 </w:t>
      </w:r>
      <w:smartTag w:uri="urn:schemas-microsoft-com:office:smarttags" w:element="State">
        <w:smartTag w:uri="urn:schemas-microsoft-com:office:smarttags" w:element="place">
          <w:r w:rsidR="00263CED" w:rsidRPr="00292335">
            <w:rPr>
              <w:sz w:val="24"/>
              <w:szCs w:val="24"/>
            </w:rPr>
            <w:t>Pa.</w:t>
          </w:r>
        </w:smartTag>
      </w:smartTag>
      <w:r w:rsidR="00263CED" w:rsidRPr="00292335">
        <w:rPr>
          <w:sz w:val="24"/>
          <w:szCs w:val="24"/>
        </w:rPr>
        <w:t xml:space="preserve"> Code §§1.21 &amp; 1.22, you may represent yourself, if you are an individual, or you may have an attorney </w:t>
      </w:r>
      <w:r w:rsidR="00263CED">
        <w:rPr>
          <w:sz w:val="24"/>
          <w:szCs w:val="24"/>
        </w:rPr>
        <w:t xml:space="preserve">licensed to practice law in the Commonwealth of Pennsylvania, or admitted </w:t>
      </w:r>
      <w:r w:rsidR="00263CED">
        <w:rPr>
          <w:i/>
          <w:sz w:val="24"/>
          <w:szCs w:val="24"/>
        </w:rPr>
        <w:t>Pro Hac Vice</w:t>
      </w:r>
      <w:r w:rsidR="00263CED">
        <w:rPr>
          <w:sz w:val="24"/>
          <w:szCs w:val="24"/>
        </w:rPr>
        <w:t xml:space="preserve">, </w:t>
      </w:r>
      <w:r w:rsidR="00263CED" w:rsidRPr="00292335">
        <w:rPr>
          <w:sz w:val="24"/>
          <w:szCs w:val="24"/>
        </w:rPr>
        <w:t xml:space="preserve">represent you.  </w:t>
      </w:r>
      <w:r w:rsidR="00263CED" w:rsidRPr="00D67175">
        <w:rPr>
          <w:b/>
          <w:sz w:val="24"/>
          <w:szCs w:val="24"/>
          <w:u w:val="single"/>
        </w:rPr>
        <w:t>However</w:t>
      </w:r>
      <w:r w:rsidR="00263CED" w:rsidRPr="00292335">
        <w:rPr>
          <w:sz w:val="24"/>
          <w:szCs w:val="24"/>
        </w:rPr>
        <w:t xml:space="preserve">, if you are a partnership, </w:t>
      </w:r>
      <w:r w:rsidR="00263CED">
        <w:rPr>
          <w:sz w:val="24"/>
        </w:rPr>
        <w:t xml:space="preserve">limited liability company, </w:t>
      </w:r>
      <w:r w:rsidR="00263CED" w:rsidRPr="00292335">
        <w:rPr>
          <w:sz w:val="24"/>
          <w:szCs w:val="24"/>
        </w:rPr>
        <w:t xml:space="preserve">corporation, trust, association or governmental agency or subdivision, </w:t>
      </w:r>
    </w:p>
    <w:p w:rsidR="008A2A14" w:rsidRDefault="00263CED" w:rsidP="001E5A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proofErr w:type="gramStart"/>
      <w:r w:rsidRPr="00292335">
        <w:rPr>
          <w:sz w:val="24"/>
          <w:szCs w:val="24"/>
        </w:rPr>
        <w:lastRenderedPageBreak/>
        <w:t>you</w:t>
      </w:r>
      <w:proofErr w:type="gramEnd"/>
      <w:r w:rsidRPr="00292335">
        <w:rPr>
          <w:sz w:val="24"/>
          <w:szCs w:val="24"/>
        </w:rPr>
        <w:t xml:space="preserve"> must have an attorney represent you in this proceeding.  Unless you are an attorney, you may not represent someone else.</w:t>
      </w:r>
    </w:p>
    <w:p w:rsidR="00AF0E66" w:rsidRDefault="00AF0E66" w:rsidP="00263C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</w:p>
    <w:p w:rsidR="008A2A14" w:rsidRPr="004F2024" w:rsidRDefault="00C948CD" w:rsidP="00CC3C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  <w:szCs w:val="24"/>
        </w:rPr>
      </w:pPr>
      <w:r>
        <w:rPr>
          <w:sz w:val="24"/>
        </w:rPr>
        <w:t>7</w:t>
      </w:r>
      <w:r w:rsidR="008A2A14">
        <w:rPr>
          <w:sz w:val="24"/>
        </w:rPr>
        <w:t>.</w:t>
      </w:r>
      <w:r w:rsidR="008A2A14">
        <w:rPr>
          <w:sz w:val="24"/>
        </w:rPr>
        <w:tab/>
        <w:t xml:space="preserve">You must serve </w:t>
      </w:r>
      <w:r w:rsidR="000C3B10">
        <w:rPr>
          <w:sz w:val="24"/>
        </w:rPr>
        <w:t>us</w:t>
      </w:r>
      <w:r w:rsidR="008A2A14">
        <w:rPr>
          <w:sz w:val="24"/>
        </w:rPr>
        <w:t xml:space="preserve"> directly with a copy of any document that you file in th</w:t>
      </w:r>
      <w:r w:rsidR="00521F55">
        <w:rPr>
          <w:sz w:val="24"/>
        </w:rPr>
        <w:t>e</w:t>
      </w:r>
      <w:r w:rsidR="008A2A14">
        <w:rPr>
          <w:sz w:val="24"/>
        </w:rPr>
        <w:t>s</w:t>
      </w:r>
      <w:r w:rsidR="00521F55">
        <w:rPr>
          <w:sz w:val="24"/>
        </w:rPr>
        <w:t>e</w:t>
      </w:r>
      <w:r w:rsidR="008A2A14">
        <w:rPr>
          <w:sz w:val="24"/>
        </w:rPr>
        <w:t xml:space="preserve"> proceeding</w:t>
      </w:r>
      <w:r w:rsidR="00521F55">
        <w:rPr>
          <w:sz w:val="24"/>
        </w:rPr>
        <w:t>s</w:t>
      </w:r>
      <w:r w:rsidR="008A2A14">
        <w:rPr>
          <w:sz w:val="24"/>
        </w:rPr>
        <w:t xml:space="preserve">.  If you send </w:t>
      </w:r>
      <w:r w:rsidR="000C3B10">
        <w:rPr>
          <w:sz w:val="24"/>
        </w:rPr>
        <w:t>us</w:t>
      </w:r>
      <w:r w:rsidR="008A2A14">
        <w:rPr>
          <w:sz w:val="24"/>
        </w:rPr>
        <w:t xml:space="preserve"> any correspondence or document, you </w:t>
      </w:r>
      <w:r w:rsidR="008A2A14">
        <w:rPr>
          <w:sz w:val="24"/>
          <w:u w:val="single"/>
        </w:rPr>
        <w:t>must</w:t>
      </w:r>
      <w:r w:rsidR="008A2A14">
        <w:rPr>
          <w:sz w:val="24"/>
        </w:rPr>
        <w:t xml:space="preserve"> send a copy to </w:t>
      </w:r>
      <w:r w:rsidR="008A2A14">
        <w:rPr>
          <w:sz w:val="24"/>
          <w:u w:val="single"/>
        </w:rPr>
        <w:t>all</w:t>
      </w:r>
      <w:r w:rsidR="008A2A14">
        <w:rPr>
          <w:sz w:val="24"/>
        </w:rPr>
        <w:t xml:space="preserve"> </w:t>
      </w:r>
      <w:r w:rsidR="008A2A14" w:rsidRPr="004F2024">
        <w:rPr>
          <w:sz w:val="24"/>
          <w:szCs w:val="24"/>
        </w:rPr>
        <w:t>other parties.  For your convenience, a copy of the Commission’s current service list of the parties to th</w:t>
      </w:r>
      <w:r w:rsidR="00521F55">
        <w:rPr>
          <w:sz w:val="24"/>
          <w:szCs w:val="24"/>
        </w:rPr>
        <w:t>e</w:t>
      </w:r>
      <w:r w:rsidR="008A2A14" w:rsidRPr="004F2024">
        <w:rPr>
          <w:sz w:val="24"/>
          <w:szCs w:val="24"/>
        </w:rPr>
        <w:t>s</w:t>
      </w:r>
      <w:r w:rsidR="00521F55">
        <w:rPr>
          <w:sz w:val="24"/>
          <w:szCs w:val="24"/>
        </w:rPr>
        <w:t>e</w:t>
      </w:r>
      <w:r w:rsidR="008A2A14" w:rsidRPr="004F2024">
        <w:rPr>
          <w:sz w:val="24"/>
          <w:szCs w:val="24"/>
        </w:rPr>
        <w:t xml:space="preserve"> proceeding</w:t>
      </w:r>
      <w:r w:rsidR="00521F55">
        <w:rPr>
          <w:sz w:val="24"/>
          <w:szCs w:val="24"/>
        </w:rPr>
        <w:t>s</w:t>
      </w:r>
      <w:bookmarkStart w:id="0" w:name="_GoBack"/>
      <w:bookmarkEnd w:id="0"/>
      <w:r w:rsidR="008A2A14" w:rsidRPr="004F2024">
        <w:rPr>
          <w:sz w:val="24"/>
          <w:szCs w:val="24"/>
        </w:rPr>
        <w:t xml:space="preserve"> is enclosed with this Order.</w:t>
      </w:r>
    </w:p>
    <w:p w:rsidR="008A2A14" w:rsidRPr="004F2024" w:rsidRDefault="008A2A14" w:rsidP="00CC3C22">
      <w:pPr>
        <w:spacing w:line="360" w:lineRule="auto"/>
        <w:rPr>
          <w:sz w:val="24"/>
          <w:szCs w:val="24"/>
        </w:rPr>
      </w:pPr>
    </w:p>
    <w:p w:rsidR="004F2024" w:rsidRPr="004F2024" w:rsidRDefault="004F2024" w:rsidP="004F2024">
      <w:pPr>
        <w:spacing w:line="360" w:lineRule="auto"/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 xml:space="preserve">Date:  </w:t>
      </w:r>
      <w:r w:rsidR="002C68ED">
        <w:rPr>
          <w:sz w:val="24"/>
          <w:szCs w:val="24"/>
          <w:u w:val="single"/>
        </w:rPr>
        <w:t xml:space="preserve">July </w:t>
      </w:r>
      <w:r w:rsidR="00DB348E">
        <w:rPr>
          <w:sz w:val="24"/>
          <w:szCs w:val="24"/>
          <w:u w:val="single"/>
        </w:rPr>
        <w:t>7</w:t>
      </w:r>
      <w:r w:rsidR="002C68ED">
        <w:rPr>
          <w:sz w:val="24"/>
          <w:szCs w:val="24"/>
          <w:u w:val="single"/>
        </w:rPr>
        <w:t>, 2014</w:t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  <w:t>________________________</w:t>
      </w: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="002C68ED">
        <w:rPr>
          <w:sz w:val="24"/>
          <w:szCs w:val="24"/>
        </w:rPr>
        <w:t>Mary D. Long</w:t>
      </w: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  <w:t xml:space="preserve">       </w:t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  <w:t>Administrative Law Judge</w:t>
      </w:r>
    </w:p>
    <w:p w:rsidR="004F2024" w:rsidRPr="004F2024" w:rsidRDefault="004F2024" w:rsidP="004F2024">
      <w:pPr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  <w:t>________________________</w:t>
      </w: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="002A520D">
        <w:rPr>
          <w:sz w:val="24"/>
          <w:szCs w:val="24"/>
        </w:rPr>
        <w:t>Jeffrey A. Watson</w:t>
      </w:r>
    </w:p>
    <w:p w:rsidR="004F2024" w:rsidRPr="004F2024" w:rsidRDefault="004F2024" w:rsidP="004F2024">
      <w:pPr>
        <w:rPr>
          <w:sz w:val="24"/>
          <w:szCs w:val="24"/>
        </w:rPr>
      </w:pP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</w:r>
      <w:r w:rsidRPr="004F2024">
        <w:rPr>
          <w:sz w:val="24"/>
          <w:szCs w:val="24"/>
        </w:rPr>
        <w:tab/>
        <w:t>Administrative Law Judge</w:t>
      </w:r>
    </w:p>
    <w:p w:rsidR="00BC6CEC" w:rsidRPr="004F2024" w:rsidRDefault="00BC6CEC" w:rsidP="004F2024">
      <w:pPr>
        <w:spacing w:line="360" w:lineRule="auto"/>
        <w:rPr>
          <w:sz w:val="24"/>
          <w:szCs w:val="24"/>
        </w:rPr>
      </w:pPr>
    </w:p>
    <w:sectPr w:rsidR="00BC6CEC" w:rsidRPr="004F2024" w:rsidSect="001E5A07">
      <w:endnotePr>
        <w:numFmt w:val="decimal"/>
      </w:endnotePr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95" w:rsidRDefault="003A5F95">
      <w:r>
        <w:separator/>
      </w:r>
    </w:p>
  </w:endnote>
  <w:endnote w:type="continuationSeparator" w:id="0">
    <w:p w:rsidR="003A5F95" w:rsidRDefault="003A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5F" w:rsidRDefault="007C72D4" w:rsidP="00E418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55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55F" w:rsidRDefault="007C5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17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A07" w:rsidRDefault="001E5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4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A07" w:rsidRDefault="001E5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A4" w:rsidRDefault="001157A4">
    <w:pPr>
      <w:pStyle w:val="Footer"/>
      <w:jc w:val="center"/>
    </w:pPr>
  </w:p>
  <w:p w:rsidR="001157A4" w:rsidRDefault="001157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828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A07" w:rsidRDefault="001E5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F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555F" w:rsidRDefault="007C555F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95" w:rsidRDefault="003A5F95">
      <w:r>
        <w:separator/>
      </w:r>
    </w:p>
  </w:footnote>
  <w:footnote w:type="continuationSeparator" w:id="0">
    <w:p w:rsidR="003A5F95" w:rsidRDefault="003A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6F6"/>
    <w:multiLevelType w:val="hybridMultilevel"/>
    <w:tmpl w:val="5400EA98"/>
    <w:lvl w:ilvl="0" w:tplc="BBEE34D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3C43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EC"/>
    <w:rsid w:val="00084531"/>
    <w:rsid w:val="000C3B10"/>
    <w:rsid w:val="0011220F"/>
    <w:rsid w:val="001157A4"/>
    <w:rsid w:val="001544EE"/>
    <w:rsid w:val="00181AE5"/>
    <w:rsid w:val="0019515E"/>
    <w:rsid w:val="001A0882"/>
    <w:rsid w:val="001E5A07"/>
    <w:rsid w:val="00226059"/>
    <w:rsid w:val="002505CA"/>
    <w:rsid w:val="00263CED"/>
    <w:rsid w:val="002A520D"/>
    <w:rsid w:val="002B2E4C"/>
    <w:rsid w:val="002C080D"/>
    <w:rsid w:val="002C68ED"/>
    <w:rsid w:val="002F60D7"/>
    <w:rsid w:val="00360CB7"/>
    <w:rsid w:val="003634F0"/>
    <w:rsid w:val="00364E19"/>
    <w:rsid w:val="0038588B"/>
    <w:rsid w:val="003911C3"/>
    <w:rsid w:val="00396CB9"/>
    <w:rsid w:val="003A5F95"/>
    <w:rsid w:val="003D6796"/>
    <w:rsid w:val="00413A11"/>
    <w:rsid w:val="00417F0E"/>
    <w:rsid w:val="0048074B"/>
    <w:rsid w:val="004B5687"/>
    <w:rsid w:val="004F2024"/>
    <w:rsid w:val="00521F55"/>
    <w:rsid w:val="00555FF4"/>
    <w:rsid w:val="006132EC"/>
    <w:rsid w:val="006E6E56"/>
    <w:rsid w:val="00713B63"/>
    <w:rsid w:val="007A6573"/>
    <w:rsid w:val="007C555F"/>
    <w:rsid w:val="007C72D4"/>
    <w:rsid w:val="007D3BC0"/>
    <w:rsid w:val="00867D20"/>
    <w:rsid w:val="0087583E"/>
    <w:rsid w:val="008A2A14"/>
    <w:rsid w:val="009033E3"/>
    <w:rsid w:val="00931362"/>
    <w:rsid w:val="00934547"/>
    <w:rsid w:val="00964F42"/>
    <w:rsid w:val="009942A7"/>
    <w:rsid w:val="009B1245"/>
    <w:rsid w:val="009C002E"/>
    <w:rsid w:val="00A251D8"/>
    <w:rsid w:val="00A56D5B"/>
    <w:rsid w:val="00A714C5"/>
    <w:rsid w:val="00A73275"/>
    <w:rsid w:val="00A9747C"/>
    <w:rsid w:val="00AE325E"/>
    <w:rsid w:val="00AF0E66"/>
    <w:rsid w:val="00B37CE5"/>
    <w:rsid w:val="00B45923"/>
    <w:rsid w:val="00B54C1E"/>
    <w:rsid w:val="00BA2665"/>
    <w:rsid w:val="00BC6CEC"/>
    <w:rsid w:val="00C73258"/>
    <w:rsid w:val="00C948CD"/>
    <w:rsid w:val="00CB1988"/>
    <w:rsid w:val="00CC3C22"/>
    <w:rsid w:val="00CE3159"/>
    <w:rsid w:val="00D0708A"/>
    <w:rsid w:val="00D45406"/>
    <w:rsid w:val="00DB348E"/>
    <w:rsid w:val="00DD57CF"/>
    <w:rsid w:val="00DE6763"/>
    <w:rsid w:val="00E41885"/>
    <w:rsid w:val="00E64674"/>
    <w:rsid w:val="00E907F5"/>
    <w:rsid w:val="00EC5CB5"/>
    <w:rsid w:val="00EF209B"/>
    <w:rsid w:val="00F348F6"/>
    <w:rsid w:val="00F744BE"/>
    <w:rsid w:val="00F803B1"/>
    <w:rsid w:val="00F80D84"/>
    <w:rsid w:val="00F86A2D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D20"/>
  </w:style>
  <w:style w:type="paragraph" w:styleId="Heading1">
    <w:name w:val="heading 1"/>
    <w:basedOn w:val="Normal"/>
    <w:next w:val="Normal"/>
    <w:qFormat/>
    <w:rsid w:val="00867D2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67D20"/>
  </w:style>
  <w:style w:type="paragraph" w:styleId="Footer">
    <w:name w:val="footer"/>
    <w:basedOn w:val="Normal"/>
    <w:link w:val="FooterChar"/>
    <w:uiPriority w:val="99"/>
    <w:rsid w:val="00867D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573"/>
  </w:style>
  <w:style w:type="paragraph" w:styleId="Header">
    <w:name w:val="header"/>
    <w:basedOn w:val="Normal"/>
    <w:rsid w:val="007C55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4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1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D20"/>
  </w:style>
  <w:style w:type="paragraph" w:styleId="Heading1">
    <w:name w:val="heading 1"/>
    <w:basedOn w:val="Normal"/>
    <w:next w:val="Normal"/>
    <w:qFormat/>
    <w:rsid w:val="00867D2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67D20"/>
  </w:style>
  <w:style w:type="paragraph" w:styleId="Footer">
    <w:name w:val="footer"/>
    <w:basedOn w:val="Normal"/>
    <w:link w:val="FooterChar"/>
    <w:uiPriority w:val="99"/>
    <w:rsid w:val="00867D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573"/>
  </w:style>
  <w:style w:type="paragraph" w:styleId="Header">
    <w:name w:val="header"/>
    <w:basedOn w:val="Normal"/>
    <w:rsid w:val="007C55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4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1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sandra elizabeth oldynski</cp:lastModifiedBy>
  <cp:revision>19</cp:revision>
  <cp:lastPrinted>2014-07-07T15:53:00Z</cp:lastPrinted>
  <dcterms:created xsi:type="dcterms:W3CDTF">2014-07-07T14:45:00Z</dcterms:created>
  <dcterms:modified xsi:type="dcterms:W3CDTF">2014-07-07T15:54:00Z</dcterms:modified>
</cp:coreProperties>
</file>