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B70599" w:rsidRPr="00B96D75" w:rsidRDefault="00B70599" w:rsidP="00B70599">
      <w:pPr>
        <w:rPr>
          <w:sz w:val="24"/>
          <w:szCs w:val="24"/>
        </w:rPr>
      </w:pPr>
      <w:r w:rsidRPr="00B96D75">
        <w:rPr>
          <w:sz w:val="24"/>
          <w:szCs w:val="24"/>
        </w:rPr>
        <w:t>Armstrong Telecommunications, Inc.</w:t>
      </w:r>
      <w:r w:rsidRPr="00B96D75">
        <w:rPr>
          <w:sz w:val="24"/>
          <w:szCs w:val="24"/>
        </w:rPr>
        <w:tab/>
      </w:r>
      <w:r w:rsidR="00B96D75">
        <w:rPr>
          <w:sz w:val="24"/>
          <w:szCs w:val="24"/>
        </w:rPr>
        <w:tab/>
      </w:r>
      <w:r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C-2010-2216205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Pennsylvania Inc.</w:t>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b/>
      </w:r>
      <w:r w:rsidRPr="00B96D75">
        <w:rPr>
          <w:sz w:val="24"/>
          <w:szCs w:val="24"/>
        </w:rPr>
        <w:tab/>
        <w:t xml:space="preserve">v. </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C-2010-2216311</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Verizon North LLC</w:t>
      </w:r>
      <w:r w:rsidR="00C362C1" w:rsidRPr="00B96D75">
        <w:rPr>
          <w:sz w:val="24"/>
          <w:szCs w:val="24"/>
        </w:rPr>
        <w:tab/>
      </w:r>
      <w:r w:rsidR="00C362C1" w:rsidRPr="00B96D75">
        <w:rPr>
          <w:sz w:val="24"/>
          <w:szCs w:val="24"/>
        </w:rPr>
        <w:tab/>
      </w:r>
      <w:r w:rsidR="00C362C1" w:rsidRPr="00B96D75">
        <w:rPr>
          <w:sz w:val="24"/>
          <w:szCs w:val="24"/>
        </w:rPr>
        <w:tab/>
      </w:r>
      <w:r w:rsidR="00C362C1"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C362C1" w:rsidRPr="00B96D75">
        <w:rPr>
          <w:sz w:val="24"/>
          <w:szCs w:val="24"/>
        </w:rPr>
        <w:tab/>
      </w:r>
      <w:r w:rsidR="00B96D75">
        <w:rPr>
          <w:sz w:val="24"/>
          <w:szCs w:val="24"/>
        </w:rPr>
        <w:tab/>
      </w:r>
      <w:r w:rsidR="00C362C1" w:rsidRPr="00B96D75">
        <w:rPr>
          <w:sz w:val="24"/>
          <w:szCs w:val="24"/>
        </w:rPr>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r>
      <w:r w:rsidR="00C362C1" w:rsidRPr="00B96D75">
        <w:rPr>
          <w:sz w:val="24"/>
          <w:szCs w:val="24"/>
        </w:rPr>
        <w:t>:</w:t>
      </w:r>
      <w:r w:rsidRPr="00B96D75">
        <w:rPr>
          <w:sz w:val="24"/>
          <w:szCs w:val="24"/>
        </w:rPr>
        <w:tab/>
      </w:r>
      <w:r w:rsidRPr="00B96D75">
        <w:rPr>
          <w:sz w:val="24"/>
          <w:szCs w:val="24"/>
        </w:rPr>
        <w:tab/>
        <w:t>Docket No. C-2010-2216325</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5655C8" w:rsidRPr="00B96D75" w:rsidRDefault="00B70599" w:rsidP="00B70599">
      <w:pPr>
        <w:rPr>
          <w:sz w:val="24"/>
          <w:szCs w:val="24"/>
        </w:rPr>
      </w:pPr>
      <w:r w:rsidRPr="00B96D75">
        <w:rPr>
          <w:sz w:val="24"/>
          <w:szCs w:val="24"/>
        </w:rPr>
        <w:t>MCImetro Access Transmission</w:t>
      </w:r>
      <w:r w:rsidR="00C362C1" w:rsidRPr="00B96D75">
        <w:rPr>
          <w:sz w:val="24"/>
          <w:szCs w:val="24"/>
        </w:rPr>
        <w:tab/>
      </w:r>
      <w:r w:rsidR="00C362C1" w:rsidRPr="00B96D75">
        <w:rPr>
          <w:sz w:val="24"/>
          <w:szCs w:val="24"/>
        </w:rPr>
        <w:tab/>
        <w:t>:</w:t>
      </w:r>
    </w:p>
    <w:p w:rsidR="005655C8" w:rsidRPr="00B96D75" w:rsidRDefault="00B70599" w:rsidP="00B70599">
      <w:pPr>
        <w:rPr>
          <w:sz w:val="24"/>
          <w:szCs w:val="24"/>
        </w:rPr>
      </w:pPr>
      <w:r w:rsidRPr="00B96D75">
        <w:rPr>
          <w:sz w:val="24"/>
          <w:szCs w:val="24"/>
        </w:rPr>
        <w:t>Services LLC d/b/a Verizon Access</w:t>
      </w:r>
      <w:r w:rsidR="00C362C1" w:rsidRPr="00B96D75">
        <w:rPr>
          <w:sz w:val="24"/>
          <w:szCs w:val="24"/>
        </w:rPr>
        <w:tab/>
      </w:r>
      <w:r w:rsidR="00C362C1" w:rsidRPr="00B96D75">
        <w:rPr>
          <w:sz w:val="24"/>
          <w:szCs w:val="24"/>
        </w:rPr>
        <w:tab/>
        <w:t>:</w:t>
      </w:r>
    </w:p>
    <w:p w:rsidR="00B70599" w:rsidRPr="00B96D75" w:rsidRDefault="00B70599" w:rsidP="00B70599">
      <w:pPr>
        <w:rPr>
          <w:sz w:val="24"/>
          <w:szCs w:val="24"/>
        </w:rPr>
      </w:pPr>
      <w:r w:rsidRPr="00B96D75">
        <w:rPr>
          <w:sz w:val="24"/>
          <w:szCs w:val="24"/>
        </w:rPr>
        <w:t>Transmission Services</w:t>
      </w:r>
      <w:r w:rsidR="00C362C1" w:rsidRPr="00B96D75">
        <w:rPr>
          <w:sz w:val="24"/>
          <w:szCs w:val="24"/>
        </w:rPr>
        <w:tab/>
      </w:r>
      <w:r w:rsidR="00C362C1" w:rsidRP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Armstrong Telecommunications, Inc.</w:t>
      </w:r>
      <w:r w:rsidR="00B96D75">
        <w:rPr>
          <w:sz w:val="24"/>
          <w:szCs w:val="24"/>
        </w:rPr>
        <w:tab/>
      </w:r>
      <w:r w:rsidR="00C362C1" w:rsidRPr="00B96D75">
        <w:rPr>
          <w:sz w:val="24"/>
          <w:szCs w:val="24"/>
        </w:rPr>
        <w:tab/>
        <w:t>:</w:t>
      </w:r>
    </w:p>
    <w:p w:rsidR="005655C8"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5655C8" w:rsidP="00B70599">
      <w:pPr>
        <w:rPr>
          <w:sz w:val="24"/>
          <w:szCs w:val="24"/>
        </w:rPr>
      </w:pPr>
      <w:r w:rsidRPr="00B96D75">
        <w:rPr>
          <w:sz w:val="24"/>
          <w:szCs w:val="24"/>
        </w:rPr>
        <w:tab/>
      </w:r>
      <w:r w:rsidRPr="00B96D75">
        <w:rPr>
          <w:sz w:val="24"/>
          <w:szCs w:val="24"/>
        </w:rPr>
        <w:tab/>
      </w:r>
      <w:r w:rsidR="00B70599" w:rsidRPr="00B96D75">
        <w:rPr>
          <w:sz w:val="24"/>
          <w:szCs w:val="24"/>
        </w:rPr>
        <w:t>v</w:t>
      </w:r>
      <w:r w:rsidRPr="00B96D75">
        <w:rPr>
          <w:sz w:val="24"/>
          <w:szCs w:val="24"/>
        </w:rPr>
        <w:t>.</w:t>
      </w:r>
      <w:r w:rsidRPr="00B96D75">
        <w:rPr>
          <w:sz w:val="24"/>
          <w:szCs w:val="24"/>
        </w:rPr>
        <w:tab/>
      </w:r>
      <w:r w:rsidRPr="00B96D75">
        <w:rPr>
          <w:sz w:val="24"/>
          <w:szCs w:val="24"/>
        </w:rPr>
        <w:tab/>
      </w:r>
      <w:r w:rsidRPr="00B96D75">
        <w:rPr>
          <w:sz w:val="24"/>
          <w:szCs w:val="24"/>
        </w:rPr>
        <w:tab/>
      </w:r>
      <w:r w:rsidRPr="00B96D75">
        <w:rPr>
          <w:sz w:val="24"/>
          <w:szCs w:val="24"/>
        </w:rPr>
        <w:tab/>
        <w:t>:</w:t>
      </w:r>
      <w:r w:rsidRPr="00B96D75">
        <w:rPr>
          <w:sz w:val="24"/>
          <w:szCs w:val="24"/>
        </w:rPr>
        <w:tab/>
      </w:r>
      <w:r w:rsidRPr="00B96D75">
        <w:rPr>
          <w:sz w:val="24"/>
          <w:szCs w:val="24"/>
        </w:rPr>
        <w:tab/>
        <w:t>Docket No. C-2010-2216293</w:t>
      </w:r>
    </w:p>
    <w:p w:rsidR="00B70599" w:rsidRPr="00B96D75" w:rsidRDefault="00C362C1" w:rsidP="00B70599">
      <w:pPr>
        <w:rPr>
          <w:sz w:val="24"/>
          <w:szCs w:val="24"/>
        </w:rPr>
      </w:pP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r>
      <w:r w:rsidRPr="00B96D75">
        <w:rPr>
          <w:sz w:val="24"/>
          <w:szCs w:val="24"/>
        </w:rPr>
        <w:tab/>
        <w:t>:</w:t>
      </w:r>
    </w:p>
    <w:p w:rsidR="00B70599" w:rsidRPr="00B96D75" w:rsidRDefault="00B70599" w:rsidP="00B70599">
      <w:pPr>
        <w:rPr>
          <w:sz w:val="24"/>
          <w:szCs w:val="24"/>
        </w:rPr>
      </w:pPr>
      <w:r w:rsidRPr="00B96D75">
        <w:rPr>
          <w:sz w:val="24"/>
          <w:szCs w:val="24"/>
        </w:rPr>
        <w:t xml:space="preserve">MCI Communications Services Inc. </w:t>
      </w:r>
      <w:r w:rsidR="00C362C1" w:rsidRPr="00B96D75">
        <w:rPr>
          <w:sz w:val="24"/>
          <w:szCs w:val="24"/>
        </w:rPr>
        <w:tab/>
      </w:r>
      <w:r w:rsidR="00B96D75">
        <w:rPr>
          <w:sz w:val="24"/>
          <w:szCs w:val="24"/>
        </w:rPr>
        <w:tab/>
      </w:r>
      <w:r w:rsidR="00C362C1" w:rsidRPr="00B96D75">
        <w:rPr>
          <w:sz w:val="24"/>
          <w:szCs w:val="24"/>
        </w:rPr>
        <w:t>:</w:t>
      </w:r>
    </w:p>
    <w:p w:rsidR="003B1503" w:rsidRPr="00B96D75" w:rsidRDefault="00B70599" w:rsidP="003B1503">
      <w:pPr>
        <w:rPr>
          <w:sz w:val="24"/>
          <w:szCs w:val="24"/>
        </w:rPr>
      </w:pPr>
      <w:r w:rsidRPr="00B96D75">
        <w:rPr>
          <w:sz w:val="24"/>
          <w:szCs w:val="24"/>
        </w:rPr>
        <w:tab/>
      </w:r>
      <w:r w:rsidR="007255D0" w:rsidRPr="00B96D75">
        <w:rPr>
          <w:sz w:val="24"/>
          <w:szCs w:val="24"/>
        </w:rPr>
        <w:tab/>
      </w:r>
      <w:r w:rsidR="00035E9B" w:rsidRPr="00B96D75">
        <w:rPr>
          <w:sz w:val="24"/>
          <w:szCs w:val="24"/>
        </w:rPr>
        <w:tab/>
      </w:r>
      <w:r w:rsidR="007D41EF" w:rsidRPr="00B96D75">
        <w:rPr>
          <w:sz w:val="24"/>
          <w:szCs w:val="24"/>
        </w:rPr>
        <w:tab/>
      </w:r>
      <w:r w:rsidR="007D41EF" w:rsidRPr="00B96D75">
        <w:rPr>
          <w:sz w:val="24"/>
          <w:szCs w:val="24"/>
        </w:rPr>
        <w:tab/>
      </w:r>
      <w:r w:rsidR="005655C8" w:rsidRPr="00B96D75">
        <w:rPr>
          <w:sz w:val="24"/>
          <w:szCs w:val="24"/>
        </w:rPr>
        <w:tab/>
      </w:r>
      <w:r w:rsidR="005655C8" w:rsidRPr="00B96D75">
        <w:rPr>
          <w:sz w:val="24"/>
          <w:szCs w:val="24"/>
        </w:rPr>
        <w:tab/>
      </w:r>
    </w:p>
    <w:p w:rsidR="008E01E3" w:rsidRPr="00C81100" w:rsidRDefault="008E01E3"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ORDER</w:t>
      </w:r>
      <w:r w:rsidR="005C5F5B">
        <w:rPr>
          <w:b/>
          <w:sz w:val="24"/>
          <w:szCs w:val="24"/>
          <w:u w:val="single"/>
        </w:rPr>
        <w:t xml:space="preserve"> DENYING A PETITION TO REOPEN THE RECORD, STRIKING SUBSEQUENT IMPROVIDENT PLEADINGS, AND DIRECTING THE SCHEDULING OF A PREHEARING CONFERENCE</w:t>
      </w:r>
    </w:p>
    <w:p w:rsidR="00115DAF" w:rsidRPr="00C81100" w:rsidRDefault="00115DAF" w:rsidP="00C81100">
      <w:pPr>
        <w:jc w:val="center"/>
        <w:rPr>
          <w:sz w:val="24"/>
          <w:szCs w:val="24"/>
        </w:rPr>
      </w:pPr>
    </w:p>
    <w:p w:rsidR="00405714" w:rsidRDefault="00405714" w:rsidP="00A01330">
      <w:pPr>
        <w:jc w:val="center"/>
        <w:rPr>
          <w:sz w:val="24"/>
          <w:szCs w:val="24"/>
        </w:rPr>
      </w:pPr>
    </w:p>
    <w:p w:rsidR="002F1624" w:rsidRDefault="002F1624" w:rsidP="002F1624">
      <w:pPr>
        <w:spacing w:line="360" w:lineRule="auto"/>
        <w:rPr>
          <w:sz w:val="24"/>
          <w:szCs w:val="24"/>
        </w:rPr>
      </w:pPr>
      <w:r>
        <w:rPr>
          <w:sz w:val="24"/>
          <w:szCs w:val="24"/>
        </w:rPr>
        <w:tab/>
      </w:r>
      <w:r>
        <w:rPr>
          <w:sz w:val="24"/>
          <w:szCs w:val="24"/>
        </w:rPr>
        <w:tab/>
      </w:r>
      <w:r w:rsidRPr="002F1624">
        <w:rPr>
          <w:sz w:val="24"/>
          <w:szCs w:val="24"/>
        </w:rPr>
        <w:t>In accord with the provisions of 52 Pa. Code § 5.483, the purpose of this Order is to</w:t>
      </w:r>
      <w:r>
        <w:rPr>
          <w:sz w:val="24"/>
          <w:szCs w:val="24"/>
        </w:rPr>
        <w:t xml:space="preserve"> </w:t>
      </w:r>
      <w:r w:rsidR="00BC6AD3">
        <w:rPr>
          <w:sz w:val="24"/>
          <w:szCs w:val="24"/>
        </w:rPr>
        <w:t xml:space="preserve">address an outstanding Petition to Reopen the Record in this case and to </w:t>
      </w:r>
      <w:r>
        <w:rPr>
          <w:sz w:val="24"/>
          <w:szCs w:val="24"/>
        </w:rPr>
        <w:t xml:space="preserve">inform the parties as to the </w:t>
      </w:r>
      <w:r w:rsidR="009664CF">
        <w:rPr>
          <w:sz w:val="24"/>
          <w:szCs w:val="24"/>
        </w:rPr>
        <w:t>further</w:t>
      </w:r>
      <w:r>
        <w:rPr>
          <w:sz w:val="24"/>
          <w:szCs w:val="24"/>
        </w:rPr>
        <w:t xml:space="preserve"> procedural course of this case.  </w:t>
      </w:r>
      <w:r w:rsidR="006A5FB0">
        <w:rPr>
          <w:sz w:val="24"/>
          <w:szCs w:val="24"/>
        </w:rPr>
        <w:t>In sum, t</w:t>
      </w:r>
      <w:r>
        <w:rPr>
          <w:sz w:val="24"/>
          <w:szCs w:val="24"/>
        </w:rPr>
        <w:t xml:space="preserve">his Order </w:t>
      </w:r>
      <w:r w:rsidR="009664CF">
        <w:rPr>
          <w:sz w:val="24"/>
          <w:szCs w:val="24"/>
        </w:rPr>
        <w:t>denies</w:t>
      </w:r>
      <w:r>
        <w:rPr>
          <w:sz w:val="24"/>
          <w:szCs w:val="24"/>
        </w:rPr>
        <w:t xml:space="preserve"> the </w:t>
      </w:r>
      <w:r w:rsidR="00906793">
        <w:rPr>
          <w:sz w:val="24"/>
          <w:szCs w:val="24"/>
        </w:rPr>
        <w:t xml:space="preserve">January 6, 2012 Petition to Reopen the Record filed by Verizon Pennsylvania, Inc. </w:t>
      </w:r>
      <w:r w:rsidR="009664CF">
        <w:rPr>
          <w:sz w:val="24"/>
          <w:szCs w:val="24"/>
        </w:rPr>
        <w:t xml:space="preserve">and strikes from the record of </w:t>
      </w:r>
      <w:r w:rsidR="009664CF">
        <w:rPr>
          <w:sz w:val="24"/>
          <w:szCs w:val="24"/>
        </w:rPr>
        <w:lastRenderedPageBreak/>
        <w:t xml:space="preserve">this proceeding the </w:t>
      </w:r>
      <w:r w:rsidR="009664CF" w:rsidRPr="009664CF">
        <w:rPr>
          <w:sz w:val="24"/>
          <w:szCs w:val="24"/>
        </w:rPr>
        <w:t xml:space="preserve">Reply to Armstrong’s Answer filed on January 25, 2012 by Verizon, and </w:t>
      </w:r>
      <w:r w:rsidR="009664CF">
        <w:rPr>
          <w:sz w:val="24"/>
          <w:szCs w:val="24"/>
        </w:rPr>
        <w:t>the</w:t>
      </w:r>
      <w:r w:rsidR="009664CF" w:rsidRPr="009664CF">
        <w:rPr>
          <w:sz w:val="24"/>
          <w:szCs w:val="24"/>
        </w:rPr>
        <w:t xml:space="preserve"> Answer by Armstrong to Verizon’s Reply to Armstrong’s Answer to Verizon’s Petition to Reopen the Record</w:t>
      </w:r>
      <w:r w:rsidR="009664CF">
        <w:rPr>
          <w:sz w:val="24"/>
          <w:szCs w:val="24"/>
        </w:rPr>
        <w:t xml:space="preserve"> filed by Armstrong on February 1, 2012</w:t>
      </w:r>
      <w:r w:rsidR="009664CF" w:rsidRPr="009664CF">
        <w:rPr>
          <w:sz w:val="24"/>
          <w:szCs w:val="24"/>
        </w:rPr>
        <w:t>.</w:t>
      </w:r>
      <w:r w:rsidR="009664CF">
        <w:rPr>
          <w:sz w:val="24"/>
          <w:szCs w:val="24"/>
        </w:rPr>
        <w:t xml:space="preserve">  However, in accord with my authority under 52 Pa. Code § 5.571(d</w:t>
      </w:r>
      <w:proofErr w:type="gramStart"/>
      <w:r w:rsidR="009664CF">
        <w:rPr>
          <w:sz w:val="24"/>
          <w:szCs w:val="24"/>
        </w:rPr>
        <w:t>)(</w:t>
      </w:r>
      <w:proofErr w:type="gramEnd"/>
      <w:r w:rsidR="009664CF">
        <w:rPr>
          <w:sz w:val="24"/>
          <w:szCs w:val="24"/>
        </w:rPr>
        <w:t xml:space="preserve">1), I will </w:t>
      </w:r>
      <w:r w:rsidR="00166DB2">
        <w:rPr>
          <w:sz w:val="24"/>
          <w:szCs w:val="24"/>
        </w:rPr>
        <w:t xml:space="preserve">consider </w:t>
      </w:r>
      <w:r w:rsidR="009664CF">
        <w:rPr>
          <w:sz w:val="24"/>
          <w:szCs w:val="24"/>
        </w:rPr>
        <w:t>reopen</w:t>
      </w:r>
      <w:r w:rsidR="00166DB2">
        <w:rPr>
          <w:sz w:val="24"/>
          <w:szCs w:val="24"/>
        </w:rPr>
        <w:t>ing</w:t>
      </w:r>
      <w:r w:rsidR="009664CF">
        <w:rPr>
          <w:sz w:val="24"/>
          <w:szCs w:val="24"/>
        </w:rPr>
        <w:t xml:space="preserve"> the record in this case for the limited submission of additional evidence as </w:t>
      </w:r>
      <w:r w:rsidR="00BC6AD3">
        <w:rPr>
          <w:sz w:val="24"/>
          <w:szCs w:val="24"/>
        </w:rPr>
        <w:t xml:space="preserve">will be </w:t>
      </w:r>
      <w:r w:rsidR="009664CF">
        <w:rPr>
          <w:sz w:val="24"/>
          <w:szCs w:val="24"/>
        </w:rPr>
        <w:t xml:space="preserve">discussed, below.  </w:t>
      </w:r>
    </w:p>
    <w:p w:rsidR="002F1624" w:rsidRPr="00C81100" w:rsidRDefault="002F1624" w:rsidP="002F1624">
      <w:pPr>
        <w:spacing w:line="360" w:lineRule="auto"/>
        <w:jc w:val="center"/>
        <w:rPr>
          <w:sz w:val="24"/>
          <w:szCs w:val="24"/>
        </w:rPr>
      </w:pPr>
    </w:p>
    <w:p w:rsidR="002F1624" w:rsidRPr="001F45C6" w:rsidRDefault="009664CF" w:rsidP="002F1624">
      <w:pPr>
        <w:spacing w:line="360" w:lineRule="auto"/>
        <w:jc w:val="center"/>
        <w:rPr>
          <w:sz w:val="24"/>
          <w:szCs w:val="24"/>
          <w:u w:val="single"/>
        </w:rPr>
      </w:pPr>
      <w:r>
        <w:rPr>
          <w:sz w:val="24"/>
          <w:szCs w:val="24"/>
          <w:u w:val="single"/>
        </w:rPr>
        <w:t>H</w:t>
      </w:r>
      <w:r w:rsidR="002F1624" w:rsidRPr="001F45C6">
        <w:rPr>
          <w:sz w:val="24"/>
          <w:szCs w:val="24"/>
          <w:u w:val="single"/>
        </w:rPr>
        <w:t>ISTORY</w:t>
      </w:r>
    </w:p>
    <w:p w:rsidR="002F1624" w:rsidRDefault="002F1624" w:rsidP="00CB0365">
      <w:pPr>
        <w:spacing w:line="360" w:lineRule="auto"/>
        <w:rPr>
          <w:sz w:val="24"/>
          <w:szCs w:val="24"/>
        </w:rPr>
      </w:pPr>
    </w:p>
    <w:p w:rsidR="00CB0365" w:rsidRDefault="002F1624" w:rsidP="00CB0365">
      <w:pPr>
        <w:spacing w:line="360" w:lineRule="auto"/>
        <w:rPr>
          <w:sz w:val="24"/>
          <w:szCs w:val="24"/>
        </w:rPr>
      </w:pPr>
      <w:r>
        <w:rPr>
          <w:sz w:val="24"/>
          <w:szCs w:val="24"/>
        </w:rPr>
        <w:tab/>
      </w:r>
      <w:r>
        <w:rPr>
          <w:sz w:val="24"/>
          <w:szCs w:val="24"/>
        </w:rPr>
        <w:tab/>
      </w:r>
      <w:r w:rsidR="00CB0365" w:rsidRPr="00CB0365">
        <w:rPr>
          <w:sz w:val="24"/>
          <w:szCs w:val="24"/>
        </w:rPr>
        <w:t>On December 1</w:t>
      </w:r>
      <w:r w:rsidR="00CB0365">
        <w:rPr>
          <w:sz w:val="24"/>
          <w:szCs w:val="24"/>
        </w:rPr>
        <w:t>6</w:t>
      </w:r>
      <w:r w:rsidR="00CB0365" w:rsidRPr="00CB0365">
        <w:rPr>
          <w:sz w:val="24"/>
          <w:szCs w:val="24"/>
        </w:rPr>
        <w:t>, 2010, Armstrong Telecommunications, Inc</w:t>
      </w:r>
      <w:r w:rsidR="00CB0365">
        <w:rPr>
          <w:sz w:val="24"/>
          <w:szCs w:val="24"/>
        </w:rPr>
        <w:t xml:space="preserve">., </w:t>
      </w:r>
      <w:r w:rsidR="00CB0365" w:rsidRPr="00CB0365">
        <w:rPr>
          <w:sz w:val="24"/>
          <w:szCs w:val="24"/>
        </w:rPr>
        <w:t>(</w:t>
      </w:r>
      <w:r w:rsidR="00CB0365">
        <w:rPr>
          <w:sz w:val="24"/>
          <w:szCs w:val="24"/>
        </w:rPr>
        <w:t>Armstrong</w:t>
      </w:r>
      <w:r w:rsidR="00CB0365" w:rsidRPr="00CB0365">
        <w:rPr>
          <w:sz w:val="24"/>
          <w:szCs w:val="24"/>
        </w:rPr>
        <w:t xml:space="preserve">) filed </w:t>
      </w:r>
      <w:r w:rsidR="00120D96">
        <w:rPr>
          <w:sz w:val="24"/>
          <w:szCs w:val="24"/>
        </w:rPr>
        <w:t xml:space="preserve">four separate </w:t>
      </w:r>
      <w:r w:rsidR="00CB0365">
        <w:rPr>
          <w:sz w:val="24"/>
          <w:szCs w:val="24"/>
        </w:rPr>
        <w:t xml:space="preserve">Complaints with </w:t>
      </w:r>
      <w:r w:rsidR="00CB0365" w:rsidRPr="00CB0365">
        <w:rPr>
          <w:sz w:val="24"/>
          <w:szCs w:val="24"/>
        </w:rPr>
        <w:t xml:space="preserve">the Pennsylvania Public Utility Commission (Commission) </w:t>
      </w:r>
      <w:r w:rsidR="00CB0365">
        <w:rPr>
          <w:sz w:val="24"/>
          <w:szCs w:val="24"/>
        </w:rPr>
        <w:t>against</w:t>
      </w:r>
      <w:r w:rsidR="00120D96">
        <w:rPr>
          <w:sz w:val="24"/>
          <w:szCs w:val="24"/>
        </w:rPr>
        <w:t>:</w:t>
      </w:r>
      <w:r w:rsidR="00CB0365">
        <w:rPr>
          <w:sz w:val="24"/>
          <w:szCs w:val="24"/>
        </w:rPr>
        <w:t xml:space="preserve"> </w:t>
      </w:r>
      <w:r w:rsidR="00CB0365" w:rsidRPr="00B96D75">
        <w:rPr>
          <w:sz w:val="24"/>
          <w:szCs w:val="24"/>
        </w:rPr>
        <w:t>Verizon Pennsylvania Inc.</w:t>
      </w:r>
      <w:r w:rsidR="00CB0365">
        <w:rPr>
          <w:sz w:val="24"/>
          <w:szCs w:val="24"/>
        </w:rPr>
        <w:t xml:space="preserve">, </w:t>
      </w:r>
      <w:r w:rsidR="00CB0365" w:rsidRPr="00B96D75">
        <w:rPr>
          <w:sz w:val="24"/>
          <w:szCs w:val="24"/>
        </w:rPr>
        <w:t>Verizon North LLC</w:t>
      </w:r>
      <w:r w:rsidR="00CB0365">
        <w:rPr>
          <w:sz w:val="24"/>
          <w:szCs w:val="24"/>
        </w:rPr>
        <w:t xml:space="preserve">, </w:t>
      </w:r>
      <w:r w:rsidR="00CB0365" w:rsidRPr="00CB0365">
        <w:rPr>
          <w:sz w:val="24"/>
          <w:szCs w:val="24"/>
        </w:rPr>
        <w:t>MCImetro Access Transmission</w:t>
      </w:r>
      <w:r w:rsidR="00CB0365">
        <w:rPr>
          <w:sz w:val="24"/>
          <w:szCs w:val="24"/>
        </w:rPr>
        <w:t xml:space="preserve"> </w:t>
      </w:r>
      <w:r w:rsidR="00CB0365" w:rsidRPr="00CB0365">
        <w:rPr>
          <w:sz w:val="24"/>
          <w:szCs w:val="24"/>
        </w:rPr>
        <w:t>Services LLC d/b/a Verizon Access</w:t>
      </w:r>
      <w:r w:rsidR="00CB0365">
        <w:rPr>
          <w:sz w:val="24"/>
          <w:szCs w:val="24"/>
        </w:rPr>
        <w:t xml:space="preserve"> </w:t>
      </w:r>
      <w:r w:rsidR="00CB0365" w:rsidRPr="00CB0365">
        <w:rPr>
          <w:sz w:val="24"/>
          <w:szCs w:val="24"/>
        </w:rPr>
        <w:t>Transmission Services</w:t>
      </w:r>
      <w:r w:rsidR="00CB0365">
        <w:rPr>
          <w:sz w:val="24"/>
          <w:szCs w:val="24"/>
        </w:rPr>
        <w:t xml:space="preserve">, and </w:t>
      </w:r>
      <w:r w:rsidR="00CB0365" w:rsidRPr="00B96D75">
        <w:rPr>
          <w:sz w:val="24"/>
          <w:szCs w:val="24"/>
        </w:rPr>
        <w:t>MCI Communications Services Inc.</w:t>
      </w:r>
      <w:r w:rsidR="00CB0365">
        <w:rPr>
          <w:sz w:val="24"/>
          <w:szCs w:val="24"/>
        </w:rPr>
        <w:t xml:space="preserve"> (collectively Verizon or Respondent) alleging non-payment by Verizon for services rendered by Armstrong.  On January 10, 2011, Verizon filed an Answer and New Matter.  On January 31, 2011, Armstrong filed a Reply to New Matter.  </w:t>
      </w:r>
    </w:p>
    <w:p w:rsidR="00CB0365" w:rsidRDefault="00CB0365" w:rsidP="00CB0365">
      <w:pPr>
        <w:spacing w:line="360" w:lineRule="auto"/>
        <w:rPr>
          <w:sz w:val="24"/>
          <w:szCs w:val="24"/>
        </w:rPr>
      </w:pPr>
    </w:p>
    <w:p w:rsidR="00CB0365" w:rsidRDefault="00CB0365" w:rsidP="00CB0365">
      <w:pPr>
        <w:spacing w:line="360" w:lineRule="auto"/>
        <w:rPr>
          <w:sz w:val="24"/>
          <w:szCs w:val="24"/>
        </w:rPr>
      </w:pPr>
      <w:r>
        <w:rPr>
          <w:sz w:val="24"/>
          <w:szCs w:val="24"/>
        </w:rPr>
        <w:tab/>
      </w:r>
      <w:r>
        <w:rPr>
          <w:sz w:val="24"/>
          <w:szCs w:val="24"/>
        </w:rPr>
        <w:tab/>
      </w:r>
      <w:r w:rsidRPr="00CB0365">
        <w:rPr>
          <w:sz w:val="24"/>
          <w:szCs w:val="24"/>
        </w:rPr>
        <w:t xml:space="preserve">This </w:t>
      </w:r>
      <w:r w:rsidR="005A2608">
        <w:rPr>
          <w:sz w:val="24"/>
          <w:szCs w:val="24"/>
        </w:rPr>
        <w:t>case</w:t>
      </w:r>
      <w:r w:rsidRPr="00CB0365">
        <w:rPr>
          <w:sz w:val="24"/>
          <w:szCs w:val="24"/>
        </w:rPr>
        <w:t xml:space="preserve"> was assigned to me as </w:t>
      </w:r>
      <w:r w:rsidR="00906793">
        <w:rPr>
          <w:sz w:val="24"/>
          <w:szCs w:val="24"/>
        </w:rPr>
        <w:t>P</w:t>
      </w:r>
      <w:r w:rsidRPr="00CB0365">
        <w:rPr>
          <w:sz w:val="24"/>
          <w:szCs w:val="24"/>
        </w:rPr>
        <w:t xml:space="preserve">residing </w:t>
      </w:r>
      <w:r w:rsidR="00906793">
        <w:rPr>
          <w:sz w:val="24"/>
          <w:szCs w:val="24"/>
        </w:rPr>
        <w:t>O</w:t>
      </w:r>
      <w:r w:rsidRPr="00CB0365">
        <w:rPr>
          <w:sz w:val="24"/>
          <w:szCs w:val="24"/>
        </w:rPr>
        <w:t xml:space="preserve">fficer on </w:t>
      </w:r>
      <w:r>
        <w:rPr>
          <w:sz w:val="24"/>
          <w:szCs w:val="24"/>
        </w:rPr>
        <w:t>February 24, 2011</w:t>
      </w:r>
      <w:r w:rsidRPr="00CB0365">
        <w:rPr>
          <w:sz w:val="24"/>
          <w:szCs w:val="24"/>
        </w:rPr>
        <w:t xml:space="preserve">, and on </w:t>
      </w:r>
      <w:r>
        <w:rPr>
          <w:sz w:val="24"/>
          <w:szCs w:val="24"/>
        </w:rPr>
        <w:t>March 4</w:t>
      </w:r>
      <w:r w:rsidRPr="00CB0365">
        <w:rPr>
          <w:sz w:val="24"/>
          <w:szCs w:val="24"/>
        </w:rPr>
        <w:t xml:space="preserve">, 2011, a </w:t>
      </w:r>
      <w:r w:rsidR="000849B7">
        <w:rPr>
          <w:sz w:val="24"/>
          <w:szCs w:val="24"/>
        </w:rPr>
        <w:t>P</w:t>
      </w:r>
      <w:r w:rsidRPr="00CB0365">
        <w:rPr>
          <w:sz w:val="24"/>
          <w:szCs w:val="24"/>
        </w:rPr>
        <w:t>rehearing Order</w:t>
      </w:r>
      <w:r w:rsidR="005A2608">
        <w:rPr>
          <w:sz w:val="24"/>
          <w:szCs w:val="24"/>
        </w:rPr>
        <w:t xml:space="preserve"> was issued</w:t>
      </w:r>
      <w:r w:rsidRPr="00CB0365">
        <w:rPr>
          <w:sz w:val="24"/>
          <w:szCs w:val="24"/>
        </w:rPr>
        <w:t xml:space="preserve">.  </w:t>
      </w:r>
      <w:r w:rsidR="005A2608">
        <w:rPr>
          <w:sz w:val="24"/>
          <w:szCs w:val="24"/>
        </w:rPr>
        <w:t>On March 17, 2011</w:t>
      </w:r>
      <w:r w:rsidRPr="00CB0365">
        <w:rPr>
          <w:sz w:val="24"/>
          <w:szCs w:val="24"/>
        </w:rPr>
        <w:t xml:space="preserve">, </w:t>
      </w:r>
      <w:r w:rsidR="00120D96">
        <w:rPr>
          <w:sz w:val="24"/>
          <w:szCs w:val="24"/>
        </w:rPr>
        <w:t xml:space="preserve">both </w:t>
      </w:r>
      <w:r w:rsidR="005A2608">
        <w:rPr>
          <w:sz w:val="24"/>
          <w:szCs w:val="24"/>
        </w:rPr>
        <w:t>P</w:t>
      </w:r>
      <w:r w:rsidRPr="00CB0365">
        <w:rPr>
          <w:sz w:val="24"/>
          <w:szCs w:val="24"/>
        </w:rPr>
        <w:t>art</w:t>
      </w:r>
      <w:r w:rsidR="00120D96">
        <w:rPr>
          <w:sz w:val="24"/>
          <w:szCs w:val="24"/>
        </w:rPr>
        <w:t xml:space="preserve">ies </w:t>
      </w:r>
      <w:r w:rsidRPr="00CB0365">
        <w:rPr>
          <w:sz w:val="24"/>
          <w:szCs w:val="24"/>
        </w:rPr>
        <w:t>filed a prehearing memorandum identifying issues</w:t>
      </w:r>
      <w:r>
        <w:rPr>
          <w:sz w:val="24"/>
          <w:szCs w:val="24"/>
        </w:rPr>
        <w:t>, and, in the case of Verizon, informally requesting a stay of these proceedings.</w:t>
      </w:r>
    </w:p>
    <w:p w:rsidR="00CB0365" w:rsidRDefault="00CB0365" w:rsidP="00CB0365">
      <w:pPr>
        <w:spacing w:line="360" w:lineRule="auto"/>
        <w:rPr>
          <w:sz w:val="24"/>
          <w:szCs w:val="24"/>
        </w:rPr>
      </w:pPr>
    </w:p>
    <w:p w:rsidR="003620A2" w:rsidRDefault="00CB0365" w:rsidP="00CB0365">
      <w:pPr>
        <w:spacing w:line="360" w:lineRule="auto"/>
        <w:rPr>
          <w:sz w:val="24"/>
          <w:szCs w:val="24"/>
        </w:rPr>
      </w:pPr>
      <w:r w:rsidRPr="00CB0365">
        <w:rPr>
          <w:sz w:val="24"/>
          <w:szCs w:val="24"/>
        </w:rPr>
        <w:tab/>
      </w:r>
      <w:r w:rsidRPr="00CB0365">
        <w:rPr>
          <w:sz w:val="24"/>
          <w:szCs w:val="24"/>
        </w:rPr>
        <w:tab/>
      </w:r>
      <w:r w:rsidR="005A2608">
        <w:rPr>
          <w:sz w:val="24"/>
          <w:szCs w:val="24"/>
        </w:rPr>
        <w:t>On March 21, 2011, a</w:t>
      </w:r>
      <w:r w:rsidR="002148B5">
        <w:rPr>
          <w:sz w:val="24"/>
          <w:szCs w:val="24"/>
        </w:rPr>
        <w:t xml:space="preserve"> prehearing conference was held</w:t>
      </w:r>
      <w:r w:rsidR="00120D96">
        <w:rPr>
          <w:sz w:val="24"/>
          <w:szCs w:val="24"/>
        </w:rPr>
        <w:t xml:space="preserve"> in Harrisburg, Pennsylvania</w:t>
      </w:r>
      <w:r w:rsidR="002148B5">
        <w:rPr>
          <w:sz w:val="24"/>
          <w:szCs w:val="24"/>
        </w:rPr>
        <w:t xml:space="preserve">, as scheduled.  At that prehearing conference, </w:t>
      </w:r>
      <w:r w:rsidR="005A2608">
        <w:rPr>
          <w:sz w:val="24"/>
          <w:szCs w:val="24"/>
        </w:rPr>
        <w:t>the undersigned</w:t>
      </w:r>
      <w:r w:rsidR="002148B5">
        <w:rPr>
          <w:sz w:val="24"/>
          <w:szCs w:val="24"/>
        </w:rPr>
        <w:t xml:space="preserve"> asked whether additional time might be needed by the Parties so as to attempt to reach a settlement of the issues in this matter, but after hearing statements from the Parties with respect to that suggestion, it did not appear that settlement discussions could even begin at this time.  </w:t>
      </w:r>
      <w:r w:rsidR="00E17186">
        <w:rPr>
          <w:sz w:val="24"/>
          <w:szCs w:val="24"/>
        </w:rPr>
        <w:t xml:space="preserve">However, the parties agreed to the consolidation of the </w:t>
      </w:r>
      <w:r w:rsidR="002148B5">
        <w:rPr>
          <w:sz w:val="24"/>
          <w:szCs w:val="24"/>
        </w:rPr>
        <w:t>four separate Complaints in this proceeding</w:t>
      </w:r>
      <w:r w:rsidR="00E17186">
        <w:rPr>
          <w:sz w:val="24"/>
          <w:szCs w:val="24"/>
        </w:rPr>
        <w:t>.  T</w:t>
      </w:r>
      <w:r w:rsidR="003620A2">
        <w:rPr>
          <w:sz w:val="24"/>
          <w:szCs w:val="24"/>
        </w:rPr>
        <w:t xml:space="preserve">he Parties </w:t>
      </w:r>
      <w:r w:rsidR="00E17186">
        <w:rPr>
          <w:sz w:val="24"/>
          <w:szCs w:val="24"/>
        </w:rPr>
        <w:t xml:space="preserve">also </w:t>
      </w:r>
      <w:r w:rsidR="003620A2">
        <w:rPr>
          <w:sz w:val="24"/>
          <w:szCs w:val="24"/>
        </w:rPr>
        <w:t>agreed that on April 18, 2011, Verizon w</w:t>
      </w:r>
      <w:r w:rsidR="00E17186">
        <w:rPr>
          <w:sz w:val="24"/>
          <w:szCs w:val="24"/>
        </w:rPr>
        <w:t xml:space="preserve">ould </w:t>
      </w:r>
      <w:r w:rsidR="003620A2">
        <w:rPr>
          <w:sz w:val="24"/>
          <w:szCs w:val="24"/>
        </w:rPr>
        <w:t>file a Petition for Stay of this proceeding and that Armstrong w</w:t>
      </w:r>
      <w:r w:rsidR="00E17186">
        <w:rPr>
          <w:sz w:val="24"/>
          <w:szCs w:val="24"/>
        </w:rPr>
        <w:t>ould</w:t>
      </w:r>
      <w:r w:rsidR="003620A2">
        <w:rPr>
          <w:sz w:val="24"/>
          <w:szCs w:val="24"/>
        </w:rPr>
        <w:t xml:space="preserve"> simultaneously file a Motion for Summary Judgment.</w:t>
      </w:r>
      <w:r w:rsidR="00E17186">
        <w:rPr>
          <w:rStyle w:val="FootnoteReference"/>
          <w:sz w:val="24"/>
          <w:szCs w:val="24"/>
        </w:rPr>
        <w:footnoteReference w:id="1"/>
      </w:r>
      <w:r w:rsidR="003620A2">
        <w:rPr>
          <w:sz w:val="24"/>
          <w:szCs w:val="24"/>
        </w:rPr>
        <w:t xml:space="preserve">  The Parties also agreed </w:t>
      </w:r>
      <w:r w:rsidR="003620A2">
        <w:rPr>
          <w:sz w:val="24"/>
          <w:szCs w:val="24"/>
        </w:rPr>
        <w:lastRenderedPageBreak/>
        <w:t>that on May 19, 2011, Verizon w</w:t>
      </w:r>
      <w:r w:rsidR="00E17186">
        <w:rPr>
          <w:sz w:val="24"/>
          <w:szCs w:val="24"/>
        </w:rPr>
        <w:t xml:space="preserve">ould </w:t>
      </w:r>
      <w:r w:rsidR="003620A2">
        <w:rPr>
          <w:sz w:val="24"/>
          <w:szCs w:val="24"/>
        </w:rPr>
        <w:t>file its Answer to Armstrong’s Motion, and Armstrong w</w:t>
      </w:r>
      <w:r w:rsidR="00E17186">
        <w:rPr>
          <w:sz w:val="24"/>
          <w:szCs w:val="24"/>
        </w:rPr>
        <w:t>ould</w:t>
      </w:r>
      <w:r w:rsidR="003620A2">
        <w:rPr>
          <w:sz w:val="24"/>
          <w:szCs w:val="24"/>
        </w:rPr>
        <w:t xml:space="preserve"> file its Answer to Verizon’s Petition.</w:t>
      </w:r>
      <w:r w:rsidR="0051398C">
        <w:rPr>
          <w:sz w:val="24"/>
          <w:szCs w:val="24"/>
        </w:rPr>
        <w:t xml:space="preserve">  </w:t>
      </w:r>
      <w:r w:rsidR="003620A2">
        <w:rPr>
          <w:sz w:val="24"/>
          <w:szCs w:val="24"/>
        </w:rPr>
        <w:t xml:space="preserve">At the prehearing conference, the Parties also jointly </w:t>
      </w:r>
      <w:r w:rsidR="005A2608">
        <w:rPr>
          <w:sz w:val="24"/>
          <w:szCs w:val="24"/>
        </w:rPr>
        <w:t>submitted</w:t>
      </w:r>
      <w:r w:rsidR="003620A2">
        <w:rPr>
          <w:sz w:val="24"/>
          <w:szCs w:val="24"/>
        </w:rPr>
        <w:t xml:space="preserve"> a </w:t>
      </w:r>
      <w:r w:rsidR="005A2608">
        <w:rPr>
          <w:sz w:val="24"/>
          <w:szCs w:val="24"/>
        </w:rPr>
        <w:t xml:space="preserve">draft </w:t>
      </w:r>
      <w:r w:rsidR="003620A2">
        <w:rPr>
          <w:sz w:val="24"/>
          <w:szCs w:val="24"/>
        </w:rPr>
        <w:t>Protective Order dealing with “Proprietary Information,” and “Highly Confidential Information.”</w:t>
      </w:r>
      <w:r w:rsidR="0051398C">
        <w:rPr>
          <w:sz w:val="24"/>
          <w:szCs w:val="24"/>
        </w:rPr>
        <w:t xml:space="preserve">  </w:t>
      </w:r>
      <w:r w:rsidR="002148B5">
        <w:rPr>
          <w:sz w:val="24"/>
          <w:szCs w:val="24"/>
        </w:rPr>
        <w:t>T</w:t>
      </w:r>
      <w:r w:rsidR="0051398C">
        <w:rPr>
          <w:sz w:val="24"/>
          <w:szCs w:val="24"/>
        </w:rPr>
        <w:t xml:space="preserve">he Protective Order </w:t>
      </w:r>
      <w:r w:rsidR="002148B5">
        <w:rPr>
          <w:sz w:val="24"/>
          <w:szCs w:val="24"/>
        </w:rPr>
        <w:t xml:space="preserve">was approved </w:t>
      </w:r>
      <w:r w:rsidR="005A2608">
        <w:rPr>
          <w:sz w:val="24"/>
          <w:szCs w:val="24"/>
        </w:rPr>
        <w:t xml:space="preserve">without modification </w:t>
      </w:r>
      <w:r w:rsidR="002148B5">
        <w:rPr>
          <w:sz w:val="24"/>
          <w:szCs w:val="24"/>
        </w:rPr>
        <w:t xml:space="preserve">and signed </w:t>
      </w:r>
      <w:r w:rsidR="0051398C">
        <w:rPr>
          <w:sz w:val="24"/>
          <w:szCs w:val="24"/>
        </w:rPr>
        <w:t>at the prehearing conference.</w:t>
      </w:r>
      <w:r w:rsidR="00E17186">
        <w:rPr>
          <w:sz w:val="24"/>
          <w:szCs w:val="24"/>
        </w:rPr>
        <w:t xml:space="preserve">  On March 21, 2011, a </w:t>
      </w:r>
      <w:r w:rsidR="000849B7">
        <w:rPr>
          <w:sz w:val="24"/>
          <w:szCs w:val="24"/>
        </w:rPr>
        <w:t>P</w:t>
      </w:r>
      <w:r w:rsidR="00E17186">
        <w:rPr>
          <w:sz w:val="24"/>
          <w:szCs w:val="24"/>
        </w:rPr>
        <w:t>ost-hearing Order was issued memorializing all of these agreements.</w:t>
      </w:r>
    </w:p>
    <w:p w:rsidR="00E17186" w:rsidRDefault="00E17186" w:rsidP="00CB0365">
      <w:pPr>
        <w:spacing w:line="360" w:lineRule="auto"/>
        <w:rPr>
          <w:sz w:val="24"/>
          <w:szCs w:val="24"/>
        </w:rPr>
      </w:pPr>
    </w:p>
    <w:p w:rsidR="00E17186" w:rsidRPr="00E17186" w:rsidRDefault="00E17186" w:rsidP="00E17186">
      <w:pPr>
        <w:spacing w:line="360" w:lineRule="auto"/>
        <w:rPr>
          <w:sz w:val="24"/>
          <w:szCs w:val="24"/>
        </w:rPr>
      </w:pPr>
      <w:r>
        <w:rPr>
          <w:sz w:val="24"/>
          <w:szCs w:val="24"/>
        </w:rPr>
        <w:tab/>
      </w:r>
      <w:r>
        <w:rPr>
          <w:sz w:val="24"/>
          <w:szCs w:val="24"/>
        </w:rPr>
        <w:tab/>
      </w:r>
      <w:r w:rsidRPr="00E17186">
        <w:rPr>
          <w:sz w:val="24"/>
          <w:szCs w:val="24"/>
        </w:rPr>
        <w:t xml:space="preserve">On May 19, 2011, the Parties </w:t>
      </w:r>
      <w:proofErr w:type="gramStart"/>
      <w:r w:rsidRPr="00E17186">
        <w:rPr>
          <w:sz w:val="24"/>
          <w:szCs w:val="24"/>
        </w:rPr>
        <w:t>cross-filed</w:t>
      </w:r>
      <w:proofErr w:type="gramEnd"/>
      <w:r w:rsidRPr="00E17186">
        <w:rPr>
          <w:sz w:val="24"/>
          <w:szCs w:val="24"/>
        </w:rPr>
        <w:t xml:space="preserve"> Answers to their respective Motions.</w:t>
      </w:r>
    </w:p>
    <w:p w:rsidR="00E17186" w:rsidRPr="00E17186" w:rsidRDefault="00E17186" w:rsidP="00E17186">
      <w:pPr>
        <w:spacing w:line="360" w:lineRule="auto"/>
        <w:rPr>
          <w:sz w:val="24"/>
          <w:szCs w:val="24"/>
        </w:rPr>
      </w:pPr>
    </w:p>
    <w:p w:rsidR="00E17186" w:rsidRDefault="00E17186" w:rsidP="00E17186">
      <w:pPr>
        <w:spacing w:line="360" w:lineRule="auto"/>
        <w:rPr>
          <w:sz w:val="24"/>
          <w:szCs w:val="24"/>
        </w:rPr>
      </w:pPr>
      <w:r w:rsidRPr="00E17186">
        <w:rPr>
          <w:sz w:val="24"/>
          <w:szCs w:val="24"/>
        </w:rPr>
        <w:tab/>
      </w:r>
      <w:r w:rsidRPr="00E17186">
        <w:rPr>
          <w:sz w:val="24"/>
          <w:szCs w:val="24"/>
        </w:rPr>
        <w:tab/>
        <w:t>On May 24, 2011, an entity not a party to these proceedings, known as Bright House Networks Information Services (Florida), filed a pleading purportedly responding to Verizon’s Answer to Armstrong’s Motion for Partial Summary Judgment.  On June 1, 2011, Verizon filed a letter asking that the letter from Bright House be stricken</w:t>
      </w:r>
      <w:r>
        <w:rPr>
          <w:sz w:val="24"/>
          <w:szCs w:val="24"/>
        </w:rPr>
        <w:t>.</w:t>
      </w:r>
    </w:p>
    <w:p w:rsidR="00906793" w:rsidRDefault="00906793" w:rsidP="00E17186">
      <w:pPr>
        <w:spacing w:line="360" w:lineRule="auto"/>
        <w:rPr>
          <w:sz w:val="24"/>
          <w:szCs w:val="24"/>
        </w:rPr>
      </w:pPr>
    </w:p>
    <w:p w:rsidR="00E17186" w:rsidRDefault="00E17186" w:rsidP="00E17186">
      <w:pPr>
        <w:spacing w:line="360" w:lineRule="auto"/>
        <w:rPr>
          <w:sz w:val="24"/>
          <w:szCs w:val="24"/>
        </w:rPr>
      </w:pPr>
      <w:r>
        <w:rPr>
          <w:sz w:val="24"/>
          <w:szCs w:val="24"/>
        </w:rPr>
        <w:tab/>
      </w:r>
      <w:r>
        <w:rPr>
          <w:sz w:val="24"/>
          <w:szCs w:val="24"/>
        </w:rPr>
        <w:tab/>
        <w:t xml:space="preserve">On July 18, 2011, I issued an Order which </w:t>
      </w:r>
      <w:r w:rsidRPr="00E17186">
        <w:rPr>
          <w:sz w:val="24"/>
          <w:szCs w:val="24"/>
        </w:rPr>
        <w:t>denie</w:t>
      </w:r>
      <w:r>
        <w:rPr>
          <w:sz w:val="24"/>
          <w:szCs w:val="24"/>
        </w:rPr>
        <w:t>d</w:t>
      </w:r>
      <w:r w:rsidRPr="00E17186">
        <w:rPr>
          <w:sz w:val="24"/>
          <w:szCs w:val="24"/>
        </w:rPr>
        <w:t xml:space="preserve"> both the Motion for Partial Summary Judgment filed by Armstrong and the Motion to Dismiss or Stay filed by Verizon</w:t>
      </w:r>
      <w:r>
        <w:rPr>
          <w:sz w:val="24"/>
          <w:szCs w:val="24"/>
        </w:rPr>
        <w:t xml:space="preserve"> and which struck the Bright House Letter.</w:t>
      </w:r>
    </w:p>
    <w:p w:rsidR="00E17186" w:rsidRDefault="00E17186" w:rsidP="00E17186">
      <w:pPr>
        <w:spacing w:line="360" w:lineRule="auto"/>
        <w:rPr>
          <w:sz w:val="24"/>
          <w:szCs w:val="24"/>
        </w:rPr>
      </w:pPr>
    </w:p>
    <w:p w:rsidR="00E17186" w:rsidRDefault="00E17186" w:rsidP="00E17186">
      <w:pPr>
        <w:spacing w:line="360" w:lineRule="auto"/>
        <w:rPr>
          <w:noProof/>
          <w:sz w:val="24"/>
          <w:szCs w:val="24"/>
        </w:rPr>
      </w:pPr>
      <w:r>
        <w:rPr>
          <w:sz w:val="24"/>
          <w:szCs w:val="24"/>
        </w:rPr>
        <w:tab/>
      </w:r>
      <w:r>
        <w:rPr>
          <w:sz w:val="24"/>
          <w:szCs w:val="24"/>
        </w:rPr>
        <w:tab/>
        <w:t>On August 19, 2011, Verizon filed a Petition for Interlocutory Review and Answer to a Material Question.</w:t>
      </w:r>
      <w:r>
        <w:rPr>
          <w:noProof/>
          <w:sz w:val="24"/>
          <w:szCs w:val="24"/>
        </w:rPr>
        <w:t xml:space="preserve">  </w:t>
      </w:r>
    </w:p>
    <w:p w:rsidR="00E17186" w:rsidRDefault="00E17186" w:rsidP="00E17186">
      <w:pPr>
        <w:spacing w:line="360" w:lineRule="auto"/>
        <w:rPr>
          <w:noProof/>
          <w:sz w:val="24"/>
          <w:szCs w:val="24"/>
        </w:rPr>
      </w:pPr>
    </w:p>
    <w:p w:rsidR="00E17186" w:rsidRDefault="00E17186" w:rsidP="00E17186">
      <w:pPr>
        <w:spacing w:line="360" w:lineRule="auto"/>
        <w:rPr>
          <w:noProof/>
          <w:sz w:val="24"/>
          <w:szCs w:val="24"/>
        </w:rPr>
      </w:pPr>
      <w:r>
        <w:rPr>
          <w:noProof/>
          <w:sz w:val="24"/>
          <w:szCs w:val="24"/>
        </w:rPr>
        <w:tab/>
      </w:r>
      <w:r>
        <w:rPr>
          <w:noProof/>
          <w:sz w:val="24"/>
          <w:szCs w:val="24"/>
        </w:rPr>
        <w:tab/>
        <w:t xml:space="preserve">On August 25, 2011, the Secretary of the Commission issued a letter that </w:t>
      </w:r>
      <w:r w:rsidRPr="00E17186">
        <w:rPr>
          <w:noProof/>
          <w:sz w:val="24"/>
          <w:szCs w:val="24"/>
        </w:rPr>
        <w:t>waive</w:t>
      </w:r>
      <w:r>
        <w:rPr>
          <w:noProof/>
          <w:sz w:val="24"/>
          <w:szCs w:val="24"/>
        </w:rPr>
        <w:t>d</w:t>
      </w:r>
      <w:r w:rsidRPr="00E17186">
        <w:rPr>
          <w:noProof/>
          <w:sz w:val="24"/>
          <w:szCs w:val="24"/>
        </w:rPr>
        <w:t xml:space="preserve"> the thirty-day period for consideration set forth in 52 Pa. Code § 5.303 and, thereby, extend</w:t>
      </w:r>
      <w:r>
        <w:rPr>
          <w:noProof/>
          <w:sz w:val="24"/>
          <w:szCs w:val="24"/>
        </w:rPr>
        <w:t xml:space="preserve"> the Commission’s </w:t>
      </w:r>
      <w:r w:rsidRPr="00E17186">
        <w:rPr>
          <w:noProof/>
          <w:sz w:val="24"/>
          <w:szCs w:val="24"/>
        </w:rPr>
        <w:t>consideration beyond the thirty-day period to afford adequate time to address the question raised.</w:t>
      </w:r>
      <w:r>
        <w:rPr>
          <w:noProof/>
          <w:sz w:val="24"/>
          <w:szCs w:val="24"/>
        </w:rPr>
        <w:t xml:space="preserve">  On August 29, 2011, Verizon and Armstrong filed briefs with the Commission.</w:t>
      </w:r>
    </w:p>
    <w:p w:rsidR="00E17186" w:rsidRDefault="00E17186" w:rsidP="00E17186">
      <w:pPr>
        <w:spacing w:line="360" w:lineRule="auto"/>
        <w:rPr>
          <w:noProof/>
          <w:sz w:val="24"/>
          <w:szCs w:val="24"/>
        </w:rPr>
      </w:pPr>
    </w:p>
    <w:p w:rsidR="00906793" w:rsidRDefault="00E17186" w:rsidP="00E17186">
      <w:pPr>
        <w:spacing w:line="360" w:lineRule="auto"/>
        <w:rPr>
          <w:noProof/>
          <w:sz w:val="24"/>
          <w:szCs w:val="24"/>
        </w:rPr>
      </w:pPr>
      <w:r>
        <w:rPr>
          <w:noProof/>
          <w:sz w:val="24"/>
          <w:szCs w:val="24"/>
        </w:rPr>
        <w:tab/>
      </w:r>
      <w:r>
        <w:rPr>
          <w:noProof/>
          <w:sz w:val="24"/>
          <w:szCs w:val="24"/>
        </w:rPr>
        <w:tab/>
        <w:t>On September 23, 2011, a Hearing Notice was issued setting this case for hearing on November 9-10, 2011.</w:t>
      </w:r>
      <w:r w:rsidR="00014DDA">
        <w:rPr>
          <w:noProof/>
          <w:sz w:val="24"/>
          <w:szCs w:val="24"/>
        </w:rPr>
        <w:t xml:space="preserve">  </w:t>
      </w:r>
    </w:p>
    <w:p w:rsidR="00906793" w:rsidRDefault="00906793" w:rsidP="00E17186">
      <w:pPr>
        <w:spacing w:line="360" w:lineRule="auto"/>
        <w:rPr>
          <w:noProof/>
          <w:sz w:val="24"/>
          <w:szCs w:val="24"/>
        </w:rPr>
      </w:pPr>
    </w:p>
    <w:p w:rsidR="00E17186" w:rsidRDefault="00906793" w:rsidP="00E17186">
      <w:pPr>
        <w:spacing w:line="360" w:lineRule="auto"/>
        <w:rPr>
          <w:noProof/>
          <w:sz w:val="24"/>
          <w:szCs w:val="24"/>
        </w:rPr>
      </w:pPr>
      <w:r>
        <w:rPr>
          <w:noProof/>
          <w:sz w:val="24"/>
          <w:szCs w:val="24"/>
        </w:rPr>
        <w:tab/>
      </w:r>
      <w:r>
        <w:rPr>
          <w:noProof/>
          <w:sz w:val="24"/>
          <w:szCs w:val="24"/>
        </w:rPr>
        <w:tab/>
        <w:t xml:space="preserve">An evidentiary hearing in this consolidated case </w:t>
      </w:r>
      <w:r w:rsidR="00014DDA">
        <w:rPr>
          <w:noProof/>
          <w:sz w:val="24"/>
          <w:szCs w:val="24"/>
        </w:rPr>
        <w:t>was held on November 9-10, 2011.</w:t>
      </w:r>
      <w:r>
        <w:rPr>
          <w:noProof/>
          <w:sz w:val="24"/>
          <w:szCs w:val="24"/>
        </w:rPr>
        <w:t xml:space="preserve">  Verizon was represented by Suzan D. Paiva, Esquire.  Armstrong was represented by </w:t>
      </w:r>
      <w:r>
        <w:rPr>
          <w:noProof/>
          <w:sz w:val="24"/>
          <w:szCs w:val="24"/>
        </w:rPr>
        <w:lastRenderedPageBreak/>
        <w:t>Norman J. Kennard, Esquire, and by David Jamieson, Esquire.</w:t>
      </w:r>
      <w:r>
        <w:rPr>
          <w:rStyle w:val="FootnoteReference"/>
          <w:noProof/>
          <w:sz w:val="24"/>
          <w:szCs w:val="24"/>
        </w:rPr>
        <w:footnoteReference w:id="2"/>
      </w:r>
      <w:r w:rsidR="000849B7">
        <w:rPr>
          <w:noProof/>
          <w:sz w:val="24"/>
          <w:szCs w:val="24"/>
        </w:rPr>
        <w:t xml:space="preserve">  Armstrong presented the testimony of two witnesses: Bryan Cipoletti, the CFO for the Armstrong group </w:t>
      </w:r>
      <w:r w:rsidR="000209DD">
        <w:rPr>
          <w:noProof/>
          <w:sz w:val="24"/>
          <w:szCs w:val="24"/>
        </w:rPr>
        <w:t xml:space="preserve">of companies </w:t>
      </w:r>
      <w:r w:rsidR="000849B7">
        <w:rPr>
          <w:noProof/>
          <w:sz w:val="24"/>
          <w:szCs w:val="24"/>
        </w:rPr>
        <w:t>and Michael Starkey, a consultant from QSI Consulting.  Armstrong offered the following exhibits that were received into evidence: Armstrong Statement No. 1 with MS-1 and Armstrong Exhibits 1-9</w:t>
      </w:r>
      <w:r w:rsidR="00E31305">
        <w:rPr>
          <w:noProof/>
          <w:sz w:val="24"/>
          <w:szCs w:val="24"/>
        </w:rPr>
        <w:t>;</w:t>
      </w:r>
      <w:r w:rsidR="000849B7">
        <w:rPr>
          <w:noProof/>
          <w:sz w:val="24"/>
          <w:szCs w:val="24"/>
        </w:rPr>
        <w:t xml:space="preserve"> Armstrong </w:t>
      </w:r>
      <w:r w:rsidR="00E31305">
        <w:rPr>
          <w:noProof/>
          <w:sz w:val="24"/>
          <w:szCs w:val="24"/>
        </w:rPr>
        <w:t>Rebuttal Statement</w:t>
      </w:r>
      <w:r w:rsidR="000849B7">
        <w:rPr>
          <w:noProof/>
          <w:sz w:val="24"/>
          <w:szCs w:val="24"/>
        </w:rPr>
        <w:t xml:space="preserve"> No. 2</w:t>
      </w:r>
      <w:r w:rsidR="00E31305">
        <w:rPr>
          <w:noProof/>
          <w:sz w:val="24"/>
          <w:szCs w:val="24"/>
        </w:rPr>
        <w:t xml:space="preserve"> with Armstrong Exhibits 10-14; Armstrong Cross Examination Exhibits 1-2</w:t>
      </w:r>
      <w:r w:rsidR="000209DD">
        <w:rPr>
          <w:noProof/>
          <w:sz w:val="24"/>
          <w:szCs w:val="24"/>
        </w:rPr>
        <w:t>, and Armstrong Surrebuttal Exhibit 1</w:t>
      </w:r>
      <w:r w:rsidR="00E31305">
        <w:rPr>
          <w:noProof/>
          <w:sz w:val="24"/>
          <w:szCs w:val="24"/>
        </w:rPr>
        <w:t xml:space="preserve">.  Verizon presented the testimony of two witnesses: </w:t>
      </w:r>
      <w:r w:rsidR="0062474C">
        <w:rPr>
          <w:noProof/>
          <w:sz w:val="24"/>
          <w:szCs w:val="24"/>
        </w:rPr>
        <w:t>Wil</w:t>
      </w:r>
      <w:r w:rsidR="004D4FBF">
        <w:rPr>
          <w:noProof/>
          <w:sz w:val="24"/>
          <w:szCs w:val="24"/>
        </w:rPr>
        <w:t xml:space="preserve">liam Munsell, Senior Consultant, Product Management and Development for Verizon, and Paul Vasington, Director of </w:t>
      </w:r>
      <w:r w:rsidR="000209DD">
        <w:rPr>
          <w:noProof/>
          <w:sz w:val="24"/>
          <w:szCs w:val="24"/>
        </w:rPr>
        <w:t>State Public Policy for Verizon.  Verizon offered the following exhibits that were received into evidence: Verizon Statement No. 1 with Verizon Direct Exhibits 1-5; Verizon Rebuttal Exhibits 1-2; Verizon Cross-Examination Exhibits 1-6.  A hearing transcript of 279 pages has been compiled in this case.</w:t>
      </w:r>
    </w:p>
    <w:p w:rsidR="00014DDA" w:rsidRDefault="00014DDA" w:rsidP="00E17186">
      <w:pPr>
        <w:spacing w:line="360" w:lineRule="auto"/>
        <w:rPr>
          <w:noProof/>
          <w:sz w:val="24"/>
          <w:szCs w:val="24"/>
        </w:rPr>
      </w:pPr>
    </w:p>
    <w:p w:rsidR="00014DDA" w:rsidRDefault="00014DDA" w:rsidP="00E17186">
      <w:pPr>
        <w:spacing w:line="360" w:lineRule="auto"/>
        <w:rPr>
          <w:noProof/>
          <w:sz w:val="24"/>
          <w:szCs w:val="24"/>
        </w:rPr>
      </w:pPr>
      <w:r>
        <w:rPr>
          <w:noProof/>
          <w:sz w:val="24"/>
          <w:szCs w:val="24"/>
        </w:rPr>
        <w:tab/>
      </w:r>
      <w:r>
        <w:rPr>
          <w:noProof/>
          <w:sz w:val="24"/>
          <w:szCs w:val="24"/>
        </w:rPr>
        <w:tab/>
        <w:t>On November 29, 2011, Verizon filed a letter requesting mediation of this case through the Commission’s Mediation Unit.  The request did not include a request for stay of the briefing schedule.</w:t>
      </w:r>
    </w:p>
    <w:p w:rsidR="00014DDA" w:rsidRDefault="00014DDA" w:rsidP="00E17186">
      <w:pPr>
        <w:spacing w:line="360" w:lineRule="auto"/>
        <w:rPr>
          <w:noProof/>
          <w:sz w:val="24"/>
          <w:szCs w:val="24"/>
        </w:rPr>
      </w:pPr>
    </w:p>
    <w:p w:rsidR="00014DDA" w:rsidRDefault="00014DDA" w:rsidP="00E17186">
      <w:pPr>
        <w:spacing w:line="360" w:lineRule="auto"/>
        <w:rPr>
          <w:noProof/>
          <w:sz w:val="24"/>
          <w:szCs w:val="24"/>
        </w:rPr>
      </w:pPr>
      <w:r>
        <w:rPr>
          <w:noProof/>
          <w:sz w:val="24"/>
          <w:szCs w:val="24"/>
        </w:rPr>
        <w:tab/>
      </w:r>
      <w:r>
        <w:rPr>
          <w:noProof/>
          <w:sz w:val="24"/>
          <w:szCs w:val="24"/>
        </w:rPr>
        <w:tab/>
        <w:t>On December 6, 2011, Verizon and Armstrong filed their Main Briefs.</w:t>
      </w:r>
    </w:p>
    <w:p w:rsidR="00014DDA" w:rsidRDefault="00014DDA" w:rsidP="00E17186">
      <w:pPr>
        <w:spacing w:line="360" w:lineRule="auto"/>
        <w:rPr>
          <w:noProof/>
          <w:sz w:val="24"/>
          <w:szCs w:val="24"/>
        </w:rPr>
      </w:pPr>
    </w:p>
    <w:p w:rsidR="00014DDA" w:rsidRDefault="00014DDA" w:rsidP="00E17186">
      <w:pPr>
        <w:spacing w:line="360" w:lineRule="auto"/>
        <w:rPr>
          <w:noProof/>
          <w:sz w:val="24"/>
          <w:szCs w:val="24"/>
        </w:rPr>
      </w:pPr>
      <w:r>
        <w:rPr>
          <w:noProof/>
          <w:sz w:val="24"/>
          <w:szCs w:val="24"/>
        </w:rPr>
        <w:tab/>
      </w:r>
      <w:r>
        <w:rPr>
          <w:noProof/>
          <w:sz w:val="24"/>
          <w:szCs w:val="24"/>
        </w:rPr>
        <w:tab/>
        <w:t>On December 8, 2011, a letter was issued by the OALJ notifying the parties of an initial mediation session on December 13, 2011.</w:t>
      </w:r>
    </w:p>
    <w:p w:rsidR="00231DF0" w:rsidRDefault="00231DF0" w:rsidP="00E17186">
      <w:pPr>
        <w:spacing w:line="360" w:lineRule="auto"/>
        <w:rPr>
          <w:noProof/>
          <w:sz w:val="24"/>
          <w:szCs w:val="24"/>
        </w:rPr>
      </w:pPr>
    </w:p>
    <w:p w:rsidR="00231DF0" w:rsidRDefault="00231DF0" w:rsidP="00E17186">
      <w:pPr>
        <w:spacing w:line="360" w:lineRule="auto"/>
        <w:rPr>
          <w:noProof/>
          <w:sz w:val="24"/>
          <w:szCs w:val="24"/>
        </w:rPr>
      </w:pPr>
      <w:r>
        <w:rPr>
          <w:noProof/>
          <w:sz w:val="24"/>
          <w:szCs w:val="24"/>
        </w:rPr>
        <w:tab/>
      </w:r>
      <w:r>
        <w:rPr>
          <w:noProof/>
          <w:sz w:val="24"/>
          <w:szCs w:val="24"/>
        </w:rPr>
        <w:tab/>
        <w:t>On January 6, 2012, Verizon and Armstrong filed their Reply Briefs.</w:t>
      </w:r>
    </w:p>
    <w:p w:rsidR="00231DF0" w:rsidRDefault="00231DF0" w:rsidP="00E17186">
      <w:pPr>
        <w:spacing w:line="360" w:lineRule="auto"/>
        <w:rPr>
          <w:noProof/>
          <w:sz w:val="24"/>
          <w:szCs w:val="24"/>
        </w:rPr>
      </w:pPr>
    </w:p>
    <w:p w:rsidR="00231DF0" w:rsidRDefault="00231DF0" w:rsidP="00E17186">
      <w:pPr>
        <w:spacing w:line="360" w:lineRule="auto"/>
        <w:rPr>
          <w:noProof/>
          <w:sz w:val="24"/>
          <w:szCs w:val="24"/>
        </w:rPr>
      </w:pPr>
      <w:r>
        <w:rPr>
          <w:noProof/>
          <w:sz w:val="24"/>
          <w:szCs w:val="24"/>
        </w:rPr>
        <w:tab/>
      </w:r>
      <w:r>
        <w:rPr>
          <w:noProof/>
          <w:sz w:val="24"/>
          <w:szCs w:val="24"/>
        </w:rPr>
        <w:tab/>
        <w:t>Also on January 6, 2012, Verizon filed a Petition to Reopen the Record.</w:t>
      </w:r>
    </w:p>
    <w:p w:rsidR="00231DF0" w:rsidRDefault="00231DF0" w:rsidP="00E17186">
      <w:pPr>
        <w:spacing w:line="360" w:lineRule="auto"/>
        <w:rPr>
          <w:noProof/>
          <w:sz w:val="24"/>
          <w:szCs w:val="24"/>
        </w:rPr>
      </w:pPr>
    </w:p>
    <w:p w:rsidR="00231DF0" w:rsidRDefault="00231DF0" w:rsidP="00E17186">
      <w:pPr>
        <w:spacing w:line="360" w:lineRule="auto"/>
        <w:rPr>
          <w:noProof/>
          <w:sz w:val="24"/>
          <w:szCs w:val="24"/>
        </w:rPr>
      </w:pPr>
      <w:r>
        <w:rPr>
          <w:noProof/>
          <w:sz w:val="24"/>
          <w:szCs w:val="24"/>
        </w:rPr>
        <w:tab/>
      </w:r>
      <w:r>
        <w:rPr>
          <w:noProof/>
          <w:sz w:val="24"/>
          <w:szCs w:val="24"/>
        </w:rPr>
        <w:tab/>
        <w:t>On January 17, 2012, Armstrong filed an Answer to Verizon’s Petition to Reopen the Record opposing that request.</w:t>
      </w:r>
    </w:p>
    <w:p w:rsidR="00231DF0" w:rsidRDefault="00231DF0" w:rsidP="00E17186">
      <w:pPr>
        <w:spacing w:line="360" w:lineRule="auto"/>
        <w:rPr>
          <w:noProof/>
          <w:sz w:val="24"/>
          <w:szCs w:val="24"/>
        </w:rPr>
      </w:pPr>
    </w:p>
    <w:p w:rsidR="00231DF0" w:rsidRDefault="00231DF0" w:rsidP="00E17186">
      <w:pPr>
        <w:spacing w:line="360" w:lineRule="auto"/>
        <w:rPr>
          <w:noProof/>
          <w:sz w:val="24"/>
          <w:szCs w:val="24"/>
        </w:rPr>
      </w:pPr>
      <w:r>
        <w:rPr>
          <w:noProof/>
          <w:sz w:val="24"/>
          <w:szCs w:val="24"/>
        </w:rPr>
        <w:lastRenderedPageBreak/>
        <w:tab/>
      </w:r>
      <w:r>
        <w:rPr>
          <w:noProof/>
          <w:sz w:val="24"/>
          <w:szCs w:val="24"/>
        </w:rPr>
        <w:tab/>
        <w:t>There followed two additional filings by the parties: a Reply to Armstrong’s Answer filed on January 25, 2012 by Verizon, and then</w:t>
      </w:r>
      <w:r w:rsidR="00D12864">
        <w:rPr>
          <w:noProof/>
          <w:sz w:val="24"/>
          <w:szCs w:val="24"/>
        </w:rPr>
        <w:t>, on February 1, 2012,</w:t>
      </w:r>
      <w:r>
        <w:rPr>
          <w:noProof/>
          <w:sz w:val="24"/>
          <w:szCs w:val="24"/>
        </w:rPr>
        <w:t xml:space="preserve"> an Answer by Armstrong to Verizon’s Reply to Armstrong’s Answer to Verizon’s Petition to Reopen the Record.</w:t>
      </w:r>
    </w:p>
    <w:p w:rsidR="00BC120B" w:rsidRDefault="00BC120B" w:rsidP="00E17186">
      <w:pPr>
        <w:spacing w:line="360" w:lineRule="auto"/>
        <w:rPr>
          <w:noProof/>
          <w:sz w:val="24"/>
          <w:szCs w:val="24"/>
        </w:rPr>
      </w:pPr>
    </w:p>
    <w:p w:rsidR="00BC120B" w:rsidRDefault="00BC120B" w:rsidP="00BC120B">
      <w:pPr>
        <w:spacing w:line="360" w:lineRule="auto"/>
        <w:rPr>
          <w:noProof/>
          <w:sz w:val="24"/>
          <w:szCs w:val="24"/>
        </w:rPr>
      </w:pPr>
      <w:r>
        <w:rPr>
          <w:noProof/>
          <w:sz w:val="24"/>
          <w:szCs w:val="24"/>
        </w:rPr>
        <w:tab/>
      </w:r>
      <w:r>
        <w:rPr>
          <w:noProof/>
          <w:sz w:val="24"/>
          <w:szCs w:val="24"/>
        </w:rPr>
        <w:tab/>
        <w:t>On February 6, 2012, the parties filed a letter with the Commission advising that the case had been settled in most of its particulars in that t</w:t>
      </w:r>
      <w:r w:rsidRPr="00BC120B">
        <w:rPr>
          <w:noProof/>
          <w:sz w:val="24"/>
          <w:szCs w:val="24"/>
        </w:rPr>
        <w:t xml:space="preserve">he parties </w:t>
      </w:r>
      <w:r>
        <w:rPr>
          <w:noProof/>
          <w:sz w:val="24"/>
          <w:szCs w:val="24"/>
        </w:rPr>
        <w:t xml:space="preserve">had </w:t>
      </w:r>
      <w:r w:rsidRPr="00BC120B">
        <w:rPr>
          <w:noProof/>
          <w:sz w:val="24"/>
          <w:szCs w:val="24"/>
        </w:rPr>
        <w:t>resolved all claims set forth in A</w:t>
      </w:r>
      <w:r>
        <w:rPr>
          <w:noProof/>
          <w:sz w:val="24"/>
          <w:szCs w:val="24"/>
        </w:rPr>
        <w:t>rmstrong’s C</w:t>
      </w:r>
      <w:r w:rsidRPr="00BC120B">
        <w:rPr>
          <w:noProof/>
          <w:sz w:val="24"/>
          <w:szCs w:val="24"/>
        </w:rPr>
        <w:t>omplaint and Verizon's</w:t>
      </w:r>
      <w:r>
        <w:rPr>
          <w:noProof/>
          <w:sz w:val="24"/>
          <w:szCs w:val="24"/>
        </w:rPr>
        <w:t xml:space="preserve"> New Matter </w:t>
      </w:r>
      <w:r w:rsidRPr="00BC120B">
        <w:rPr>
          <w:noProof/>
          <w:sz w:val="24"/>
          <w:szCs w:val="24"/>
        </w:rPr>
        <w:t>with respect to traffic exchanged during periods prior to and including December 31,</w:t>
      </w:r>
      <w:r>
        <w:rPr>
          <w:noProof/>
          <w:sz w:val="24"/>
          <w:szCs w:val="24"/>
        </w:rPr>
        <w:t xml:space="preserve"> </w:t>
      </w:r>
      <w:r w:rsidRPr="00BC120B">
        <w:rPr>
          <w:noProof/>
          <w:sz w:val="24"/>
          <w:szCs w:val="24"/>
        </w:rPr>
        <w:t>2011</w:t>
      </w:r>
      <w:r>
        <w:rPr>
          <w:noProof/>
          <w:sz w:val="24"/>
          <w:szCs w:val="24"/>
        </w:rPr>
        <w:t xml:space="preserve">.  The parties stated that </w:t>
      </w:r>
      <w:r w:rsidRPr="00BC120B">
        <w:rPr>
          <w:noProof/>
          <w:sz w:val="24"/>
          <w:szCs w:val="24"/>
        </w:rPr>
        <w:t xml:space="preserve">all such claims </w:t>
      </w:r>
      <w:r>
        <w:rPr>
          <w:noProof/>
          <w:sz w:val="24"/>
          <w:szCs w:val="24"/>
        </w:rPr>
        <w:t xml:space="preserve">were </w:t>
      </w:r>
      <w:r w:rsidRPr="00BC120B">
        <w:rPr>
          <w:noProof/>
          <w:sz w:val="24"/>
          <w:szCs w:val="24"/>
        </w:rPr>
        <w:t>withdrawn from this case with prejudice.</w:t>
      </w:r>
      <w:r>
        <w:rPr>
          <w:noProof/>
          <w:sz w:val="24"/>
          <w:szCs w:val="24"/>
        </w:rPr>
        <w:t xml:space="preserve">  However, the parties stated that they had</w:t>
      </w:r>
      <w:r w:rsidRPr="00BC120B">
        <w:rPr>
          <w:noProof/>
          <w:sz w:val="24"/>
          <w:szCs w:val="24"/>
        </w:rPr>
        <w:t xml:space="preserve"> not resolved claims with respect to t</w:t>
      </w:r>
      <w:r>
        <w:rPr>
          <w:noProof/>
          <w:sz w:val="24"/>
          <w:szCs w:val="24"/>
        </w:rPr>
        <w:t xml:space="preserve">raffic exchanged from January 1, </w:t>
      </w:r>
      <w:r w:rsidRPr="00BC120B">
        <w:rPr>
          <w:noProof/>
          <w:sz w:val="24"/>
          <w:szCs w:val="24"/>
        </w:rPr>
        <w:t>2012 forward</w:t>
      </w:r>
      <w:r>
        <w:rPr>
          <w:noProof/>
          <w:sz w:val="24"/>
          <w:szCs w:val="24"/>
        </w:rPr>
        <w:t>.</w:t>
      </w:r>
    </w:p>
    <w:p w:rsidR="00BC120B" w:rsidRDefault="00BC120B" w:rsidP="00BC120B">
      <w:pPr>
        <w:spacing w:line="360" w:lineRule="auto"/>
        <w:rPr>
          <w:noProof/>
          <w:sz w:val="24"/>
          <w:szCs w:val="24"/>
        </w:rPr>
      </w:pPr>
    </w:p>
    <w:p w:rsidR="00BC120B" w:rsidRDefault="00BC120B" w:rsidP="00BC120B">
      <w:pPr>
        <w:spacing w:line="360" w:lineRule="auto"/>
        <w:rPr>
          <w:noProof/>
          <w:sz w:val="24"/>
          <w:szCs w:val="24"/>
        </w:rPr>
      </w:pPr>
      <w:r w:rsidRPr="00BC120B">
        <w:rPr>
          <w:noProof/>
          <w:sz w:val="24"/>
          <w:szCs w:val="24"/>
        </w:rPr>
        <w:t xml:space="preserve"> </w:t>
      </w:r>
      <w:r>
        <w:rPr>
          <w:noProof/>
          <w:sz w:val="24"/>
          <w:szCs w:val="24"/>
        </w:rPr>
        <w:tab/>
      </w:r>
      <w:r>
        <w:rPr>
          <w:noProof/>
          <w:sz w:val="24"/>
          <w:szCs w:val="24"/>
        </w:rPr>
        <w:tab/>
        <w:t xml:space="preserve">On March 3, 2014, a hearing notice was issued setting April 24, 2014 as the date for a further hearing in this case.  That hearing was held, during which the parties agreed to attempt to settle the outstanding issues in this case through mediation.  </w:t>
      </w:r>
    </w:p>
    <w:p w:rsidR="00E17186" w:rsidRDefault="00E17186" w:rsidP="00E17186">
      <w:pPr>
        <w:spacing w:line="360" w:lineRule="auto"/>
        <w:rPr>
          <w:noProof/>
          <w:sz w:val="24"/>
          <w:szCs w:val="24"/>
        </w:rPr>
      </w:pPr>
    </w:p>
    <w:p w:rsidR="00E17186" w:rsidRDefault="00BC120B" w:rsidP="00E17186">
      <w:pPr>
        <w:spacing w:line="360" w:lineRule="auto"/>
        <w:rPr>
          <w:sz w:val="24"/>
          <w:szCs w:val="24"/>
        </w:rPr>
      </w:pPr>
      <w:r>
        <w:rPr>
          <w:sz w:val="24"/>
          <w:szCs w:val="24"/>
        </w:rPr>
        <w:tab/>
      </w:r>
      <w:r>
        <w:rPr>
          <w:sz w:val="24"/>
          <w:szCs w:val="24"/>
        </w:rPr>
        <w:tab/>
      </w:r>
      <w:r w:rsidRPr="00BC120B">
        <w:rPr>
          <w:sz w:val="24"/>
          <w:szCs w:val="24"/>
        </w:rPr>
        <w:t xml:space="preserve">On </w:t>
      </w:r>
      <w:r>
        <w:rPr>
          <w:sz w:val="24"/>
          <w:szCs w:val="24"/>
        </w:rPr>
        <w:t>May 9</w:t>
      </w:r>
      <w:r w:rsidRPr="00BC120B">
        <w:rPr>
          <w:sz w:val="24"/>
          <w:szCs w:val="24"/>
        </w:rPr>
        <w:t>, 201</w:t>
      </w:r>
      <w:r>
        <w:rPr>
          <w:sz w:val="24"/>
          <w:szCs w:val="24"/>
        </w:rPr>
        <w:t>4</w:t>
      </w:r>
      <w:r w:rsidRPr="00BC120B">
        <w:rPr>
          <w:sz w:val="24"/>
          <w:szCs w:val="24"/>
        </w:rPr>
        <w:t xml:space="preserve">, a letter was issued by the OALJ notifying the parties of an initial mediation session on </w:t>
      </w:r>
      <w:r>
        <w:rPr>
          <w:sz w:val="24"/>
          <w:szCs w:val="24"/>
        </w:rPr>
        <w:t>May 29, 2014</w:t>
      </w:r>
      <w:r w:rsidRPr="00BC120B">
        <w:rPr>
          <w:sz w:val="24"/>
          <w:szCs w:val="24"/>
        </w:rPr>
        <w:t>.</w:t>
      </w:r>
    </w:p>
    <w:p w:rsidR="00BC120B" w:rsidRDefault="00BC120B" w:rsidP="00E17186">
      <w:pPr>
        <w:spacing w:line="360" w:lineRule="auto"/>
        <w:rPr>
          <w:sz w:val="24"/>
          <w:szCs w:val="24"/>
        </w:rPr>
      </w:pPr>
    </w:p>
    <w:p w:rsidR="00BC120B" w:rsidRDefault="00BC120B" w:rsidP="00E17186">
      <w:pPr>
        <w:spacing w:line="360" w:lineRule="auto"/>
        <w:rPr>
          <w:sz w:val="24"/>
          <w:szCs w:val="24"/>
        </w:rPr>
      </w:pPr>
      <w:r>
        <w:rPr>
          <w:sz w:val="24"/>
          <w:szCs w:val="24"/>
        </w:rPr>
        <w:tab/>
      </w:r>
      <w:r>
        <w:rPr>
          <w:sz w:val="24"/>
          <w:szCs w:val="24"/>
        </w:rPr>
        <w:tab/>
        <w:t>On June 12, 2014, Mr. Herbert R. Nurick, the Commission’s Chief Mediator, filed a Report stating that the case was no longer appropriate for mediation and stating that the parties had requested that the case be referred back to me for disposition.</w:t>
      </w:r>
    </w:p>
    <w:p w:rsidR="00CB0365" w:rsidRDefault="00CB0365" w:rsidP="00CB0365">
      <w:pPr>
        <w:spacing w:line="360" w:lineRule="auto"/>
        <w:rPr>
          <w:sz w:val="24"/>
          <w:szCs w:val="24"/>
        </w:rPr>
      </w:pPr>
    </w:p>
    <w:p w:rsidR="001600B8" w:rsidRPr="001F45C6" w:rsidRDefault="00335F01" w:rsidP="001F45C6">
      <w:pPr>
        <w:spacing w:line="360" w:lineRule="auto"/>
        <w:jc w:val="center"/>
        <w:rPr>
          <w:sz w:val="24"/>
          <w:szCs w:val="24"/>
          <w:u w:val="single"/>
        </w:rPr>
      </w:pPr>
      <w:r w:rsidRPr="001F45C6">
        <w:rPr>
          <w:sz w:val="24"/>
          <w:szCs w:val="24"/>
          <w:u w:val="single"/>
        </w:rPr>
        <w:t>DISCUSSION</w:t>
      </w:r>
    </w:p>
    <w:p w:rsidR="00335F01" w:rsidRDefault="00335F01" w:rsidP="00335F01">
      <w:pPr>
        <w:widowControl w:val="0"/>
        <w:jc w:val="center"/>
        <w:rPr>
          <w:sz w:val="24"/>
          <w:szCs w:val="24"/>
        </w:rPr>
      </w:pPr>
    </w:p>
    <w:p w:rsidR="00335F01" w:rsidRDefault="00335F01" w:rsidP="00335F01">
      <w:pPr>
        <w:widowControl w:val="0"/>
        <w:spacing w:line="360" w:lineRule="auto"/>
        <w:rPr>
          <w:sz w:val="24"/>
          <w:szCs w:val="24"/>
        </w:rPr>
      </w:pPr>
      <w:r>
        <w:rPr>
          <w:sz w:val="24"/>
          <w:szCs w:val="24"/>
        </w:rPr>
        <w:tab/>
      </w:r>
      <w:r>
        <w:rPr>
          <w:sz w:val="24"/>
          <w:szCs w:val="24"/>
        </w:rPr>
        <w:tab/>
        <w:t>Through no fault of the parties or their respective counsel, a very considerable amount of time has elapsed in this case since the evidentiary hearings o</w:t>
      </w:r>
      <w:r w:rsidR="00B13579">
        <w:rPr>
          <w:sz w:val="24"/>
          <w:szCs w:val="24"/>
        </w:rPr>
        <w:t>f</w:t>
      </w:r>
      <w:r>
        <w:rPr>
          <w:sz w:val="24"/>
          <w:szCs w:val="24"/>
        </w:rPr>
        <w:t xml:space="preserve"> November 9-10, 2011.  To their credit, the parties were able to resolve and settle </w:t>
      </w:r>
      <w:r w:rsidR="00B13579">
        <w:rPr>
          <w:sz w:val="24"/>
          <w:szCs w:val="24"/>
        </w:rPr>
        <w:t>many</w:t>
      </w:r>
      <w:r>
        <w:rPr>
          <w:sz w:val="24"/>
          <w:szCs w:val="24"/>
        </w:rPr>
        <w:t xml:space="preserve"> of their issues </w:t>
      </w:r>
      <w:r w:rsidR="001F45C6">
        <w:rPr>
          <w:sz w:val="24"/>
          <w:szCs w:val="24"/>
        </w:rPr>
        <w:t xml:space="preserve">and then went on to attempt to settle the remaining issues through use of the Commission’s mediation process.  </w:t>
      </w:r>
      <w:r w:rsidR="00B13579">
        <w:rPr>
          <w:sz w:val="24"/>
          <w:szCs w:val="24"/>
        </w:rPr>
        <w:t>However, t</w:t>
      </w:r>
      <w:r w:rsidR="001F45C6" w:rsidRPr="001F45C6">
        <w:rPr>
          <w:sz w:val="24"/>
          <w:szCs w:val="24"/>
        </w:rPr>
        <w:t>he parties ha</w:t>
      </w:r>
      <w:r w:rsidR="001F45C6">
        <w:rPr>
          <w:sz w:val="24"/>
          <w:szCs w:val="24"/>
        </w:rPr>
        <w:t>ve</w:t>
      </w:r>
      <w:r w:rsidR="001F45C6" w:rsidRPr="001F45C6">
        <w:rPr>
          <w:sz w:val="24"/>
          <w:szCs w:val="24"/>
        </w:rPr>
        <w:t xml:space="preserve"> not resolved claims with respect to traffic exchanged from January 1, 2012 forward</w:t>
      </w:r>
      <w:r w:rsidR="001F45C6">
        <w:rPr>
          <w:sz w:val="24"/>
          <w:szCs w:val="24"/>
        </w:rPr>
        <w:t xml:space="preserve">, and the case is now </w:t>
      </w:r>
      <w:proofErr w:type="gramStart"/>
      <w:r w:rsidR="001F45C6">
        <w:rPr>
          <w:sz w:val="24"/>
          <w:szCs w:val="24"/>
        </w:rPr>
        <w:t>back</w:t>
      </w:r>
      <w:proofErr w:type="gramEnd"/>
      <w:r w:rsidR="001F45C6">
        <w:rPr>
          <w:sz w:val="24"/>
          <w:szCs w:val="24"/>
        </w:rPr>
        <w:t xml:space="preserve"> before me.</w:t>
      </w:r>
      <w:r w:rsidR="00B13579">
        <w:rPr>
          <w:sz w:val="24"/>
          <w:szCs w:val="24"/>
        </w:rPr>
        <w:t xml:space="preserve">  The immediate, practical question is, “Where </w:t>
      </w:r>
      <w:r w:rsidR="00B13579">
        <w:rPr>
          <w:sz w:val="24"/>
          <w:szCs w:val="24"/>
        </w:rPr>
        <w:lastRenderedPageBreak/>
        <w:t>do we go from here?”</w:t>
      </w:r>
    </w:p>
    <w:p w:rsidR="00B13579" w:rsidRDefault="00B13579" w:rsidP="00335F01">
      <w:pPr>
        <w:widowControl w:val="0"/>
        <w:spacing w:line="360" w:lineRule="auto"/>
        <w:rPr>
          <w:sz w:val="24"/>
          <w:szCs w:val="24"/>
        </w:rPr>
      </w:pPr>
    </w:p>
    <w:p w:rsidR="001F45C6" w:rsidRPr="001F45C6" w:rsidRDefault="001F45C6" w:rsidP="001F45C6">
      <w:pPr>
        <w:widowControl w:val="0"/>
        <w:spacing w:line="360" w:lineRule="auto"/>
        <w:rPr>
          <w:sz w:val="24"/>
          <w:szCs w:val="24"/>
        </w:rPr>
      </w:pPr>
      <w:r>
        <w:rPr>
          <w:sz w:val="24"/>
          <w:szCs w:val="24"/>
        </w:rPr>
        <w:tab/>
      </w:r>
      <w:r>
        <w:rPr>
          <w:sz w:val="24"/>
          <w:szCs w:val="24"/>
        </w:rPr>
        <w:tab/>
      </w:r>
      <w:r w:rsidR="00BC6AD3">
        <w:rPr>
          <w:sz w:val="24"/>
          <w:szCs w:val="24"/>
        </w:rPr>
        <w:t>First, a</w:t>
      </w:r>
      <w:r>
        <w:rPr>
          <w:sz w:val="24"/>
          <w:szCs w:val="24"/>
        </w:rPr>
        <w:t xml:space="preserve">t the time that the parties filed their Reply Briefs on January 6, 2012, </w:t>
      </w:r>
      <w:r w:rsidRPr="001F45C6">
        <w:rPr>
          <w:sz w:val="24"/>
          <w:szCs w:val="24"/>
        </w:rPr>
        <w:t>Verizon filed a Petition to Reopen the Record</w:t>
      </w:r>
      <w:r>
        <w:rPr>
          <w:sz w:val="24"/>
          <w:szCs w:val="24"/>
        </w:rPr>
        <w:t xml:space="preserve"> for the receipt of its proposed Supplemental Exhibits A-E</w:t>
      </w:r>
      <w:r w:rsidRPr="001F45C6">
        <w:rPr>
          <w:sz w:val="24"/>
          <w:szCs w:val="24"/>
        </w:rPr>
        <w:t>.</w:t>
      </w:r>
      <w:r>
        <w:rPr>
          <w:sz w:val="24"/>
          <w:szCs w:val="24"/>
        </w:rPr>
        <w:t xml:space="preserve">  </w:t>
      </w:r>
      <w:r w:rsidRPr="001F45C6">
        <w:rPr>
          <w:sz w:val="24"/>
          <w:szCs w:val="24"/>
        </w:rPr>
        <w:t>Armstrong filed an Answer to Verizon’s Petition to Reopen the Record opposing that request</w:t>
      </w:r>
      <w:r>
        <w:rPr>
          <w:sz w:val="24"/>
          <w:szCs w:val="24"/>
        </w:rPr>
        <w:t xml:space="preserve"> because it was made at the same time as the filing of Reply Briefs</w:t>
      </w:r>
      <w:r w:rsidR="00B13579">
        <w:rPr>
          <w:sz w:val="24"/>
          <w:szCs w:val="24"/>
        </w:rPr>
        <w:t xml:space="preserve">.  Armstrong argued that to accept further evidence </w:t>
      </w:r>
      <w:r w:rsidR="00BC6AD3">
        <w:rPr>
          <w:sz w:val="24"/>
          <w:szCs w:val="24"/>
        </w:rPr>
        <w:t xml:space="preserve">(and to permit argument based on that proposed evidence in Verizon’s Reply Brief) </w:t>
      </w:r>
      <w:r w:rsidR="00B13579">
        <w:rPr>
          <w:sz w:val="24"/>
          <w:szCs w:val="24"/>
        </w:rPr>
        <w:t>would be</w:t>
      </w:r>
      <w:r>
        <w:rPr>
          <w:sz w:val="24"/>
          <w:szCs w:val="24"/>
        </w:rPr>
        <w:t xml:space="preserve"> prejudicial to Armstrong</w:t>
      </w:r>
      <w:r w:rsidRPr="001F45C6">
        <w:rPr>
          <w:sz w:val="24"/>
          <w:szCs w:val="24"/>
        </w:rPr>
        <w:t>.</w:t>
      </w:r>
      <w:r w:rsidR="001D44F8">
        <w:rPr>
          <w:sz w:val="24"/>
          <w:szCs w:val="24"/>
        </w:rPr>
        <w:t xml:space="preserve">  In that contention, Armstrong was and is entirely correct.</w:t>
      </w:r>
    </w:p>
    <w:p w:rsidR="001F45C6" w:rsidRPr="001F45C6" w:rsidRDefault="001F45C6" w:rsidP="001F45C6">
      <w:pPr>
        <w:widowControl w:val="0"/>
        <w:spacing w:line="360" w:lineRule="auto"/>
        <w:rPr>
          <w:sz w:val="24"/>
          <w:szCs w:val="24"/>
        </w:rPr>
      </w:pPr>
    </w:p>
    <w:p w:rsidR="001F45C6" w:rsidRDefault="001F45C6" w:rsidP="001F45C6">
      <w:pPr>
        <w:widowControl w:val="0"/>
        <w:spacing w:line="360" w:lineRule="auto"/>
        <w:rPr>
          <w:sz w:val="24"/>
          <w:szCs w:val="24"/>
        </w:rPr>
      </w:pPr>
      <w:r w:rsidRPr="001F45C6">
        <w:rPr>
          <w:sz w:val="24"/>
          <w:szCs w:val="24"/>
        </w:rPr>
        <w:tab/>
      </w:r>
      <w:r w:rsidRPr="001F45C6">
        <w:rPr>
          <w:sz w:val="24"/>
          <w:szCs w:val="24"/>
        </w:rPr>
        <w:tab/>
        <w:t xml:space="preserve">There followed two additional </w:t>
      </w:r>
      <w:r w:rsidR="00BC6AD3">
        <w:rPr>
          <w:sz w:val="24"/>
          <w:szCs w:val="24"/>
        </w:rPr>
        <w:t xml:space="preserve">related </w:t>
      </w:r>
      <w:r w:rsidRPr="001F45C6">
        <w:rPr>
          <w:sz w:val="24"/>
          <w:szCs w:val="24"/>
        </w:rPr>
        <w:t>filings by the parties: a Reply to Armstrong’s Answer filed on January 25, 2012 by Verizon, and then, on February 1, 2012, an Answer by Armstrong to Verizon’s Reply to Armstrong’s Answer to Verizon’s Petition to Reopen the Record.</w:t>
      </w:r>
    </w:p>
    <w:p w:rsidR="001F45C6" w:rsidRDefault="001F45C6" w:rsidP="001F45C6">
      <w:pPr>
        <w:widowControl w:val="0"/>
        <w:spacing w:line="360" w:lineRule="auto"/>
        <w:rPr>
          <w:sz w:val="24"/>
          <w:szCs w:val="24"/>
        </w:rPr>
      </w:pPr>
    </w:p>
    <w:p w:rsidR="006A5FB0" w:rsidRDefault="001F45C6" w:rsidP="001F45C6">
      <w:pPr>
        <w:widowControl w:val="0"/>
        <w:spacing w:line="360" w:lineRule="auto"/>
        <w:rPr>
          <w:sz w:val="24"/>
          <w:szCs w:val="24"/>
        </w:rPr>
      </w:pPr>
      <w:r>
        <w:rPr>
          <w:sz w:val="24"/>
          <w:szCs w:val="24"/>
        </w:rPr>
        <w:tab/>
      </w:r>
      <w:r>
        <w:rPr>
          <w:sz w:val="24"/>
          <w:szCs w:val="24"/>
        </w:rPr>
        <w:tab/>
      </w:r>
      <w:r w:rsidR="001D44F8">
        <w:rPr>
          <w:sz w:val="24"/>
          <w:szCs w:val="24"/>
        </w:rPr>
        <w:t xml:space="preserve">The Commission’s procedural rule at 52 Pa. Code §5.403(a) states that </w:t>
      </w:r>
      <w:r w:rsidR="001D44F8" w:rsidRPr="001D44F8">
        <w:rPr>
          <w:sz w:val="24"/>
          <w:szCs w:val="24"/>
        </w:rPr>
        <w:t>presiding officer shall have all necessary authority to control the receipt of evidence</w:t>
      </w:r>
      <w:r w:rsidR="006A5FB0">
        <w:rPr>
          <w:sz w:val="24"/>
          <w:szCs w:val="24"/>
        </w:rPr>
        <w:t xml:space="preserve">.  </w:t>
      </w:r>
      <w:r w:rsidR="001D44F8">
        <w:rPr>
          <w:sz w:val="24"/>
          <w:szCs w:val="24"/>
        </w:rPr>
        <w:t xml:space="preserve">Verizon’s </w:t>
      </w:r>
      <w:r w:rsidR="001D44F8" w:rsidRPr="001D44F8">
        <w:rPr>
          <w:sz w:val="24"/>
          <w:szCs w:val="24"/>
        </w:rPr>
        <w:t xml:space="preserve">January 6, 2012 </w:t>
      </w:r>
      <w:r w:rsidR="001D44F8">
        <w:rPr>
          <w:sz w:val="24"/>
          <w:szCs w:val="24"/>
        </w:rPr>
        <w:t>Petition to Reopen the Record is denied</w:t>
      </w:r>
      <w:r w:rsidR="00B13579">
        <w:rPr>
          <w:sz w:val="24"/>
          <w:szCs w:val="24"/>
        </w:rPr>
        <w:t xml:space="preserve"> and </w:t>
      </w:r>
      <w:r w:rsidR="00BC6AD3">
        <w:rPr>
          <w:sz w:val="24"/>
          <w:szCs w:val="24"/>
        </w:rPr>
        <w:t>proposed</w:t>
      </w:r>
      <w:r w:rsidR="006A5FB0">
        <w:rPr>
          <w:sz w:val="24"/>
          <w:szCs w:val="24"/>
        </w:rPr>
        <w:t xml:space="preserve"> Supplemental</w:t>
      </w:r>
      <w:r w:rsidR="00BC6AD3">
        <w:rPr>
          <w:sz w:val="24"/>
          <w:szCs w:val="24"/>
        </w:rPr>
        <w:t xml:space="preserve"> Exhibits</w:t>
      </w:r>
      <w:r w:rsidR="00B13579">
        <w:rPr>
          <w:sz w:val="24"/>
          <w:szCs w:val="24"/>
        </w:rPr>
        <w:t xml:space="preserve"> A-E of that Petition </w:t>
      </w:r>
      <w:proofErr w:type="gramStart"/>
      <w:r w:rsidR="00B13579">
        <w:rPr>
          <w:sz w:val="24"/>
          <w:szCs w:val="24"/>
        </w:rPr>
        <w:t>are</w:t>
      </w:r>
      <w:proofErr w:type="gramEnd"/>
      <w:r w:rsidR="00B13579">
        <w:rPr>
          <w:sz w:val="24"/>
          <w:szCs w:val="24"/>
        </w:rPr>
        <w:t xml:space="preserve"> not admitted to the record</w:t>
      </w:r>
      <w:r w:rsidR="001D44F8">
        <w:rPr>
          <w:sz w:val="24"/>
          <w:szCs w:val="24"/>
        </w:rPr>
        <w:t>.</w:t>
      </w:r>
      <w:r w:rsidR="009664CF" w:rsidRPr="009664CF">
        <w:t xml:space="preserve"> </w:t>
      </w:r>
      <w:r w:rsidR="009664CF">
        <w:t xml:space="preserve"> </w:t>
      </w:r>
      <w:r w:rsidR="009664CF" w:rsidRPr="009664CF">
        <w:rPr>
          <w:sz w:val="24"/>
          <w:szCs w:val="24"/>
        </w:rPr>
        <w:t>See also 52 Pa, Code § 5.483.</w:t>
      </w:r>
      <w:r w:rsidR="009664CF">
        <w:t xml:space="preserve">  </w:t>
      </w:r>
      <w:r w:rsidR="00BC6AD3">
        <w:rPr>
          <w:sz w:val="24"/>
          <w:szCs w:val="24"/>
        </w:rPr>
        <w:t xml:space="preserve">Admitting those proposed Exhibits at the time of the filing of Reply Briefs and allowing Verizon to argue from the same would be highly prejudicial to Armstrong.  </w:t>
      </w:r>
      <w:r w:rsidR="006A5FB0">
        <w:rPr>
          <w:sz w:val="24"/>
          <w:szCs w:val="24"/>
        </w:rPr>
        <w:t xml:space="preserve">Note:  This denial is </w:t>
      </w:r>
      <w:r w:rsidR="006A5FB0" w:rsidRPr="006A5FB0">
        <w:rPr>
          <w:sz w:val="24"/>
          <w:szCs w:val="24"/>
          <w:u w:val="single"/>
        </w:rPr>
        <w:t>without</w:t>
      </w:r>
      <w:r w:rsidR="006A5FB0">
        <w:rPr>
          <w:sz w:val="24"/>
          <w:szCs w:val="24"/>
        </w:rPr>
        <w:t xml:space="preserve"> prejudice to a renewed request by Verizon to have those proposed Supplemental Exhibits admitted, subject to any objection by Armstrong.</w:t>
      </w:r>
      <w:r w:rsidR="00166DB2">
        <w:rPr>
          <w:sz w:val="24"/>
          <w:szCs w:val="24"/>
        </w:rPr>
        <w:t xml:space="preserve">  That renewed request must come at or after the prehearing conference that will be scheduled in this case.</w:t>
      </w:r>
    </w:p>
    <w:p w:rsidR="006A5FB0" w:rsidRDefault="006A5FB0" w:rsidP="001F45C6">
      <w:pPr>
        <w:widowControl w:val="0"/>
        <w:spacing w:line="360" w:lineRule="auto"/>
        <w:rPr>
          <w:sz w:val="24"/>
          <w:szCs w:val="24"/>
        </w:rPr>
      </w:pPr>
    </w:p>
    <w:p w:rsidR="001D44F8" w:rsidRDefault="006A5FB0" w:rsidP="001F45C6">
      <w:pPr>
        <w:widowControl w:val="0"/>
        <w:spacing w:line="360" w:lineRule="auto"/>
        <w:rPr>
          <w:sz w:val="24"/>
          <w:szCs w:val="24"/>
        </w:rPr>
      </w:pPr>
      <w:r>
        <w:rPr>
          <w:sz w:val="24"/>
          <w:szCs w:val="24"/>
        </w:rPr>
        <w:tab/>
      </w:r>
      <w:r>
        <w:rPr>
          <w:sz w:val="24"/>
          <w:szCs w:val="24"/>
        </w:rPr>
        <w:tab/>
      </w:r>
      <w:r w:rsidR="009664CF" w:rsidRPr="009664CF">
        <w:rPr>
          <w:sz w:val="24"/>
          <w:szCs w:val="24"/>
        </w:rPr>
        <w:t xml:space="preserve">Verizon’s “Reply to Armstrong’s Answer” and Armstrong’s “Answer to Verizon’s Reply to Armstrong’s Answer to Verizon’s Petition to Reopen the Record” are hereby stricken from the record as improvident filings that are not contemplated, let alone allowed, by the Commission procedural rules.  </w:t>
      </w:r>
    </w:p>
    <w:p w:rsidR="001D44F8" w:rsidRDefault="001D44F8" w:rsidP="001F45C6">
      <w:pPr>
        <w:widowControl w:val="0"/>
        <w:spacing w:line="360" w:lineRule="auto"/>
        <w:rPr>
          <w:sz w:val="24"/>
          <w:szCs w:val="24"/>
        </w:rPr>
      </w:pPr>
    </w:p>
    <w:p w:rsidR="00166DB2" w:rsidRDefault="00166DB2" w:rsidP="001F45C6">
      <w:pPr>
        <w:widowControl w:val="0"/>
        <w:spacing w:line="360" w:lineRule="auto"/>
        <w:rPr>
          <w:sz w:val="24"/>
          <w:szCs w:val="24"/>
        </w:rPr>
      </w:pPr>
    </w:p>
    <w:p w:rsidR="001F45C6" w:rsidRDefault="009664CF" w:rsidP="001F45C6">
      <w:pPr>
        <w:widowControl w:val="0"/>
        <w:spacing w:line="360" w:lineRule="auto"/>
        <w:rPr>
          <w:sz w:val="24"/>
          <w:szCs w:val="24"/>
        </w:rPr>
      </w:pPr>
      <w:r>
        <w:rPr>
          <w:sz w:val="24"/>
          <w:szCs w:val="24"/>
        </w:rPr>
        <w:lastRenderedPageBreak/>
        <w:tab/>
      </w:r>
      <w:r>
        <w:rPr>
          <w:sz w:val="24"/>
          <w:szCs w:val="24"/>
        </w:rPr>
        <w:tab/>
      </w:r>
      <w:r w:rsidR="005C5F5B">
        <w:rPr>
          <w:sz w:val="24"/>
          <w:szCs w:val="24"/>
        </w:rPr>
        <w:t>T</w:t>
      </w:r>
      <w:r w:rsidR="007B63A8">
        <w:rPr>
          <w:sz w:val="24"/>
          <w:szCs w:val="24"/>
        </w:rPr>
        <w:t xml:space="preserve">he January 6, 2012 Petition to Reopen the Record underscores one of the challenges to the </w:t>
      </w:r>
      <w:r w:rsidR="001D44F8">
        <w:rPr>
          <w:sz w:val="24"/>
          <w:szCs w:val="24"/>
        </w:rPr>
        <w:t xml:space="preserve">orderly </w:t>
      </w:r>
      <w:r w:rsidR="007B63A8">
        <w:rPr>
          <w:sz w:val="24"/>
          <w:szCs w:val="24"/>
        </w:rPr>
        <w:t xml:space="preserve">resolution of so many telecommunication cases; that is, the frequent decisions </w:t>
      </w:r>
      <w:r w:rsidR="004A738B">
        <w:rPr>
          <w:sz w:val="24"/>
          <w:szCs w:val="24"/>
        </w:rPr>
        <w:t xml:space="preserve">made, promised or hinted at </w:t>
      </w:r>
      <w:r w:rsidR="007B63A8">
        <w:rPr>
          <w:sz w:val="24"/>
          <w:szCs w:val="24"/>
        </w:rPr>
        <w:t xml:space="preserve">by the Federal Communications Commission </w:t>
      </w:r>
      <w:r w:rsidR="001D44F8">
        <w:rPr>
          <w:sz w:val="24"/>
          <w:szCs w:val="24"/>
        </w:rPr>
        <w:t xml:space="preserve">(FCC) </w:t>
      </w:r>
      <w:r w:rsidR="007B63A8">
        <w:rPr>
          <w:sz w:val="24"/>
          <w:szCs w:val="24"/>
        </w:rPr>
        <w:t xml:space="preserve">that </w:t>
      </w:r>
      <w:r w:rsidR="001D44F8">
        <w:rPr>
          <w:sz w:val="24"/>
          <w:szCs w:val="24"/>
        </w:rPr>
        <w:t xml:space="preserve">apparently </w:t>
      </w:r>
      <w:r w:rsidR="007B63A8">
        <w:rPr>
          <w:sz w:val="24"/>
          <w:szCs w:val="24"/>
        </w:rPr>
        <w:t xml:space="preserve">resolve </w:t>
      </w:r>
      <w:r w:rsidR="006A5FB0">
        <w:rPr>
          <w:sz w:val="24"/>
          <w:szCs w:val="24"/>
        </w:rPr>
        <w:t xml:space="preserve">little </w:t>
      </w:r>
      <w:r w:rsidR="00B13579">
        <w:rPr>
          <w:sz w:val="24"/>
          <w:szCs w:val="24"/>
        </w:rPr>
        <w:t xml:space="preserve">with finality </w:t>
      </w:r>
      <w:r w:rsidR="007B63A8">
        <w:rPr>
          <w:sz w:val="24"/>
          <w:szCs w:val="24"/>
        </w:rPr>
        <w:t>on any macro level but which undeniably impact the course of litigation before state Commissions.</w:t>
      </w:r>
    </w:p>
    <w:p w:rsidR="005C5F5B" w:rsidRDefault="005C5F5B" w:rsidP="001F45C6">
      <w:pPr>
        <w:widowControl w:val="0"/>
        <w:spacing w:line="360" w:lineRule="auto"/>
        <w:rPr>
          <w:sz w:val="24"/>
          <w:szCs w:val="24"/>
        </w:rPr>
      </w:pPr>
    </w:p>
    <w:p w:rsidR="00776CAE" w:rsidRDefault="00776CAE" w:rsidP="001F45C6">
      <w:pPr>
        <w:widowControl w:val="0"/>
        <w:spacing w:line="360" w:lineRule="auto"/>
        <w:rPr>
          <w:sz w:val="24"/>
          <w:szCs w:val="24"/>
        </w:rPr>
      </w:pPr>
      <w:r>
        <w:rPr>
          <w:sz w:val="24"/>
          <w:szCs w:val="24"/>
        </w:rPr>
        <w:tab/>
      </w:r>
      <w:r>
        <w:rPr>
          <w:sz w:val="24"/>
          <w:szCs w:val="24"/>
        </w:rPr>
        <w:tab/>
        <w:t xml:space="preserve">Once again, through no fault of the parties or their counsel a considerable amount of time has passed since the filing of Reply Briefs in this case.  As the Presiding Officer, I cannot responsibly render a decision in this matter without the assurance that I am up-to-date with respect to the disputed facts in this matter as well as the current state of the </w:t>
      </w:r>
      <w:r w:rsidR="00B13579">
        <w:rPr>
          <w:sz w:val="24"/>
          <w:szCs w:val="24"/>
        </w:rPr>
        <w:t xml:space="preserve">applicable </w:t>
      </w:r>
      <w:r>
        <w:rPr>
          <w:sz w:val="24"/>
          <w:szCs w:val="24"/>
        </w:rPr>
        <w:t>law.  Likewise, it would be a disservice to the parties</w:t>
      </w:r>
      <w:r w:rsidR="00B13579">
        <w:rPr>
          <w:sz w:val="24"/>
          <w:szCs w:val="24"/>
        </w:rPr>
        <w:t>,</w:t>
      </w:r>
      <w:r>
        <w:rPr>
          <w:sz w:val="24"/>
          <w:szCs w:val="24"/>
        </w:rPr>
        <w:t xml:space="preserve"> possibly rising to the level of a denial of due process</w:t>
      </w:r>
      <w:r w:rsidR="00B13579">
        <w:rPr>
          <w:sz w:val="24"/>
          <w:szCs w:val="24"/>
        </w:rPr>
        <w:t>,</w:t>
      </w:r>
      <w:r>
        <w:rPr>
          <w:sz w:val="24"/>
          <w:szCs w:val="24"/>
        </w:rPr>
        <w:t xml:space="preserve"> to attempt to render such a decision at this time.</w:t>
      </w:r>
      <w:r w:rsidR="00B13579">
        <w:rPr>
          <w:sz w:val="24"/>
          <w:szCs w:val="24"/>
        </w:rPr>
        <w:t xml:space="preserve">  Therefore, and consistent with </w:t>
      </w:r>
      <w:r w:rsidR="00B13579" w:rsidRPr="00B13579">
        <w:rPr>
          <w:sz w:val="24"/>
          <w:szCs w:val="24"/>
        </w:rPr>
        <w:t>my authority under 52 Pa. Code § 5.571(d</w:t>
      </w:r>
      <w:proofErr w:type="gramStart"/>
      <w:r w:rsidR="00B13579" w:rsidRPr="00B13579">
        <w:rPr>
          <w:sz w:val="24"/>
          <w:szCs w:val="24"/>
        </w:rPr>
        <w:t>)(</w:t>
      </w:r>
      <w:proofErr w:type="gramEnd"/>
      <w:r w:rsidR="00B13579" w:rsidRPr="00B13579">
        <w:rPr>
          <w:sz w:val="24"/>
          <w:szCs w:val="24"/>
        </w:rPr>
        <w:t xml:space="preserve">1), I will </w:t>
      </w:r>
      <w:r w:rsidR="004A738B">
        <w:rPr>
          <w:sz w:val="24"/>
          <w:szCs w:val="24"/>
        </w:rPr>
        <w:t xml:space="preserve">consider </w:t>
      </w:r>
      <w:r w:rsidR="00B13579" w:rsidRPr="00B13579">
        <w:rPr>
          <w:sz w:val="24"/>
          <w:szCs w:val="24"/>
        </w:rPr>
        <w:t>reopen</w:t>
      </w:r>
      <w:r w:rsidR="004A738B">
        <w:rPr>
          <w:sz w:val="24"/>
          <w:szCs w:val="24"/>
        </w:rPr>
        <w:t>ing</w:t>
      </w:r>
      <w:r w:rsidR="00B13579" w:rsidRPr="00B13579">
        <w:rPr>
          <w:sz w:val="24"/>
          <w:szCs w:val="24"/>
        </w:rPr>
        <w:t xml:space="preserve"> the record in this case</w:t>
      </w:r>
      <w:r w:rsidR="00B13579">
        <w:rPr>
          <w:sz w:val="24"/>
          <w:szCs w:val="24"/>
        </w:rPr>
        <w:t xml:space="preserve"> </w:t>
      </w:r>
      <w:r w:rsidR="00166DB2">
        <w:rPr>
          <w:sz w:val="24"/>
          <w:szCs w:val="24"/>
        </w:rPr>
        <w:t xml:space="preserve">AFTER the prehearing conference </w:t>
      </w:r>
      <w:r w:rsidR="00B13579">
        <w:rPr>
          <w:sz w:val="24"/>
          <w:szCs w:val="24"/>
        </w:rPr>
        <w:t>to afford the parties an opportunity</w:t>
      </w:r>
      <w:r w:rsidR="00B13579" w:rsidRPr="00B13579">
        <w:rPr>
          <w:sz w:val="24"/>
          <w:szCs w:val="24"/>
        </w:rPr>
        <w:t xml:space="preserve"> for the </w:t>
      </w:r>
      <w:r w:rsidR="00C06C2A">
        <w:rPr>
          <w:sz w:val="24"/>
          <w:szCs w:val="24"/>
        </w:rPr>
        <w:t>s</w:t>
      </w:r>
      <w:r w:rsidR="00B13579" w:rsidRPr="00B13579">
        <w:rPr>
          <w:sz w:val="24"/>
          <w:szCs w:val="24"/>
        </w:rPr>
        <w:t>ubmission of additional evidence</w:t>
      </w:r>
      <w:r w:rsidR="00C06C2A">
        <w:rPr>
          <w:sz w:val="24"/>
          <w:szCs w:val="24"/>
        </w:rPr>
        <w:t xml:space="preserve"> strictly limited to the remaining issues</w:t>
      </w:r>
      <w:r w:rsidR="00B13579">
        <w:rPr>
          <w:sz w:val="24"/>
          <w:szCs w:val="24"/>
        </w:rPr>
        <w:t>.</w:t>
      </w:r>
      <w:r w:rsidR="00B13579" w:rsidRPr="00B13579">
        <w:t xml:space="preserve"> </w:t>
      </w:r>
      <w:r w:rsidR="00B13579">
        <w:t xml:space="preserve"> </w:t>
      </w:r>
      <w:r w:rsidR="00B13579" w:rsidRPr="00B13579">
        <w:rPr>
          <w:sz w:val="24"/>
          <w:szCs w:val="24"/>
        </w:rPr>
        <w:t xml:space="preserve">As I stated at the outset, this may well necessitate the scheduling of an additional </w:t>
      </w:r>
      <w:r w:rsidR="00166DB2">
        <w:rPr>
          <w:sz w:val="24"/>
          <w:szCs w:val="24"/>
        </w:rPr>
        <w:t xml:space="preserve">evidentiary </w:t>
      </w:r>
      <w:r w:rsidR="00B13579" w:rsidRPr="00B13579">
        <w:rPr>
          <w:sz w:val="24"/>
          <w:szCs w:val="24"/>
        </w:rPr>
        <w:t>hearing and the allowance of Supplemental Briefs.</w:t>
      </w:r>
    </w:p>
    <w:p w:rsidR="00B13579" w:rsidRDefault="00B13579" w:rsidP="001F45C6">
      <w:pPr>
        <w:widowControl w:val="0"/>
        <w:spacing w:line="360" w:lineRule="auto"/>
        <w:rPr>
          <w:sz w:val="24"/>
          <w:szCs w:val="24"/>
        </w:rPr>
      </w:pPr>
    </w:p>
    <w:p w:rsidR="00B13579" w:rsidRDefault="00B13579" w:rsidP="001F45C6">
      <w:pPr>
        <w:widowControl w:val="0"/>
        <w:spacing w:line="360" w:lineRule="auto"/>
        <w:rPr>
          <w:sz w:val="24"/>
          <w:szCs w:val="24"/>
        </w:rPr>
      </w:pPr>
      <w:r>
        <w:rPr>
          <w:sz w:val="24"/>
          <w:szCs w:val="24"/>
        </w:rPr>
        <w:tab/>
      </w:r>
      <w:r>
        <w:rPr>
          <w:sz w:val="24"/>
          <w:szCs w:val="24"/>
        </w:rPr>
        <w:tab/>
        <w:t xml:space="preserve">In order to move this case forward to a conclusion, I am going to direct the OALJ </w:t>
      </w:r>
      <w:r w:rsidR="00AD667C">
        <w:rPr>
          <w:sz w:val="24"/>
          <w:szCs w:val="24"/>
        </w:rPr>
        <w:t>scheduling staff to schedule a p</w:t>
      </w:r>
      <w:r>
        <w:rPr>
          <w:sz w:val="24"/>
          <w:szCs w:val="24"/>
        </w:rPr>
        <w:t xml:space="preserve">rehearing conference so that I may hear and decide any issues with respect to the scope of </w:t>
      </w:r>
      <w:r w:rsidR="00AD667C">
        <w:rPr>
          <w:sz w:val="24"/>
          <w:szCs w:val="24"/>
        </w:rPr>
        <w:t xml:space="preserve">any </w:t>
      </w:r>
      <w:r>
        <w:rPr>
          <w:sz w:val="24"/>
          <w:szCs w:val="24"/>
        </w:rPr>
        <w:t>additional evidence to be presented</w:t>
      </w:r>
      <w:r w:rsidR="00AD667C">
        <w:rPr>
          <w:sz w:val="24"/>
          <w:szCs w:val="24"/>
        </w:rPr>
        <w:t xml:space="preserve">, to ascertain from the parties whether further evidentiary hearings are necessary, </w:t>
      </w:r>
      <w:r w:rsidR="00C06C2A">
        <w:rPr>
          <w:sz w:val="24"/>
          <w:szCs w:val="24"/>
        </w:rPr>
        <w:t>to determine</w:t>
      </w:r>
      <w:r w:rsidR="00AD667C">
        <w:rPr>
          <w:sz w:val="24"/>
          <w:szCs w:val="24"/>
        </w:rPr>
        <w:t xml:space="preserve"> whether Supplemental Briefs should be filed, and to discuss and finalize a schedule to conclude this case.</w:t>
      </w:r>
      <w:r w:rsidR="006A5FB0">
        <w:rPr>
          <w:sz w:val="24"/>
          <w:szCs w:val="24"/>
        </w:rPr>
        <w:t xml:space="preserve">  I encourage the parties to discuss these matters between themselves ahead of that prehearing conference.</w:t>
      </w:r>
    </w:p>
    <w:p w:rsidR="00951C1A" w:rsidRDefault="00951C1A" w:rsidP="001F45C6">
      <w:pPr>
        <w:widowControl w:val="0"/>
        <w:spacing w:line="360" w:lineRule="auto"/>
        <w:rPr>
          <w:sz w:val="24"/>
          <w:szCs w:val="24"/>
        </w:rPr>
      </w:pPr>
    </w:p>
    <w:p w:rsidR="00951C1A" w:rsidRDefault="00951C1A" w:rsidP="001F45C6">
      <w:pPr>
        <w:widowControl w:val="0"/>
        <w:spacing w:line="360" w:lineRule="auto"/>
        <w:rPr>
          <w:sz w:val="24"/>
          <w:szCs w:val="24"/>
        </w:rPr>
      </w:pPr>
      <w:r>
        <w:rPr>
          <w:sz w:val="24"/>
          <w:szCs w:val="24"/>
        </w:rPr>
        <w:tab/>
      </w:r>
      <w:r>
        <w:rPr>
          <w:sz w:val="24"/>
          <w:szCs w:val="24"/>
        </w:rPr>
        <w:tab/>
        <w:t>THEREFORE;</w:t>
      </w:r>
    </w:p>
    <w:p w:rsidR="00951C1A" w:rsidRDefault="00951C1A" w:rsidP="001F45C6">
      <w:pPr>
        <w:widowControl w:val="0"/>
        <w:spacing w:line="360" w:lineRule="auto"/>
        <w:rPr>
          <w:sz w:val="24"/>
          <w:szCs w:val="24"/>
        </w:rPr>
      </w:pPr>
    </w:p>
    <w:p w:rsidR="00951C1A" w:rsidRDefault="00951C1A" w:rsidP="001F45C6">
      <w:pPr>
        <w:widowControl w:val="0"/>
        <w:spacing w:line="360" w:lineRule="auto"/>
        <w:rPr>
          <w:sz w:val="24"/>
          <w:szCs w:val="24"/>
        </w:rPr>
      </w:pPr>
      <w:r>
        <w:rPr>
          <w:sz w:val="24"/>
          <w:szCs w:val="24"/>
        </w:rPr>
        <w:tab/>
      </w:r>
      <w:r>
        <w:rPr>
          <w:sz w:val="24"/>
          <w:szCs w:val="24"/>
        </w:rPr>
        <w:tab/>
        <w:t>IT IS ORDERED:</w:t>
      </w:r>
    </w:p>
    <w:p w:rsidR="00166DB2" w:rsidRDefault="00166DB2" w:rsidP="001F45C6">
      <w:pPr>
        <w:widowControl w:val="0"/>
        <w:spacing w:line="360" w:lineRule="auto"/>
        <w:rPr>
          <w:sz w:val="24"/>
          <w:szCs w:val="24"/>
        </w:rPr>
      </w:pPr>
    </w:p>
    <w:p w:rsidR="00951C1A" w:rsidRDefault="00951C1A" w:rsidP="001F45C6">
      <w:pPr>
        <w:widowControl w:val="0"/>
        <w:spacing w:line="360" w:lineRule="auto"/>
        <w:rPr>
          <w:sz w:val="24"/>
          <w:szCs w:val="24"/>
        </w:rPr>
      </w:pPr>
      <w:r>
        <w:rPr>
          <w:sz w:val="24"/>
          <w:szCs w:val="24"/>
        </w:rPr>
        <w:tab/>
      </w:r>
      <w:r>
        <w:rPr>
          <w:sz w:val="24"/>
          <w:szCs w:val="24"/>
        </w:rPr>
        <w:tab/>
        <w:t>1.</w:t>
      </w:r>
      <w:r>
        <w:rPr>
          <w:sz w:val="24"/>
          <w:szCs w:val="24"/>
        </w:rPr>
        <w:tab/>
      </w:r>
      <w:r w:rsidR="00B1708D">
        <w:rPr>
          <w:sz w:val="24"/>
          <w:szCs w:val="24"/>
        </w:rPr>
        <w:t xml:space="preserve">That the </w:t>
      </w:r>
      <w:r w:rsidR="00B1708D" w:rsidRPr="00B1708D">
        <w:rPr>
          <w:sz w:val="24"/>
          <w:szCs w:val="24"/>
        </w:rPr>
        <w:t>January 6, 2012 Petition to Reopen the Record</w:t>
      </w:r>
      <w:r w:rsidR="00B1708D">
        <w:rPr>
          <w:sz w:val="24"/>
          <w:szCs w:val="24"/>
        </w:rPr>
        <w:t xml:space="preserve"> filed by </w:t>
      </w:r>
      <w:r w:rsidR="00B1708D" w:rsidRPr="00B1708D">
        <w:rPr>
          <w:sz w:val="24"/>
          <w:szCs w:val="24"/>
        </w:rPr>
        <w:t>Verizon of Pennsylvania Inc</w:t>
      </w:r>
      <w:r w:rsidR="00B1708D">
        <w:rPr>
          <w:sz w:val="24"/>
          <w:szCs w:val="24"/>
        </w:rPr>
        <w:t xml:space="preserve">., </w:t>
      </w:r>
      <w:r w:rsidR="00B1708D" w:rsidRPr="00B1708D">
        <w:rPr>
          <w:sz w:val="24"/>
          <w:szCs w:val="24"/>
        </w:rPr>
        <w:t xml:space="preserve">is denied and proposed </w:t>
      </w:r>
      <w:r w:rsidR="006A5FB0">
        <w:rPr>
          <w:sz w:val="24"/>
          <w:szCs w:val="24"/>
        </w:rPr>
        <w:t xml:space="preserve">Supplemental </w:t>
      </w:r>
      <w:r w:rsidR="00B1708D" w:rsidRPr="00B1708D">
        <w:rPr>
          <w:sz w:val="24"/>
          <w:szCs w:val="24"/>
        </w:rPr>
        <w:t xml:space="preserve">Exhibits A-E of that Petition are not </w:t>
      </w:r>
      <w:r w:rsidR="00B1708D" w:rsidRPr="00B1708D">
        <w:rPr>
          <w:sz w:val="24"/>
          <w:szCs w:val="24"/>
        </w:rPr>
        <w:lastRenderedPageBreak/>
        <w:t>admitted to the record</w:t>
      </w:r>
      <w:r w:rsidR="0072687B">
        <w:rPr>
          <w:sz w:val="24"/>
          <w:szCs w:val="24"/>
        </w:rPr>
        <w:t xml:space="preserve"> at this time</w:t>
      </w:r>
      <w:r w:rsidR="00B1708D">
        <w:rPr>
          <w:sz w:val="24"/>
          <w:szCs w:val="24"/>
        </w:rPr>
        <w:t>.</w:t>
      </w:r>
    </w:p>
    <w:p w:rsidR="00B1708D" w:rsidRDefault="00B1708D" w:rsidP="001F45C6">
      <w:pPr>
        <w:widowControl w:val="0"/>
        <w:spacing w:line="360" w:lineRule="auto"/>
        <w:rPr>
          <w:sz w:val="24"/>
          <w:szCs w:val="24"/>
        </w:rPr>
      </w:pPr>
    </w:p>
    <w:p w:rsidR="00B1708D" w:rsidRDefault="00B1708D" w:rsidP="001F45C6">
      <w:pPr>
        <w:widowControl w:val="0"/>
        <w:spacing w:line="360" w:lineRule="auto"/>
        <w:rPr>
          <w:sz w:val="24"/>
          <w:szCs w:val="24"/>
        </w:rPr>
      </w:pPr>
      <w:r>
        <w:rPr>
          <w:sz w:val="24"/>
          <w:szCs w:val="24"/>
        </w:rPr>
        <w:tab/>
      </w:r>
      <w:r>
        <w:rPr>
          <w:sz w:val="24"/>
          <w:szCs w:val="24"/>
        </w:rPr>
        <w:tab/>
        <w:t>2.</w:t>
      </w:r>
      <w:r>
        <w:rPr>
          <w:sz w:val="24"/>
          <w:szCs w:val="24"/>
        </w:rPr>
        <w:tab/>
        <w:t xml:space="preserve">That the </w:t>
      </w:r>
      <w:r w:rsidRPr="00B1708D">
        <w:rPr>
          <w:sz w:val="24"/>
          <w:szCs w:val="24"/>
        </w:rPr>
        <w:t>Reply to Armstrong Telecommunications, Inc.’s Answer filed on January 25, 2012 by Verizon</w:t>
      </w:r>
      <w:r>
        <w:rPr>
          <w:sz w:val="24"/>
          <w:szCs w:val="24"/>
        </w:rPr>
        <w:t xml:space="preserve"> is stricken from the record.</w:t>
      </w:r>
    </w:p>
    <w:p w:rsidR="00B1708D" w:rsidRDefault="00B1708D" w:rsidP="001F45C6">
      <w:pPr>
        <w:widowControl w:val="0"/>
        <w:spacing w:line="360" w:lineRule="auto"/>
        <w:rPr>
          <w:sz w:val="24"/>
          <w:szCs w:val="24"/>
        </w:rPr>
      </w:pPr>
    </w:p>
    <w:p w:rsidR="00B1708D" w:rsidRDefault="00B1708D" w:rsidP="001F45C6">
      <w:pPr>
        <w:widowControl w:val="0"/>
        <w:spacing w:line="360" w:lineRule="auto"/>
        <w:rPr>
          <w:sz w:val="24"/>
          <w:szCs w:val="24"/>
        </w:rPr>
      </w:pPr>
      <w:r>
        <w:rPr>
          <w:sz w:val="24"/>
          <w:szCs w:val="24"/>
        </w:rPr>
        <w:tab/>
      </w:r>
      <w:r>
        <w:rPr>
          <w:sz w:val="24"/>
          <w:szCs w:val="24"/>
        </w:rPr>
        <w:tab/>
        <w:t>3.</w:t>
      </w:r>
      <w:r>
        <w:rPr>
          <w:sz w:val="24"/>
          <w:szCs w:val="24"/>
        </w:rPr>
        <w:tab/>
        <w:t xml:space="preserve">That the </w:t>
      </w:r>
      <w:r w:rsidRPr="00B1708D">
        <w:rPr>
          <w:sz w:val="24"/>
          <w:szCs w:val="24"/>
        </w:rPr>
        <w:t>Answer by Armstrong to Verizon’s Reply to Armstrong’s Answer to Verizon’s Petition to Reopen the Record</w:t>
      </w:r>
      <w:r>
        <w:rPr>
          <w:sz w:val="24"/>
          <w:szCs w:val="24"/>
        </w:rPr>
        <w:t xml:space="preserve"> filed on February 1, 2012 by Armstrong is stricken from the record</w:t>
      </w:r>
      <w:r w:rsidRPr="00B1708D">
        <w:rPr>
          <w:sz w:val="24"/>
          <w:szCs w:val="24"/>
        </w:rPr>
        <w:t>.</w:t>
      </w:r>
    </w:p>
    <w:p w:rsidR="00B1708D" w:rsidRDefault="00B1708D" w:rsidP="001F45C6">
      <w:pPr>
        <w:widowControl w:val="0"/>
        <w:spacing w:line="360" w:lineRule="auto"/>
        <w:rPr>
          <w:sz w:val="24"/>
          <w:szCs w:val="24"/>
        </w:rPr>
      </w:pPr>
    </w:p>
    <w:p w:rsidR="00B1708D" w:rsidRDefault="00B1708D" w:rsidP="001F45C6">
      <w:pPr>
        <w:widowControl w:val="0"/>
        <w:spacing w:line="360" w:lineRule="auto"/>
        <w:rPr>
          <w:sz w:val="24"/>
          <w:szCs w:val="24"/>
        </w:rPr>
      </w:pPr>
      <w:r>
        <w:rPr>
          <w:sz w:val="24"/>
          <w:szCs w:val="24"/>
        </w:rPr>
        <w:tab/>
      </w:r>
      <w:r>
        <w:rPr>
          <w:sz w:val="24"/>
          <w:szCs w:val="24"/>
        </w:rPr>
        <w:tab/>
        <w:t>4.</w:t>
      </w:r>
      <w:r>
        <w:rPr>
          <w:sz w:val="24"/>
          <w:szCs w:val="24"/>
        </w:rPr>
        <w:tab/>
        <w:t>That a prehearing conference will be scheduled in this case</w:t>
      </w:r>
      <w:r w:rsidR="0072687B">
        <w:rPr>
          <w:sz w:val="24"/>
          <w:szCs w:val="24"/>
        </w:rPr>
        <w:t xml:space="preserve"> consistent with the terms of this Order</w:t>
      </w:r>
      <w:r>
        <w:rPr>
          <w:sz w:val="24"/>
          <w:szCs w:val="24"/>
        </w:rPr>
        <w:t>.</w:t>
      </w:r>
    </w:p>
    <w:p w:rsidR="00B1708D" w:rsidRDefault="00B1708D" w:rsidP="001F45C6">
      <w:pPr>
        <w:widowControl w:val="0"/>
        <w:spacing w:line="360" w:lineRule="auto"/>
        <w:rPr>
          <w:sz w:val="24"/>
          <w:szCs w:val="24"/>
        </w:rPr>
      </w:pPr>
    </w:p>
    <w:p w:rsidR="00B1708D" w:rsidRPr="008F41BC" w:rsidRDefault="00B1708D" w:rsidP="00B1708D">
      <w:pPr>
        <w:widowControl w:val="0"/>
        <w:spacing w:line="360" w:lineRule="auto"/>
        <w:ind w:firstLine="1440"/>
        <w:rPr>
          <w:sz w:val="24"/>
          <w:szCs w:val="24"/>
        </w:rPr>
      </w:pPr>
    </w:p>
    <w:p w:rsidR="00B1708D" w:rsidRPr="00C81100" w:rsidRDefault="00B1708D" w:rsidP="00B1708D">
      <w:pPr>
        <w:widowControl w:val="0"/>
        <w:spacing w:line="360" w:lineRule="auto"/>
        <w:rPr>
          <w:sz w:val="24"/>
          <w:szCs w:val="24"/>
        </w:rPr>
      </w:pPr>
    </w:p>
    <w:p w:rsidR="00B1708D" w:rsidRPr="00C81100" w:rsidRDefault="00B1708D" w:rsidP="00B1708D">
      <w:pPr>
        <w:widowControl w:val="0"/>
        <w:rPr>
          <w:sz w:val="24"/>
          <w:szCs w:val="24"/>
          <w:u w:val="single"/>
        </w:rPr>
      </w:pPr>
      <w:r w:rsidRPr="00C81100">
        <w:rPr>
          <w:sz w:val="24"/>
          <w:szCs w:val="24"/>
        </w:rPr>
        <w:t>Date:</w:t>
      </w:r>
      <w:r>
        <w:rPr>
          <w:sz w:val="24"/>
          <w:szCs w:val="24"/>
        </w:rPr>
        <w:tab/>
      </w:r>
      <w:r>
        <w:rPr>
          <w:sz w:val="24"/>
          <w:szCs w:val="24"/>
          <w:u w:val="single"/>
        </w:rPr>
        <w:t>July 16, 2013</w:t>
      </w:r>
      <w:r w:rsidRPr="00C81100">
        <w:rPr>
          <w:sz w:val="24"/>
          <w:szCs w:val="24"/>
        </w:rPr>
        <w:t xml:space="preserve"> </w:t>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B1708D" w:rsidRPr="00C81100" w:rsidRDefault="00B1708D" w:rsidP="00B1708D">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B1708D" w:rsidRPr="00C81100" w:rsidRDefault="00B1708D" w:rsidP="00B1708D">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2962F1" w:rsidRDefault="002962F1" w:rsidP="001F45C6">
      <w:pPr>
        <w:widowControl w:val="0"/>
        <w:spacing w:line="360" w:lineRule="auto"/>
        <w:rPr>
          <w:sz w:val="24"/>
          <w:szCs w:val="24"/>
        </w:rPr>
        <w:sectPr w:rsidR="002962F1" w:rsidSect="00E17186">
          <w:footerReference w:type="even" r:id="rId9"/>
          <w:footerReference w:type="default" r:id="rId10"/>
          <w:type w:val="continuous"/>
          <w:pgSz w:w="12240" w:h="15840"/>
          <w:pgMar w:top="1440" w:right="1440" w:bottom="1440" w:left="1440" w:header="720" w:footer="720" w:gutter="0"/>
          <w:cols w:space="720"/>
          <w:noEndnote/>
          <w:titlePg/>
        </w:sectPr>
      </w:pPr>
    </w:p>
    <w:p w:rsidR="002962F1" w:rsidRPr="002962F1" w:rsidRDefault="002962F1" w:rsidP="002962F1">
      <w:pPr>
        <w:autoSpaceDE/>
        <w:autoSpaceDN/>
        <w:contextualSpacing/>
        <w:rPr>
          <w:rFonts w:ascii="Microsoft Sans Serif" w:eastAsiaTheme="minorEastAsia" w:hAnsiTheme="minorHAnsi" w:cstheme="minorBidi"/>
          <w:sz w:val="24"/>
          <w:szCs w:val="22"/>
        </w:rPr>
      </w:pPr>
      <w:r w:rsidRPr="002962F1">
        <w:rPr>
          <w:rFonts w:ascii="Microsoft Sans Serif" w:eastAsiaTheme="minorEastAsia" w:hAnsiTheme="minorHAnsi" w:cstheme="minorBidi"/>
          <w:b/>
          <w:sz w:val="24"/>
          <w:szCs w:val="22"/>
          <w:u w:val="single"/>
        </w:rPr>
        <w:lastRenderedPageBreak/>
        <w:t>C-2010-2216205 - ARMSTRONG TELECOMMUNICATIONS INC v. VERIZON PENNSYLVANIA</w:t>
      </w:r>
      <w:r w:rsidRPr="002962F1">
        <w:rPr>
          <w:rFonts w:ascii="Microsoft Sans Serif" w:eastAsiaTheme="minorEastAsia" w:hAnsiTheme="minorHAnsi" w:cstheme="minorBidi"/>
          <w:b/>
          <w:sz w:val="24"/>
          <w:szCs w:val="22"/>
          <w:u w:val="single"/>
        </w:rPr>
        <w:cr/>
      </w:r>
      <w:r w:rsidRPr="002962F1">
        <w:rPr>
          <w:rFonts w:ascii="Microsoft Sans Serif" w:eastAsiaTheme="minorEastAsia" w:hAnsiTheme="minorHAnsi" w:cstheme="minorBidi"/>
          <w:b/>
          <w:sz w:val="24"/>
          <w:szCs w:val="22"/>
          <w:u w:val="single"/>
        </w:rPr>
        <w:cr/>
      </w:r>
      <w:r w:rsidRPr="002962F1">
        <w:rPr>
          <w:rFonts w:ascii="Microsoft Sans Serif" w:eastAsiaTheme="minorEastAsia" w:hAnsiTheme="minorHAnsi" w:cstheme="minorBidi"/>
          <w:sz w:val="24"/>
          <w:szCs w:val="22"/>
        </w:rPr>
        <w:t>JENNIFER M. (SULTZABERGER) CARON, ESQUIRE</w:t>
      </w:r>
      <w:r w:rsidRPr="002962F1">
        <w:rPr>
          <w:rFonts w:ascii="Microsoft Sans Serif" w:eastAsiaTheme="minorEastAsia" w:hAnsiTheme="minorHAnsi" w:cstheme="minorBidi"/>
          <w:sz w:val="24"/>
          <w:szCs w:val="22"/>
        </w:rPr>
        <w:cr/>
        <w:t>THOMAS LONG NIESEN &amp; KENNARD</w:t>
      </w:r>
      <w:r w:rsidRPr="002962F1">
        <w:rPr>
          <w:rFonts w:ascii="Microsoft Sans Serif" w:eastAsiaTheme="minorEastAsia" w:hAnsiTheme="minorHAnsi" w:cstheme="minorBidi"/>
          <w:sz w:val="24"/>
          <w:szCs w:val="22"/>
        </w:rPr>
        <w:cr/>
        <w:t>212 LOCUST STREET</w:t>
      </w:r>
      <w:r w:rsidRPr="002962F1">
        <w:rPr>
          <w:rFonts w:ascii="Microsoft Sans Serif" w:eastAsiaTheme="minorEastAsia" w:hAnsiTheme="minorHAnsi" w:cstheme="minorBidi"/>
          <w:sz w:val="24"/>
          <w:szCs w:val="22"/>
        </w:rPr>
        <w:cr/>
        <w:t>SUITE 500</w:t>
      </w:r>
      <w:r w:rsidRPr="002962F1">
        <w:rPr>
          <w:rFonts w:ascii="Microsoft Sans Serif" w:eastAsiaTheme="minorEastAsia" w:hAnsiTheme="minorHAnsi" w:cstheme="minorBidi"/>
          <w:sz w:val="24"/>
          <w:szCs w:val="22"/>
        </w:rPr>
        <w:cr/>
        <w:t>HARRISBURG, PA 17108</w:t>
      </w:r>
      <w:r w:rsidRPr="002962F1">
        <w:rPr>
          <w:rFonts w:ascii="Microsoft Sans Serif" w:eastAsiaTheme="minorEastAsia" w:hAnsiTheme="minorHAnsi" w:cstheme="minorBidi"/>
          <w:sz w:val="24"/>
          <w:szCs w:val="22"/>
        </w:rPr>
        <w:cr/>
        <w:t>717-255-7236</w:t>
      </w:r>
    </w:p>
    <w:p w:rsidR="002962F1" w:rsidRPr="002962F1" w:rsidRDefault="002962F1" w:rsidP="002962F1">
      <w:pPr>
        <w:autoSpaceDE/>
        <w:autoSpaceDN/>
        <w:contextualSpacing/>
        <w:rPr>
          <w:rFonts w:ascii="Microsoft Sans Serif" w:eastAsiaTheme="minorEastAsia" w:hAnsiTheme="minorHAnsi" w:cstheme="minorBidi"/>
          <w:b/>
          <w:i/>
          <w:sz w:val="24"/>
          <w:szCs w:val="22"/>
          <w:u w:val="single"/>
        </w:rPr>
      </w:pPr>
      <w:r w:rsidRPr="002962F1">
        <w:rPr>
          <w:rFonts w:ascii="Microsoft Sans Serif" w:eastAsiaTheme="minorEastAsia" w:hAnsiTheme="minorHAnsi" w:cstheme="minorBidi"/>
          <w:b/>
          <w:i/>
          <w:sz w:val="24"/>
          <w:szCs w:val="22"/>
          <w:u w:val="single"/>
        </w:rPr>
        <w:t>E-Serve</w:t>
      </w:r>
      <w:r w:rsidRPr="002962F1">
        <w:rPr>
          <w:rFonts w:ascii="Microsoft Sans Serif" w:eastAsiaTheme="minorEastAsia" w:hAnsiTheme="minorHAnsi" w:cstheme="minorBidi"/>
          <w:sz w:val="24"/>
          <w:szCs w:val="22"/>
        </w:rPr>
        <w:cr/>
      </w:r>
      <w:r w:rsidRPr="002962F1">
        <w:rPr>
          <w:rFonts w:ascii="Microsoft Sans Serif" w:eastAsiaTheme="minorEastAsia" w:hAnsiTheme="minorHAnsi" w:cstheme="minorBidi"/>
          <w:sz w:val="24"/>
          <w:szCs w:val="22"/>
        </w:rPr>
        <w:cr/>
        <w:t>NORMAN J KENNARD, ESQUIRE</w:t>
      </w:r>
      <w:r w:rsidRPr="002962F1">
        <w:rPr>
          <w:rFonts w:ascii="Microsoft Sans Serif" w:eastAsiaTheme="minorEastAsia" w:hAnsiTheme="minorHAnsi" w:cstheme="minorBidi"/>
          <w:sz w:val="24"/>
          <w:szCs w:val="22"/>
        </w:rPr>
        <w:cr/>
        <w:t>THOMAS LONG NIESEN &amp; KENNARD</w:t>
      </w:r>
      <w:r w:rsidRPr="002962F1">
        <w:rPr>
          <w:rFonts w:ascii="Microsoft Sans Serif" w:eastAsiaTheme="minorEastAsia" w:hAnsiTheme="minorHAnsi" w:cstheme="minorBidi"/>
          <w:sz w:val="24"/>
          <w:szCs w:val="22"/>
        </w:rPr>
        <w:cr/>
        <w:t>212 LOCUST STREET</w:t>
      </w:r>
      <w:r w:rsidRPr="002962F1">
        <w:rPr>
          <w:rFonts w:ascii="Microsoft Sans Serif" w:eastAsiaTheme="minorEastAsia" w:hAnsiTheme="minorHAnsi" w:cstheme="minorBidi"/>
          <w:sz w:val="24"/>
          <w:szCs w:val="22"/>
        </w:rPr>
        <w:cr/>
        <w:t>SUITE 500</w:t>
      </w:r>
      <w:r w:rsidRPr="002962F1">
        <w:rPr>
          <w:rFonts w:ascii="Microsoft Sans Serif" w:eastAsiaTheme="minorEastAsia" w:hAnsiTheme="minorHAnsi" w:cstheme="minorBidi"/>
          <w:sz w:val="24"/>
          <w:szCs w:val="22"/>
        </w:rPr>
        <w:cr/>
        <w:t>HARRISBURG, PA 17108</w:t>
      </w:r>
      <w:r w:rsidRPr="002962F1">
        <w:rPr>
          <w:rFonts w:ascii="Microsoft Sans Serif" w:eastAsiaTheme="minorEastAsia" w:hAnsiTheme="minorHAnsi" w:cstheme="minorBidi"/>
          <w:sz w:val="24"/>
          <w:szCs w:val="22"/>
        </w:rPr>
        <w:cr/>
        <w:t>717-255-7600</w:t>
      </w:r>
      <w:r w:rsidRPr="002962F1">
        <w:rPr>
          <w:rFonts w:ascii="Microsoft Sans Serif" w:eastAsiaTheme="minorEastAsia" w:hAnsiTheme="minorHAnsi" w:cstheme="minorBidi"/>
          <w:sz w:val="24"/>
          <w:szCs w:val="22"/>
        </w:rPr>
        <w:cr/>
      </w:r>
      <w:r w:rsidRPr="002962F1">
        <w:rPr>
          <w:rFonts w:ascii="Microsoft Sans Serif" w:eastAsiaTheme="minorEastAsia" w:hAnsiTheme="minorHAnsi" w:cstheme="minorBidi"/>
          <w:b/>
          <w:i/>
          <w:sz w:val="24"/>
          <w:szCs w:val="22"/>
          <w:u w:val="single"/>
        </w:rPr>
        <w:t>E-Serve</w:t>
      </w:r>
    </w:p>
    <w:p w:rsidR="002962F1" w:rsidRPr="002962F1" w:rsidRDefault="002962F1" w:rsidP="002962F1">
      <w:pPr>
        <w:autoSpaceDE/>
        <w:autoSpaceDN/>
        <w:contextualSpacing/>
        <w:rPr>
          <w:rFonts w:ascii="Microsoft Sans Serif" w:eastAsiaTheme="minorEastAsia" w:hAnsiTheme="minorHAnsi" w:cstheme="minorBidi"/>
          <w:sz w:val="24"/>
          <w:szCs w:val="22"/>
        </w:rPr>
      </w:pPr>
      <w:r w:rsidRPr="002962F1">
        <w:rPr>
          <w:rFonts w:ascii="Microsoft Sans Serif" w:eastAsiaTheme="minorEastAsia" w:hAnsiTheme="minorHAnsi" w:cstheme="minorBidi"/>
          <w:sz w:val="24"/>
          <w:szCs w:val="22"/>
        </w:rPr>
        <w:cr/>
      </w:r>
      <w:bookmarkStart w:id="0" w:name="_GoBack"/>
      <w:r w:rsidRPr="002962F1">
        <w:rPr>
          <w:rFonts w:ascii="Microsoft Sans Serif" w:eastAsiaTheme="minorEastAsia" w:hAnsiTheme="minorHAnsi" w:cstheme="minorBidi"/>
          <w:sz w:val="24"/>
          <w:szCs w:val="22"/>
        </w:rPr>
        <w:t>DAVID JAMIESON, ESQUIRE</w:t>
      </w:r>
    </w:p>
    <w:p w:rsidR="002962F1" w:rsidRPr="002962F1" w:rsidRDefault="002962F1" w:rsidP="002962F1">
      <w:pPr>
        <w:autoSpaceDE/>
        <w:autoSpaceDN/>
        <w:contextualSpacing/>
        <w:rPr>
          <w:rFonts w:ascii="Microsoft Sans Serif" w:eastAsiaTheme="minorEastAsia" w:hAnsiTheme="minorHAnsi" w:cstheme="minorBidi"/>
          <w:sz w:val="24"/>
          <w:szCs w:val="22"/>
        </w:rPr>
      </w:pPr>
      <w:r w:rsidRPr="002962F1">
        <w:rPr>
          <w:rFonts w:ascii="Microsoft Sans Serif" w:eastAsiaTheme="minorEastAsia" w:hAnsiTheme="minorHAnsi" w:cstheme="minorBidi"/>
          <w:sz w:val="24"/>
          <w:szCs w:val="22"/>
        </w:rPr>
        <w:t>ARMSTRONG TELECOMMUNCIAITONS, INC.</w:t>
      </w:r>
      <w:r w:rsidRPr="002962F1">
        <w:rPr>
          <w:rFonts w:ascii="Microsoft Sans Serif" w:eastAsiaTheme="minorEastAsia" w:hAnsiTheme="minorHAnsi" w:cstheme="minorBidi"/>
          <w:sz w:val="24"/>
          <w:szCs w:val="22"/>
        </w:rPr>
        <w:cr/>
        <w:t>ONE ARMSTRONG PLACE</w:t>
      </w:r>
      <w:r w:rsidRPr="002962F1">
        <w:rPr>
          <w:rFonts w:ascii="Microsoft Sans Serif" w:eastAsiaTheme="minorEastAsia" w:hAnsiTheme="minorHAnsi" w:cstheme="minorBidi"/>
          <w:sz w:val="24"/>
          <w:szCs w:val="22"/>
        </w:rPr>
        <w:cr/>
        <w:t>BUTLER, PA 16001</w:t>
      </w:r>
    </w:p>
    <w:bookmarkEnd w:id="0"/>
    <w:p w:rsidR="002962F1" w:rsidRPr="002962F1" w:rsidRDefault="002962F1" w:rsidP="002962F1">
      <w:pPr>
        <w:autoSpaceDE/>
        <w:autoSpaceDN/>
        <w:contextualSpacing/>
        <w:rPr>
          <w:rFonts w:asciiTheme="minorHAnsi" w:eastAsiaTheme="minorEastAsia" w:hAnsiTheme="minorHAnsi" w:cstheme="minorBidi"/>
          <w:b/>
          <w:i/>
          <w:sz w:val="22"/>
          <w:szCs w:val="22"/>
          <w:u w:val="single"/>
        </w:rPr>
      </w:pPr>
      <w:r w:rsidRPr="002962F1">
        <w:rPr>
          <w:rFonts w:ascii="Microsoft Sans Serif" w:eastAsiaTheme="minorEastAsia" w:hAnsiTheme="minorHAnsi" w:cstheme="minorBidi"/>
          <w:sz w:val="24"/>
          <w:szCs w:val="22"/>
        </w:rPr>
        <w:t>724-283-0925</w:t>
      </w:r>
      <w:r w:rsidRPr="002962F1">
        <w:rPr>
          <w:rFonts w:ascii="Microsoft Sans Serif" w:eastAsiaTheme="minorEastAsia" w:hAnsiTheme="minorHAnsi" w:cstheme="minorBidi"/>
          <w:sz w:val="24"/>
          <w:szCs w:val="22"/>
        </w:rPr>
        <w:cr/>
      </w:r>
      <w:r w:rsidRPr="002962F1">
        <w:rPr>
          <w:rFonts w:ascii="Microsoft Sans Serif" w:eastAsiaTheme="minorEastAsia" w:hAnsiTheme="minorHAnsi" w:cstheme="minorBidi"/>
          <w:sz w:val="24"/>
          <w:szCs w:val="22"/>
        </w:rPr>
        <w:cr/>
        <w:t>SUZAN D PAIVA ESQUIRE</w:t>
      </w:r>
      <w:r w:rsidRPr="002962F1">
        <w:rPr>
          <w:rFonts w:ascii="Microsoft Sans Serif" w:eastAsiaTheme="minorEastAsia" w:hAnsiTheme="minorHAnsi" w:cstheme="minorBidi"/>
          <w:sz w:val="24"/>
          <w:szCs w:val="22"/>
        </w:rPr>
        <w:cr/>
        <w:t>VERIZON</w:t>
      </w:r>
      <w:r w:rsidRPr="002962F1">
        <w:rPr>
          <w:rFonts w:ascii="Microsoft Sans Serif" w:eastAsiaTheme="minorEastAsia" w:hAnsiTheme="minorHAnsi" w:cstheme="minorBidi"/>
          <w:sz w:val="24"/>
          <w:szCs w:val="22"/>
        </w:rPr>
        <w:cr/>
        <w:t>1717 ARCH STREET, 3SE</w:t>
      </w:r>
      <w:r w:rsidRPr="002962F1">
        <w:rPr>
          <w:rFonts w:ascii="Microsoft Sans Serif" w:eastAsiaTheme="minorEastAsia" w:hAnsiTheme="minorHAnsi" w:cstheme="minorBidi"/>
          <w:sz w:val="24"/>
          <w:szCs w:val="22"/>
        </w:rPr>
        <w:cr/>
        <w:t>PHILADELPHIA, PA 19103</w:t>
      </w:r>
      <w:r w:rsidRPr="002962F1">
        <w:rPr>
          <w:rFonts w:ascii="Microsoft Sans Serif" w:eastAsiaTheme="minorEastAsia" w:hAnsiTheme="minorHAnsi" w:cstheme="minorBidi"/>
          <w:sz w:val="24"/>
          <w:szCs w:val="22"/>
        </w:rPr>
        <w:cr/>
        <w:t>215-466-4755</w:t>
      </w:r>
      <w:r w:rsidRPr="002962F1">
        <w:rPr>
          <w:rFonts w:ascii="Microsoft Sans Serif" w:eastAsiaTheme="minorEastAsia" w:hAnsiTheme="minorHAnsi" w:cstheme="minorBidi"/>
          <w:sz w:val="24"/>
          <w:szCs w:val="22"/>
        </w:rPr>
        <w:cr/>
      </w:r>
      <w:r w:rsidRPr="002962F1">
        <w:rPr>
          <w:rFonts w:ascii="Microsoft Sans Serif" w:eastAsiaTheme="minorEastAsia" w:hAnsiTheme="minorHAnsi" w:cstheme="minorBidi"/>
          <w:b/>
          <w:i/>
          <w:sz w:val="24"/>
          <w:szCs w:val="22"/>
          <w:u w:val="single"/>
        </w:rPr>
        <w:t>E-Serve</w:t>
      </w:r>
    </w:p>
    <w:p w:rsidR="002962F1" w:rsidRPr="002962F1" w:rsidRDefault="002962F1" w:rsidP="002962F1">
      <w:pPr>
        <w:autoSpaceDE/>
        <w:autoSpaceDN/>
        <w:spacing w:after="200" w:line="276" w:lineRule="auto"/>
        <w:rPr>
          <w:rFonts w:asciiTheme="minorHAnsi" w:eastAsiaTheme="minorEastAsia" w:hAnsiTheme="minorHAnsi" w:cstheme="minorBidi"/>
          <w:sz w:val="22"/>
          <w:szCs w:val="22"/>
        </w:rPr>
      </w:pPr>
    </w:p>
    <w:p w:rsidR="00B1708D" w:rsidRDefault="00B1708D" w:rsidP="001F45C6">
      <w:pPr>
        <w:widowControl w:val="0"/>
        <w:spacing w:line="360" w:lineRule="auto"/>
        <w:rPr>
          <w:sz w:val="24"/>
          <w:szCs w:val="24"/>
        </w:rPr>
      </w:pPr>
    </w:p>
    <w:sectPr w:rsidR="00B170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F3" w:rsidRDefault="00E253F3">
      <w:r>
        <w:separator/>
      </w:r>
    </w:p>
  </w:endnote>
  <w:endnote w:type="continuationSeparator" w:id="0">
    <w:p w:rsidR="00E253F3" w:rsidRDefault="00E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B2" w:rsidRDefault="00166DB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6DB2" w:rsidRDefault="00166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DB2" w:rsidRDefault="00166DB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2F1">
      <w:rPr>
        <w:rStyle w:val="PageNumber"/>
        <w:noProof/>
      </w:rPr>
      <w:t>8</w:t>
    </w:r>
    <w:r>
      <w:rPr>
        <w:rStyle w:val="PageNumber"/>
      </w:rPr>
      <w:fldChar w:fldCharType="end"/>
    </w:r>
  </w:p>
  <w:p w:rsidR="00166DB2" w:rsidRDefault="00166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F1" w:rsidRDefault="00296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F3" w:rsidRDefault="00E253F3">
      <w:r>
        <w:separator/>
      </w:r>
    </w:p>
  </w:footnote>
  <w:footnote w:type="continuationSeparator" w:id="0">
    <w:p w:rsidR="00E253F3" w:rsidRDefault="00E253F3">
      <w:r>
        <w:continuationSeparator/>
      </w:r>
    </w:p>
  </w:footnote>
  <w:footnote w:id="1">
    <w:p w:rsidR="00166DB2" w:rsidRDefault="00166DB2">
      <w:pPr>
        <w:pStyle w:val="FootnoteText"/>
      </w:pPr>
      <w:r>
        <w:rPr>
          <w:rStyle w:val="FootnoteReference"/>
        </w:rPr>
        <w:footnoteRef/>
      </w:r>
      <w:r>
        <w:t xml:space="preserve"> </w:t>
      </w:r>
      <w:r>
        <w:tab/>
        <w:t>This filing deadline was extended by one day to April 19, 2011 after a water main break in the City of Harrisburg caused the closure of the Commission’s office.</w:t>
      </w:r>
    </w:p>
  </w:footnote>
  <w:footnote w:id="2">
    <w:p w:rsidR="00166DB2" w:rsidRDefault="00166DB2">
      <w:pPr>
        <w:pStyle w:val="FootnoteText"/>
      </w:pPr>
      <w:r>
        <w:rPr>
          <w:rStyle w:val="FootnoteReference"/>
        </w:rPr>
        <w:footnoteRef/>
      </w:r>
      <w:r>
        <w:t xml:space="preserve"> </w:t>
      </w:r>
      <w:r>
        <w:tab/>
        <w:t>On April 25, 2014, Mr. Kennard withdrew from this case and Charles E. Thomas III entered his appearance on behalf of Armstrong.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4DDA"/>
    <w:rsid w:val="000209DD"/>
    <w:rsid w:val="00026F22"/>
    <w:rsid w:val="00035E9B"/>
    <w:rsid w:val="000801B3"/>
    <w:rsid w:val="00082745"/>
    <w:rsid w:val="000849B7"/>
    <w:rsid w:val="00087A1C"/>
    <w:rsid w:val="000B2E47"/>
    <w:rsid w:val="000B40DB"/>
    <w:rsid w:val="000C29CA"/>
    <w:rsid w:val="000D39CD"/>
    <w:rsid w:val="000D4037"/>
    <w:rsid w:val="000D466B"/>
    <w:rsid w:val="000E64D7"/>
    <w:rsid w:val="000E66A2"/>
    <w:rsid w:val="001109E2"/>
    <w:rsid w:val="001153BE"/>
    <w:rsid w:val="00115DAF"/>
    <w:rsid w:val="00120D96"/>
    <w:rsid w:val="00122DFB"/>
    <w:rsid w:val="00150EB1"/>
    <w:rsid w:val="00154D4D"/>
    <w:rsid w:val="001600B8"/>
    <w:rsid w:val="0016688B"/>
    <w:rsid w:val="00166B0E"/>
    <w:rsid w:val="00166DB2"/>
    <w:rsid w:val="001765C3"/>
    <w:rsid w:val="00195D15"/>
    <w:rsid w:val="001C5B6F"/>
    <w:rsid w:val="001D44F8"/>
    <w:rsid w:val="001D6063"/>
    <w:rsid w:val="001E1C95"/>
    <w:rsid w:val="001F45C6"/>
    <w:rsid w:val="001F7F8A"/>
    <w:rsid w:val="00212490"/>
    <w:rsid w:val="002148B5"/>
    <w:rsid w:val="00231DF0"/>
    <w:rsid w:val="0025045D"/>
    <w:rsid w:val="00251B56"/>
    <w:rsid w:val="002962F1"/>
    <w:rsid w:val="002B0937"/>
    <w:rsid w:val="002B42B2"/>
    <w:rsid w:val="002F1624"/>
    <w:rsid w:val="003112BF"/>
    <w:rsid w:val="003212B2"/>
    <w:rsid w:val="00335F01"/>
    <w:rsid w:val="00337F8B"/>
    <w:rsid w:val="00355692"/>
    <w:rsid w:val="00361125"/>
    <w:rsid w:val="003620A2"/>
    <w:rsid w:val="003A6970"/>
    <w:rsid w:val="003B1503"/>
    <w:rsid w:val="003B4979"/>
    <w:rsid w:val="003C1F8F"/>
    <w:rsid w:val="003F2366"/>
    <w:rsid w:val="003F6F58"/>
    <w:rsid w:val="004032CE"/>
    <w:rsid w:val="00405714"/>
    <w:rsid w:val="00407A27"/>
    <w:rsid w:val="00415A1D"/>
    <w:rsid w:val="00466F8B"/>
    <w:rsid w:val="00496408"/>
    <w:rsid w:val="00496B51"/>
    <w:rsid w:val="004A738B"/>
    <w:rsid w:val="004B5B76"/>
    <w:rsid w:val="004C0371"/>
    <w:rsid w:val="004D4FBF"/>
    <w:rsid w:val="005001B4"/>
    <w:rsid w:val="005031B5"/>
    <w:rsid w:val="0050701F"/>
    <w:rsid w:val="0051398C"/>
    <w:rsid w:val="0051502A"/>
    <w:rsid w:val="00524411"/>
    <w:rsid w:val="005560D2"/>
    <w:rsid w:val="005655C8"/>
    <w:rsid w:val="00571EDD"/>
    <w:rsid w:val="005A2608"/>
    <w:rsid w:val="005A7648"/>
    <w:rsid w:val="005B1756"/>
    <w:rsid w:val="005C5F5B"/>
    <w:rsid w:val="0062474C"/>
    <w:rsid w:val="00650F97"/>
    <w:rsid w:val="006619C6"/>
    <w:rsid w:val="0067197F"/>
    <w:rsid w:val="00673F5D"/>
    <w:rsid w:val="00685397"/>
    <w:rsid w:val="006905F4"/>
    <w:rsid w:val="00696F06"/>
    <w:rsid w:val="006A416B"/>
    <w:rsid w:val="006A5FB0"/>
    <w:rsid w:val="006A75B3"/>
    <w:rsid w:val="006B08C2"/>
    <w:rsid w:val="006B789F"/>
    <w:rsid w:val="006E0F54"/>
    <w:rsid w:val="00700589"/>
    <w:rsid w:val="00701ABD"/>
    <w:rsid w:val="00712615"/>
    <w:rsid w:val="007255D0"/>
    <w:rsid w:val="0072687B"/>
    <w:rsid w:val="00736CC4"/>
    <w:rsid w:val="0076071C"/>
    <w:rsid w:val="00771959"/>
    <w:rsid w:val="00772934"/>
    <w:rsid w:val="0077461C"/>
    <w:rsid w:val="007751E5"/>
    <w:rsid w:val="00776CAE"/>
    <w:rsid w:val="00777417"/>
    <w:rsid w:val="007B63A8"/>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E01E3"/>
    <w:rsid w:val="008F2448"/>
    <w:rsid w:val="00906793"/>
    <w:rsid w:val="009119CA"/>
    <w:rsid w:val="009152CE"/>
    <w:rsid w:val="009157C0"/>
    <w:rsid w:val="00932381"/>
    <w:rsid w:val="0093282A"/>
    <w:rsid w:val="00933192"/>
    <w:rsid w:val="00940F50"/>
    <w:rsid w:val="0094378D"/>
    <w:rsid w:val="00951C1A"/>
    <w:rsid w:val="009664CF"/>
    <w:rsid w:val="00977F09"/>
    <w:rsid w:val="009A0E55"/>
    <w:rsid w:val="009D205E"/>
    <w:rsid w:val="009D67F1"/>
    <w:rsid w:val="009E468A"/>
    <w:rsid w:val="009E7BFB"/>
    <w:rsid w:val="009F1C01"/>
    <w:rsid w:val="00A01330"/>
    <w:rsid w:val="00A06D66"/>
    <w:rsid w:val="00A07660"/>
    <w:rsid w:val="00A26946"/>
    <w:rsid w:val="00A32CC5"/>
    <w:rsid w:val="00A36360"/>
    <w:rsid w:val="00A4149A"/>
    <w:rsid w:val="00A66698"/>
    <w:rsid w:val="00AA4960"/>
    <w:rsid w:val="00AB2A2D"/>
    <w:rsid w:val="00AC1591"/>
    <w:rsid w:val="00AD667C"/>
    <w:rsid w:val="00AE6262"/>
    <w:rsid w:val="00AF288A"/>
    <w:rsid w:val="00B13579"/>
    <w:rsid w:val="00B145BF"/>
    <w:rsid w:val="00B1708D"/>
    <w:rsid w:val="00B218EC"/>
    <w:rsid w:val="00B2277E"/>
    <w:rsid w:val="00B23652"/>
    <w:rsid w:val="00B40227"/>
    <w:rsid w:val="00B4086D"/>
    <w:rsid w:val="00B557AC"/>
    <w:rsid w:val="00B66AD6"/>
    <w:rsid w:val="00B67319"/>
    <w:rsid w:val="00B70599"/>
    <w:rsid w:val="00B86061"/>
    <w:rsid w:val="00B96D75"/>
    <w:rsid w:val="00BA573C"/>
    <w:rsid w:val="00BB63B5"/>
    <w:rsid w:val="00BC120B"/>
    <w:rsid w:val="00BC6AD3"/>
    <w:rsid w:val="00BD2D47"/>
    <w:rsid w:val="00BE5464"/>
    <w:rsid w:val="00BF0ABC"/>
    <w:rsid w:val="00C06C2A"/>
    <w:rsid w:val="00C07D26"/>
    <w:rsid w:val="00C170D9"/>
    <w:rsid w:val="00C31749"/>
    <w:rsid w:val="00C362C1"/>
    <w:rsid w:val="00C743BB"/>
    <w:rsid w:val="00C751CE"/>
    <w:rsid w:val="00C81100"/>
    <w:rsid w:val="00C851DD"/>
    <w:rsid w:val="00C85CA5"/>
    <w:rsid w:val="00CA3D30"/>
    <w:rsid w:val="00CB0365"/>
    <w:rsid w:val="00CC2590"/>
    <w:rsid w:val="00CD3735"/>
    <w:rsid w:val="00CF2C2D"/>
    <w:rsid w:val="00D12864"/>
    <w:rsid w:val="00D3213E"/>
    <w:rsid w:val="00D52DAE"/>
    <w:rsid w:val="00D55527"/>
    <w:rsid w:val="00DB036A"/>
    <w:rsid w:val="00DB273F"/>
    <w:rsid w:val="00DD1D22"/>
    <w:rsid w:val="00DE5168"/>
    <w:rsid w:val="00DE7522"/>
    <w:rsid w:val="00DF0230"/>
    <w:rsid w:val="00E01DD4"/>
    <w:rsid w:val="00E04142"/>
    <w:rsid w:val="00E05016"/>
    <w:rsid w:val="00E17186"/>
    <w:rsid w:val="00E253F3"/>
    <w:rsid w:val="00E30193"/>
    <w:rsid w:val="00E31305"/>
    <w:rsid w:val="00E5495C"/>
    <w:rsid w:val="00E61BDD"/>
    <w:rsid w:val="00E76253"/>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 w:type="paragraph" w:styleId="BalloonText">
    <w:name w:val="Balloon Text"/>
    <w:basedOn w:val="Normal"/>
    <w:link w:val="BalloonTextChar"/>
    <w:rsid w:val="00E17186"/>
    <w:rPr>
      <w:rFonts w:ascii="Tahoma" w:hAnsi="Tahoma" w:cs="Tahoma"/>
      <w:sz w:val="16"/>
      <w:szCs w:val="16"/>
    </w:rPr>
  </w:style>
  <w:style w:type="character" w:customStyle="1" w:styleId="BalloonTextChar">
    <w:name w:val="Balloon Text Char"/>
    <w:basedOn w:val="DefaultParagraphFont"/>
    <w:link w:val="BalloonText"/>
    <w:rsid w:val="00E17186"/>
    <w:rPr>
      <w:rFonts w:ascii="Tahoma" w:hAnsi="Tahoma" w:cs="Tahoma"/>
      <w:sz w:val="16"/>
      <w:szCs w:val="16"/>
    </w:rPr>
  </w:style>
  <w:style w:type="paragraph" w:styleId="Header">
    <w:name w:val="header"/>
    <w:basedOn w:val="Normal"/>
    <w:link w:val="HeaderChar"/>
    <w:rsid w:val="002962F1"/>
    <w:pPr>
      <w:tabs>
        <w:tab w:val="center" w:pos="4680"/>
        <w:tab w:val="right" w:pos="9360"/>
      </w:tabs>
    </w:pPr>
  </w:style>
  <w:style w:type="character" w:customStyle="1" w:styleId="HeaderChar">
    <w:name w:val="Header Char"/>
    <w:basedOn w:val="DefaultParagraphFont"/>
    <w:link w:val="Header"/>
    <w:rsid w:val="00296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E47"/>
    <w:pPr>
      <w:autoSpaceDE w:val="0"/>
      <w:autoSpaceDN w:val="0"/>
    </w:pPr>
  </w:style>
  <w:style w:type="paragraph" w:styleId="Heading1">
    <w:name w:val="heading 1"/>
    <w:basedOn w:val="Normal"/>
    <w:next w:val="Normal"/>
    <w:qFormat/>
    <w:rsid w:val="000B2E47"/>
    <w:pPr>
      <w:keepNext/>
      <w:widowControl w:val="0"/>
      <w:outlineLvl w:val="0"/>
    </w:pPr>
    <w:rPr>
      <w:sz w:val="26"/>
      <w:szCs w:val="26"/>
    </w:rPr>
  </w:style>
  <w:style w:type="paragraph" w:styleId="Heading2">
    <w:name w:val="heading 2"/>
    <w:basedOn w:val="Normal"/>
    <w:next w:val="Normal"/>
    <w:qFormat/>
    <w:rsid w:val="000B2E47"/>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2E47"/>
    <w:pPr>
      <w:widowControl w:val="0"/>
      <w:spacing w:line="360" w:lineRule="auto"/>
      <w:ind w:firstLine="1440"/>
    </w:pPr>
    <w:rPr>
      <w:sz w:val="26"/>
      <w:szCs w:val="26"/>
    </w:rPr>
  </w:style>
  <w:style w:type="paragraph" w:styleId="BodyTextIndent2">
    <w:name w:val="Body Text Indent 2"/>
    <w:basedOn w:val="Normal"/>
    <w:rsid w:val="000B2E47"/>
    <w:pPr>
      <w:widowControl w:val="0"/>
      <w:spacing w:line="360" w:lineRule="auto"/>
      <w:ind w:left="1440" w:firstLine="720"/>
    </w:pPr>
    <w:rPr>
      <w:sz w:val="26"/>
      <w:szCs w:val="26"/>
    </w:rPr>
  </w:style>
  <w:style w:type="paragraph" w:styleId="BodyTextIndent3">
    <w:name w:val="Body Text Indent 3"/>
    <w:basedOn w:val="Normal"/>
    <w:rsid w:val="000B2E47"/>
    <w:pPr>
      <w:widowControl w:val="0"/>
      <w:spacing w:line="480" w:lineRule="atLeast"/>
      <w:ind w:firstLine="720"/>
      <w:jc w:val="both"/>
    </w:pPr>
    <w:rPr>
      <w:sz w:val="26"/>
      <w:szCs w:val="26"/>
    </w:rPr>
  </w:style>
  <w:style w:type="paragraph" w:customStyle="1" w:styleId="ParaTab1">
    <w:name w:val="ParaTab 1"/>
    <w:rsid w:val="000B2E47"/>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2148B5"/>
    <w:rPr>
      <w:rFonts w:asciiTheme="minorHAnsi" w:eastAsiaTheme="minorHAnsi" w:hAnsiTheme="minorHAnsi" w:cstheme="minorBidi"/>
      <w:sz w:val="22"/>
      <w:szCs w:val="22"/>
    </w:rPr>
  </w:style>
  <w:style w:type="paragraph" w:customStyle="1" w:styleId="Style">
    <w:name w:val="Style"/>
    <w:rsid w:val="002148B5"/>
    <w:pPr>
      <w:widowControl w:val="0"/>
      <w:autoSpaceDE w:val="0"/>
      <w:autoSpaceDN w:val="0"/>
      <w:adjustRightInd w:val="0"/>
    </w:pPr>
    <w:rPr>
      <w:sz w:val="24"/>
      <w:szCs w:val="24"/>
    </w:rPr>
  </w:style>
  <w:style w:type="paragraph" w:styleId="FootnoteText">
    <w:name w:val="footnote text"/>
    <w:basedOn w:val="Normal"/>
    <w:link w:val="FootnoteTextChar"/>
    <w:rsid w:val="002148B5"/>
  </w:style>
  <w:style w:type="character" w:customStyle="1" w:styleId="FootnoteTextChar">
    <w:name w:val="Footnote Text Char"/>
    <w:basedOn w:val="DefaultParagraphFont"/>
    <w:link w:val="FootnoteText"/>
    <w:rsid w:val="002148B5"/>
  </w:style>
  <w:style w:type="character" w:styleId="FootnoteReference">
    <w:name w:val="footnote reference"/>
    <w:basedOn w:val="DefaultParagraphFont"/>
    <w:rsid w:val="002148B5"/>
    <w:rPr>
      <w:vertAlign w:val="superscript"/>
    </w:rPr>
  </w:style>
  <w:style w:type="paragraph" w:styleId="BalloonText">
    <w:name w:val="Balloon Text"/>
    <w:basedOn w:val="Normal"/>
    <w:link w:val="BalloonTextChar"/>
    <w:rsid w:val="00E17186"/>
    <w:rPr>
      <w:rFonts w:ascii="Tahoma" w:hAnsi="Tahoma" w:cs="Tahoma"/>
      <w:sz w:val="16"/>
      <w:szCs w:val="16"/>
    </w:rPr>
  </w:style>
  <w:style w:type="character" w:customStyle="1" w:styleId="BalloonTextChar">
    <w:name w:val="Balloon Text Char"/>
    <w:basedOn w:val="DefaultParagraphFont"/>
    <w:link w:val="BalloonText"/>
    <w:rsid w:val="00E17186"/>
    <w:rPr>
      <w:rFonts w:ascii="Tahoma" w:hAnsi="Tahoma" w:cs="Tahoma"/>
      <w:sz w:val="16"/>
      <w:szCs w:val="16"/>
    </w:rPr>
  </w:style>
  <w:style w:type="paragraph" w:styleId="Header">
    <w:name w:val="header"/>
    <w:basedOn w:val="Normal"/>
    <w:link w:val="HeaderChar"/>
    <w:rsid w:val="002962F1"/>
    <w:pPr>
      <w:tabs>
        <w:tab w:val="center" w:pos="4680"/>
        <w:tab w:val="right" w:pos="9360"/>
      </w:tabs>
    </w:pPr>
  </w:style>
  <w:style w:type="character" w:customStyle="1" w:styleId="HeaderChar">
    <w:name w:val="Header Char"/>
    <w:basedOn w:val="DefaultParagraphFont"/>
    <w:link w:val="Header"/>
    <w:rsid w:val="0029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5292">
      <w:bodyDiv w:val="1"/>
      <w:marLeft w:val="0"/>
      <w:marRight w:val="0"/>
      <w:marTop w:val="0"/>
      <w:marBottom w:val="0"/>
      <w:divBdr>
        <w:top w:val="none" w:sz="0" w:space="0" w:color="auto"/>
        <w:left w:val="none" w:sz="0" w:space="0" w:color="auto"/>
        <w:bottom w:val="none" w:sz="0" w:space="0" w:color="auto"/>
        <w:right w:val="none" w:sz="0" w:space="0" w:color="auto"/>
      </w:divBdr>
    </w:div>
    <w:div w:id="1147547404">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C7976-6233-4521-B38B-0A47B33A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13935</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2014-07-16T19:49:00Z</cp:lastPrinted>
  <dcterms:created xsi:type="dcterms:W3CDTF">2014-07-16T19:46:00Z</dcterms:created>
  <dcterms:modified xsi:type="dcterms:W3CDTF">2014-07-16T19:57:00Z</dcterms:modified>
</cp:coreProperties>
</file>